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2E5A"/>
          <w:sz w:val="48"/>
          <w:szCs w:val="48"/>
        </w:rPr>
        <w:t xml:space="preserve">ADVISORY BOARD INVITATION</w:t>
      </w:r>
    </w:p>
    <w:p>
      <w:pPr>
        <w:spacing w:after="120"/>
        <w:jc w:val="center"/>
      </w:pPr>
      <w:r>
        <w:rPr>
          <w:rFonts w:ascii="Arial" w:cs="Arial" w:eastAsia="Arial" w:hAnsi="Arial"/>
          <w:b/>
          <w:bCs/>
          <w:color w:val="C9A84C"/>
          <w:sz w:val="32"/>
          <w:szCs w:val="32"/>
        </w:rPr>
        <w:t xml:space="preserve">Frontier Impact Infrastructure &amp; Minerals Fund (FIIMF)</w:t>
      </w:r>
    </w:p>
    <w:p>
      <w:pPr>
        <w:spacing w:after="80"/>
        <w:jc w:val="center"/>
      </w:pPr>
      <w:r>
        <w:rPr>
          <w:rFonts w:ascii="Arial" w:cs="Arial" w:eastAsia="Arial" w:hAnsi="Arial"/>
          <w:color w:val="555555"/>
          <w:sz w:val="26"/>
          <w:szCs w:val="26"/>
        </w:rPr>
        <w:t xml:space="preserve">Multinational Strategic Investment Funds (MSIFS)</w:t>
      </w:r>
    </w:p>
    <w:p>
      <w:pPr>
        <w:pBdr>
          <w:bottom w:val="single" w:color="C9A84C" w:sz="8" w:space="1"/>
        </w:pBdr>
        <w:spacing w:after="200"/>
      </w:pPr>
    </w:p>
    <w:p>
      <w:pPr>
        <w:spacing w:after="80" w:before="240"/>
        <w:jc w:val="center"/>
      </w:pPr>
      <w:r>
        <w:rPr>
          <w:rFonts w:ascii="Arial" w:cs="Arial" w:eastAsia="Arial" w:hAnsi="Arial"/>
          <w:color w:val="555555"/>
          <w:sz w:val="24"/>
          <w:szCs w:val="24"/>
        </w:rPr>
        <w:t xml:space="preserve">Target Fund Size: $200M USD  |  10-Year Closed-End LP Structure</w:t>
      </w:r>
    </w:p>
    <w:p>
      <w:pPr>
        <w:spacing w:after="80"/>
        <w:jc w:val="center"/>
      </w:pPr>
      <w:r>
        <w:rPr>
          <w:rFonts w:ascii="Arial" w:cs="Arial" w:eastAsia="Arial" w:hAnsi="Arial"/>
          <w:color w:val="555555"/>
          <w:sz w:val="24"/>
          <w:szCs w:val="24"/>
        </w:rPr>
        <w:t xml:space="preserve">20% Carry  |  8% Hurdle  |  $5–15M Ticket Size</w:t>
      </w:r>
    </w:p>
    <w:p>
      <w:pPr>
        <w:spacing w:after="80"/>
        <w:jc w:val="center"/>
      </w:pPr>
      <w:r>
        <w:rPr>
          <w:rFonts w:ascii="Arial" w:cs="Arial" w:eastAsia="Arial" w:hAnsi="Arial"/>
          <w:color w:val="555555"/>
          <w:sz w:val="24"/>
          <w:szCs w:val="24"/>
        </w:rPr>
        <w:t xml:space="preserve">East Africa  ·  Central Asia  |  Infrastructure &amp; Critical Minerals</w:t>
      </w:r>
    </w:p>
    <w:p>
      <w:pPr>
        <w:spacing w:after="0" w:before="200"/>
        <w:jc w:val="center"/>
      </w:pPr>
      <w:r>
        <w:rPr>
          <w:rFonts w:ascii="Arial" w:cs="Arial" w:eastAsia="Arial" w:hAnsi="Arial"/>
          <w:color w:val="888888"/>
          <w:sz w:val="22"/>
          <w:szCs w:val="22"/>
        </w:rPr>
        <w:t xml:space="preserve">April 2026</w:t>
      </w:r>
    </w:p>
    <w:p>
      <w:r>
        <w:br w:type="page"/>
      </w:r>
    </w:p>
    <w:p>
      <w:pPr>
        <w:pBdr>
          <w:left w:val="single" w:color="C9A84C" w:sz="18" w:space="120"/>
        </w:pBdr>
        <w:spacing w:after="120" w:before="320"/>
      </w:pPr>
      <w:r>
        <w:rPr>
          <w:rFonts w:ascii="Arial" w:cs="Arial" w:eastAsia="Arial" w:hAnsi="Arial"/>
          <w:b/>
          <w:bCs/>
          <w:caps/>
          <w:color w:val="1A2E5A"/>
          <w:sz w:val="24"/>
          <w:szCs w:val="24"/>
        </w:rPr>
        <w:t xml:space="preserve">EXECUTIVE SUMMARY</w:t>
      </w:r>
    </w:p>
    <w:p>
      <w:pPr>
        <w:spacing w:after="160" w:before="100"/>
      </w:pPr>
      <w:r>
        <w:rPr>
          <w:rFonts w:ascii="Arial" w:cs="Arial" w:eastAsia="Arial" w:hAnsi="Arial"/>
          <w:color w:val="555555"/>
          <w:sz w:val="22"/>
          <w:szCs w:val="22"/>
        </w:rPr>
        <w:t xml:space="preserve">MSIFS is inviting a select group of experienced professionals to join the Advisory Board of the Frontier Impact Infrastructure &amp; Minerals Fund (FIIMF) — a $200M closed-end private equity fund investing in critical infrastructure and minerals projects across East Africa and Central Asia.</w:t>
      </w:r>
    </w:p>
    <w:p>
      <w:pPr>
        <w:spacing w:after="160" w:before="100"/>
      </w:pPr>
      <w:r>
        <w:rPr>
          <w:rFonts w:ascii="Arial" w:cs="Arial" w:eastAsia="Arial" w:hAnsi="Arial"/>
          <w:color w:val="555555"/>
          <w:sz w:val="22"/>
          <w:szCs w:val="22"/>
        </w:rPr>
        <w:t xml:space="preserve">The fund targets high-impact, defensible infrastructure investments in two of the world's most strategically important frontier market corridors: the East African coast (Kenya, Tanzania, Mozambique) and the Central Asian resource belt (Kazakhstan, Kyrgyzstan). With $5–15M ticket sizes, 20% carry, and an 8% hurdle rate, FIIMF is structured to deliver compelling risk-adjusted returns while contributing meaningfully to regional development.</w:t>
      </w:r>
    </w:p>
    <w:p>
      <w:pPr>
        <w:spacing w:after="160" w:before="100"/>
      </w:pPr>
      <w:r>
        <w:rPr>
          <w:rFonts w:ascii="Arial" w:cs="Arial" w:eastAsia="Arial" w:hAnsi="Arial"/>
          <w:color w:val="555555"/>
          <w:sz w:val="22"/>
          <w:szCs w:val="22"/>
        </w:rPr>
        <w:t xml:space="preserve">We are building an advisory board of 5–7 exceptional individuals with deep expertise in our target markets, sectors, and institutional investor relationships. Advisory board members will play an active role in the fund's growth — providing deal sourcing support, regulatory guidance, investor introductions, and strategic input on portfolio companies.</w:t>
      </w:r>
    </w:p>
    <w:p>
      <w:pPr>
        <w:spacing w:after="160" w:before="100"/>
      </w:pPr>
      <w:r>
        <w:rPr>
          <w:rFonts w:ascii="Arial" w:cs="Arial" w:eastAsia="Arial" w:hAnsi="Arial"/>
          <w:color w:val="555555"/>
          <w:sz w:val="22"/>
          <w:szCs w:val="22"/>
        </w:rPr>
        <w:t xml:space="preserve">This document provides full details on the fund's thesis, team, advisory board structure, compensation, and the specific roles we are looking to fill.</w:t>
      </w:r>
    </w:p>
    <w:p>
      <w:pPr>
        <w:pBdr>
          <w:left w:val="single" w:color="C9A84C" w:sz="18" w:space="120"/>
        </w:pBdr>
        <w:spacing w:after="120" w:before="320"/>
      </w:pPr>
      <w:r>
        <w:rPr>
          <w:rFonts w:ascii="Arial" w:cs="Arial" w:eastAsia="Arial" w:hAnsi="Arial"/>
          <w:b/>
          <w:bCs/>
          <w:caps/>
          <w:color w:val="1A2E5A"/>
          <w:sz w:val="24"/>
          <w:szCs w:val="24"/>
        </w:rPr>
        <w:t xml:space="preserve">THE INVESTMENT OPPORTUNITY</w:t>
      </w:r>
    </w:p>
    <w:p>
      <w:pPr>
        <w:spacing w:after="160" w:before="100"/>
      </w:pPr>
      <w:r>
        <w:rPr>
          <w:rFonts w:ascii="Arial" w:cs="Arial" w:eastAsia="Arial" w:hAnsi="Arial"/>
          <w:color w:val="555555"/>
          <w:sz w:val="22"/>
          <w:szCs w:val="22"/>
        </w:rPr>
        <w:t xml:space="preserve">Infrastructure and critical minerals represent two of the most compelling and underserved investment opportunities in the global emerging market landscape. In East Africa, an estimated $150B+ infrastructure gap persists across logistics, energy, and port development. In Central Asia, the global energy transition is creating explosive demand for critical minerals — lithium, cobalt, copper, and gold — much of which lies in Kazakhstan and Kyrgyzstan, where institutional infrastructure investment remains scarce.</w:t>
      </w:r>
    </w:p>
    <w:p>
      <w:pPr>
        <w:spacing w:after="160" w:before="100"/>
      </w:pPr>
      <w:r>
        <w:rPr>
          <w:rFonts w:ascii="Arial" w:cs="Arial" w:eastAsia="Arial" w:hAnsi="Arial"/>
          <w:color w:val="555555"/>
          <w:sz w:val="22"/>
          <w:szCs w:val="22"/>
        </w:rPr>
        <w:t xml:space="preserve">FIIMF is positioned at the intersection of these two structural trends with a focused investment thesis:</w:t>
      </w:r>
    </w:p>
    <w:p>
      <w:pPr>
        <w:pStyle w:val="ListParagraph"/>
        <w:numPr>
          <w:ilvl w:val="0"/>
          <w:numId w:val="2"/>
        </w:numPr>
        <w:spacing w:after="80" w:before="60"/>
      </w:pPr>
      <w:r>
        <w:rPr>
          <w:rFonts w:ascii="Arial" w:cs="Arial" w:eastAsia="Arial" w:hAnsi="Arial"/>
          <w:color w:val="555555"/>
          <w:sz w:val="22"/>
          <w:szCs w:val="22"/>
        </w:rPr>
        <w:t xml:space="preserve">Physical infrastructure and logistics corridors that unlock regional trade (ports, roads, industrial zones)</w:t>
      </w:r>
    </w:p>
    <w:p>
      <w:pPr>
        <w:pStyle w:val="ListParagraph"/>
        <w:numPr>
          <w:ilvl w:val="0"/>
          <w:numId w:val="2"/>
        </w:numPr>
        <w:spacing w:after="80" w:before="60"/>
      </w:pPr>
      <w:r>
        <w:rPr>
          <w:rFonts w:ascii="Arial" w:cs="Arial" w:eastAsia="Arial" w:hAnsi="Arial"/>
          <w:color w:val="555555"/>
          <w:sz w:val="22"/>
          <w:szCs w:val="22"/>
        </w:rPr>
        <w:t xml:space="preserve">Energy infrastructure enabling the energy transition in underserved markets (renewables, LNG, grid)</w:t>
      </w:r>
    </w:p>
    <w:p>
      <w:pPr>
        <w:pStyle w:val="ListParagraph"/>
        <w:numPr>
          <w:ilvl w:val="0"/>
          <w:numId w:val="2"/>
        </w:numPr>
        <w:spacing w:after="80" w:before="60"/>
      </w:pPr>
      <w:r>
        <w:rPr>
          <w:rFonts w:ascii="Arial" w:cs="Arial" w:eastAsia="Arial" w:hAnsi="Arial"/>
          <w:color w:val="555555"/>
          <w:sz w:val="22"/>
          <w:szCs w:val="22"/>
        </w:rPr>
        <w:t xml:space="preserve">Critical minerals extraction and processing aligned with global battery supply chain demand</w:t>
      </w:r>
    </w:p>
    <w:p>
      <w:pPr>
        <w:pStyle w:val="ListParagraph"/>
        <w:numPr>
          <w:ilvl w:val="0"/>
          <w:numId w:val="2"/>
        </w:numPr>
        <w:spacing w:after="80" w:before="60"/>
      </w:pPr>
      <w:r>
        <w:rPr>
          <w:rFonts w:ascii="Arial" w:cs="Arial" w:eastAsia="Arial" w:hAnsi="Arial"/>
          <w:color w:val="555555"/>
          <w:sz w:val="22"/>
          <w:szCs w:val="22"/>
        </w:rPr>
        <w:t xml:space="preserve">Concession-based assets with long-term, government-backed revenue streams</w:t>
      </w:r>
    </w:p>
    <w:p>
      <w:pPr>
        <w:spacing w:after="160" w:before="100"/>
      </w:pPr>
      <w:r>
        <w:rPr>
          <w:rFonts w:ascii="Arial" w:cs="Arial" w:eastAsia="Arial" w:hAnsi="Arial"/>
          <w:color w:val="555555"/>
          <w:sz w:val="22"/>
          <w:szCs w:val="22"/>
        </w:rPr>
        <w:t xml:space="preserve">The fund pursues a value creation model built on deep local relationships, operational improvement, and patient capital — not leverage-driven financial engineering. This approach is ideally suited to frontier markets where information asymmetry, regulatory complexity, and relationship capital create defensible competitive advantages for experienced operators.</w:t>
      </w:r>
    </w:p>
    <w:p>
      <w:pPr>
        <w:spacing w:after="120" w:before="200"/>
      </w:pPr>
      <w:r>
        <w:rPr>
          <w:rFonts w:ascii="Arial" w:cs="Arial" w:eastAsia="Arial" w:hAnsi="Arial"/>
          <w:b/>
          <w:bCs/>
          <w:color w:val="1A2E5A"/>
          <w:sz w:val="22"/>
          <w:szCs w:val="22"/>
        </w:rPr>
        <w:t xml:space="preserve">Investment Focus by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20"/>
        <w:gridCol w:w="4000"/>
      </w:tblGrid>
      <w:tr>
        <w:tc>
          <w:tcPr>
            <w:tcW w:type="dxa" w:w="234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Region</w:t>
            </w:r>
          </w:p>
        </w:tc>
        <w:tc>
          <w:tcPr>
            <w:tcW w:type="dxa" w:w="302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Sectors</w:t>
            </w:r>
          </w:p>
        </w:tc>
        <w:tc>
          <w:tcPr>
            <w:tcW w:type="dxa" w:w="40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Anchor Investments in Pipeline</w:t>
            </w:r>
          </w:p>
        </w:tc>
      </w:tr>
      <w:tr>
        <w:tc>
          <w:tcPr>
            <w:tcW w:type="dxa" w:w="23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East Africa
(Kenya, Tanzania, Mozambique)</w:t>
            </w:r>
          </w:p>
        </w:tc>
        <w:tc>
          <w:tcPr>
            <w:tcW w:type="dxa" w:w="30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Infrastructure, logistics, energy, port development</w:t>
            </w:r>
          </w:p>
        </w:tc>
        <w:tc>
          <w:tcPr>
            <w:tcW w:type="dxa" w:w="4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Lamu Port (LAPSSET corridor), Mtwara LNG infrastructure, Dar es Salaam logistics hub</w:t>
            </w:r>
          </w:p>
        </w:tc>
      </w:tr>
      <w:tr>
        <w:tc>
          <w:tcPr>
            <w:tcW w:type="dxa" w:w="23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Central Asia
(Kazakhstan, Kyrgyzstan)</w:t>
            </w:r>
          </w:p>
        </w:tc>
        <w:tc>
          <w:tcPr>
            <w:tcW w:type="dxa" w:w="30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Critical minerals, gold, energy infrastructure</w:t>
            </w:r>
          </w:p>
        </w:tc>
        <w:tc>
          <w:tcPr>
            <w:tcW w:type="dxa" w:w="40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Kurzal gold project, Kazakhstan critical minerals (battery supply chain), Kyrgyz renewable energy</w:t>
            </w:r>
          </w:p>
        </w:tc>
      </w:tr>
    </w:tbl>
    <w:p>
      <w:pPr>
        <w:spacing w:after="0" w:before="240"/>
      </w:pPr>
    </w:p>
    <w:p>
      <w:pPr>
        <w:pBdr>
          <w:left w:val="single" w:color="C9A84C" w:sz="18" w:space="120"/>
        </w:pBdr>
        <w:spacing w:after="120" w:before="320"/>
      </w:pPr>
      <w:r>
        <w:rPr>
          <w:rFonts w:ascii="Arial" w:cs="Arial" w:eastAsia="Arial" w:hAnsi="Arial"/>
          <w:b/>
          <w:bCs/>
          <w:caps/>
          <w:color w:val="1A2E5A"/>
          <w:sz w:val="24"/>
          <w:szCs w:val="24"/>
        </w:rPr>
        <w:t xml:space="preserve">THE GP TEAM</w:t>
      </w:r>
    </w:p>
    <w:p>
      <w:pPr>
        <w:spacing w:after="160" w:before="100"/>
      </w:pPr>
      <w:r>
        <w:rPr>
          <w:rFonts w:ascii="Arial" w:cs="Arial" w:eastAsia="Arial" w:hAnsi="Arial"/>
          <w:color w:val="555555"/>
          <w:sz w:val="22"/>
          <w:szCs w:val="22"/>
        </w:rPr>
        <w:t xml:space="preserve">The FIIMF General Partner team combines complementary expertise across fund management, East African infrastructure, Central Asian mining and energy, and financial structuring. The team is structured to operate with regional depth while maintaining institutional-grade fund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c>
          <w:tcPr>
            <w:tcW w:type="dxa" w:w="28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Partner</w:t>
            </w:r>
          </w:p>
        </w:tc>
        <w:tc>
          <w:tcPr>
            <w:tcW w:type="dxa" w:w="24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12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Carry</w:t>
            </w:r>
          </w:p>
        </w:tc>
        <w:tc>
          <w:tcPr>
            <w:tcW w:type="dxa" w:w="296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Background</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Alexander Orta</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CEO/CIO — Fundraising, Strategy &amp; Operations</w:t>
            </w:r>
          </w:p>
        </w:tc>
        <w:tc>
          <w:tcPr>
            <w:tcW w:type="dxa" w:w="1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27%</w:t>
            </w:r>
          </w:p>
        </w:tc>
        <w:tc>
          <w:tcPr>
            <w:tcW w:type="dxa" w:w="29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Frontier market investment leadership, $200M+ fund formation</w:t>
            </w:r>
          </w:p>
        </w:tc>
      </w:tr>
      <w:tr>
        <w:tc>
          <w:tcPr>
            <w:tcW w:type="dxa" w:w="28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Andre (Hassan) Wilson</w:t>
            </w:r>
          </w:p>
        </w:tc>
        <w:tc>
          <w:tcPr>
            <w:tcW w:type="dxa" w:w="24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Regional CIO — East Africa</w:t>
            </w:r>
          </w:p>
        </w:tc>
        <w:tc>
          <w:tcPr>
            <w:tcW w:type="dxa" w:w="12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25%</w:t>
            </w:r>
          </w:p>
        </w:tc>
        <w:tc>
          <w:tcPr>
            <w:tcW w:type="dxa" w:w="29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Infrastructure origination, Kenya / Tanzania / Mozambique markets</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Aibek Sabirov</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Regional CIO — Central Asia</w:t>
            </w:r>
          </w:p>
        </w:tc>
        <w:tc>
          <w:tcPr>
            <w:tcW w:type="dxa" w:w="1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w:t>
            </w:r>
          </w:p>
        </w:tc>
        <w:tc>
          <w:tcPr>
            <w:tcW w:type="dxa" w:w="29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Mining, minerals, and energy investment across Kazakhstan &amp; Kyrgyzstan</w:t>
            </w:r>
          </w:p>
        </w:tc>
      </w:tr>
      <w:tr>
        <w:tc>
          <w:tcPr>
            <w:tcW w:type="dxa" w:w="28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Stephen Habetz</w:t>
            </w:r>
          </w:p>
        </w:tc>
        <w:tc>
          <w:tcPr>
            <w:tcW w:type="dxa" w:w="24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CFO/COO — Financial Structuring &amp; Compliance</w:t>
            </w:r>
          </w:p>
        </w:tc>
        <w:tc>
          <w:tcPr>
            <w:tcW w:type="dxa" w:w="12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15%</w:t>
            </w:r>
          </w:p>
        </w:tc>
        <w:tc>
          <w:tcPr>
            <w:tcW w:type="dxa" w:w="29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Fund operations, LP reporting, regulatory compliance, carry structuring</w:t>
            </w:r>
          </w:p>
        </w:tc>
      </w:tr>
    </w:tbl>
    <w:p>
      <w:pPr>
        <w:spacing w:after="0" w:before="240"/>
      </w:pPr>
    </w:p>
    <w:p>
      <w:pPr>
        <w:pBdr>
          <w:left w:val="single" w:color="C9A84C" w:sz="18" w:space="120"/>
        </w:pBdr>
        <w:spacing w:after="120" w:before="320"/>
      </w:pPr>
      <w:r>
        <w:rPr>
          <w:rFonts w:ascii="Arial" w:cs="Arial" w:eastAsia="Arial" w:hAnsi="Arial"/>
          <w:b/>
          <w:bCs/>
          <w:caps/>
          <w:color w:val="1A2E5A"/>
          <w:sz w:val="24"/>
          <w:szCs w:val="24"/>
        </w:rPr>
        <w:t xml:space="preserve">WHY WE ARE BUILDING AN ADVISORY BOARD</w:t>
      </w:r>
    </w:p>
    <w:p>
      <w:pPr>
        <w:spacing w:after="160" w:before="100"/>
      </w:pPr>
      <w:r>
        <w:rPr>
          <w:rFonts w:ascii="Arial" w:cs="Arial" w:eastAsia="Arial" w:hAnsi="Arial"/>
          <w:color w:val="555555"/>
          <w:sz w:val="22"/>
          <w:szCs w:val="22"/>
        </w:rPr>
        <w:t xml:space="preserve">Frontier market infrastructure investing is fundamentally a relationship-intensive discipline. Deals are won through trust and local credibility, not just financial modeling. Permits are granted to teams with established government relationships, not just the best balance sheets. Portfolio companies succeed when they have access to operational expertise, not just capital.</w:t>
      </w:r>
    </w:p>
    <w:p>
      <w:pPr>
        <w:spacing w:after="160" w:before="100"/>
      </w:pPr>
      <w:r>
        <w:rPr>
          <w:rFonts w:ascii="Arial" w:cs="Arial" w:eastAsia="Arial" w:hAnsi="Arial"/>
          <w:color w:val="555555"/>
          <w:sz w:val="22"/>
          <w:szCs w:val="22"/>
        </w:rPr>
        <w:t xml:space="preserve">The FIIMF Advisory Board is designed to extend the GP team's capabilities across four critical dimensions:</w:t>
      </w:r>
    </w:p>
    <w:p>
      <w:pPr>
        <w:pStyle w:val="ListParagraph"/>
        <w:numPr>
          <w:ilvl w:val="0"/>
          <w:numId w:val="2"/>
        </w:numPr>
        <w:spacing w:after="80" w:before="60"/>
      </w:pPr>
      <w:r>
        <w:rPr>
          <w:rFonts w:ascii="Arial" w:cs="Arial" w:eastAsia="Arial" w:hAnsi="Arial"/>
          <w:color w:val="555555"/>
          <w:sz w:val="22"/>
          <w:szCs w:val="22"/>
        </w:rPr>
        <w:t xml:space="preserve">Deal Sourcing — Advisors with deep local networks in target markets help us identify and pre-screen investment opportunities before they become competitive</w:t>
      </w:r>
    </w:p>
    <w:p>
      <w:pPr>
        <w:pStyle w:val="ListParagraph"/>
        <w:numPr>
          <w:ilvl w:val="0"/>
          <w:numId w:val="2"/>
        </w:numPr>
        <w:spacing w:after="80" w:before="60"/>
      </w:pPr>
      <w:r>
        <w:rPr>
          <w:rFonts w:ascii="Arial" w:cs="Arial" w:eastAsia="Arial" w:hAnsi="Arial"/>
          <w:color w:val="555555"/>
          <w:sz w:val="22"/>
          <w:szCs w:val="22"/>
        </w:rPr>
        <w:t xml:space="preserve">Regulatory Navigation — Advisors with government relationships and sector expertise help us navigate permitting, concession negotiations, and policy dynamics</w:t>
      </w:r>
    </w:p>
    <w:p>
      <w:pPr>
        <w:pStyle w:val="ListParagraph"/>
        <w:numPr>
          <w:ilvl w:val="0"/>
          <w:numId w:val="2"/>
        </w:numPr>
        <w:spacing w:after="80" w:before="60"/>
      </w:pPr>
      <w:r>
        <w:rPr>
          <w:rFonts w:ascii="Arial" w:cs="Arial" w:eastAsia="Arial" w:hAnsi="Arial"/>
          <w:color w:val="555555"/>
          <w:sz w:val="22"/>
          <w:szCs w:val="22"/>
        </w:rPr>
        <w:t xml:space="preserve">Investor Relations — Advisors with institutional investor relationships can facilitate introductions to co-investors, DFIs, and future LP candidates</w:t>
      </w:r>
    </w:p>
    <w:p>
      <w:pPr>
        <w:pStyle w:val="ListParagraph"/>
        <w:numPr>
          <w:ilvl w:val="0"/>
          <w:numId w:val="2"/>
        </w:numPr>
        <w:spacing w:after="80" w:before="60"/>
      </w:pPr>
      <w:r>
        <w:rPr>
          <w:rFonts w:ascii="Arial" w:cs="Arial" w:eastAsia="Arial" w:hAnsi="Arial"/>
          <w:color w:val="555555"/>
          <w:sz w:val="22"/>
          <w:szCs w:val="22"/>
        </w:rPr>
        <w:t xml:space="preserve">Portfolio Value Creation — Advisors with operational backgrounds can serve as thought partners and resources for portfolio companies</w:t>
      </w:r>
    </w:p>
    <w:p>
      <w:pPr>
        <w:spacing w:after="160" w:before="100"/>
      </w:pPr>
      <w:r>
        <w:rPr>
          <w:rFonts w:ascii="Arial" w:cs="Arial" w:eastAsia="Arial" w:hAnsi="Arial"/>
          <w:color w:val="555555"/>
          <w:sz w:val="22"/>
          <w:szCs w:val="22"/>
        </w:rPr>
        <w:t xml:space="preserve">Advisory board members are not passive names on a letterhead. We seek professionals who are willing to engage actively — attending quarterly meetings, making targeted introductions, and providing input on real decisions. In return, we offer meaningful compensation, co-investment access, and a front-row seat to one of the most exciting alternative investment opportunities in the global frontier market space.</w:t>
      </w:r>
    </w:p>
    <w:p>
      <w:r>
        <w:br w:type="page"/>
      </w:r>
    </w:p>
    <w:p>
      <w:pPr>
        <w:pBdr>
          <w:left w:val="single" w:color="C9A84C" w:sz="18" w:space="120"/>
        </w:pBdr>
        <w:spacing w:after="120" w:before="320"/>
      </w:pPr>
      <w:r>
        <w:rPr>
          <w:rFonts w:ascii="Arial" w:cs="Arial" w:eastAsia="Arial" w:hAnsi="Arial"/>
          <w:b/>
          <w:bCs/>
          <w:caps/>
          <w:color w:val="1A2E5A"/>
          <w:sz w:val="24"/>
          <w:szCs w:val="24"/>
        </w:rPr>
        <w:t xml:space="preserve">ADVISORY BOARD ROLES WE ARE FILLING</w:t>
      </w:r>
    </w:p>
    <w:p>
      <w:pPr>
        <w:spacing w:after="160" w:before="100"/>
      </w:pPr>
      <w:r>
        <w:rPr>
          <w:rFonts w:ascii="Arial" w:cs="Arial" w:eastAsia="Arial" w:hAnsi="Arial"/>
          <w:color w:val="555555"/>
          <w:sz w:val="22"/>
          <w:szCs w:val="22"/>
        </w:rPr>
        <w:t xml:space="preserve">We are selectively recruiting for five distinct advisory profiles. Each role is defined by a specific expertise gap the GP team seeks to fill. We are not looking for passive endorsers — we are looking for engaged thought partners who bring genuine knowledge and relationships to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Profile</w:t>
            </w:r>
          </w:p>
        </w:tc>
        <w:tc>
          <w:tcPr>
            <w:tcW w:type="dxa" w:w="26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Primary Contribution</w:t>
            </w:r>
          </w:p>
        </w:tc>
        <w:tc>
          <w:tcPr>
            <w:tcW w:type="dxa" w:w="240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Compensation</w:t>
            </w:r>
          </w:p>
        </w:tc>
        <w:tc>
          <w:tcPr>
            <w:tcW w:type="dxa" w:w="216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Engagement Level</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East Africa Infrastructure Expert</w:t>
            </w:r>
          </w:p>
        </w:tc>
        <w:tc>
          <w:tcPr>
            <w:tcW w:type="dxa" w:w="2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Deal sourcing, regulatory navigation, government relationships (Kenya, Tanzania, Mozambique)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0.6% equity + $25K/yr retainer</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Quarterly meetings + deal-specific input</w:t>
            </w:r>
          </w:p>
        </w:tc>
      </w:tr>
      <w:tr>
        <w:tc>
          <w:tcPr>
            <w:tcW w:type="dxa" w:w="22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Central Asia Minerals Expert</w:t>
            </w:r>
          </w:p>
        </w:tc>
        <w:tc>
          <w:tcPr>
            <w:tcW w:type="dxa" w:w="26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Kazakhstan/Kyrgyzstan deal sourcing, minerals sector operational guidance, competitive intelligence on China</w:t>
            </w:r>
          </w:p>
        </w:tc>
        <w:tc>
          <w:tcPr>
            <w:tcW w:type="dxa" w:w="24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0.7% equity + $20K/yr retainer</w:t>
            </w:r>
          </w:p>
        </w:tc>
        <w:tc>
          <w:tcPr>
            <w:tcW w:type="dxa" w:w="21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Quarterly meetings + deal-specific input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Former DFI Official</w:t>
            </w:r>
          </w:p>
        </w:tc>
        <w:tc>
          <w:tcPr>
            <w:tcW w:type="dxa" w:w="2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LP introductions, blended finance structuring, impact measurement, government partnership strategy</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0.5% equity + $20K/yr retainer</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Quarterly meetings + investor relations support</w:t>
            </w:r>
          </w:p>
        </w:tc>
      </w:tr>
      <w:tr>
        <w:tc>
          <w:tcPr>
            <w:tcW w:type="dxa" w:w="22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Institutional Investor</w:t>
            </w:r>
          </w:p>
        </w:tc>
        <w:tc>
          <w:tcPr>
            <w:tcW w:type="dxa" w:w="26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Co-investment sourcing, future LP introductions, portfolio diversification guidance</w:t>
            </w:r>
          </w:p>
        </w:tc>
        <w:tc>
          <w:tcPr>
            <w:tcW w:type="dxa" w:w="240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0.35% equity + $15K/yr retainer</w:t>
            </w:r>
          </w:p>
        </w:tc>
        <w:tc>
          <w:tcPr>
            <w:tcW w:type="dxa" w:w="21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Quarterly meetings + investor introductions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Infrastructure / Mining Operator</w:t>
            </w:r>
          </w:p>
        </w:tc>
        <w:tc>
          <w:tcPr>
            <w:tcW w:type="dxa" w:w="2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Deal assessment, portfolio company operational improvement, sector networks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0.5% equity + $15K/yr retainer</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Quarterly meetings + portfolio support</w:t>
            </w:r>
          </w:p>
        </w:tc>
      </w:tr>
    </w:tbl>
    <w:p>
      <w:pPr>
        <w:spacing w:after="0" w:before="240"/>
      </w:pPr>
    </w:p>
    <w:p>
      <w:pPr>
        <w:pBdr>
          <w:left w:val="single" w:color="C9A84C" w:sz="18" w:space="120"/>
        </w:pBdr>
        <w:spacing w:after="120" w:before="320"/>
      </w:pPr>
      <w:r>
        <w:rPr>
          <w:rFonts w:ascii="Arial" w:cs="Arial" w:eastAsia="Arial" w:hAnsi="Arial"/>
          <w:b/>
          <w:bCs/>
          <w:caps/>
          <w:color w:val="1A2E5A"/>
          <w:sz w:val="24"/>
          <w:szCs w:val="24"/>
        </w:rPr>
        <w:t xml:space="preserve">ADVISORY BOARD COMPENSATION</w:t>
      </w:r>
    </w:p>
    <w:p>
      <w:pPr>
        <w:spacing w:after="160" w:before="100"/>
      </w:pPr>
      <w:r>
        <w:rPr>
          <w:rFonts w:ascii="Arial" w:cs="Arial" w:eastAsia="Arial" w:hAnsi="Arial"/>
          <w:color w:val="555555"/>
          <w:sz w:val="22"/>
          <w:szCs w:val="22"/>
        </w:rPr>
        <w:t xml:space="preserve">We believe advisors should be meaningfully compensated for meaningful contributions. FIIMF advisory compensation is structured to align long-term interests through equity participation, provide near-term recognition through cash retainers, and offer access to deal flow through co-investment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2160"/>
        <w:gridCol w:w="2040"/>
      </w:tblGrid>
      <w:tr>
        <w:tc>
          <w:tcPr>
            <w:tcW w:type="dxa" w:w="312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204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Range</w:t>
            </w:r>
          </w:p>
        </w:tc>
        <w:tc>
          <w:tcPr>
            <w:tcW w:type="dxa" w:w="216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Vesting</w:t>
            </w:r>
          </w:p>
        </w:tc>
        <w:tc>
          <w:tcPr>
            <w:tcW w:type="dxa" w:w="204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Carry Interest (Equity)</w:t>
            </w:r>
          </w:p>
        </w:tc>
        <w:tc>
          <w:tcPr>
            <w:tcW w:type="dxa" w:w="20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0.35% – 0.7%</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4-year, 1-year cliff</w:t>
            </w:r>
          </w:p>
        </w:tc>
        <w:tc>
          <w:tcPr>
            <w:tcW w:type="dxa" w:w="20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Calibrated to expertise level</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Annual Cash Retainer</w:t>
            </w:r>
          </w:p>
        </w:tc>
        <w:tc>
          <w:tcPr>
            <w:tcW w:type="dxa" w:w="20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$15K – $25K/yr</w:t>
            </w:r>
          </w:p>
        </w:tc>
        <w:tc>
          <w:tcPr>
            <w:tcW w:type="dxa" w:w="21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Paid quarterly</w:t>
            </w:r>
          </w:p>
        </w:tc>
        <w:tc>
          <w:tcPr>
            <w:tcW w:type="dxa" w:w="20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Based on involvement level</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Co-Investment Rights</w:t>
            </w:r>
          </w:p>
        </w:tc>
        <w:tc>
          <w:tcPr>
            <w:tcW w:type="dxa" w:w="20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Available on all deals</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20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Highly valued in frontier markets</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Expense Coverage</w:t>
            </w:r>
          </w:p>
        </w:tc>
        <w:tc>
          <w:tcPr>
            <w:tcW w:type="dxa" w:w="20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Full</w:t>
            </w:r>
          </w:p>
        </w:tc>
        <w:tc>
          <w:tcPr>
            <w:tcW w:type="dxa" w:w="216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20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All travel, meals, lodging for advisory activities</w:t>
            </w:r>
          </w:p>
        </w:tc>
      </w:tr>
    </w:tbl>
    <w:p>
      <w:pPr>
        <w:spacing w:after="120" w:before="200"/>
      </w:pPr>
      <w:r>
        <w:rPr>
          <w:rFonts w:ascii="Arial" w:cs="Arial" w:eastAsia="Arial" w:hAnsi="Arial"/>
          <w:b/>
          <w:bCs/>
          <w:color w:val="1A2E5A"/>
          <w:sz w:val="22"/>
          <w:szCs w:val="22"/>
        </w:rPr>
        <w:t xml:space="preserve">Equity Vesting Structure</w:t>
      </w:r>
    </w:p>
    <w:p>
      <w:pPr>
        <w:pStyle w:val="ListParagraph"/>
        <w:numPr>
          <w:ilvl w:val="0"/>
          <w:numId w:val="2"/>
        </w:numPr>
        <w:spacing w:after="80" w:before="60"/>
      </w:pPr>
      <w:r>
        <w:rPr>
          <w:rFonts w:ascii="Arial" w:cs="Arial" w:eastAsia="Arial" w:hAnsi="Arial"/>
          <w:color w:val="555555"/>
          <w:sz w:val="22"/>
          <w:szCs w:val="22"/>
        </w:rPr>
        <w:t xml:space="preserve">4-year vesting schedule with a 1-year cliff (25% vests after year 1, then monthly over years 2–4)</w:t>
      </w:r>
    </w:p>
    <w:p>
      <w:pPr>
        <w:pStyle w:val="ListParagraph"/>
        <w:numPr>
          <w:ilvl w:val="0"/>
          <w:numId w:val="2"/>
        </w:numPr>
        <w:spacing w:after="80" w:before="60"/>
      </w:pPr>
      <w:r>
        <w:rPr>
          <w:rFonts w:ascii="Arial" w:cs="Arial" w:eastAsia="Arial" w:hAnsi="Arial"/>
          <w:color w:val="555555"/>
          <w:sz w:val="22"/>
          <w:szCs w:val="22"/>
        </w:rPr>
        <w:t xml:space="preserve">Advisor receives nothing if the advisory relationship is terminated before 12 months</w:t>
      </w:r>
    </w:p>
    <w:p>
      <w:pPr>
        <w:pStyle w:val="ListParagraph"/>
        <w:numPr>
          <w:ilvl w:val="0"/>
          <w:numId w:val="2"/>
        </w:numPr>
        <w:spacing w:after="80" w:before="60"/>
      </w:pPr>
      <w:r>
        <w:rPr>
          <w:rFonts w:ascii="Arial" w:cs="Arial" w:eastAsia="Arial" w:hAnsi="Arial"/>
          <w:color w:val="555555"/>
          <w:sz w:val="22"/>
          <w:szCs w:val="22"/>
        </w:rPr>
        <w:t xml:space="preserve">Equity percentage is calibrated to the advisor's specific role, depth of expertise, and expected contribution level</w:t>
      </w:r>
    </w:p>
    <w:p>
      <w:pPr>
        <w:pStyle w:val="ListParagraph"/>
        <w:numPr>
          <w:ilvl w:val="0"/>
          <w:numId w:val="2"/>
        </w:numPr>
        <w:spacing w:after="80" w:before="60"/>
      </w:pPr>
      <w:r>
        <w:rPr>
          <w:rFonts w:ascii="Arial" w:cs="Arial" w:eastAsia="Arial" w:hAnsi="Arial"/>
          <w:color w:val="555555"/>
          <w:sz w:val="22"/>
          <w:szCs w:val="22"/>
        </w:rPr>
        <w:t xml:space="preserve">All equity terms formalized in a written Advisory Agreement prior to commencement</w:t>
      </w:r>
    </w:p>
    <w:p>
      <w:pPr>
        <w:spacing w:after="120" w:before="200"/>
      </w:pPr>
      <w:r>
        <w:rPr>
          <w:rFonts w:ascii="Arial" w:cs="Arial" w:eastAsia="Arial" w:hAnsi="Arial"/>
          <w:b/>
          <w:bCs/>
          <w:color w:val="1A2E5A"/>
          <w:sz w:val="22"/>
          <w:szCs w:val="22"/>
        </w:rPr>
        <w:t xml:space="preserve">Co-Investment Rights</w:t>
      </w:r>
    </w:p>
    <w:p>
      <w:pPr>
        <w:spacing w:after="160" w:before="100"/>
      </w:pPr>
      <w:r>
        <w:rPr>
          <w:rFonts w:ascii="Arial" w:cs="Arial" w:eastAsia="Arial" w:hAnsi="Arial"/>
          <w:color w:val="555555"/>
          <w:sz w:val="22"/>
          <w:szCs w:val="22"/>
        </w:rPr>
        <w:t xml:space="preserve">All FIIMF advisors receive co-investment rights on fund investments — the opportunity to invest personal capital alongside the fund at the same terms as institutional LPs. This is a highly valued benefit in frontier markets, where access to quality investment opportunities is scarce and typically restricted to institutional participants.</w:t>
      </w:r>
    </w:p>
    <w:p>
      <w:pPr>
        <w:pBdr>
          <w:left w:val="single" w:color="C9A84C" w:sz="18" w:space="120"/>
        </w:pBdr>
        <w:spacing w:after="120" w:before="320"/>
      </w:pPr>
      <w:r>
        <w:rPr>
          <w:rFonts w:ascii="Arial" w:cs="Arial" w:eastAsia="Arial" w:hAnsi="Arial"/>
          <w:b/>
          <w:bCs/>
          <w:caps/>
          <w:color w:val="1A2E5A"/>
          <w:sz w:val="24"/>
          <w:szCs w:val="24"/>
        </w:rPr>
        <w:t xml:space="preserve">WHAT WE ASK OF ADVISORY BOARD MEMBERS</w:t>
      </w:r>
    </w:p>
    <w:p>
      <w:pPr>
        <w:spacing w:after="160" w:before="100"/>
      </w:pPr>
      <w:r>
        <w:rPr>
          <w:rFonts w:ascii="Arial" w:cs="Arial" w:eastAsia="Arial" w:hAnsi="Arial"/>
          <w:color w:val="555555"/>
          <w:sz w:val="22"/>
          <w:szCs w:val="22"/>
        </w:rPr>
        <w:t xml:space="preserve">We are transparent about expectations upfront. Advisory board membership involves the following commitments:</w:t>
      </w:r>
    </w:p>
    <w:p>
      <w:pPr>
        <w:pStyle w:val="ListParagraph"/>
        <w:numPr>
          <w:ilvl w:val="0"/>
          <w:numId w:val="2"/>
        </w:numPr>
        <w:spacing w:after="80" w:before="60"/>
      </w:pPr>
      <w:r>
        <w:rPr>
          <w:rFonts w:ascii="Arial" w:cs="Arial" w:eastAsia="Arial" w:hAnsi="Arial"/>
          <w:color w:val="555555"/>
          <w:sz w:val="22"/>
          <w:szCs w:val="22"/>
        </w:rPr>
        <w:t xml:space="preserve">Quarterly advisory board meetings (1 meeting = 2–4 hours; in-person minimum once per year, with at least one annual field visit to a target market)</w:t>
      </w:r>
    </w:p>
    <w:p>
      <w:pPr>
        <w:pStyle w:val="ListParagraph"/>
        <w:numPr>
          <w:ilvl w:val="0"/>
          <w:numId w:val="2"/>
        </w:numPr>
        <w:spacing w:after="80" w:before="60"/>
      </w:pPr>
      <w:r>
        <w:rPr>
          <w:rFonts w:ascii="Arial" w:cs="Arial" w:eastAsia="Arial" w:hAnsi="Arial"/>
          <w:color w:val="555555"/>
          <w:sz w:val="22"/>
          <w:szCs w:val="22"/>
        </w:rPr>
        <w:t xml:space="preserve">Availability for ad-hoc input on specific investment decisions, regulatory questions, or LP introductions (typically 2–4 hours per month)</w:t>
      </w:r>
    </w:p>
    <w:p>
      <w:pPr>
        <w:pStyle w:val="ListParagraph"/>
        <w:numPr>
          <w:ilvl w:val="0"/>
          <w:numId w:val="2"/>
        </w:numPr>
        <w:spacing w:after="80" w:before="60"/>
      </w:pPr>
      <w:r>
        <w:rPr>
          <w:rFonts w:ascii="Arial" w:cs="Arial" w:eastAsia="Arial" w:hAnsi="Arial"/>
          <w:color w:val="555555"/>
          <w:sz w:val="22"/>
          <w:szCs w:val="22"/>
        </w:rPr>
        <w:t xml:space="preserve">2–3 targeted introductions per year to potential LPs, co-investors, government contacts, or sector partners as relevant to your profile</w:t>
      </w:r>
    </w:p>
    <w:p>
      <w:pPr>
        <w:pStyle w:val="ListParagraph"/>
        <w:numPr>
          <w:ilvl w:val="0"/>
          <w:numId w:val="2"/>
        </w:numPr>
        <w:spacing w:after="80" w:before="60"/>
      </w:pPr>
      <w:r>
        <w:rPr>
          <w:rFonts w:ascii="Arial" w:cs="Arial" w:eastAsia="Arial" w:hAnsi="Arial"/>
          <w:color w:val="555555"/>
          <w:sz w:val="22"/>
          <w:szCs w:val="22"/>
        </w:rPr>
        <w:t xml:space="preserve">Review and input on quarterly fund reports and strategic documents as requested</w:t>
      </w:r>
    </w:p>
    <w:p>
      <w:pPr>
        <w:pStyle w:val="ListParagraph"/>
        <w:numPr>
          <w:ilvl w:val="0"/>
          <w:numId w:val="2"/>
        </w:numPr>
        <w:spacing w:after="80" w:before="60"/>
      </w:pPr>
      <w:r>
        <w:rPr>
          <w:rFonts w:ascii="Arial" w:cs="Arial" w:eastAsia="Arial" w:hAnsi="Arial"/>
          <w:color w:val="555555"/>
          <w:sz w:val="22"/>
          <w:szCs w:val="22"/>
        </w:rPr>
        <w:t xml:space="preserve">Disclosure of any conflicts of interest and adherence to the fund's conflict management protocol</w:t>
      </w:r>
    </w:p>
    <w:p>
      <w:pPr>
        <w:pStyle w:val="ListParagraph"/>
        <w:numPr>
          <w:ilvl w:val="0"/>
          <w:numId w:val="2"/>
        </w:numPr>
        <w:spacing w:after="80" w:before="60"/>
      </w:pPr>
      <w:r>
        <w:rPr>
          <w:rFonts w:ascii="Arial" w:cs="Arial" w:eastAsia="Arial" w:hAnsi="Arial"/>
          <w:color w:val="555555"/>
          <w:sz w:val="22"/>
          <w:szCs w:val="22"/>
        </w:rPr>
        <w:t xml:space="preserve">Maintenance of confidentiality regarding fund strategy, portfolio, and investor details</w:t>
      </w:r>
    </w:p>
    <w:p>
      <w:pPr>
        <w:spacing w:after="160" w:before="100"/>
      </w:pPr>
      <w:r>
        <w:rPr>
          <w:rFonts w:ascii="Arial" w:cs="Arial" w:eastAsia="Arial" w:hAnsi="Arial"/>
          <w:color w:val="555555"/>
          <w:sz w:val="22"/>
          <w:szCs w:val="22"/>
        </w:rPr>
        <w:t xml:space="preserve">We respect our advisors' time. We will always provide clear agendas 48 hours before meetings, concise briefing materials, and defined questions we need input on. We will not ask for open-ended time commitments or vague 'strategic guidance.' Every ask will be specific.</w:t>
      </w:r>
    </w:p>
    <w:p>
      <w:pPr>
        <w:pBdr>
          <w:left w:val="single" w:color="C9A84C" w:sz="18" w:space="120"/>
        </w:pBdr>
        <w:spacing w:after="120" w:before="320"/>
      </w:pPr>
      <w:r>
        <w:rPr>
          <w:rFonts w:ascii="Arial" w:cs="Arial" w:eastAsia="Arial" w:hAnsi="Arial"/>
          <w:b/>
          <w:bCs/>
          <w:caps/>
          <w:color w:val="1A2E5A"/>
          <w:sz w:val="24"/>
          <w:szCs w:val="24"/>
        </w:rPr>
        <w:t xml:space="preserve">OUR ASK</w:t>
      </w:r>
    </w:p>
    <w:p>
      <w:pPr>
        <w:spacing w:after="160" w:before="100"/>
      </w:pPr>
      <w:r>
        <w:rPr>
          <w:rFonts w:ascii="Arial" w:cs="Arial" w:eastAsia="Arial" w:hAnsi="Arial"/>
          <w:color w:val="555555"/>
          <w:sz w:val="22"/>
          <w:szCs w:val="22"/>
        </w:rPr>
        <w:t xml:space="preserve">We would like to invite you to an exploratory conversation about whether joining FIIMF's Advisory Board is the right opportunity for you. This is not a commitment — it is a chance to learn more about the fund, ask questions, and assess fit.</w:t>
      </w:r>
    </w:p>
    <w:p>
      <w:pPr>
        <w:spacing w:after="160" w:before="100"/>
      </w:pPr>
      <w:r>
        <w:rPr>
          <w:rFonts w:ascii="Arial" w:cs="Arial" w:eastAsia="Arial" w:hAnsi="Arial"/>
          <w:color w:val="555555"/>
          <w:sz w:val="22"/>
          <w:szCs w:val="22"/>
        </w:rPr>
        <w:t xml:space="preserve">In that conversation, we would like to understand:</w:t>
      </w:r>
    </w:p>
    <w:p>
      <w:pPr>
        <w:pStyle w:val="ListParagraph"/>
        <w:numPr>
          <w:ilvl w:val="0"/>
          <w:numId w:val="2"/>
        </w:numPr>
        <w:spacing w:after="80" w:before="60"/>
      </w:pPr>
      <w:r>
        <w:rPr>
          <w:rFonts w:ascii="Arial" w:cs="Arial" w:eastAsia="Arial" w:hAnsi="Arial"/>
          <w:color w:val="555555"/>
          <w:sz w:val="22"/>
          <w:szCs w:val="22"/>
        </w:rPr>
        <w:t xml:space="preserve">Whether the fund's thesis and geographic focus align with your interests and expertise</w:t>
      </w:r>
    </w:p>
    <w:p>
      <w:pPr>
        <w:pStyle w:val="ListParagraph"/>
        <w:numPr>
          <w:ilvl w:val="0"/>
          <w:numId w:val="2"/>
        </w:numPr>
        <w:spacing w:after="80" w:before="60"/>
      </w:pPr>
      <w:r>
        <w:rPr>
          <w:rFonts w:ascii="Arial" w:cs="Arial" w:eastAsia="Arial" w:hAnsi="Arial"/>
          <w:color w:val="555555"/>
          <w:sz w:val="22"/>
          <w:szCs w:val="22"/>
        </w:rPr>
        <w:t xml:space="preserve">Where you believe your experience would create the most value for the fund</w:t>
      </w:r>
    </w:p>
    <w:p>
      <w:pPr>
        <w:pStyle w:val="ListParagraph"/>
        <w:numPr>
          <w:ilvl w:val="0"/>
          <w:numId w:val="2"/>
        </w:numPr>
        <w:spacing w:after="80" w:before="60"/>
      </w:pPr>
      <w:r>
        <w:rPr>
          <w:rFonts w:ascii="Arial" w:cs="Arial" w:eastAsia="Arial" w:hAnsi="Arial"/>
          <w:color w:val="555555"/>
          <w:sz w:val="22"/>
          <w:szCs w:val="22"/>
        </w:rPr>
        <w:t xml:space="preserve">Whether the compensation structure and time commitment work for you</w:t>
      </w:r>
    </w:p>
    <w:p>
      <w:pPr>
        <w:pStyle w:val="ListParagraph"/>
        <w:numPr>
          <w:ilvl w:val="0"/>
          <w:numId w:val="2"/>
        </w:numPr>
        <w:spacing w:after="80" w:before="60"/>
      </w:pPr>
      <w:r>
        <w:rPr>
          <w:rFonts w:ascii="Arial" w:cs="Arial" w:eastAsia="Arial" w:hAnsi="Arial"/>
          <w:color w:val="555555"/>
          <w:sz w:val="22"/>
          <w:szCs w:val="22"/>
        </w:rPr>
        <w:t xml:space="preserve">Any questions you have about the fund, the GP team, or the advisory board structure</w:t>
      </w:r>
    </w:p>
    <w:p>
      <w:pPr>
        <w:spacing w:after="160" w:before="100"/>
      </w:pPr>
      <w:r>
        <w:rPr>
          <w:rFonts w:ascii="Arial" w:cs="Arial" w:eastAsia="Arial" w:hAnsi="Arial"/>
          <w:color w:val="555555"/>
          <w:sz w:val="22"/>
          <w:szCs w:val="22"/>
        </w:rPr>
        <w:t xml:space="preserve">We are seeking to finalize the advisory board by mid-2026 and begin quarterly advisory meetings in Q3 2026. We are moving deliberately — we want the right advisors, not just available ones.</w:t>
      </w:r>
    </w:p>
    <w:p>
      <w:pPr>
        <w:pBdr>
          <w:bottom w:val="single" w:color="C9A84C" w:sz="8" w:space="1"/>
        </w:pBdr>
        <w:spacing w:after="200"/>
      </w:pPr>
    </w:p>
    <w:p>
      <w:pPr>
        <w:spacing w:after="160" w:before="240"/>
        <w:jc w:val="center"/>
      </w:pPr>
      <w:r>
        <w:rPr>
          <w:rFonts w:ascii="Arial" w:cs="Arial" w:eastAsia="Arial" w:hAnsi="Arial"/>
          <w:color w:val="555555"/>
          <w:sz w:val="22"/>
          <w:szCs w:val="22"/>
        </w:rPr>
        <w:t xml:space="preserve">To schedule a conversation, please contact:</w:t>
      </w:r>
    </w:p>
    <w:p>
      <w:pPr>
        <w:spacing w:after="80"/>
        <w:jc w:val="center"/>
      </w:pPr>
      <w:r>
        <w:rPr>
          <w:rFonts w:ascii="Arial" w:cs="Arial" w:eastAsia="Arial" w:hAnsi="Arial"/>
          <w:b/>
          <w:bCs/>
          <w:color w:val="1A2E5A"/>
          <w:sz w:val="26"/>
          <w:szCs w:val="26"/>
        </w:rPr>
        <w:t xml:space="preserve">Andre (Hassan) Wilson</w:t>
      </w:r>
    </w:p>
    <w:p>
      <w:pPr>
        <w:spacing w:after="80"/>
        <w:jc w:val="center"/>
      </w:pPr>
      <w:r>
        <w:rPr>
          <w:rFonts w:ascii="Arial" w:cs="Arial" w:eastAsia="Arial" w:hAnsi="Arial"/>
          <w:color w:val="555555"/>
          <w:sz w:val="22"/>
          <w:szCs w:val="22"/>
        </w:rPr>
        <w:t xml:space="preserve">Regional CIO — East Africa  |  MSIFS / FIIMF</w:t>
      </w:r>
    </w:p>
    <w:p>
      <w:pPr>
        <w:spacing w:after="80"/>
        <w:jc w:val="center"/>
      </w:pPr>
      <w:r>
        <w:rPr>
          <w:rFonts w:ascii="Arial" w:cs="Arial" w:eastAsia="Arial" w:hAnsi="Arial"/>
          <w:color w:val="555555"/>
          <w:sz w:val="22"/>
          <w:szCs w:val="22"/>
        </w:rPr>
        <w:t xml:space="preserve">hassan.qaseem@gc-usa.com</w:t>
      </w:r>
    </w:p>
    <w:p>
      <w:r>
        <w:br w:type="page"/>
      </w:r>
    </w:p>
    <w:p>
      <w:pPr>
        <w:pBdr>
          <w:left w:val="single" w:color="C9A84C" w:sz="18" w:space="120"/>
        </w:pBdr>
        <w:spacing w:after="120" w:before="320"/>
      </w:pPr>
      <w:r>
        <w:rPr>
          <w:rFonts w:ascii="Arial" w:cs="Arial" w:eastAsia="Arial" w:hAnsi="Arial"/>
          <w:b/>
          <w:bCs/>
          <w:caps/>
          <w:color w:val="1A2E5A"/>
          <w:sz w:val="24"/>
          <w:szCs w:val="24"/>
        </w:rPr>
        <w:t xml:space="preserve">APPENDIX — FUND SUMMARY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Term</w:t>
            </w:r>
          </w:p>
        </w:tc>
        <w:tc>
          <w:tcPr>
            <w:tcW w:type="dxa" w:w="6240"/>
            <w:tcBorders>
              <w:top w:val="single" w:color="D0D9E8" w:sz="1"/>
              <w:left w:val="single" w:color="D0D9E8" w:sz="1"/>
              <w:bottom w:val="single" w:color="D0D9E8" w:sz="1"/>
              <w:right w:val="single" w:color="D0D9E8" w:sz="1"/>
            </w:tcBorders>
            <w:shd w:fill="1A2E5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Fund Name</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Frontier Impact Infrastructure &amp; Minerals Fund (FIIMF)</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Manager</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Multinational Strategic Investment Funds (MSIFS)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Target Fund Size</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$200M USD</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Fund Structure</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Closed-end limited partnership, 10-year term</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Target Geographies</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East Africa (Kenya, Tanzania, Mozambique) + Central Asia (Kazakhstan, Kyrgyzstan)</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Target Sectors</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Infrastructure, logistics, energy, critical minerals (lithium, cobalt, copper, gold)</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Ticket Size</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$5M – $15M per investment</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Carried Interest</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20% carry</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Hurdle Rate</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 preferred return</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Management Fee</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[To be disclosed in PPM]</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Target LP Close</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Q2–Q3 2026</w:t>
            </w:r>
          </w:p>
        </w:tc>
      </w:tr>
      <w:tr>
        <w:tc>
          <w:tcPr>
            <w:tcW w:type="dxa" w:w="312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LP Conversations</w:t>
            </w:r>
          </w:p>
        </w:tc>
        <w:tc>
          <w:tcPr>
            <w:tcW w:type="dxa" w:w="6240"/>
            <w:tcBorders>
              <w:top w:val="single" w:color="D0D9E8" w:sz="1"/>
              <w:left w:val="single" w:color="D0D9E8" w:sz="1"/>
              <w:bottom w:val="single" w:color="D0D9E8" w:sz="1"/>
              <w:right w:val="single" w:color="D0D9E8" w:sz="1"/>
            </w:tcBorders>
            <w:shd w:fill="EDF2F8" w:val="clear"/>
            <w:tcMar>
              <w:top w:type="dxa" w:w="80"/>
              <w:left w:type="dxa" w:w="120"/>
              <w:bottom w:type="dxa" w:w="80"/>
              <w:right w:type="dxa" w:w="120"/>
            </w:tcMar>
          </w:tcPr>
          <w:p>
            <w:r>
              <w:rPr>
                <w:rFonts w:ascii="Arial" w:cs="Arial" w:eastAsia="Arial" w:hAnsi="Arial"/>
                <w:color w:val="555555"/>
                <w:sz w:val="20"/>
                <w:szCs w:val="20"/>
              </w:rPr>
              <w:t xml:space="preserve">Active — April 2026 onwards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Fund Documents</w:t>
            </w:r>
          </w:p>
        </w:tc>
        <w:tc>
          <w:tcPr>
            <w:tcW w:type="dxa" w:w="624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Prospectus, GP Agreement, and Financial Model available upon NDA execution</w:t>
            </w:r>
          </w:p>
        </w:tc>
      </w:tr>
    </w:tbl>
    <w:p>
      <w:pPr>
        <w:spacing w:after="160" w:before="400"/>
      </w:pPr>
      <w:r>
        <w:rPr>
          <w:rFonts w:ascii="Arial" w:cs="Arial" w:eastAsia="Arial" w:hAnsi="Arial"/>
          <w:b/>
          <w:bCs/>
          <w:color w:val="1A2E5A"/>
          <w:sz w:val="20"/>
          <w:szCs w:val="20"/>
        </w:rPr>
        <w:t xml:space="preserve">Disclaimer</w:t>
      </w:r>
    </w:p>
    <w:p>
      <w:pPr>
        <w:spacing w:after="120"/>
      </w:pPr>
      <w:r>
        <w:rPr>
          <w:rFonts w:ascii="Arial" w:cs="Arial" w:eastAsia="Arial" w:hAnsi="Arial"/>
          <w:color w:val="888888"/>
          <w:sz w:val="18"/>
          <w:szCs w:val="18"/>
        </w:rPr>
        <w:t xml:space="preserve">This document is confidential and is intended solely for the individual to whom it has been delivered. It does not constitute an offer to sell or a solicitation of an offer to buy any securities. Any investment in FIIMF involves significant risks, including potential loss of principal. This document contains forward-looking statements and projections that are subject to risks and uncertainties. Prospective investors and advisors should conduct their own due diligence before making any commitment.</w:t>
      </w:r>
    </w:p>
    <w:p>
      <w:pPr>
        <w:spacing w:after="120"/>
      </w:pPr>
      <w:r>
        <w:rPr>
          <w:rFonts w:ascii="Arial" w:cs="Arial" w:eastAsia="Arial" w:hAnsi="Arial"/>
          <w:i/>
          <w:iCs/>
          <w:color w:val="888888"/>
          <w:sz w:val="18"/>
          <w:szCs w:val="18"/>
        </w:rPr>
        <w:t xml:space="preserve">MSIFS — Multinational Strategic Investment Funds  |  April 2026  |  Confidential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360"/>
      </w:tabs>
      <w:spacing w:before="0"/>
    </w:pPr>
    <w:r>
      <w:rPr>
        <w:rFonts w:ascii="Arial" w:cs="Arial" w:eastAsia="Arial" w:hAnsi="Arial"/>
        <w:color w:val="888888"/>
        <w:sz w:val="18"/>
        <w:szCs w:val="18"/>
      </w:rPr>
      <w:t xml:space="preserve">Confidential — Not for Distribution</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pPr>
    <w:r>
      <w:rPr>
        <w:rFonts w:ascii="Arial" w:cs="Arial" w:eastAsia="Arial" w:hAnsi="Arial"/>
        <w:color w:val="888888"/>
        <w:sz w:val="18"/>
        <w:szCs w:val="18"/>
      </w:rPr>
      <w:t xml:space="preserve">MSIFS  |  Frontier Impact Infrastructure &amp; Minerals Fund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2E5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2E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2026-04-05T14:36:28.243Z</dcterms:created>
  <dcterms:modified xsi:type="dcterms:W3CDTF">2026-04-05T14:36:28.290Z</dcterms:modified>
</cp:coreProperties>
</file>

<file path=docProps/custom.xml><?xml version="1.0" encoding="utf-8"?>
<Properties xmlns="http://schemas.openxmlformats.org/officeDocument/2006/custom-properties" xmlns:vt="http://schemas.openxmlformats.org/officeDocument/2006/docPropsVTypes"/>
</file>