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B2A4A"/>
          <w:spacing w:val="80"/>
          <w:sz w:val="52"/>
          <w:szCs w:val="52"/>
        </w:rPr>
        <w:t xml:space="preserve">ANDRE RICHARD WILSON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B52B27"/>
          <w:spacing w:val="60"/>
          <w:sz w:val="24"/>
          <w:szCs w:val="24"/>
        </w:rPr>
        <w:t xml:space="preserve">RevOps &amp; AI Consultant</w:t>
      </w:r>
    </w:p>
    <w:p>
      <w:pPr>
        <w:pBdr>
          <w:bottom w:val="single" w:color="B52B27" w:sz="8"/>
        </w:pBdr>
        <w:spacing w:after="40" w:before="60"/>
        <w:jc w:val="center"/>
      </w:pPr>
    </w:p>
    <w:p>
      <w:pPr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Atlanta, GA  ·  Astana, KZ  ·  Nairobi, KE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0D0D0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678-888-4569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0D0D0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hassanrqaseem@gmail.com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0D0D0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linkedin.com/in/andre-hassan-wilson-221b461a2</w:t>
      </w:r>
    </w:p>
    <w:p>
      <w:pPr>
        <w:pBdr>
          <w:bottom w:val="single" w:color="D0D0D0" w:sz="3"/>
        </w:pBdr>
        <w:spacing w:after="80" w:before="180"/>
      </w:pPr>
      <w:r>
        <w:rPr>
          <w:rFonts w:ascii="Calibri" w:cs="Calibri" w:eastAsia="Calibri" w:hAnsi="Calibri"/>
          <w:b/>
          <w:bCs/>
          <w:color w:val="1B2A4A"/>
          <w:spacing w:val="120"/>
          <w:sz w:val="20"/>
          <w:szCs w:val="20"/>
        </w:rPr>
        <w:t xml:space="preserve">EXECUTIVE SUMMARY</w:t>
      </w:r>
    </w:p>
    <w:p>
      <w:pPr>
        <w:spacing w:after="0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Revenue Operations and AI consultant operating across three continents — Atlanta, Astana, and Nairobi. Builds repeatable GTM systems from scratch in new markets, architects enterprise-grade AI workflows, and structures $10M–$50M deals with measurable outcomes: 47% inbound closure rates, 15% outbound response rates, and 50% booking rates on cold outreach. Combines a foundation in Industrial &amp; Organizational Psychology with 10+ years of field-tested revenue operations methodology, bringing behavioral science into every system, stakeholder engagement, and sales architecture decision.</w:t>
      </w:r>
    </w:p>
    <w:p>
      <w:pPr>
        <w:pBdr>
          <w:bottom w:val="single" w:color="D0D0D0" w:sz="3"/>
        </w:pBdr>
        <w:spacing w:after="80" w:before="180"/>
      </w:pPr>
      <w:r>
        <w:rPr>
          <w:rFonts w:ascii="Calibri" w:cs="Calibri" w:eastAsia="Calibri" w:hAnsi="Calibri"/>
          <w:b/>
          <w:bCs/>
          <w:color w:val="1B2A4A"/>
          <w:spacing w:val="120"/>
          <w:sz w:val="20"/>
          <w:szCs w:val="20"/>
        </w:rPr>
        <w:t xml:space="preserve">CORE COMPETENCIES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B52B27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Revenue Operations &amp; GTM Strategy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B52B27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Sales Process Design &amp; Optimization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B52B27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Deal Architecture &amp; Negotiation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B52B27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CRM Architecture &amp; Pipeline Management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B52B27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Funnel Analytics &amp; Revenue Intelligence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B52B27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AI Implementation &amp; Agent Design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B52B27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Automation Strategy &amp; Workflow Design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B52B27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Buyer Psychology &amp; Stakeholder Profiling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B52B27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Cross-Cultural Leadership &amp; Market Entry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B52B27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Change Management &amp; Adoption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B52B27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Systems Integration &amp; Tech Stack Architecture</w:t>
            </w:r>
          </w:p>
          <w:p>
            <w:pPr>
              <w:spacing w:after="52" w:before="0"/>
            </w:pPr>
            <w:r>
              <w:rPr>
                <w:rFonts w:ascii="Calibri" w:cs="Calibri" w:eastAsia="Calibri" w:hAnsi="Calibri"/>
                <w:color w:val="B52B27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Executive Reporting &amp; Business Intelligence</w:t>
            </w:r>
          </w:p>
        </w:tc>
      </w:tr>
    </w:tbl>
    <w:p>
      <w:pPr>
        <w:pBdr>
          <w:bottom w:val="single" w:color="D0D0D0" w:sz="3"/>
        </w:pBdr>
        <w:spacing w:after="80" w:before="180"/>
      </w:pPr>
      <w:r>
        <w:rPr>
          <w:rFonts w:ascii="Calibri" w:cs="Calibri" w:eastAsia="Calibri" w:hAnsi="Calibri"/>
          <w:b/>
          <w:bCs/>
          <w:color w:val="1B2A4A"/>
          <w:spacing w:val="120"/>
          <w:sz w:val="20"/>
          <w:szCs w:val="20"/>
        </w:rPr>
        <w:t xml:space="preserve">TOOLS &amp; PLATFORMS</w:t>
      </w:r>
    </w:p>
    <w:p>
      <w:pPr>
        <w:spacing w:after="0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Salesforce   ·   HubSpot   ·   Zoho   ·   Tableau / Power BI   ·   Notion   ·   Odoo   ·   N8N   ·   Claude AI / AI Memory Brain</w:t>
      </w:r>
    </w:p>
    <w:p>
      <w:pPr>
        <w:pBdr>
          <w:bottom w:val="single" w:color="D0D0D0" w:sz="3"/>
        </w:pBdr>
        <w:spacing w:after="80" w:before="180"/>
      </w:pPr>
      <w:r>
        <w:rPr>
          <w:rFonts w:ascii="Calibri" w:cs="Calibri" w:eastAsia="Calibri" w:hAnsi="Calibri"/>
          <w:b/>
          <w:bCs/>
          <w:color w:val="1B2A4A"/>
          <w:spacing w:val="120"/>
          <w:sz w:val="20"/>
          <w:szCs w:val="20"/>
        </w:rPr>
        <w:t xml:space="preserve">PROFESSIONAL EXPERIENCE</w:t>
      </w:r>
    </w:p>
    <w:p>
      <w:pPr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Provecta Group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2024 – Present</w:t>
      </w:r>
    </w:p>
    <w:p>
      <w:pPr>
        <w:spacing w:after="52" w:before="0"/>
      </w:pPr>
      <w:r>
        <w:rPr>
          <w:rFonts w:ascii="Calibri" w:cs="Calibri" w:eastAsia="Calibri" w:hAnsi="Calibri"/>
          <w:i/>
          <w:iCs/>
          <w:color w:val="B52B27"/>
          <w:sz w:val="19"/>
          <w:szCs w:val="19"/>
        </w:rPr>
        <w:t xml:space="preserve">RevOps &amp; AI Consultant</w:t>
      </w:r>
      <w:r>
        <w:rPr>
          <w:rFonts w:ascii="Calibri" w:cs="Calibri" w:eastAsia="Calibri" w:hAnsi="Calibri"/>
          <w:color w:val="666666"/>
          <w:sz w:val="17"/>
          <w:szCs w:val="17"/>
        </w:rPr>
        <w:t xml:space="preserve">   ·  Atlanta, USA  —  Astana, KZ  —  Nairobi, KE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Architected AI Memory Brain — a git-backed enterprise intelligence layer bridging SOPs, automations, single sources of truth, and institutional knowledge; lean enough for SMBs, robust enough for enterprise deployment.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Designed and deployed 51 domain expert AI agents across 20 operational departments, embedding RevOps methodology, buyer psychology, and project management frameworks to create a compounding AI operating system.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Deliver RevOps consulting engagements spanning GTM system architecture, AI workflow integration, and revenue stack optimization for clients across the US, Central Asia, and East Africa.</w:t>
      </w:r>
    </w:p>
    <w:p>
      <w:pPr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Qosil Limited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Sep 2018 – Present</w:t>
      </w:r>
    </w:p>
    <w:p>
      <w:pPr>
        <w:spacing w:after="52" w:before="0"/>
      </w:pPr>
      <w:r>
        <w:rPr>
          <w:rFonts w:ascii="Calibri" w:cs="Calibri" w:eastAsia="Calibri" w:hAnsi="Calibri"/>
          <w:i/>
          <w:iCs/>
          <w:color w:val="B52B27"/>
          <w:sz w:val="19"/>
          <w:szCs w:val="19"/>
        </w:rPr>
        <w:t xml:space="preserve">Marketing &amp; Sales Director</w:t>
      </w:r>
      <w:r>
        <w:rPr>
          <w:rFonts w:ascii="Calibri" w:cs="Calibri" w:eastAsia="Calibri" w:hAnsi="Calibri"/>
          <w:color w:val="666666"/>
          <w:sz w:val="17"/>
          <w:szCs w:val="17"/>
        </w:rPr>
        <w:t xml:space="preserve">   ·  Astana, Kazakhstan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Developed outbound prospecting system producing a 15% response rate and 50% booking rate — benchmarks adopted as the operating standard for the Central Asian market.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Engineered an agentic AI workflow automating outbound prospecting and scheduling for a 20-person sales team, delivering ~100% productivity uplift on prospecting activities.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Built and scaled sales and business development organizations to 20 people each; implemented a repeatable sales enablement model that produced a 47% inbound closure rate.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Pioneered a market research and competitive intelligence standard for the Central Asian region, adopted organization-wide as the baseline for market entry and GTM planning.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Managed deal architecture across $10M–$50M engagements in bilateral infrastructure and commercial sectors; cultivated C-suite relationships from zero in markets with no prior connections or language fluency.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Developed and delivered an LLM and AI training curriculum for non-technical team members, accelerating enterprise AI adoption and reducing onboarding time for AI-assisted workflows.</w:t>
      </w:r>
    </w:p>
    <w:p>
      <w:pPr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YATR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Jun 2024 – Sep 2025</w:t>
      </w:r>
    </w:p>
    <w:p>
      <w:pPr>
        <w:spacing w:after="52" w:before="0"/>
      </w:pPr>
      <w:r>
        <w:rPr>
          <w:rFonts w:ascii="Calibri" w:cs="Calibri" w:eastAsia="Calibri" w:hAnsi="Calibri"/>
          <w:i/>
          <w:iCs/>
          <w:color w:val="B52B27"/>
          <w:sz w:val="19"/>
          <w:szCs w:val="19"/>
        </w:rPr>
        <w:t xml:space="preserve">Business Development Director (Contract)</w:t>
      </w:r>
      <w:r>
        <w:rPr>
          <w:rFonts w:ascii="Calibri" w:cs="Calibri" w:eastAsia="Calibri" w:hAnsi="Calibri"/>
          <w:color w:val="666666"/>
          <w:sz w:val="17"/>
          <w:szCs w:val="17"/>
        </w:rPr>
        <w:t xml:space="preserve">   ·  Miami, Florida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Defined market expansion strategy and led cross-functional pursuit teams, instituting data-driven pipeline reviews that improved forecast accuracy and reduced deal cycle time.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Structured and negotiated high-value commercial agreements by aligning legal, finance, and delivery stakeholders across complex, multi-party engagements.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Operationalized repeatable GTM playbooks for a business development organization spanning sales, marketing, and partner management.</w:t>
      </w:r>
    </w:p>
    <w:p>
      <w:pPr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Freedom Builders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May 2018 – Present</w:t>
      </w:r>
    </w:p>
    <w:p>
      <w:pPr>
        <w:spacing w:after="52" w:before="0"/>
      </w:pPr>
      <w:r>
        <w:rPr>
          <w:rFonts w:ascii="Calibri" w:cs="Calibri" w:eastAsia="Calibri" w:hAnsi="Calibri"/>
          <w:i/>
          <w:iCs/>
          <w:color w:val="B52B27"/>
          <w:sz w:val="19"/>
          <w:szCs w:val="19"/>
        </w:rPr>
        <w:t xml:space="preserve">Project Manager</w:t>
      </w:r>
      <w:r>
        <w:rPr>
          <w:rFonts w:ascii="Calibri" w:cs="Calibri" w:eastAsia="Calibri" w:hAnsi="Calibri"/>
          <w:color w:val="666666"/>
          <w:sz w:val="17"/>
          <w:szCs w:val="17"/>
        </w:rPr>
        <w:t xml:space="preserve">   ·  Sparta, Georgia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Oversaw budget administration, contract compliance, and expenditure monitoring across concurrent projects — maintained 100% adherence to financial targets and subcontract terms.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Managed full permit acquisition and regulatory clearance pipelines across all active sites, achieving zero compliance holds or regulatory delays during tenure.</w:t>
      </w:r>
    </w:p>
    <w:p>
      <w:pPr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City of Atlanta — Dept. of Watershed Management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Mar 2017 – Jul 2019</w:t>
      </w:r>
    </w:p>
    <w:p>
      <w:pPr>
        <w:spacing w:after="52" w:before="0"/>
      </w:pPr>
      <w:r>
        <w:rPr>
          <w:rFonts w:ascii="Calibri" w:cs="Calibri" w:eastAsia="Calibri" w:hAnsi="Calibri"/>
          <w:i/>
          <w:iCs/>
          <w:color w:val="B52B27"/>
          <w:sz w:val="19"/>
          <w:szCs w:val="19"/>
        </w:rPr>
        <w:t xml:space="preserve">Environmental Compliance Officer</w:t>
      </w:r>
      <w:r>
        <w:rPr>
          <w:rFonts w:ascii="Calibri" w:cs="Calibri" w:eastAsia="Calibri" w:hAnsi="Calibri"/>
          <w:color w:val="666666"/>
          <w:sz w:val="17"/>
          <w:szCs w:val="17"/>
        </w:rPr>
        <w:t xml:space="preserve">   ·  Atlanta, Georgia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Managed compliance oversight across 100+ concurrent active construction sites, developing a systematic methodology for identifying institutional decision-makers and aligning project outcomes to their operational incentives — a framework that became the foundation for all subsequent government relations and enterprise stakeholder work.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Represented the City in court proceedings defending against contractor disputes over citations; zero successful appeals against the department during tenure.</w:t>
      </w:r>
    </w:p>
    <w:p>
      <w:pPr>
        <w:pBdr>
          <w:bottom w:val="single" w:color="D0D0D0" w:sz="3"/>
        </w:pBdr>
        <w:spacing w:after="80" w:before="180"/>
      </w:pPr>
      <w:r>
        <w:rPr>
          <w:rFonts w:ascii="Calibri" w:cs="Calibri" w:eastAsia="Calibri" w:hAnsi="Calibri"/>
          <w:b/>
          <w:bCs/>
          <w:color w:val="1B2A4A"/>
          <w:spacing w:val="120"/>
          <w:sz w:val="20"/>
          <w:szCs w:val="20"/>
        </w:rPr>
        <w:t xml:space="preserve">EDUCATION</w:t>
      </w:r>
    </w:p>
    <w:p>
      <w:pPr>
        <w:tabs>
          <w:tab w:val="right" w:pos="10080"/>
        </w:tabs>
        <w:spacing w:after="0" w:before="1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Grambling State University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Grambling, Louisiana</w:t>
      </w:r>
    </w:p>
    <w:p>
      <w:pPr>
        <w:spacing w:after="36" w:before="0"/>
      </w:pPr>
      <w:r>
        <w:rPr>
          <w:rFonts w:ascii="Calibri" w:cs="Calibri" w:eastAsia="Calibri" w:hAnsi="Calibri"/>
          <w:i/>
          <w:iCs/>
          <w:color w:val="B52B27"/>
          <w:sz w:val="19"/>
          <w:szCs w:val="19"/>
        </w:rPr>
        <w:t xml:space="preserve">Bachelor of Science, Industrial &amp; Organizational Psychology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Applied to stakeholder profiling, behavioral sales system design, and change management across 10+ years of cross-cultural revenue operations — providing a scientific foundation for buyer psychology frameworks and organizational adoption strategies.</w:t>
      </w:r>
    </w:p>
    <w:p>
      <w:pPr>
        <w:pBdr>
          <w:bottom w:val="single" w:color="D0D0D0" w:sz="3"/>
        </w:pBdr>
        <w:spacing w:after="80" w:before="180"/>
      </w:pPr>
      <w:r>
        <w:rPr>
          <w:rFonts w:ascii="Calibri" w:cs="Calibri" w:eastAsia="Calibri" w:hAnsi="Calibri"/>
          <w:b/>
          <w:bCs/>
          <w:color w:val="1B2A4A"/>
          <w:spacing w:val="120"/>
          <w:sz w:val="20"/>
          <w:szCs w:val="20"/>
        </w:rPr>
        <w:t xml:space="preserve">CERTIFICATIONS &amp; PROFESSIONAL DEVELOPMENT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3D3D3D"/>
          <w:sz w:val="19"/>
          <w:szCs w:val="19"/>
        </w:rPr>
        <w:t xml:space="preserve">Recommended for Pursuit: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Salesforce Administrator Certification — most cited credential in senior RevOps postings (60%+)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HubSpot Revenue Operations Certification — core RevOps methodology and pipeline architecture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3D3D3D"/>
          <w:sz w:val="19"/>
          <w:szCs w:val="19"/>
        </w:rPr>
        <w:t xml:space="preserve">RevOps Co-op: Revenue Operations Certified: Core — data-driven strategy and cross-functional alignment frameworks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rFonts w:ascii="Calibri" w:cs="Calibri" w:eastAsia="Calibri" w:hAnsi="Calibri"/>
        <w:color w:val="666666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2026-04-06T20:40:01.134Z</dcterms:created>
  <dcterms:modified xsi:type="dcterms:W3CDTF">2026-04-06T20:40:01.135Z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