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2"/>
          <w:szCs w:val="22"/>
        </w:rPr>
        <w:t xml:space="preserve"/>
      </w:r>
    </w:p>
    <w:p>
      <w:pPr>
        <w:spacing w:after="120"/>
        <w:jc w:val="center"/>
      </w:pPr>
      <w:r>
        <w:rPr>
          <w:rFonts w:ascii="Arial" w:cs="Arial" w:eastAsia="Arial" w:hAnsi="Arial"/>
          <w:b/>
          <w:bCs/>
          <w:color w:val="1F3864"/>
          <w:sz w:val="40"/>
          <w:szCs w:val="40"/>
        </w:rPr>
        <w:t xml:space="preserve">PROVECTA GROUP LIMITED</w:t>
      </w:r>
    </w:p>
    <w:p>
      <w:pPr>
        <w:spacing w:after="400"/>
        <w:jc w:val="center"/>
      </w:pPr>
      <w:r>
        <w:rPr>
          <w:rFonts w:ascii="Arial" w:cs="Arial" w:eastAsia="Arial" w:hAnsi="Arial"/>
          <w:i/>
          <w:iCs/>
          <w:color w:val="C8A84B"/>
          <w:sz w:val="26"/>
          <w:szCs w:val="26"/>
        </w:rPr>
        <w:t xml:space="preserve">Consulting</w:t>
      </w:r>
    </w:p>
    <w:p>
      <w:pPr>
        <w:spacing w:after="160"/>
        <w:jc w:val="center"/>
      </w:pPr>
      <w:r>
        <w:rPr>
          <w:rFonts w:ascii="Arial" w:cs="Arial" w:eastAsia="Arial" w:hAnsi="Arial"/>
          <w:b/>
          <w:bCs/>
          <w:color w:val="1F3864"/>
          <w:sz w:val="36"/>
          <w:szCs w:val="36"/>
        </w:rPr>
        <w:t xml:space="preserve">PROJECT MANAGEMENT CONTRACT</w:t>
      </w:r>
    </w:p>
    <w:p>
      <w:pPr>
        <w:spacing w:after="400"/>
        <w:jc w:val="center"/>
      </w:pPr>
      <w:r>
        <w:rPr>
          <w:rFonts w:ascii="Arial" w:cs="Arial" w:eastAsia="Arial" w:hAnsi="Arial"/>
          <w:sz w:val="22"/>
          <w:szCs w:val="22"/>
        </w:rPr>
        <w:t xml:space="preserve"/>
      </w:r>
    </w:p>
    <w:p>
      <w:pPr>
        <w:pBdr>
          <w:bottom w:val="single" w:color="C8A84B" w:sz="12" w:space="4"/>
        </w:pBdr>
        <w:spacing w:after="400"/>
      </w:pPr>
      <w:r>
        <w:rPr>
          <w:rFonts w:ascii="Arial" w:cs="Arial" w:eastAsia="Arial" w:hAnsi="Arial"/>
          <w:sz w:val="22"/>
          <w:szCs w:val="22"/>
        </w:rPr>
        <w:t xml:space="preserve"/>
      </w:r>
    </w:p>
    <w:p>
      <w:pPr>
        <w:spacing w:after="120"/>
        <w:jc w:val="center"/>
      </w:pPr>
      <w:r>
        <w:rPr>
          <w:rFonts w:ascii="Arial" w:cs="Arial" w:eastAsia="Arial" w:hAnsi="Arial"/>
          <w:i/>
          <w:iCs/>
          <w:color w:val="555555"/>
          <w:sz w:val="24"/>
          <w:szCs w:val="24"/>
        </w:rPr>
        <w:t xml:space="preserve">Between</w:t>
      </w:r>
    </w:p>
    <w:p>
      <w:pPr>
        <w:spacing w:after="80"/>
        <w:jc w:val="center"/>
      </w:pPr>
      <w:r>
        <w:rPr>
          <w:rFonts w:ascii="Arial" w:cs="Arial" w:eastAsia="Arial" w:hAnsi="Arial"/>
          <w:b/>
          <w:bCs/>
          <w:color w:val="1F3864"/>
          <w:sz w:val="28"/>
          <w:szCs w:val="28"/>
        </w:rPr>
        <w:t xml:space="preserve">PROVECTA GROUP LIMITED</w:t>
      </w:r>
    </w:p>
    <w:p>
      <w:pPr>
        <w:spacing w:after="200"/>
        <w:jc w:val="center"/>
      </w:pPr>
      <w:r>
        <w:rPr>
          <w:rFonts w:ascii="Arial" w:cs="Arial" w:eastAsia="Arial" w:hAnsi="Arial"/>
          <w:color w:val="555555"/>
          <w:sz w:val="22"/>
          <w:szCs w:val="22"/>
        </w:rPr>
        <w:t xml:space="preserve">Contractor — Mombasa, Kenya</w:t>
      </w:r>
    </w:p>
    <w:p>
      <w:pPr>
        <w:spacing w:after="200"/>
        <w:jc w:val="center"/>
      </w:pPr>
      <w:r>
        <w:rPr>
          <w:rFonts w:ascii="Arial" w:cs="Arial" w:eastAsia="Arial" w:hAnsi="Arial"/>
          <w:b/>
          <w:bCs/>
          <w:color w:val="C8A84B"/>
          <w:sz w:val="32"/>
          <w:szCs w:val="32"/>
        </w:rPr>
        <w:t xml:space="preserve">&amp;</w:t>
      </w:r>
    </w:p>
    <w:p>
      <w:pPr>
        <w:spacing w:after="80"/>
        <w:jc w:val="center"/>
      </w:pPr>
      <w:r>
        <w:rPr>
          <w:rFonts w:ascii="Arial" w:cs="Arial" w:eastAsia="Arial" w:hAnsi="Arial"/>
          <w:b/>
          <w:bCs/>
          <w:color w:val="1F3864"/>
          <w:sz w:val="28"/>
          <w:szCs w:val="28"/>
        </w:rPr>
        <w:t xml:space="preserve">ECOTECTURE LIMITED</w:t>
      </w:r>
    </w:p>
    <w:p>
      <w:pPr>
        <w:spacing w:after="400"/>
        <w:jc w:val="center"/>
      </w:pPr>
      <w:r>
        <w:rPr>
          <w:rFonts w:ascii="Arial" w:cs="Arial" w:eastAsia="Arial" w:hAnsi="Arial"/>
          <w:color w:val="555555"/>
          <w:sz w:val="22"/>
          <w:szCs w:val="22"/>
        </w:rPr>
        <w:t xml:space="preserve">Customer — Nairobi, Kenya</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8A84B" w:sz="4"/>
              <w:left w:val="single" w:color="C8A84B" w:sz="4"/>
              <w:bottom w:val="single" w:color="C8A84B" w:sz="4"/>
              <w:right w:val="single" w:color="C8A84B" w:sz="4"/>
            </w:tcBorders>
            <w:shd w:fill="F2F2F2" w:val="clear"/>
            <w:tcMar>
              <w:top w:type="dxa" w:w="200"/>
              <w:left w:type="dxa" w:w="240"/>
              <w:bottom w:type="dxa" w:w="200"/>
              <w:right w:type="dxa" w:w="240"/>
            </w:tcMar>
          </w:tcPr>
          <w:p>
            <w:pPr>
              <w:spacing w:after="60"/>
              <w:jc w:val="center"/>
            </w:pPr>
            <w:r>
              <w:rPr>
                <w:rFonts w:ascii="Arial" w:cs="Arial" w:eastAsia="Arial" w:hAnsi="Arial"/>
                <w:b/>
                <w:bCs/>
                <w:color w:val="1F3864"/>
                <w:sz w:val="20"/>
                <w:szCs w:val="20"/>
              </w:rPr>
              <w:t xml:space="preserve">PROJECT</w:t>
            </w:r>
          </w:p>
          <w:p>
            <w:pPr>
              <w:spacing w:after="60"/>
              <w:jc w:val="center"/>
            </w:pPr>
            <w:r>
              <w:rPr>
                <w:rFonts w:ascii="Arial" w:cs="Arial" w:eastAsia="Arial" w:hAnsi="Arial"/>
                <w:b/>
                <w:bCs/>
                <w:color w:val="1F3864"/>
                <w:sz w:val="24"/>
                <w:szCs w:val="24"/>
              </w:rPr>
              <w:t xml:space="preserve">American Dream Apartments</w:t>
            </w:r>
          </w:p>
          <w:p>
            <w:pPr>
              <w:spacing w:after="100"/>
              <w:jc w:val="center"/>
            </w:pPr>
            <w:r>
              <w:rPr>
                <w:rFonts w:ascii="Arial" w:cs="Arial" w:eastAsia="Arial" w:hAnsi="Arial"/>
                <w:color w:val="444444"/>
                <w:sz w:val="20"/>
                <w:szCs w:val="20"/>
              </w:rPr>
              <w:t xml:space="preserve">Plot No. MN/I/1691, Nyali, Mombasa, Kenya</w:t>
            </w:r>
          </w:p>
          <w:p>
            <w:pPr>
              <w:jc w:val="center"/>
            </w:pPr>
            <w:r>
              <w:rPr>
                <w:rFonts w:ascii="Arial" w:cs="Arial" w:eastAsia="Arial" w:hAnsi="Arial"/>
                <w:i/>
                <w:iCs/>
                <w:color w:val="666666"/>
                <w:sz w:val="19"/>
                <w:szCs w:val="19"/>
              </w:rPr>
              <w:t xml:space="preserve">Effective Date: 13 January 2026   |   Total Contract Value: KES 9,500,000</w:t>
            </w:r>
          </w:p>
        </w:tc>
      </w:tr>
    </w:tbl>
    <w:p>
      <w:r>
        <w:rPr>
          <w:rFonts w:ascii="Arial" w:cs="Arial" w:eastAsia="Arial" w:hAnsi="Arial"/>
          <w:sz w:val="22"/>
          <w:szCs w:val="22"/>
        </w:rPr>
        <w:t xml:space="preserve"/>
      </w:r>
    </w:p>
    <w:p>
      <w:r>
        <w:rPr>
          <w:rFonts w:ascii="Arial" w:cs="Arial" w:eastAsia="Arial" w:hAnsi="Arial"/>
          <w:sz w:val="22"/>
          <w:szCs w:val="22"/>
        </w:rPr>
        <w:t xml:space="preserve"/>
      </w:r>
    </w:p>
    <w:p>
      <w:pPr>
        <w:jc w:val="center"/>
      </w:pPr>
      <w:r>
        <w:rPr>
          <w:rFonts w:ascii="Arial" w:cs="Arial" w:eastAsia="Arial" w:hAnsi="Arial"/>
          <w:i/>
          <w:iCs/>
          <w:color w:val="888888"/>
          <w:sz w:val="18"/>
          <w:szCs w:val="18"/>
        </w:rPr>
        <w:t xml:space="preserve">CONFIDENTIAL — For Authorised Parties Only</w:t>
      </w:r>
    </w:p>
    <w:p>
      <w:r>
        <w:br w:type="page"/>
      </w:r>
    </w:p>
    <w:p>
      <w:pPr>
        <w:sectPr>
          <w:pgSz w:w="12240" w:h="15840" w:orient="portrait"/>
          <w:pgMar w:top="1440" w:right="1440" w:bottom="1440" w:left="1440" w:header="708" w:footer="708" w:gutter="0"/>
          <w:pgNumType/>
          <w:docGrid w:linePitch="360"/>
        </w:sectPr>
      </w:pPr>
    </w:p>
    <w:p>
      <w:pPr>
        <w:spacing w:after="80"/>
        <w:jc w:val="center"/>
      </w:pPr>
      <w:r>
        <w:rPr>
          <w:rFonts w:ascii="Arial" w:cs="Arial" w:eastAsia="Arial" w:hAnsi="Arial"/>
          <w:b/>
          <w:bCs/>
          <w:color w:val="1F3864"/>
          <w:sz w:val="32"/>
          <w:szCs w:val="32"/>
        </w:rPr>
        <w:t xml:space="preserve">PROJECT MANAGEMENT CONTRACT</w:t>
      </w:r>
    </w:p>
    <w:p>
      <w:pPr>
        <w:spacing w:after="40"/>
        <w:jc w:val="center"/>
      </w:pPr>
      <w:r>
        <w:rPr>
          <w:rFonts w:ascii="Arial" w:cs="Arial" w:eastAsia="Arial" w:hAnsi="Arial"/>
          <w:i/>
          <w:iCs/>
          <w:color w:val="555555"/>
          <w:sz w:val="22"/>
          <w:szCs w:val="22"/>
        </w:rPr>
        <w:t xml:space="preserve">Provecta Group Limited  &amp;  Ecotecture Limited</w:t>
      </w:r>
    </w:p>
    <w:p>
      <w:pPr>
        <w:pBdr>
          <w:bottom w:val="single" w:color="C8A84B" w:sz="6" w:space="4"/>
        </w:pBdr>
        <w:spacing w:after="200"/>
      </w:pPr>
      <w:r>
        <w:rPr>
          <w:rFonts w:ascii="Arial" w:cs="Arial" w:eastAsia="Arial" w:hAnsi="Arial"/>
          <w:sz w:val="22"/>
          <w:szCs w:val="22"/>
        </w:rPr>
        <w:t xml:space="preserve"/>
      </w:r>
    </w:p>
    <w:p>
      <w:pPr>
        <w:spacing w:after="160"/>
      </w:pPr>
      <w:r>
        <w:rPr>
          <w:rFonts w:ascii="Arial" w:cs="Arial" w:eastAsia="Arial" w:hAnsi="Arial"/>
          <w:sz w:val="22"/>
          <w:szCs w:val="22"/>
        </w:rPr>
        <w:t xml:space="preserve">THIS AGREEMENT (hereinafter referred to as the "Master Agreement") is made and entered into this the </w:t>
      </w:r>
      <w:r>
        <w:rPr>
          <w:rFonts w:ascii="Arial" w:cs="Arial" w:eastAsia="Arial" w:hAnsi="Arial"/>
          <w:b/>
          <w:bCs/>
          <w:sz w:val="22"/>
          <w:szCs w:val="22"/>
        </w:rPr>
        <w:t xml:space="preserve">13 January 2026</w:t>
      </w:r>
      <w:r>
        <w:rPr>
          <w:rFonts w:ascii="Arial" w:cs="Arial" w:eastAsia="Arial" w:hAnsi="Arial"/>
          <w:sz w:val="22"/>
          <w:szCs w:val="22"/>
        </w:rPr>
        <w:t xml:space="preserve"> by and between </w:t>
      </w:r>
      <w:r>
        <w:rPr>
          <w:rFonts w:ascii="Arial" w:cs="Arial" w:eastAsia="Arial" w:hAnsi="Arial"/>
          <w:b/>
          <w:bCs/>
          <w:sz w:val="22"/>
          <w:szCs w:val="22"/>
        </w:rPr>
        <w:t xml:space="preserve">Provecta Group Limited</w:t>
      </w:r>
      <w:r>
        <w:rPr>
          <w:rFonts w:ascii="Arial" w:cs="Arial" w:eastAsia="Arial" w:hAnsi="Arial"/>
          <w:sz w:val="22"/>
          <w:szCs w:val="22"/>
        </w:rPr>
        <w:t xml:space="preserve">, hereinafter referred to as "Contractor", an organisation organised and operating under the laws of the Republic of Kenya and applicable international business laws, with its principal place of business in Mombasa, Kenya (hereinafter referred to as "Contractor"), and </w:t>
      </w:r>
      <w:r>
        <w:rPr>
          <w:rFonts w:ascii="Arial" w:cs="Arial" w:eastAsia="Arial" w:hAnsi="Arial"/>
          <w:b/>
          <w:bCs/>
          <w:sz w:val="22"/>
          <w:szCs w:val="22"/>
        </w:rPr>
        <w:t xml:space="preserve">Ecotecture Limited</w:t>
      </w:r>
      <w:r>
        <w:rPr>
          <w:rFonts w:ascii="Arial" w:cs="Arial" w:eastAsia="Arial" w:hAnsi="Arial"/>
          <w:sz w:val="22"/>
          <w:szCs w:val="22"/>
        </w:rPr>
        <w:t xml:space="preserve">, a business organised and operating under the laws of the Republic of Kenya and applicable international business laws, with its principal place of business at P.O. Box 60160 – 00100, Nairobi (hereinafter referred to as "Customer").</w:t>
      </w:r>
    </w:p>
    <w:p>
      <w:pPr>
        <w:spacing w:after="100" w:before="160"/>
      </w:pPr>
      <w:r>
        <w:rPr>
          <w:rFonts w:ascii="Arial" w:cs="Arial" w:eastAsia="Arial" w:hAnsi="Arial"/>
          <w:b/>
          <w:bCs/>
          <w:color w:val="1F3864"/>
          <w:sz w:val="24"/>
          <w:szCs w:val="24"/>
        </w:rPr>
        <w:t xml:space="preserve">RECITALS</w:t>
      </w:r>
    </w:p>
    <w:p>
      <w:pPr>
        <w:spacing w:after="80"/>
      </w:pPr>
      <w:r>
        <w:rPr>
          <w:rFonts w:ascii="Arial" w:cs="Arial" w:eastAsia="Arial" w:hAnsi="Arial"/>
          <w:sz w:val="22"/>
          <w:szCs w:val="22"/>
        </w:rPr>
        <w:t xml:space="preserve">WHEREAS, Contractor agrees to provide comprehensive project management services for the construction of an apartment complex at the site: Plot No. MN/I/1691 (the "Project"); and</w:t>
      </w:r>
    </w:p>
    <w:p>
      <w:pPr>
        <w:spacing w:after="200"/>
      </w:pPr>
      <w:r>
        <w:rPr>
          <w:rFonts w:ascii="Arial" w:cs="Arial" w:eastAsia="Arial" w:hAnsi="Arial"/>
          <w:sz w:val="22"/>
          <w:szCs w:val="22"/>
        </w:rPr>
        <w:t xml:space="preserve">WHEREAS, Customer wishes to engage Contractor to manage the Project from inception through completion.</w:t>
      </w:r>
    </w:p>
    <w:p>
      <w:pPr>
        <w:pBdr>
          <w:bottom w:val="single" w:color="C8A84B" w:sz="4" w:space="4"/>
        </w:pBdr>
        <w:spacing w:after="120" w:before="280"/>
      </w:pPr>
      <w:r>
        <w:rPr>
          <w:rFonts w:ascii="Arial" w:cs="Arial" w:eastAsia="Arial" w:hAnsi="Arial"/>
          <w:b/>
          <w:bCs/>
          <w:color w:val="1F3864"/>
          <w:sz w:val="24"/>
          <w:szCs w:val="24"/>
        </w:rPr>
        <w:t xml:space="preserve">ARTICLE 1 — CONTRACTOR'S RESPONSIBILITIES</w:t>
      </w:r>
    </w:p>
    <w:p>
      <w:pPr>
        <w:spacing w:after="80" w:before="180"/>
      </w:pPr>
      <w:r>
        <w:rPr>
          <w:rFonts w:ascii="Arial" w:cs="Arial" w:eastAsia="Arial" w:hAnsi="Arial"/>
          <w:b/>
          <w:bCs/>
          <w:color w:val="1F3864"/>
          <w:sz w:val="22"/>
          <w:szCs w:val="22"/>
        </w:rPr>
        <w:t xml:space="preserve">1.1  SERVICES</w:t>
      </w:r>
    </w:p>
    <w:p>
      <w:pPr>
        <w:spacing w:after="120"/>
      </w:pPr>
      <w:r>
        <w:rPr>
          <w:rFonts w:ascii="Arial" w:cs="Arial" w:eastAsia="Arial" w:hAnsi="Arial"/>
          <w:sz w:val="22"/>
          <w:szCs w:val="22"/>
        </w:rPr>
        <w:t xml:space="preserve">During the Term (as defined in Article 5), Contractor agrees to provide full project management services related to the planning, procurement, construction, and delivery of the proposed project. Services include but are not limited to:</w:t>
      </w:r>
    </w:p>
    <w:p>
      <w:r>
        <w:rPr>
          <w:rFonts w:ascii="Arial" w:cs="Arial" w:eastAsia="Arial" w:hAnsi="Arial"/>
          <w:sz w:val="1"/>
          <w:szCs w:val="1"/>
        </w:rPr>
        <w:t xml:space="preserve"/>
      </w:r>
    </w:p>
    <w:p>
      <w:pPr>
        <w:pStyle w:val="ListParagraph"/>
        <w:numPr>
          <w:ilvl w:val="0"/>
          <w:numId w:val="2"/>
        </w:numPr>
        <w:spacing w:after="60"/>
      </w:pPr>
      <w:r>
        <w:rPr>
          <w:rFonts w:ascii="Arial" w:cs="Arial" w:eastAsia="Arial" w:hAnsi="Arial"/>
          <w:sz w:val="22"/>
          <w:szCs w:val="22"/>
        </w:rPr>
        <w:t xml:space="preserve">Project planning and scheduling, including full project transparency via project management software.</w:t>
      </w:r>
    </w:p>
    <w:p>
      <w:pPr>
        <w:pStyle w:val="ListParagraph"/>
        <w:numPr>
          <w:ilvl w:val="0"/>
          <w:numId w:val="2"/>
        </w:numPr>
        <w:spacing w:after="60"/>
      </w:pPr>
      <w:r>
        <w:rPr>
          <w:rFonts w:ascii="Arial" w:cs="Arial" w:eastAsia="Arial" w:hAnsi="Arial"/>
          <w:sz w:val="22"/>
          <w:szCs w:val="22"/>
        </w:rPr>
        <w:t xml:space="preserve">Construction cost monitoring.</w:t>
      </w:r>
    </w:p>
    <w:p>
      <w:r>
        <w:rPr>
          <w:rFonts w:ascii="Arial" w:cs="Arial" w:eastAsia="Arial" w:hAnsi="Arial"/>
          <w:sz w:val="1"/>
          <w:szCs w:val="1"/>
        </w:rPr>
        <w:t xml:space="preserve"/>
      </w:r>
    </w:p>
    <w:p>
      <w:pPr>
        <w:pStyle w:val="ListParagraph"/>
        <w:numPr>
          <w:ilvl w:val="0"/>
          <w:numId w:val="2"/>
        </w:numPr>
        <w:spacing w:after="60"/>
      </w:pPr>
      <w:r>
        <w:rPr>
          <w:rFonts w:ascii="Arial" w:cs="Arial" w:eastAsia="Arial" w:hAnsi="Arial"/>
          <w:sz w:val="22"/>
          <w:szCs w:val="22"/>
        </w:rPr>
        <w:t xml:space="preserve">Managing all subcontractors and suppliers.</w:t>
      </w:r>
    </w:p>
    <w:p>
      <w:pPr>
        <w:pStyle w:val="ListParagraph"/>
        <w:numPr>
          <w:ilvl w:val="0"/>
          <w:numId w:val="2"/>
        </w:numPr>
        <w:spacing w:after="60"/>
      </w:pPr>
      <w:r>
        <w:rPr>
          <w:rFonts w:ascii="Arial" w:cs="Arial" w:eastAsia="Arial" w:hAnsi="Arial"/>
          <w:sz w:val="22"/>
          <w:szCs w:val="22"/>
        </w:rPr>
        <w:t xml:space="preserve">Coordination with local authorities and ensuring regulatory compliance.</w:t>
      </w:r>
    </w:p>
    <w:p>
      <w:pPr>
        <w:pStyle w:val="ListParagraph"/>
        <w:numPr>
          <w:ilvl w:val="0"/>
          <w:numId w:val="2"/>
        </w:numPr>
        <w:spacing w:after="60"/>
      </w:pPr>
      <w:r>
        <w:rPr>
          <w:rFonts w:ascii="Arial" w:cs="Arial" w:eastAsia="Arial" w:hAnsi="Arial"/>
          <w:sz w:val="22"/>
          <w:szCs w:val="22"/>
        </w:rPr>
        <w:t xml:space="preserve">Oversight of construction progress, quality assurance, and problem mitigation.</w:t>
      </w:r>
    </w:p>
    <w:p>
      <w:pPr>
        <w:pStyle w:val="ListParagraph"/>
        <w:numPr>
          <w:ilvl w:val="0"/>
          <w:numId w:val="2"/>
        </w:numPr>
        <w:spacing w:after="60"/>
      </w:pPr>
      <w:r>
        <w:rPr>
          <w:rFonts w:ascii="Arial" w:cs="Arial" w:eastAsia="Arial" w:hAnsi="Arial"/>
          <w:sz w:val="22"/>
          <w:szCs w:val="22"/>
        </w:rPr>
        <w:t xml:space="preserve">Regular reporting to Customer on project status, budget, and risks.</w:t>
      </w:r>
    </w:p>
    <w:p>
      <w:r>
        <w:rPr>
          <w:rFonts w:ascii="Arial" w:cs="Arial" w:eastAsia="Arial" w:hAnsi="Arial"/>
          <w:sz w:val="22"/>
          <w:szCs w:val="22"/>
        </w:rPr>
        <w:t xml:space="preserve"/>
      </w:r>
    </w:p>
    <w:p>
      <w:pPr>
        <w:spacing w:after="80" w:before="180"/>
      </w:pPr>
      <w:r>
        <w:rPr>
          <w:rFonts w:ascii="Arial" w:cs="Arial" w:eastAsia="Arial" w:hAnsi="Arial"/>
          <w:b/>
          <w:bCs/>
          <w:color w:val="1F3864"/>
          <w:sz w:val="22"/>
          <w:szCs w:val="22"/>
        </w:rPr>
        <w:t xml:space="preserve">1.2  INCORPORATION INTO AGREEMENT</w:t>
      </w:r>
    </w:p>
    <w:p>
      <w:pPr>
        <w:spacing w:after="120"/>
      </w:pPr>
      <w:r>
        <w:rPr>
          <w:rFonts w:ascii="Arial" w:cs="Arial" w:eastAsia="Arial" w:hAnsi="Arial"/>
          <w:sz w:val="22"/>
          <w:szCs w:val="22"/>
        </w:rPr>
        <w:t xml:space="preserve">This Master Agreement and any Addenda, schedules or exhibits hereto shall collectively constitute the "Agreement" between the parties.</w:t>
      </w:r>
    </w:p>
    <w:p>
      <w:pPr>
        <w:spacing w:after="80" w:before="180"/>
      </w:pPr>
      <w:r>
        <w:rPr>
          <w:rFonts w:ascii="Arial" w:cs="Arial" w:eastAsia="Arial" w:hAnsi="Arial"/>
          <w:b/>
          <w:bCs/>
          <w:color w:val="1F3864"/>
          <w:sz w:val="22"/>
          <w:szCs w:val="22"/>
        </w:rPr>
        <w:t xml:space="preserve">1.3  SUCCESS METRICS</w:t>
      </w:r>
    </w:p>
    <w:p>
      <w:pPr>
        <w:spacing w:after="120"/>
      </w:pPr>
      <w:r>
        <w:rPr>
          <w:rFonts w:ascii="Arial" w:cs="Arial" w:eastAsia="Arial" w:hAnsi="Arial"/>
          <w:sz w:val="22"/>
          <w:szCs w:val="22"/>
        </w:rPr>
        <w:t xml:space="preserve">Contractor's success shall be measured by timely completion of Project deliverables within agreed budgets and compliance with all applicable laws and standards.</w:t>
      </w:r>
    </w:p>
    <w:p>
      <w:pPr>
        <w:spacing w:after="80" w:before="180"/>
      </w:pPr>
      <w:r>
        <w:rPr>
          <w:rFonts w:ascii="Arial" w:cs="Arial" w:eastAsia="Arial" w:hAnsi="Arial"/>
          <w:b/>
          <w:bCs/>
          <w:color w:val="1F3864"/>
          <w:sz w:val="22"/>
          <w:szCs w:val="22"/>
        </w:rPr>
        <w:t xml:space="preserve">1.4  INDEPENDENT CONTRACTOR</w:t>
      </w:r>
    </w:p>
    <w:p>
      <w:pPr>
        <w:spacing w:after="200"/>
      </w:pPr>
      <w:r>
        <w:rPr>
          <w:rFonts w:ascii="Arial" w:cs="Arial" w:eastAsia="Arial" w:hAnsi="Arial"/>
          <w:sz w:val="22"/>
          <w:szCs w:val="22"/>
        </w:rPr>
        <w:t xml:space="preserve">Contractor acts as an independent contractor and is not an employee of Customer.</w:t>
      </w:r>
    </w:p>
    <w:p>
      <w:pPr>
        <w:pBdr>
          <w:bottom w:val="single" w:color="C8A84B" w:sz="4" w:space="4"/>
        </w:pBdr>
        <w:spacing w:after="120" w:before="280"/>
      </w:pPr>
      <w:r>
        <w:rPr>
          <w:rFonts w:ascii="Arial" w:cs="Arial" w:eastAsia="Arial" w:hAnsi="Arial"/>
          <w:b/>
          <w:bCs/>
          <w:color w:val="1F3864"/>
          <w:sz w:val="24"/>
          <w:szCs w:val="24"/>
        </w:rPr>
        <w:t xml:space="preserve">ARTICLE 2 — CUSTOMER'S RESPONSIBILITIES</w:t>
      </w:r>
    </w:p>
    <w:p>
      <w:pPr>
        <w:spacing w:after="80" w:before="180"/>
      </w:pPr>
      <w:r>
        <w:rPr>
          <w:rFonts w:ascii="Arial" w:cs="Arial" w:eastAsia="Arial" w:hAnsi="Arial"/>
          <w:b/>
          <w:bCs/>
          <w:color w:val="1F3864"/>
          <w:sz w:val="22"/>
          <w:szCs w:val="22"/>
        </w:rPr>
        <w:t xml:space="preserve">2.1  CUSTOMER CONTENT</w:t>
      </w:r>
    </w:p>
    <w:p>
      <w:pPr>
        <w:spacing w:after="120"/>
      </w:pPr>
      <w:r>
        <w:rPr>
          <w:rFonts w:ascii="Arial" w:cs="Arial" w:eastAsia="Arial" w:hAnsi="Arial"/>
          <w:sz w:val="22"/>
          <w:szCs w:val="22"/>
        </w:rPr>
        <w:t xml:space="preserve">For purposes of this Agreement, Customer content refers to all existing documentation, plans, permits, contracts, and other materials related to the Project site and development. Except as otherwise agreed, Customer shall be solely responsible for any faults, errors, or issues arising from the condition or state of such materials or from activities, approvals, or arrangements made prior to the Effective Date of this Agreement. Contractor expressly disclaims any responsibility for the work, performance, or obligations of any other parties, contractors, or teams engaged by Customer prior to or outside the scope of this Agreement. This provision also extends to any existing relationships, agreements, or permits Customer holds with governmental authorities, vendors, or third parties related to the Project. Contractor shall not be liable for any breach or violation of such agreements unless directly resulting from Contractor's actions under this Agreement.</w:t>
      </w:r>
    </w:p>
    <w:p>
      <w:pPr>
        <w:spacing w:after="80" w:before="180"/>
      </w:pPr>
      <w:r>
        <w:rPr>
          <w:rFonts w:ascii="Arial" w:cs="Arial" w:eastAsia="Arial" w:hAnsi="Arial"/>
          <w:b/>
          <w:bCs/>
          <w:color w:val="1F3864"/>
          <w:sz w:val="22"/>
          <w:szCs w:val="22"/>
        </w:rPr>
        <w:t xml:space="preserve">2.2  NO INFRINGEMENT</w:t>
      </w:r>
    </w:p>
    <w:p>
      <w:pPr>
        <w:spacing w:after="200"/>
      </w:pPr>
      <w:r>
        <w:rPr>
          <w:rFonts w:ascii="Arial" w:cs="Arial" w:eastAsia="Arial" w:hAnsi="Arial"/>
          <w:sz w:val="22"/>
          <w:szCs w:val="22"/>
        </w:rPr>
        <w:t xml:space="preserve">Customer retains all rights, title, and interest in and to all content, data, documentation, reports, designs, and other materials generated from or related to the Project. This Agreement supersedes any prior agreements or understandings regarding ownership or use of such project-related content. The Contractor shall at no time be considered the owner or licensee of any project content outside the scope of this Agreement. All information, designs, outputs, and data generated or derived as part of the Project management services remain the exclusive property of the Customer.</w:t>
      </w:r>
    </w:p>
    <w:p>
      <w:pPr>
        <w:pBdr>
          <w:bottom w:val="single" w:color="C8A84B" w:sz="4" w:space="4"/>
        </w:pBdr>
        <w:spacing w:after="120" w:before="280"/>
      </w:pPr>
      <w:r>
        <w:rPr>
          <w:rFonts w:ascii="Arial" w:cs="Arial" w:eastAsia="Arial" w:hAnsi="Arial"/>
          <w:b/>
          <w:bCs/>
          <w:color w:val="1F3864"/>
          <w:sz w:val="24"/>
          <w:szCs w:val="24"/>
        </w:rPr>
        <w:t xml:space="preserve">ARTICLE 3 — FEES, PRICING, AND PAYMENT TERMS</w:t>
      </w:r>
    </w:p>
    <w:p>
      <w:pPr>
        <w:spacing w:after="80" w:before="180"/>
      </w:pPr>
      <w:r>
        <w:rPr>
          <w:rFonts w:ascii="Arial" w:cs="Arial" w:eastAsia="Arial" w:hAnsi="Arial"/>
          <w:b/>
          <w:bCs/>
          <w:color w:val="1F3864"/>
          <w:sz w:val="22"/>
          <w:szCs w:val="22"/>
        </w:rPr>
        <w:t xml:space="preserve">3.1  FEES</w:t>
      </w:r>
    </w:p>
    <w:p>
      <w:pPr>
        <w:spacing w:after="160"/>
      </w:pPr>
      <w:r>
        <w:rPr>
          <w:rFonts w:ascii="Arial" w:cs="Arial" w:eastAsia="Arial" w:hAnsi="Arial"/>
          <w:sz w:val="22"/>
          <w:szCs w:val="22"/>
        </w:rPr>
        <w:t xml:space="preserve">Customer shall pay Contractor </w:t>
      </w:r>
      <w:r>
        <w:rPr>
          <w:rFonts w:ascii="Arial" w:cs="Arial" w:eastAsia="Arial" w:hAnsi="Arial"/>
          <w:b/>
          <w:bCs/>
          <w:sz w:val="22"/>
          <w:szCs w:val="22"/>
        </w:rPr>
        <w:t xml:space="preserve">KES 9,500,000</w:t>
      </w:r>
      <w:r>
        <w:rPr>
          <w:rFonts w:ascii="Arial" w:cs="Arial" w:eastAsia="Arial" w:hAnsi="Arial"/>
          <w:sz w:val="22"/>
          <w:szCs w:val="22"/>
        </w:rPr>
        <w:t xml:space="preserve"> (Kenya Shillings Nine Million Five Hundred Thousand) in accordance with the following payment schedule. The Contractor's fee represents 40% of total project management costs.</w:t>
      </w:r>
    </w:p>
    <w:p>
      <w:r>
        <w:rPr>
          <w:rFonts w:ascii="Arial" w:cs="Arial" w:eastAsia="Arial" w:hAnsi="Arial"/>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400"/>
        <w:gridCol w:w="1200"/>
      </w:tblGrid>
      <w:tr>
        <w:trPr>
          <w:tblHeader/>
        </w:trPr>
        <w:tc>
          <w:tcPr>
            <w:tcW w:type="dxa" w:w="7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0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Amount (KES)</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Upon Production of Conceptual and Outline Design Drawings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920,000.00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7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Upon Production of Scheme Design Drawings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1,380,000.00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7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Upon Production of Detailed Design and Production Drawings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1,380,000.00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7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Upon Completion of Tendering Process and Contractor Award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920,000.00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7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Upon Commencement of Construction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980,000.00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7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Upon Attaining 25% of Works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980,000.00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7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Upon Attaining 50% of Works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980,000.00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7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Upon Attaining 75% of Works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980,000.00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7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Upon Practical Completion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980,000.00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7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50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sz w:val="20"/>
                <w:szCs w:val="20"/>
              </w:rPr>
              <w:t xml:space="preserve"/>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9,500,000.00</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sz w:val="22"/>
                <w:szCs w:val="22"/>
              </w:rPr>
              <w:t xml:space="preserve"/>
            </w:r>
          </w:p>
        </w:tc>
      </w:tr>
    </w:tbl>
    <w:p>
      <w:r>
        <w:rPr>
          <w:rFonts w:ascii="Arial" w:cs="Arial" w:eastAsia="Arial" w:hAnsi="Arial"/>
          <w:sz w:val="22"/>
          <w:szCs w:val="22"/>
        </w:rPr>
        <w:t xml:space="preserve"/>
      </w:r>
    </w:p>
    <w:p>
      <w:pPr>
        <w:spacing w:after="80" w:before="180"/>
      </w:pPr>
      <w:r>
        <w:rPr>
          <w:rFonts w:ascii="Arial" w:cs="Arial" w:eastAsia="Arial" w:hAnsi="Arial"/>
          <w:b/>
          <w:bCs/>
          <w:color w:val="1F3864"/>
          <w:sz w:val="22"/>
          <w:szCs w:val="22"/>
        </w:rPr>
        <w:t xml:space="preserve">3.2  PAYMENT TERMS</w:t>
      </w:r>
    </w:p>
    <w:p>
      <w:r>
        <w:rPr>
          <w:rFonts w:ascii="Arial" w:cs="Arial" w:eastAsia="Arial" w:hAnsi="Arial"/>
          <w:sz w:val="1"/>
          <w:szCs w:val="1"/>
        </w:rPr>
        <w:t xml:space="preserve"/>
      </w:r>
    </w:p>
    <w:p>
      <w:pPr>
        <w:spacing w:after="120"/>
      </w:pPr>
      <w:r>
        <w:rPr>
          <w:rFonts w:ascii="Arial" w:cs="Arial" w:eastAsia="Arial" w:hAnsi="Arial"/>
          <w:sz w:val="22"/>
          <w:szCs w:val="22"/>
        </w:rPr>
        <w:t xml:space="preserve">Funds are to be released to the Contractor upon successfully completed transfer from the Customer's client, </w:t>
      </w:r>
      <w:r>
        <w:rPr>
          <w:rFonts w:ascii="Arial" w:cs="Arial" w:eastAsia="Arial" w:hAnsi="Arial"/>
          <w:b/>
          <w:bCs/>
          <w:sz w:val="22"/>
          <w:szCs w:val="22"/>
        </w:rPr>
        <w:t xml:space="preserve">Sierra Homes USA Limited</w:t>
      </w:r>
      <w:r>
        <w:rPr>
          <w:rFonts w:ascii="Arial" w:cs="Arial" w:eastAsia="Arial" w:hAnsi="Arial"/>
          <w:sz w:val="22"/>
          <w:szCs w:val="22"/>
        </w:rPr>
        <w:t xml:space="preserve">, to the Customer's designated Kenyan bank account, and subsequently to the Contractor as per the payment schedule above.</w:t>
      </w:r>
    </w:p>
    <w:p>
      <w:pPr>
        <w:spacing w:after="80" w:before="180"/>
      </w:pPr>
      <w:r>
        <w:rPr>
          <w:rFonts w:ascii="Arial" w:cs="Arial" w:eastAsia="Arial" w:hAnsi="Arial"/>
          <w:b/>
          <w:bCs/>
          <w:color w:val="1F3864"/>
          <w:sz w:val="22"/>
          <w:szCs w:val="22"/>
        </w:rPr>
        <w:t xml:space="preserve">3.3  LATE PAYMENTS AND REMEDIES</w:t>
      </w:r>
    </w:p>
    <w:p>
      <w:pPr>
        <w:spacing w:after="200"/>
      </w:pPr>
      <w:r>
        <w:rPr>
          <w:rFonts w:ascii="Arial" w:cs="Arial" w:eastAsia="Arial" w:hAnsi="Arial"/>
          <w:sz w:val="22"/>
          <w:szCs w:val="22"/>
        </w:rPr>
        <w:t xml:space="preserve">If any payments, as set forth in the applicable Addendum, are not received within fifteen (15) days of the due date indicated, the Contractor may initiate the remedy of electronic self-help by providing written notice to the Key Person of the breach and the Contractor's intent to exercise the remedy of electronic self-help. Customer shall have an additional fifteen (15) calendar days after receipt of notice to cure the breach and make the payment due to the Contractor. In the event nonpayment is not cured during said fifteen (15) day period, the Contractor may suspend Services until all payments are made and the account balance due is current.</w:t>
      </w:r>
    </w:p>
    <w:p>
      <w:pPr>
        <w:pBdr>
          <w:bottom w:val="single" w:color="C8A84B" w:sz="4" w:space="4"/>
        </w:pBdr>
        <w:spacing w:after="120" w:before="280"/>
      </w:pPr>
      <w:r>
        <w:rPr>
          <w:rFonts w:ascii="Arial" w:cs="Arial" w:eastAsia="Arial" w:hAnsi="Arial"/>
          <w:b/>
          <w:bCs/>
          <w:color w:val="1F3864"/>
          <w:sz w:val="24"/>
          <w:szCs w:val="24"/>
        </w:rPr>
        <w:t xml:space="preserve">ARTICLE 4 — CONFIDENTIAL INFORMATION</w:t>
      </w:r>
    </w:p>
    <w:p>
      <w:pPr>
        <w:spacing w:after="200"/>
      </w:pPr>
      <w:r>
        <w:rPr>
          <w:rFonts w:ascii="Arial" w:cs="Arial" w:eastAsia="Arial" w:hAnsi="Arial"/>
          <w:sz w:val="22"/>
          <w:szCs w:val="22"/>
        </w:rPr>
        <w:t xml:space="preserve">Any information that the receiving party knows or has reason to know (either because such information is marked or otherwise identified by the disclosing party as confidential or proprietary, has commercial value, or because it is not generally known in the relevant trade or industry) is confidential information of the other party and shall remain the sole property of the disclosing party. Each party agrees that it shall not disclose, use, modify, copy, reproduce or otherwise divulge such confidential information other than to fulfil its obligations under this Agreement. The prohibitions contained in this Article shall not apply to information (a) already lawfully known to or independently developed by the receiving party, (b) disclosed in published materials, (c) generally known to the public, or (d) lawfully obtained from any third party. Neither party shall disclose to third parties, other than its agents and representatives on a need-to-know basis, the terms of this Agreement or any Addenda hereto without the prior written consent of the other party, except either party shall be entitled to disclose (i) such terms to the extent required by law; and (ii) the existence of this Agreement.</w:t>
      </w:r>
    </w:p>
    <w:p>
      <w:pPr>
        <w:pBdr>
          <w:bottom w:val="single" w:color="C8A84B" w:sz="4" w:space="4"/>
        </w:pBdr>
        <w:spacing w:after="120" w:before="280"/>
      </w:pPr>
      <w:r>
        <w:rPr>
          <w:rFonts w:ascii="Arial" w:cs="Arial" w:eastAsia="Arial" w:hAnsi="Arial"/>
          <w:b/>
          <w:bCs/>
          <w:color w:val="1F3864"/>
          <w:sz w:val="24"/>
          <w:szCs w:val="24"/>
        </w:rPr>
        <w:t xml:space="preserve">ARTICLE 5 — TERM AND TERMINATION</w:t>
      </w:r>
    </w:p>
    <w:p>
      <w:pPr>
        <w:spacing w:after="80" w:before="180"/>
      </w:pPr>
      <w:r>
        <w:rPr>
          <w:rFonts w:ascii="Arial" w:cs="Arial" w:eastAsia="Arial" w:hAnsi="Arial"/>
          <w:b/>
          <w:bCs/>
          <w:color w:val="1F3864"/>
          <w:sz w:val="22"/>
          <w:szCs w:val="22"/>
        </w:rPr>
        <w:t xml:space="preserve">5.1  EFFECTIVE DATE</w:t>
      </w:r>
    </w:p>
    <w:p>
      <w:pPr>
        <w:spacing w:after="120"/>
      </w:pPr>
      <w:r>
        <w:rPr>
          <w:rFonts w:ascii="Arial" w:cs="Arial" w:eastAsia="Arial" w:hAnsi="Arial"/>
          <w:sz w:val="22"/>
          <w:szCs w:val="22"/>
        </w:rPr>
        <w:t xml:space="preserve">This Agreement is effective on the date of signing.</w:t>
      </w:r>
    </w:p>
    <w:p>
      <w:pPr>
        <w:spacing w:after="80" w:before="180"/>
      </w:pPr>
      <w:r>
        <w:rPr>
          <w:rFonts w:ascii="Arial" w:cs="Arial" w:eastAsia="Arial" w:hAnsi="Arial"/>
          <w:b/>
          <w:bCs/>
          <w:color w:val="1F3864"/>
          <w:sz w:val="22"/>
          <w:szCs w:val="22"/>
        </w:rPr>
        <w:t xml:space="preserve">5.2  TERM</w:t>
      </w:r>
    </w:p>
    <w:p>
      <w:r>
        <w:rPr>
          <w:rFonts w:ascii="Arial" w:cs="Arial" w:eastAsia="Arial" w:hAnsi="Arial"/>
          <w:sz w:val="1"/>
          <w:szCs w:val="1"/>
        </w:rPr>
        <w:t xml:space="preserve"/>
      </w:r>
    </w:p>
    <w:p>
      <w:pPr>
        <w:spacing w:after="80"/>
      </w:pPr>
      <w:r>
        <w:rPr>
          <w:rFonts w:ascii="Arial" w:cs="Arial" w:eastAsia="Arial" w:hAnsi="Arial"/>
          <w:sz w:val="22"/>
          <w:szCs w:val="22"/>
        </w:rPr>
        <w:t xml:space="preserve">This Agreement shall remain in effect for 48 months or until Project completion and final delivery, whichever occurs first. For the purposes of this Agreement:</w:t>
      </w:r>
    </w:p>
    <w:p>
      <w:pPr>
        <w:pStyle w:val="ListParagraph"/>
        <w:numPr>
          <w:ilvl w:val="0"/>
          <w:numId w:val="2"/>
        </w:numPr>
        <w:spacing w:after="60"/>
      </w:pPr>
      <w:r>
        <w:rPr>
          <w:rFonts w:ascii="Arial" w:cs="Arial" w:eastAsia="Arial" w:hAnsi="Arial"/>
          <w:sz w:val="22"/>
          <w:szCs w:val="22"/>
        </w:rPr>
        <w:t xml:space="preserve">"Practical Completion" means the date on which the appointed architect or supervising officer certifies that the works are substantially complete and fit for occupation.</w:t>
      </w:r>
    </w:p>
    <w:p>
      <w:pPr>
        <w:pStyle w:val="ListParagraph"/>
        <w:numPr>
          <w:ilvl w:val="0"/>
          <w:numId w:val="2"/>
        </w:numPr>
        <w:spacing w:after="60"/>
      </w:pPr>
      <w:r>
        <w:rPr>
          <w:rFonts w:ascii="Arial" w:cs="Arial" w:eastAsia="Arial" w:hAnsi="Arial"/>
          <w:sz w:val="22"/>
          <w:szCs w:val="22"/>
        </w:rPr>
        <w:t xml:space="preserve">"Defects Liability Period (DLP)" means the six (6) month period immediately following the date of Practical Completion, during which the Contractor shall remain engaged to monitor and direct the main contractor to remedy any defects, shrinkages, or other faults that appear due to materials or workmanship not in accordance with the contract, at the main contractor's own cost.</w:t>
      </w:r>
    </w:p>
    <w:p>
      <w:pPr>
        <w:pStyle w:val="ListParagraph"/>
        <w:numPr>
          <w:ilvl w:val="0"/>
          <w:numId w:val="2"/>
        </w:numPr>
        <w:spacing w:after="60"/>
      </w:pPr>
      <w:r>
        <w:rPr>
          <w:rFonts w:ascii="Arial" w:cs="Arial" w:eastAsia="Arial" w:hAnsi="Arial"/>
          <w:sz w:val="22"/>
          <w:szCs w:val="22"/>
        </w:rPr>
        <w:t xml:space="preserve">"Project Delivery" means the date on which the Certificate of Making Good Defects is issued by the architect or supervising officer following the satisfactory rectification of all defects notified during the Defects Liability Period. Project Delivery shall not occur before the expiry of the six (6) month DLP.</w:t>
      </w:r>
    </w:p>
    <w:p>
      <w:r>
        <w:rPr>
          <w:rFonts w:ascii="Arial" w:cs="Arial" w:eastAsia="Arial" w:hAnsi="Arial"/>
          <w:sz w:val="22"/>
          <w:szCs w:val="22"/>
        </w:rPr>
        <w:t xml:space="preserve"/>
      </w:r>
    </w:p>
    <w:p>
      <w:pPr>
        <w:spacing w:after="80" w:before="180"/>
      </w:pPr>
      <w:r>
        <w:rPr>
          <w:rFonts w:ascii="Arial" w:cs="Arial" w:eastAsia="Arial" w:hAnsi="Arial"/>
          <w:b/>
          <w:bCs/>
          <w:color w:val="1F3864"/>
          <w:sz w:val="22"/>
          <w:szCs w:val="22"/>
        </w:rPr>
        <w:t xml:space="preserve">5.3  TERMINATION</w:t>
      </w:r>
    </w:p>
    <w:p>
      <w:pPr>
        <w:spacing w:after="120"/>
      </w:pPr>
      <w:r>
        <w:rPr>
          <w:rFonts w:ascii="Arial" w:cs="Arial" w:eastAsia="Arial" w:hAnsi="Arial"/>
          <w:sz w:val="22"/>
          <w:szCs w:val="22"/>
        </w:rPr>
        <w:t xml:space="preserve">Either party may terminate this Agreement at its own discretion with prior sixty (60) days' written notice to the other party. The Customer shall pay all accrued and unpaid fees outstanding at the date of termination as well as the cost of the services already rendered. The rights to the results of the services delivered before the termination belong to the Customer. If the Agreement is terminated by the Contractor, the Contractor waives the right to demand further payment from the Customer beyond accrued fees.</w:t>
      </w:r>
    </w:p>
    <w:p>
      <w:pPr>
        <w:spacing w:after="80" w:before="180"/>
      </w:pPr>
      <w:r>
        <w:rPr>
          <w:rFonts w:ascii="Arial" w:cs="Arial" w:eastAsia="Arial" w:hAnsi="Arial"/>
          <w:b/>
          <w:bCs/>
          <w:color w:val="1F3864"/>
          <w:sz w:val="22"/>
          <w:szCs w:val="22"/>
        </w:rPr>
        <w:t xml:space="preserve">5.4  OTHER TERMINATION</w:t>
      </w:r>
    </w:p>
    <w:p>
      <w:pPr>
        <w:spacing w:after="200"/>
      </w:pPr>
      <w:r>
        <w:rPr>
          <w:rFonts w:ascii="Arial" w:cs="Arial" w:eastAsia="Arial" w:hAnsi="Arial"/>
          <w:sz w:val="22"/>
          <w:szCs w:val="22"/>
        </w:rPr>
        <w:t xml:space="preserve">This Agreement shall terminate, effective upon delivery of written notice by either party to the other: (i) upon institution of insolvency, receivership or bankruptcy proceedings (which shall not include an involuntary bankruptcy proceeding dismissed within thirty (30) days) or any other proceedings for the settlement of debts of the other party; (ii) upon the making of an assignment for the benefit of creditors by the other party; or (iii) upon the dissolution or liquidation of the other party.</w:t>
      </w:r>
    </w:p>
    <w:p>
      <w:pPr>
        <w:pBdr>
          <w:bottom w:val="single" w:color="C8A84B" w:sz="4" w:space="4"/>
        </w:pBdr>
        <w:spacing w:after="120" w:before="280"/>
      </w:pPr>
      <w:r>
        <w:rPr>
          <w:rFonts w:ascii="Arial" w:cs="Arial" w:eastAsia="Arial" w:hAnsi="Arial"/>
          <w:b/>
          <w:bCs/>
          <w:color w:val="1F3864"/>
          <w:sz w:val="24"/>
          <w:szCs w:val="24"/>
        </w:rPr>
        <w:t xml:space="preserve">ARTICLE 6 — DISPUTE RESOLUTION</w:t>
      </w:r>
    </w:p>
    <w:p>
      <w:pPr>
        <w:spacing w:after="80" w:before="180"/>
      </w:pPr>
      <w:r>
        <w:rPr>
          <w:rFonts w:ascii="Arial" w:cs="Arial" w:eastAsia="Arial" w:hAnsi="Arial"/>
          <w:b/>
          <w:bCs/>
          <w:color w:val="1F3864"/>
          <w:sz w:val="22"/>
          <w:szCs w:val="22"/>
        </w:rPr>
        <w:t xml:space="preserve">6.1  INFORMAL PROCEEDING</w:t>
      </w:r>
    </w:p>
    <w:p>
      <w:pPr>
        <w:spacing w:after="120"/>
      </w:pPr>
      <w:r>
        <w:rPr>
          <w:rFonts w:ascii="Arial" w:cs="Arial" w:eastAsia="Arial" w:hAnsi="Arial"/>
          <w:sz w:val="22"/>
          <w:szCs w:val="22"/>
        </w:rPr>
        <w:t xml:space="preserve">In the case of any disputes under this Agreement, the parties shall first attempt in good faith and in a reasonably brief period of time to resolve their dispute informally, and by means of prompt commercial mediation, without the necessity of a formal proceeding.</w:t>
      </w:r>
    </w:p>
    <w:p>
      <w:pPr>
        <w:spacing w:after="80" w:before="180"/>
      </w:pPr>
      <w:r>
        <w:rPr>
          <w:rFonts w:ascii="Arial" w:cs="Arial" w:eastAsia="Arial" w:hAnsi="Arial"/>
          <w:b/>
          <w:bCs/>
          <w:color w:val="1F3864"/>
          <w:sz w:val="22"/>
          <w:szCs w:val="22"/>
        </w:rPr>
        <w:t xml:space="preserve">6.2  ARBITRATION</w:t>
      </w:r>
    </w:p>
    <w:p>
      <w:r>
        <w:rPr>
          <w:rFonts w:ascii="Arial" w:cs="Arial" w:eastAsia="Arial" w:hAnsi="Arial"/>
          <w:sz w:val="1"/>
          <w:szCs w:val="1"/>
        </w:rPr>
        <w:t xml:space="preserve"/>
      </w:r>
    </w:p>
    <w:p>
      <w:pPr>
        <w:spacing w:after="120"/>
      </w:pPr>
      <w:r>
        <w:rPr>
          <w:rFonts w:ascii="Arial" w:cs="Arial" w:eastAsia="Arial" w:hAnsi="Arial"/>
          <w:sz w:val="22"/>
          <w:szCs w:val="22"/>
        </w:rPr>
        <w:t xml:space="preserve">Any controversy or dispute arising out of or relating to this Agreement, or the breach thereof, which cannot otherwise be resolved as provided above, shall be resolved by binding arbitration conducted in accordance with the </w:t>
      </w:r>
      <w:r>
        <w:rPr>
          <w:rFonts w:ascii="Arial" w:cs="Arial" w:eastAsia="Arial" w:hAnsi="Arial"/>
          <w:b/>
          <w:bCs/>
          <w:sz w:val="22"/>
          <w:szCs w:val="22"/>
        </w:rPr>
        <w:t xml:space="preserve">Arbitration Rules of the Nairobi Centre for International Arbitration (NCIA)</w:t>
      </w:r>
      <w:r>
        <w:rPr>
          <w:rFonts w:ascii="Arial" w:cs="Arial" w:eastAsia="Arial" w:hAnsi="Arial"/>
          <w:sz w:val="22"/>
          <w:szCs w:val="22"/>
        </w:rPr>
        <w:t xml:space="preserve">, and judgment upon the award rendered by the arbitration tribunal may be entered in any court having jurisdiction thereof.</w:t>
      </w:r>
    </w:p>
    <w:p>
      <w:pPr>
        <w:spacing w:after="80" w:before="180"/>
      </w:pPr>
      <w:r>
        <w:rPr>
          <w:rFonts w:ascii="Arial" w:cs="Arial" w:eastAsia="Arial" w:hAnsi="Arial"/>
          <w:b/>
          <w:bCs/>
          <w:color w:val="1F3864"/>
          <w:sz w:val="22"/>
          <w:szCs w:val="22"/>
        </w:rPr>
        <w:t xml:space="preserve">6.3  TRIBUNAL</w:t>
      </w:r>
    </w:p>
    <w:p>
      <w:r>
        <w:rPr>
          <w:rFonts w:ascii="Arial" w:cs="Arial" w:eastAsia="Arial" w:hAnsi="Arial"/>
          <w:sz w:val="1"/>
          <w:szCs w:val="1"/>
        </w:rPr>
        <w:t xml:space="preserve"/>
      </w:r>
    </w:p>
    <w:p>
      <w:pPr>
        <w:spacing w:after="120"/>
      </w:pPr>
      <w:r>
        <w:rPr>
          <w:rFonts w:ascii="Arial" w:cs="Arial" w:eastAsia="Arial" w:hAnsi="Arial"/>
          <w:sz w:val="22"/>
          <w:szCs w:val="22"/>
        </w:rPr>
        <w:t xml:space="preserve">The arbitration tribunal shall consist of a single arbitrator mutually agreed upon by the parties, or in the absence of such agreement within thirty (30) calendar days of the first referral of the dispute, designated by the </w:t>
      </w:r>
      <w:r>
        <w:rPr>
          <w:rFonts w:ascii="Arial" w:cs="Arial" w:eastAsia="Arial" w:hAnsi="Arial"/>
          <w:b/>
          <w:bCs/>
          <w:sz w:val="22"/>
          <w:szCs w:val="22"/>
        </w:rPr>
        <w:t xml:space="preserve">Nairobi Centre for International Arbitration (NCIA)</w:t>
      </w:r>
      <w:r>
        <w:rPr>
          <w:rFonts w:ascii="Arial" w:cs="Arial" w:eastAsia="Arial" w:hAnsi="Arial"/>
          <w:sz w:val="22"/>
          <w:szCs w:val="22"/>
        </w:rPr>
        <w:t xml:space="preserve">. The arbitration shall be conducted in the </w:t>
      </w:r>
      <w:r>
        <w:rPr>
          <w:rFonts w:ascii="Arial" w:cs="Arial" w:eastAsia="Arial" w:hAnsi="Arial"/>
          <w:b/>
          <w:bCs/>
          <w:sz w:val="22"/>
          <w:szCs w:val="22"/>
        </w:rPr>
        <w:t xml:space="preserve">English language</w:t>
      </w:r>
      <w:r>
        <w:rPr>
          <w:rFonts w:ascii="Arial" w:cs="Arial" w:eastAsia="Arial" w:hAnsi="Arial"/>
          <w:sz w:val="22"/>
          <w:szCs w:val="22"/>
        </w:rPr>
        <w:t xml:space="preserve"> and the place of arbitration shall be </w:t>
      </w:r>
      <w:r>
        <w:rPr>
          <w:rFonts w:ascii="Arial" w:cs="Arial" w:eastAsia="Arial" w:hAnsi="Arial"/>
          <w:b/>
          <w:bCs/>
          <w:sz w:val="22"/>
          <w:szCs w:val="22"/>
        </w:rPr>
        <w:t xml:space="preserve">Nairobi, Kenya</w:t>
      </w:r>
      <w:r>
        <w:rPr>
          <w:rFonts w:ascii="Arial" w:cs="Arial" w:eastAsia="Arial" w:hAnsi="Arial"/>
          <w:sz w:val="22"/>
          <w:szCs w:val="22"/>
        </w:rPr>
        <w:t xml:space="preserve">, unless the parties shall have agreed to another location within fifteen (15) calendar days from the first referral of the dispute.</w:t>
      </w:r>
    </w:p>
    <w:p>
      <w:pPr>
        <w:spacing w:after="80" w:before="180"/>
      </w:pPr>
      <w:r>
        <w:rPr>
          <w:rFonts w:ascii="Arial" w:cs="Arial" w:eastAsia="Arial" w:hAnsi="Arial"/>
          <w:b/>
          <w:bCs/>
          <w:color w:val="1F3864"/>
          <w:sz w:val="22"/>
          <w:szCs w:val="22"/>
        </w:rPr>
        <w:t xml:space="preserve">6.4  FINAL AND BINDING</w:t>
      </w:r>
    </w:p>
    <w:p>
      <w:pPr>
        <w:spacing w:after="120"/>
      </w:pPr>
      <w:r>
        <w:rPr>
          <w:rFonts w:ascii="Arial" w:cs="Arial" w:eastAsia="Arial" w:hAnsi="Arial"/>
          <w:sz w:val="22"/>
          <w:szCs w:val="22"/>
        </w:rPr>
        <w:t xml:space="preserve">The arbitration award shall be final and binding.</w:t>
      </w:r>
    </w:p>
    <w:p>
      <w:pPr>
        <w:spacing w:after="80" w:before="180"/>
      </w:pPr>
      <w:r>
        <w:rPr>
          <w:rFonts w:ascii="Arial" w:cs="Arial" w:eastAsia="Arial" w:hAnsi="Arial"/>
          <w:b/>
          <w:bCs/>
          <w:color w:val="1F3864"/>
          <w:sz w:val="22"/>
          <w:szCs w:val="22"/>
        </w:rPr>
        <w:t xml:space="preserve">6.5  WAIVER OF APPEAL / JUDICIAL COMPULSION</w:t>
      </w:r>
    </w:p>
    <w:p>
      <w:pPr>
        <w:spacing w:after="120"/>
      </w:pPr>
      <w:r>
        <w:rPr>
          <w:rFonts w:ascii="Arial" w:cs="Arial" w:eastAsia="Arial" w:hAnsi="Arial"/>
          <w:sz w:val="22"/>
          <w:szCs w:val="22"/>
        </w:rPr>
        <w:t xml:space="preserve">The parties waive any right to appeal the arbitration award, to the extent a right to appeal may be lawfully waived. Each party retains the right to seek judicial assistance: (i) to compel arbitration; (ii) to obtain interim measures of protection prior to or pending arbitration; (iii) to seek injunctive relief in the courts of any jurisdiction as may be necessary and appropriate to protect the unauthorised disclosure of its proprietary or confidential information; and (iv) to enforce any decision of the arbitrator, including the final award.</w:t>
      </w:r>
    </w:p>
    <w:p>
      <w:pPr>
        <w:spacing w:after="80" w:before="180"/>
      </w:pPr>
      <w:r>
        <w:rPr>
          <w:rFonts w:ascii="Arial" w:cs="Arial" w:eastAsia="Arial" w:hAnsi="Arial"/>
          <w:b/>
          <w:bCs/>
          <w:color w:val="1F3864"/>
          <w:sz w:val="22"/>
          <w:szCs w:val="22"/>
        </w:rPr>
        <w:t xml:space="preserve">6.6  PROCEEDINGS CONFIDENTIAL</w:t>
      </w:r>
    </w:p>
    <w:p>
      <w:pPr>
        <w:spacing w:after="200"/>
      </w:pPr>
      <w:r>
        <w:rPr>
          <w:rFonts w:ascii="Arial" w:cs="Arial" w:eastAsia="Arial" w:hAnsi="Arial"/>
          <w:sz w:val="22"/>
          <w:szCs w:val="22"/>
        </w:rPr>
        <w:t xml:space="preserve">The arbitration proceedings contemplated by this Article shall be as confidential and private as permitted by law. The parties shall not disclose the existence, content or results of any proceedings conducted in accordance with this Article, and materials submitted in connection with such proceedings are for the purposes of settlement and compromise; provided, however, that this confidentiality provision shall not prevent a petition to vacate or enforce an arbitration award, and shall not bar disclosures required by law.</w:t>
      </w:r>
    </w:p>
    <w:p>
      <w:pPr>
        <w:pBdr>
          <w:bottom w:val="single" w:color="C8A84B" w:sz="4" w:space="4"/>
        </w:pBdr>
        <w:spacing w:after="120" w:before="280"/>
      </w:pPr>
      <w:r>
        <w:rPr>
          <w:rFonts w:ascii="Arial" w:cs="Arial" w:eastAsia="Arial" w:hAnsi="Arial"/>
          <w:b/>
          <w:bCs/>
          <w:color w:val="1F3864"/>
          <w:sz w:val="24"/>
          <w:szCs w:val="24"/>
        </w:rPr>
        <w:t xml:space="preserve">ARTICLE 7 — INDEMNIFICATION</w:t>
      </w:r>
    </w:p>
    <w:p>
      <w:pPr>
        <w:spacing w:after="80" w:before="180"/>
      </w:pPr>
      <w:r>
        <w:rPr>
          <w:rFonts w:ascii="Arial" w:cs="Arial" w:eastAsia="Arial" w:hAnsi="Arial"/>
          <w:b/>
          <w:bCs/>
          <w:color w:val="1F3864"/>
          <w:sz w:val="22"/>
          <w:szCs w:val="22"/>
        </w:rPr>
        <w:t xml:space="preserve">7.1  CONTRACTOR'S INDEMNIFICATION OF CUSTOMER</w:t>
      </w:r>
    </w:p>
    <w:p>
      <w:pPr>
        <w:spacing w:after="120"/>
      </w:pPr>
      <w:r>
        <w:rPr>
          <w:rFonts w:ascii="Arial" w:cs="Arial" w:eastAsia="Arial" w:hAnsi="Arial"/>
          <w:sz w:val="22"/>
          <w:szCs w:val="22"/>
        </w:rPr>
        <w:t xml:space="preserve">The Contractor shall defend, indemnify, and hold harmless the Customer, its affiliates, officers, directors, employees, agents, and subcontractors from and against any and all claims, suits, liabilities, damages, costs, and expenses (including reasonable attorneys' fees and court costs) arising out of or connected with the Contractor's breach of this Agreement, negligence, wilful misconduct, or infringement of any valid patent, copyright, trade secret, or other intellectual property right related to the Project under applicable law. If such a claim arises, Contractor may, at its sole discretion: (i) procure for Customer the right to continue using the infringing material or work product, (ii) replace or modify the infringing material to be non-infringing while materially conforming to the agreed specifications, or (iii) if neither is reasonably available, terminate this Agreement and refund any prepaid fees for the undelivered portion of services. Contractor shall have no obligation under this clause for claims arising from modifications to Contractor's work made by others, or use of Contractor's work in combination with unauthorised materials or outside Contractor's directions.</w:t>
      </w:r>
    </w:p>
    <w:p>
      <w:pPr>
        <w:spacing w:after="80" w:before="180"/>
      </w:pPr>
      <w:r>
        <w:rPr>
          <w:rFonts w:ascii="Arial" w:cs="Arial" w:eastAsia="Arial" w:hAnsi="Arial"/>
          <w:b/>
          <w:bCs/>
          <w:color w:val="1F3864"/>
          <w:sz w:val="22"/>
          <w:szCs w:val="22"/>
        </w:rPr>
        <w:t xml:space="preserve">7.2  CUSTOMER'S INDEMNIFICATION OF CONTRACTOR</w:t>
      </w:r>
    </w:p>
    <w:p>
      <w:r>
        <w:rPr>
          <w:rFonts w:ascii="Arial" w:cs="Arial" w:eastAsia="Arial" w:hAnsi="Arial"/>
          <w:sz w:val="1"/>
          <w:szCs w:val="1"/>
        </w:rPr>
        <w:t xml:space="preserve"/>
      </w:r>
    </w:p>
    <w:p>
      <w:pPr>
        <w:spacing w:after="120"/>
      </w:pPr>
      <w:r>
        <w:rPr>
          <w:rFonts w:ascii="Arial" w:cs="Arial" w:eastAsia="Arial" w:hAnsi="Arial"/>
          <w:sz w:val="22"/>
          <w:szCs w:val="22"/>
        </w:rPr>
        <w:t xml:space="preserve">The Customer shall defend, indemnify, and hold harmless the Contractor, its affiliates, officers, directors, employees, agents, and subcontractors from and against any and all claims, suits, liabilities, damages, costs, and expenses (including reasonable attorneys' fees and court costs) arising out of or connected with the Customer's breach of this Agreement, negligence, wilful misconduct, provision of inaccurate or incomplete information, or any act or omission of any third party engaged by the Customer in connection with the Project. If such a claim arises from Customer-provided materials, Customer shall, at its sole discretion: (i) procure the right for Contractor to continue operating without liability, (ii) modify the relevant Customer-provided materials, or (iii) if neither is reasonably available, provide compensation to Contractor for losses incurred. Customer shall have no obligation under this clause for claims arising directly and solely from the Contractor's own wilful misconduct or gross negligence.</w:t>
      </w:r>
    </w:p>
    <w:p>
      <w:pPr>
        <w:spacing w:after="80" w:before="180"/>
      </w:pPr>
      <w:r>
        <w:rPr>
          <w:rFonts w:ascii="Arial" w:cs="Arial" w:eastAsia="Arial" w:hAnsi="Arial"/>
          <w:b/>
          <w:bCs/>
          <w:color w:val="1F3864"/>
          <w:sz w:val="22"/>
          <w:szCs w:val="22"/>
        </w:rPr>
        <w:t xml:space="preserve">7.3  NOTICE AND DEFENCE</w:t>
      </w:r>
    </w:p>
    <w:p>
      <w:pPr>
        <w:spacing w:after="120"/>
      </w:pPr>
      <w:r>
        <w:rPr>
          <w:rFonts w:ascii="Arial" w:cs="Arial" w:eastAsia="Arial" w:hAnsi="Arial"/>
          <w:sz w:val="22"/>
          <w:szCs w:val="22"/>
        </w:rPr>
        <w:t xml:space="preserve">The indemnified party shall promptly notify the indemnifying party in writing of any claim for which indemnity is sought and grant the indemnifying party the opportunity to assume the defence with counsel reasonably acceptable to the indemnified party. The indemnified party may participate in the defence at its own expense. Neither party may settle or resolve any claim without the other's prior written consent unless the settlement involves only monetary payment and unconditional release.</w:t>
      </w:r>
    </w:p>
    <w:p>
      <w:pPr>
        <w:spacing w:after="80" w:before="180"/>
      </w:pPr>
      <w:r>
        <w:rPr>
          <w:rFonts w:ascii="Arial" w:cs="Arial" w:eastAsia="Arial" w:hAnsi="Arial"/>
          <w:b/>
          <w:bCs/>
          <w:color w:val="1F3864"/>
          <w:sz w:val="22"/>
          <w:szCs w:val="22"/>
        </w:rPr>
        <w:t xml:space="preserve">7.4  LIMITATION OF LIABILITY</w:t>
      </w:r>
    </w:p>
    <w:p>
      <w:pPr>
        <w:spacing w:after="120"/>
      </w:pPr>
      <w:r>
        <w:rPr>
          <w:rFonts w:ascii="Arial" w:cs="Arial" w:eastAsia="Arial" w:hAnsi="Arial"/>
          <w:sz w:val="22"/>
          <w:szCs w:val="22"/>
        </w:rPr>
        <w:t xml:space="preserve">Except for indemnification obligations, neither party shall be liable to the other for special, incidental, consequential, punitive, or indirect damages arising from this Agreement.</w:t>
      </w:r>
    </w:p>
    <w:p>
      <w:pPr>
        <w:spacing w:after="80" w:before="180"/>
      </w:pPr>
      <w:r>
        <w:rPr>
          <w:rFonts w:ascii="Arial" w:cs="Arial" w:eastAsia="Arial" w:hAnsi="Arial"/>
          <w:b/>
          <w:bCs/>
          <w:color w:val="1F3864"/>
          <w:sz w:val="22"/>
          <w:szCs w:val="22"/>
        </w:rPr>
        <w:t xml:space="preserve">7.5  DISCLAIMER OF WARRANTIES</w:t>
      </w:r>
    </w:p>
    <w:p>
      <w:pPr>
        <w:spacing w:after="200"/>
      </w:pPr>
      <w:r>
        <w:rPr>
          <w:rFonts w:ascii="Arial" w:cs="Arial" w:eastAsia="Arial" w:hAnsi="Arial"/>
          <w:sz w:val="22"/>
          <w:szCs w:val="22"/>
        </w:rPr>
        <w:t xml:space="preserve">Except as expressly provided, each party disclaims all warranties, express or implied, including merchantability, fitness for a particular purpose, and non-infringement.</w:t>
      </w:r>
    </w:p>
    <w:p>
      <w:pPr>
        <w:pBdr>
          <w:bottom w:val="single" w:color="C8A84B" w:sz="4" w:space="4"/>
        </w:pBdr>
        <w:spacing w:after="120" w:before="280"/>
      </w:pPr>
      <w:r>
        <w:rPr>
          <w:rFonts w:ascii="Arial" w:cs="Arial" w:eastAsia="Arial" w:hAnsi="Arial"/>
          <w:b/>
          <w:bCs/>
          <w:color w:val="1F3864"/>
          <w:sz w:val="24"/>
          <w:szCs w:val="24"/>
        </w:rPr>
        <w:t xml:space="preserve">ARTICLE 8 — LIMITATION OF LIABILITY AND DAMAGES</w:t>
      </w:r>
    </w:p>
    <w:p>
      <w:pPr>
        <w:spacing w:after="80" w:before="180"/>
      </w:pPr>
      <w:r>
        <w:rPr>
          <w:rFonts w:ascii="Arial" w:cs="Arial" w:eastAsia="Arial" w:hAnsi="Arial"/>
          <w:b/>
          <w:bCs/>
          <w:color w:val="1F3864"/>
          <w:sz w:val="22"/>
          <w:szCs w:val="22"/>
        </w:rPr>
        <w:t xml:space="preserve">8.1  CAP ON LIABILITY</w:t>
      </w:r>
    </w:p>
    <w:p>
      <w:pPr>
        <w:spacing w:after="120"/>
      </w:pPr>
      <w:r>
        <w:rPr>
          <w:rFonts w:ascii="Arial" w:cs="Arial" w:eastAsia="Arial" w:hAnsi="Arial"/>
          <w:sz w:val="22"/>
          <w:szCs w:val="22"/>
        </w:rPr>
        <w:t xml:space="preserve">Except for each party's liability arising out of its indemnification obligations, liability for all claims arising out of this Agreement, whether in contract, tort or otherwise, shall not exceed the amount of fees paid by the Customer to Contractor under this Agreement during the six (6) months preceding the claim.</w:t>
      </w:r>
    </w:p>
    <w:p>
      <w:pPr>
        <w:spacing w:after="80" w:before="180"/>
      </w:pPr>
      <w:r>
        <w:rPr>
          <w:rFonts w:ascii="Arial" w:cs="Arial" w:eastAsia="Arial" w:hAnsi="Arial"/>
          <w:b/>
          <w:bCs/>
          <w:color w:val="1F3864"/>
          <w:sz w:val="22"/>
          <w:szCs w:val="22"/>
        </w:rPr>
        <w:t xml:space="preserve">8.2  DAMAGES</w:t>
      </w:r>
    </w:p>
    <w:p>
      <w:pPr>
        <w:spacing w:after="200"/>
      </w:pPr>
      <w:r>
        <w:rPr>
          <w:rFonts w:ascii="Arial" w:cs="Arial" w:eastAsia="Arial" w:hAnsi="Arial"/>
          <w:sz w:val="22"/>
          <w:szCs w:val="22"/>
        </w:rPr>
        <w:t xml:space="preserve">IN NO EVENT SHALL EITHER PARTY BE LIABLE FOR ANY LOSS OF DATA, LOSS OF BUSINESS PROFITS, BUSINESS INTERRUPTION, OR OTHER SPECIAL, INCIDENTAL, CONSEQUENTIAL, PUNITIVE OR INDIRECT DAMAGES ARISING FROM OR IN RELATION TO THIS AGREEMENT OR THE USE OF THE SERVICES, HOWEVER CAUSED AND REGARDLESS OF THEORY OF LIABILITY. THIS LIMITATION WILL APPLY EVEN IF SUCH PARTY HAS BEEN ADVISED OR IS AWARE OF THE POSSIBILITY OF SUCH DAMAGES.</w:t>
      </w:r>
    </w:p>
    <w:p>
      <w:pPr>
        <w:pBdr>
          <w:bottom w:val="single" w:color="C8A84B" w:sz="4" w:space="4"/>
        </w:pBdr>
        <w:spacing w:after="120" w:before="280"/>
      </w:pPr>
      <w:r>
        <w:rPr>
          <w:rFonts w:ascii="Arial" w:cs="Arial" w:eastAsia="Arial" w:hAnsi="Arial"/>
          <w:b/>
          <w:bCs/>
          <w:color w:val="1F3864"/>
          <w:sz w:val="24"/>
          <w:szCs w:val="24"/>
        </w:rPr>
        <w:t xml:space="preserve">ARTICLE 9 — NON-SOLICITATION</w:t>
      </w:r>
    </w:p>
    <w:p>
      <w:pPr>
        <w:spacing w:after="200"/>
      </w:pPr>
      <w:r>
        <w:rPr>
          <w:rFonts w:ascii="Arial" w:cs="Arial" w:eastAsia="Arial" w:hAnsi="Arial"/>
          <w:sz w:val="22"/>
          <w:szCs w:val="22"/>
        </w:rPr>
        <w:t xml:space="preserve">During and for a period of two (2) years after the expiration or termination of this Agreement (the "Period of Restriction"), neither party will request or otherwise attempt to induce or influence, directly or indirectly, any present customer, distributor or supplier, or prospective customer, distributor or supplier, of the other Party, or other persons sharing a business relationship with the other party, to cancel, to limit or postpone their business with the other party, or otherwise take action which might be to the material disadvantage of the other party. However, this provision shall not prevent or preclude either party from marketing their products and services to other potential clients and such marketing efforts shall not constitute a breach of this provision. During the Period of Restriction, a party will not, directly or indirectly, without the express written consent of the other party, employ, influence or attempt to employ, directly or indirectly, any employee or subcontractor of the other party.</w:t>
      </w:r>
    </w:p>
    <w:p>
      <w:r>
        <w:br w:type="page"/>
      </w:r>
    </w:p>
    <w:p>
      <w:pPr>
        <w:pBdr>
          <w:bottom w:val="single" w:color="C8A84B" w:sz="4" w:space="4"/>
        </w:pBdr>
        <w:spacing w:after="120" w:before="280"/>
      </w:pPr>
      <w:r>
        <w:rPr>
          <w:rFonts w:ascii="Arial" w:cs="Arial" w:eastAsia="Arial" w:hAnsi="Arial"/>
          <w:b/>
          <w:bCs/>
          <w:color w:val="1F3864"/>
          <w:sz w:val="24"/>
          <w:szCs w:val="24"/>
        </w:rPr>
        <w:t xml:space="preserve">SIGNATURE PAGE</w:t>
      </w:r>
    </w:p>
    <w:p>
      <w:pPr>
        <w:spacing w:after="200"/>
      </w:pPr>
      <w:r>
        <w:rPr>
          <w:rFonts w:ascii="Arial" w:cs="Arial" w:eastAsia="Arial" w:hAnsi="Arial"/>
          <w:sz w:val="22"/>
          <w:szCs w:val="22"/>
        </w:rPr>
        <w:t xml:space="preserve">IN WITNESS WHEREOF, the parties have executed this Agreement as of the day and year first above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300"/>
        <w:gridCol w:w="4500"/>
      </w:tblGrid>
      <w:tr>
        <w:tc>
          <w:tcPr>
            <w:tcW w:type="dxa" w:w="45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CONTRACTOR</w:t>
            </w:r>
          </w:p>
        </w:tc>
        <w:tc>
          <w:tcPr>
            <w:tcW w:type="dxa" w:w="3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CUSTOMER</w:t>
            </w:r>
          </w:p>
        </w:tc>
      </w:tr>
      <w:tr>
        <w:tc>
          <w:tcPr>
            <w:tcW w:type="dxa" w:w="4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b/>
                <w:bCs/>
                <w:sz w:val="20"/>
                <w:szCs w:val="20"/>
              </w:rPr>
              <w:t xml:space="preserve">Name:  </w:t>
            </w:r>
            <w:r>
              <w:rPr>
                <w:rFonts w:ascii="Arial" w:cs="Arial" w:eastAsia="Arial" w:hAnsi="Arial"/>
                <w:sz w:val="20"/>
                <w:szCs w:val="20"/>
              </w:rPr>
              <w:t xml:space="preserve">Andre Wilson</w:t>
            </w:r>
          </w:p>
        </w:tc>
        <w:tc>
          <w:tcPr>
            <w:tcW w:type="dxa" w:w="3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b/>
                <w:bCs/>
                <w:sz w:val="20"/>
                <w:szCs w:val="20"/>
              </w:rPr>
              <w:t xml:space="preserve">Name:  </w:t>
            </w:r>
            <w:r>
              <w:rPr>
                <w:rFonts w:ascii="Arial" w:cs="Arial" w:eastAsia="Arial" w:hAnsi="Arial"/>
                <w:sz w:val="20"/>
                <w:szCs w:val="20"/>
              </w:rPr>
              <w:t xml:space="preserve">Peter Njeru</w:t>
            </w:r>
          </w:p>
        </w:tc>
      </w:tr>
      <w:tr>
        <w:tc>
          <w:tcPr>
            <w:tcW w:type="dxa" w:w="4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b/>
                <w:bCs/>
                <w:sz w:val="20"/>
                <w:szCs w:val="20"/>
              </w:rPr>
              <w:t xml:space="preserve">Company:  </w:t>
            </w:r>
            <w:r>
              <w:rPr>
                <w:rFonts w:ascii="Arial" w:cs="Arial" w:eastAsia="Arial" w:hAnsi="Arial"/>
                <w:sz w:val="20"/>
                <w:szCs w:val="20"/>
              </w:rPr>
              <w:t xml:space="preserve">Provecta Group Limited</w:t>
            </w:r>
          </w:p>
        </w:tc>
        <w:tc>
          <w:tcPr>
            <w:tcW w:type="dxa" w:w="3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b/>
                <w:bCs/>
                <w:sz w:val="20"/>
                <w:szCs w:val="20"/>
              </w:rPr>
              <w:t xml:space="preserve">Company:  </w:t>
            </w:r>
            <w:r>
              <w:rPr>
                <w:rFonts w:ascii="Arial" w:cs="Arial" w:eastAsia="Arial" w:hAnsi="Arial"/>
                <w:sz w:val="20"/>
                <w:szCs w:val="20"/>
              </w:rPr>
              <w:t xml:space="preserve">Ecotecture Limited</w:t>
            </w:r>
          </w:p>
        </w:tc>
      </w:tr>
      <w:tr>
        <w:tc>
          <w:tcPr>
            <w:tcW w:type="dxa" w:w="4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b/>
                <w:bCs/>
                <w:sz w:val="20"/>
                <w:szCs w:val="20"/>
              </w:rPr>
              <w:t xml:space="preserve">Address:  </w:t>
            </w:r>
            <w:r>
              <w:rPr>
                <w:rFonts w:ascii="Arial" w:cs="Arial" w:eastAsia="Arial" w:hAnsi="Arial"/>
                <w:sz w:val="20"/>
                <w:szCs w:val="20"/>
              </w:rPr>
              <w:t xml:space="preserve">Mombasa, Kenya</w:t>
            </w:r>
          </w:p>
        </w:tc>
        <w:tc>
          <w:tcPr>
            <w:tcW w:type="dxa" w:w="3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b/>
                <w:bCs/>
                <w:sz w:val="20"/>
                <w:szCs w:val="20"/>
              </w:rPr>
              <w:t xml:space="preserve">Address:  </w:t>
            </w:r>
            <w:r>
              <w:rPr>
                <w:rFonts w:ascii="Arial" w:cs="Arial" w:eastAsia="Arial" w:hAnsi="Arial"/>
                <w:sz w:val="20"/>
                <w:szCs w:val="20"/>
              </w:rPr>
              <w:t xml:space="preserve">P.O. Box 60160 – 00100, Nairobi, Kenya</w:t>
            </w:r>
          </w:p>
        </w:tc>
      </w:tr>
      <w:tr>
        <w:tc>
          <w:tcPr>
            <w:tcW w:type="dxa" w:w="4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b/>
                <w:bCs/>
                <w:sz w:val="20"/>
                <w:szCs w:val="20"/>
              </w:rPr>
              <w:t xml:space="preserve">Title:  </w:t>
            </w:r>
            <w:r>
              <w:rPr>
                <w:rFonts w:ascii="Arial" w:cs="Arial" w:eastAsia="Arial" w:hAnsi="Arial"/>
                <w:sz w:val="20"/>
                <w:szCs w:val="20"/>
              </w:rPr>
              <w:t xml:space="preserve">Managing Director</w:t>
            </w:r>
          </w:p>
        </w:tc>
        <w:tc>
          <w:tcPr>
            <w:tcW w:type="dxa" w:w="3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b/>
                <w:bCs/>
                <w:sz w:val="20"/>
                <w:szCs w:val="20"/>
              </w:rPr>
              <w:t xml:space="preserve">Title:  </w:t>
            </w:r>
            <w:r>
              <w:rPr>
                <w:rFonts w:ascii="Arial" w:cs="Arial" w:eastAsia="Arial" w:hAnsi="Arial"/>
                <w:sz w:val="20"/>
                <w:szCs w:val="20"/>
              </w:rPr>
              <w:t xml:space="preserve">Managing Director</w:t>
            </w:r>
          </w:p>
        </w:tc>
      </w:tr>
      <w:tr>
        <w:tc>
          <w:tcPr>
            <w:tcW w:type="dxa" w:w="4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b/>
                <w:bCs/>
                <w:sz w:val="20"/>
                <w:szCs w:val="20"/>
              </w:rPr>
              <w:t xml:space="preserve">Email:  </w:t>
            </w:r>
            <w:r>
              <w:rPr>
                <w:rFonts w:ascii="Arial" w:cs="Arial" w:eastAsia="Arial" w:hAnsi="Arial"/>
                <w:sz w:val="20"/>
                <w:szCs w:val="20"/>
              </w:rPr>
              <w:t xml:space="preserve">Hassan.Qaseem@gc-usa.com</w:t>
            </w:r>
          </w:p>
        </w:tc>
        <w:tc>
          <w:tcPr>
            <w:tcW w:type="dxa" w:w="3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b/>
                <w:bCs/>
                <w:sz w:val="20"/>
                <w:szCs w:val="20"/>
              </w:rPr>
              <w:t xml:space="preserve">Email:  </w:t>
            </w:r>
            <w:r>
              <w:rPr>
                <w:rFonts w:ascii="Arial" w:cs="Arial" w:eastAsia="Arial" w:hAnsi="Arial"/>
                <w:sz w:val="20"/>
                <w:szCs w:val="20"/>
              </w:rPr>
              <w:t xml:space="preserve">njeru@ecotecture.co.ke</w:t>
            </w:r>
          </w:p>
        </w:tc>
      </w:tr>
      <w:tr>
        <w:tc>
          <w:tcPr>
            <w:tcW w:type="dxa" w:w="4560"/>
            <w:tcBorders>
              <w:top w:val="single" w:color="AAAAAA" w:sz="1"/>
              <w:left w:val="single" w:color="AAAAAA" w:sz="1"/>
              <w:bottom w:val="single" w:color="AAAAAA" w:sz="1"/>
              <w:right w:val="single" w:color="AAAAAA" w:sz="1"/>
            </w:tcBorders>
            <w:tcMar>
              <w:top w:type="dxa" w:w="80"/>
              <w:left w:type="dxa" w:w="160"/>
              <w:bottom w:type="dxa" w:w="240"/>
              <w:right w:type="dxa" w:w="160"/>
            </w:tcMar>
          </w:tcPr>
          <w:p>
            <w:r>
              <w:rPr>
                <w:rFonts w:ascii="Arial" w:cs="Arial" w:eastAsia="Arial" w:hAnsi="Arial"/>
                <w:b/>
                <w:bCs/>
                <w:sz w:val="20"/>
                <w:szCs w:val="20"/>
              </w:rPr>
              <w:t xml:space="preserve">Signature:</w:t>
            </w:r>
          </w:p>
          <w:p>
            <w:r>
              <w:drawing>
                <wp:inline distT="0" distB="0" distL="0" distR="0">
                  <wp:extent cx="1905000" cy="1076325"/>
                  <wp:effectExtent l="0" t="0" r="0" b="0"/>
                  <wp:docPr id="1001" name="AndreWilsonSignature" descr="Andre Wilson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AndreWilsonSignature"/>
                          <pic:cNvPicPr>
                            <a:picLocks noChangeAspect="1" noChangeArrowheads="1"/>
                          </pic:cNvPicPr>
                        </pic:nvPicPr>
                        <pic:blipFill>
                          <a:blip r:embed="rId10"/>
                          <a:stretch>
                            <a:fillRect/>
                          </a:stretch>
                        </pic:blipFill>
                        <pic:spPr bwMode="auto">
                          <a:xfrm>
                            <a:off x="0" y="0"/>
                            <a:ext cx="1905000" cy="1076325"/>
                          </a:xfrm>
                          <a:prstGeom prst="rect">
                            <a:avLst/>
                          </a:prstGeom>
                          <a:noFill/>
                        </pic:spPr>
                      </pic:pic>
                    </a:graphicData>
                  </a:graphic>
                </wp:inline>
              </w:drawing>
            </w:r>
          </w:p>
          <w:p>
            <w:pPr>
              <w:pBdr>
                <w:bottom w:val="single" w:color="000000" w:sz="4"/>
              </w:pBdr>
            </w:pPr>
            <w:r>
              <w:rPr>
                <w:rFonts w:ascii="Arial" w:cs="Arial" w:eastAsia="Arial" w:hAnsi="Arial"/>
                <w:sz w:val="22"/>
                <w:szCs w:val="22"/>
              </w:rPr>
              <w:t xml:space="preserve"/>
            </w:r>
          </w:p>
        </w:tc>
        <w:tc>
          <w:tcPr>
            <w:tcW w:type="dxa" w:w="3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single" w:color="AAAAAA" w:sz="1"/>
              <w:left w:val="single" w:color="AAAAAA" w:sz="1"/>
              <w:bottom w:val="single" w:color="AAAAAA" w:sz="1"/>
              <w:right w:val="single" w:color="AAAAAA" w:sz="1"/>
            </w:tcBorders>
            <w:tcMar>
              <w:top w:type="dxa" w:w="80"/>
              <w:left w:type="dxa" w:w="160"/>
              <w:bottom w:type="dxa" w:w="240"/>
              <w:right w:type="dxa" w:w="160"/>
            </w:tcMar>
          </w:tcPr>
          <w:p>
            <w:r>
              <w:rPr>
                <w:rFonts w:ascii="Arial" w:cs="Arial" w:eastAsia="Arial" w:hAnsi="Arial"/>
                <w:b/>
                <w:bCs/>
                <w:sz w:val="20"/>
                <w:szCs w:val="20"/>
              </w:rPr>
              <w:t xml:space="preserve">Signature:</w:t>
            </w:r>
          </w:p>
          <w:p>
            <w:r>
              <w:rPr>
                <w:rFonts w:ascii="Arial" w:cs="Arial" w:eastAsia="Arial" w:hAnsi="Arial"/>
                <w:sz w:val="22"/>
                <w:szCs w:val="22"/>
              </w:rPr>
              <w:t xml:space="preserve"/>
            </w:r>
          </w:p>
          <w:p>
            <w:r>
              <w:rPr>
                <w:rFonts w:ascii="Arial" w:cs="Arial" w:eastAsia="Arial" w:hAnsi="Arial"/>
                <w:sz w:val="22"/>
                <w:szCs w:val="22"/>
              </w:rPr>
              <w:t xml:space="preserve"/>
            </w:r>
          </w:p>
          <w:p>
            <w:pPr>
              <w:pBdr>
                <w:bottom w:val="single" w:color="000000" w:sz="4"/>
              </w:pBdr>
            </w:pPr>
            <w:r>
              <w:rPr>
                <w:rFonts w:ascii="Arial" w:cs="Arial" w:eastAsia="Arial" w:hAnsi="Arial"/>
                <w:sz w:val="22"/>
                <w:szCs w:val="22"/>
              </w:rPr>
              <w:t xml:space="preserve"/>
            </w:r>
          </w:p>
        </w:tc>
      </w:tr>
      <w:tr>
        <w:tc>
          <w:tcPr>
            <w:tcW w:type="dxa" w:w="4560"/>
            <w:tcBorders>
              <w:top w:val="single" w:color="AAAAAA" w:sz="1"/>
              <w:left w:val="single" w:color="AAAAAA" w:sz="1"/>
              <w:bottom w:val="single" w:color="AAAAAA" w:sz="1"/>
              <w:right w:val="single" w:color="AAAAAA" w:sz="1"/>
            </w:tcBorders>
            <w:tcMar>
              <w:top w:type="dxa" w:w="80"/>
              <w:left w:type="dxa" w:w="160"/>
              <w:bottom w:type="dxa" w:w="120"/>
              <w:right w:type="dxa" w:w="160"/>
            </w:tcMar>
          </w:tcPr>
          <w:p>
            <w:r>
              <w:rPr>
                <w:rFonts w:ascii="Arial" w:cs="Arial" w:eastAsia="Arial" w:hAnsi="Arial"/>
                <w:sz w:val="20"/>
                <w:szCs w:val="20"/>
              </w:rPr>
              <w:t xml:space="preserve">Date: ____________________________</w:t>
            </w:r>
          </w:p>
        </w:tc>
        <w:tc>
          <w:tcPr>
            <w:tcW w:type="dxa" w:w="3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single" w:color="AAAAAA" w:sz="1"/>
              <w:left w:val="single" w:color="AAAAAA" w:sz="1"/>
              <w:bottom w:val="single" w:color="AAAAAA" w:sz="1"/>
              <w:right w:val="single" w:color="AAAAAA" w:sz="1"/>
            </w:tcBorders>
            <w:tcMar>
              <w:top w:type="dxa" w:w="80"/>
              <w:left w:type="dxa" w:w="160"/>
              <w:bottom w:type="dxa" w:w="120"/>
              <w:right w:type="dxa" w:w="160"/>
            </w:tcMar>
          </w:tcPr>
          <w:p>
            <w:r>
              <w:rPr>
                <w:rFonts w:ascii="Arial" w:cs="Arial" w:eastAsia="Arial" w:hAnsi="Arial"/>
                <w:sz w:val="20"/>
                <w:szCs w:val="20"/>
              </w:rPr>
              <w:t xml:space="preserve">Date: ____________________________</w:t>
            </w:r>
          </w:p>
        </w:tc>
      </w:tr>
    </w:tbl>
    <w:p>
      <w:r>
        <w:rPr>
          <w:rFonts w:ascii="Arial" w:cs="Arial" w:eastAsia="Arial" w:hAnsi="Arial"/>
          <w:sz w:val="22"/>
          <w:szCs w:val="22"/>
        </w:rPr>
        <w:t xml:space="preserve"/>
      </w:r>
    </w:p>
    <w:p>
      <w:r>
        <w:rPr>
          <w:rFonts w:ascii="Arial" w:cs="Arial" w:eastAsia="Arial" w:hAnsi="Arial"/>
          <w:sz w:val="22"/>
          <w:szCs w:val="22"/>
        </w:rPr>
        <w:t xml:space="preserve"/>
      </w:r>
    </w:p>
    <w:p>
      <w:pPr>
        <w:jc w:val="center"/>
      </w:pPr>
      <w:r>
        <w:rPr>
          <w:rFonts w:ascii="Arial" w:cs="Arial" w:eastAsia="Arial" w:hAnsi="Arial"/>
          <w:b/>
          <w:bCs/>
          <w:color w:val="1F3864"/>
          <w:sz w:val="20"/>
          <w:szCs w:val="20"/>
        </w:rPr>
        <w:t xml:space="preserve">— END OF AGREEMENT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4" w:space="4"/>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Provecta Group Limited / Ecotecture Limited — Project Management Contract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4" w:space="4"/>
      </w:pBdr>
    </w:pPr>
    <w:r>
      <w:rPr>
        <w:rFonts w:ascii="Arial" w:cs="Arial" w:eastAsia="Arial" w:hAnsi="Arial"/>
        <w:color w:val="888888"/>
        <w:sz w:val="18"/>
        <w:szCs w:val="18"/>
      </w:rPr>
      <w:t xml:space="preserve">Provecta Group Limited / Ecotecture Limited — Project Management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signatur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2026-04-08T07:23:31.275Z</dcterms:created>
  <dcterms:modified xsi:type="dcterms:W3CDTF">2026-04-08T07:23:31.275Z</dcterms:modified>
</cp:coreProperties>
</file>

<file path=docProps/custom.xml><?xml version="1.0" encoding="utf-8"?>
<Properties xmlns="http://schemas.openxmlformats.org/officeDocument/2006/custom-properties" xmlns:vt="http://schemas.openxmlformats.org/officeDocument/2006/docPropsVTypes"/>
</file>