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280"/>
        <w:jc w:val="center"/>
      </w:pPr>
      <w:r>
        <w:drawing>
          <wp:inline distT="0" distB="0" distL="0" distR="0">
            <wp:extent cx="10451592000" cy="9170517600"/>
            <wp:effectExtent t="0" r="0" b="0" l="0"/>
            <wp:docPr id="1" name="ProvectaLogo" descr="Provecta Group Logo" title="Provecta Grou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51592000" cy="9170517600"/>
                    </a:xfrm>
                    <a:prstGeom prst="rect">
                      <a:avLst/>
                    </a:prstGeom>
                  </pic:spPr>
                </pic:pic>
              </a:graphicData>
            </a:graphic>
          </wp:inline>
        </w:drawing>
      </w:r>
    </w:p>
    <w:p>
      <w:pPr>
        <w:spacing w:after="120"/>
        <w:jc w:val="center"/>
      </w:pPr>
      <w:r>
        <w:rPr>
          <w:rFonts w:ascii="Arial" w:cs="Arial" w:eastAsia="Arial" w:hAnsi="Arial"/>
          <w:b/>
          <w:bCs/>
          <w:caps/>
          <w:color w:val="E8A020"/>
          <w:spacing w:val="120"/>
          <w:sz w:val="20"/>
          <w:szCs w:val="20"/>
        </w:rPr>
        <w:t xml:space="preserve">PROVECTA GROUP</w:t>
      </w:r>
    </w:p>
    <w:p>
      <w:pPr>
        <w:spacing w:after="60"/>
        <w:jc w:val="center"/>
      </w:pPr>
      <w:r>
        <w:rPr>
          <w:rFonts w:ascii="Arial" w:cs="Arial" w:eastAsia="Arial" w:hAnsi="Arial"/>
          <w:b/>
          <w:bCs/>
          <w:color w:val="1B2F5B"/>
          <w:sz w:val="72"/>
          <w:szCs w:val="72"/>
        </w:rPr>
        <w:t xml:space="preserve">Revenue Operations</w:t>
      </w:r>
    </w:p>
    <w:p>
      <w:pPr>
        <w:spacing w:after="120"/>
        <w:jc w:val="center"/>
      </w:pPr>
      <w:r>
        <w:rPr>
          <w:rFonts w:ascii="Arial" w:cs="Arial" w:eastAsia="Arial" w:hAnsi="Arial"/>
          <w:b w:val="false"/>
          <w:bCs w:val="false"/>
          <w:color w:val="2563A8"/>
          <w:sz w:val="48"/>
          <w:szCs w:val="48"/>
        </w:rPr>
        <w:t xml:space="preserve">Standard Operating Procedure</w:t>
      </w:r>
    </w:p>
    <w:p>
      <w:pPr>
        <w:pBdr>
          <w:bottom w:val="single" w:color="E8A020" w:sz="8"/>
        </w:pBdr>
        <w:spacing w:after="80" w:before="80"/>
      </w:pPr>
      <w:r>
        <w:t xml:space="preserve"/>
      </w:r>
    </w:p>
    <w:p>
      <w:pPr>
        <w:spacing w:after="0" w:before="120"/>
      </w:pPr>
      <w:r>
        <w:t xml:space="preserve"/>
      </w:r>
    </w:p>
    <w:p>
      <w:pPr>
        <w:spacing w:after="80"/>
        <w:jc w:val="center"/>
      </w:pPr>
      <w:r>
        <w:rPr>
          <w:rFonts w:ascii="Arial" w:cs="Arial" w:eastAsia="Arial" w:hAnsi="Arial"/>
          <w:color w:val="888888"/>
          <w:sz w:val="22"/>
          <w:szCs w:val="22"/>
        </w:rPr>
        <w:t xml:space="preserve">Provecta Revenue Architecture &amp; SPICED Methodology</w:t>
      </w:r>
    </w:p>
    <w:p>
      <w:pPr>
        <w:spacing w:after="0"/>
        <w:jc w:val="center"/>
      </w:pPr>
      <w:r>
        <w:rPr>
          <w:rFonts w:ascii="Arial" w:cs="Arial" w:eastAsia="Arial" w:hAnsi="Arial"/>
          <w:color w:val="888888"/>
          <w:sz w:val="20"/>
          <w:szCs w:val="20"/>
        </w:rPr>
        <w:t xml:space="preserve">Internal &amp; Client Delivery Framework  |  Version 1.0  |  April 2026</w:t>
      </w:r>
    </w:p>
    <w:p>
      <w:pPr>
        <w:spacing w:after="0" w:before="4000"/>
      </w:pPr>
      <w:r>
        <w:t xml:space="preserve"/>
      </w:r>
    </w:p>
    <w:p>
      <w:pPr>
        <w:jc w:val="center"/>
      </w:pPr>
      <w:r>
        <w:rPr>
          <w:rFonts w:ascii="Arial" w:cs="Arial" w:eastAsia="Arial" w:hAnsi="Arial"/>
          <w:b/>
          <w:bCs/>
          <w:caps/>
          <w:color w:val="E8A020"/>
          <w:spacing w:val="80"/>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B2F5B"/>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color w:val="1B2F5B"/>
          <w:sz w:val="36"/>
          <w:szCs w:val="36"/>
        </w:rPr>
        <w:t xml:space="preserve">Part 1: The Provecta RevOps Framework</w:t>
      </w:r>
    </w:p>
    <w:p>
      <w:pPr>
        <w:pBdr>
          <w:bottom w:val="single" w:color="2563A8" w:sz="8"/>
        </w:pBdr>
        <w:spacing w:after="80" w:before="80"/>
      </w:pPr>
      <w:r>
        <w:t xml:space="preserve"/>
      </w:r>
    </w:p>
    <w:p>
      <w:pPr>
        <w:spacing w:after="0" w:before="80"/>
      </w:pPr>
      <w:r>
        <w:t xml:space="preserve"/>
      </w:r>
    </w:p>
    <w:p>
      <w:pPr>
        <w:pStyle w:val="Heading2"/>
      </w:pPr>
      <w:r>
        <w:rPr>
          <w:rFonts w:ascii="Arial" w:cs="Arial" w:eastAsia="Arial" w:hAnsi="Arial"/>
          <w:b/>
          <w:bCs/>
          <w:color w:val="2563A8"/>
          <w:sz w:val="28"/>
          <w:szCs w:val="28"/>
        </w:rPr>
        <w:t xml:space="preserve">1.1  Purpose &amp; Scope</w:t>
      </w:r>
    </w:p>
    <w:p>
      <w:pPr>
        <w:spacing w:after="120"/>
      </w:pPr>
      <w:r>
        <w:rPr>
          <w:rFonts w:ascii="Arial" w:cs="Arial" w:eastAsia="Arial" w:hAnsi="Arial"/>
          <w:b w:val="false"/>
          <w:bCs w:val="false"/>
          <w:color w:val="1A1A1A"/>
          <w:sz w:val="22"/>
          <w:szCs w:val="22"/>
        </w:rPr>
        <w:t xml:space="preserve">This Standard Operating Procedure (SOP) defines how Provecta Group designs, deploys, and continuously improves Revenue Operations — both internally and for every client engagement. It is the operational constitution of our go-to-market engine.</w:t>
      </w:r>
    </w:p>
    <w:p>
      <w:pPr>
        <w:spacing w:after="120"/>
      </w:pPr>
      <w:r>
        <w:rPr>
          <w:rFonts w:ascii="Arial" w:cs="Arial" w:eastAsia="Arial" w:hAnsi="Arial"/>
          <w:b w:val="false"/>
          <w:bCs w:val="false"/>
          <w:color w:val="1A1A1A"/>
          <w:sz w:val="22"/>
          <w:szCs w:val="22"/>
        </w:rPr>
        <w:t xml:space="preserve">This document applies to all Provecta team members involved in business development, delivery, account management, marketing, and operations. It also serves as the foundational playbook delivered to clients at the start of every RevOps engagement.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4"/>
              <w:left w:val="single" w:color="2563A8" w:sz="4"/>
              <w:bottom w:val="single" w:color="2563A8" w:sz="4"/>
              <w:right w:val="single" w:color="2563A8" w:sz="4"/>
            </w:tcBorders>
            <w:shd w:fill="D6E4F7" w:val="clear"/>
            <w:tcMar>
              <w:top w:type="dxa" w:w="160"/>
              <w:left w:type="dxa" w:w="200"/>
              <w:bottom w:type="dxa" w:w="160"/>
              <w:right w:type="dxa" w:w="200"/>
            </w:tcMar>
          </w:tcPr>
          <w:p>
            <w:pPr>
              <w:spacing w:after="80"/>
            </w:pPr>
            <w:r>
              <w:rPr>
                <w:rFonts w:ascii="Arial" w:cs="Arial" w:eastAsia="Arial" w:hAnsi="Arial"/>
                <w:b/>
                <w:bCs/>
                <w:color w:val="1B2F5B"/>
                <w:sz w:val="22"/>
                <w:szCs w:val="22"/>
              </w:rPr>
              <w:t xml:space="preserve">The Provecta RevOps Mandate</w:t>
            </w:r>
          </w:p>
          <w:p>
            <w:pPr>
              <w:spacing w:after="0"/>
            </w:pPr>
            <w:r>
              <w:rPr>
                <w:rFonts w:ascii="Arial" w:cs="Arial" w:eastAsia="Arial" w:hAnsi="Arial"/>
                <w:color w:val="1A1A1A"/>
                <w:sz w:val="20"/>
                <w:szCs w:val="20"/>
              </w:rPr>
              <w:t xml:space="preserve">Revenue is not won by effort alone — it is engineered. Every Provecta engagement treats revenue generation as a repeatable, measurable system: designed with intent, operated with discipline, and improved with data.</w:t>
            </w:r>
          </w:p>
        </w:tc>
      </w:tr>
    </w:tbl>
    <w:p>
      <w:pPr>
        <w:spacing w:after="0" w:before="120"/>
      </w:pPr>
      <w:r>
        <w:t xml:space="preserve"/>
      </w:r>
    </w:p>
    <w:p>
      <w:pPr>
        <w:pStyle w:val="Heading2"/>
      </w:pPr>
      <w:r>
        <w:rPr>
          <w:rFonts w:ascii="Arial" w:cs="Arial" w:eastAsia="Arial" w:hAnsi="Arial"/>
          <w:b/>
          <w:bCs/>
          <w:color w:val="2563A8"/>
          <w:sz w:val="28"/>
          <w:szCs w:val="28"/>
        </w:rPr>
        <w:t xml:space="preserve">1.2  Foundational Philosophy: The Provecta Revenue Architecture</w:t>
      </w:r>
    </w:p>
    <w:p>
      <w:pPr>
        <w:spacing w:after="120"/>
      </w:pPr>
      <w:r>
        <w:rPr>
          <w:rFonts w:ascii="Arial" w:cs="Arial" w:eastAsia="Arial" w:hAnsi="Arial"/>
          <w:b w:val="false"/>
          <w:bCs w:val="false"/>
          <w:color w:val="1A1A1A"/>
          <w:sz w:val="22"/>
          <w:szCs w:val="22"/>
        </w:rPr>
        <w:t xml:space="preserve">Provecta Group's operating framework is built on Revenue Architecture — a methodology that treats revenue generation as an engineered system governed by first principles, data models, and repeatable processes rather than intuition or effort. This framework is the operational foundation for everything Provecta builds internally and delivers to clients.</w:t>
      </w:r>
    </w:p>
    <w:p>
      <w:pPr>
        <w:spacing w:after="120"/>
      </w:pPr>
      <w:r>
        <w:rPr>
          <w:rFonts w:ascii="Arial" w:cs="Arial" w:eastAsia="Arial" w:hAnsi="Arial"/>
          <w:b w:val="false"/>
          <w:bCs w:val="false"/>
          <w:color w:val="1A1A1A"/>
          <w:sz w:val="22"/>
          <w:szCs w:val="22"/>
        </w:rPr>
        <w:t xml:space="preserve">The three pillars of Revenue Architecture that underpin all Provecta work are:</w:t>
      </w:r>
    </w:p>
    <w:p>
      <w:pPr>
        <w:pStyle w:val="ListParagraph"/>
        <w:numPr>
          <w:ilvl w:val="0"/>
          <w:numId w:val="2"/>
        </w:numPr>
        <w:spacing w:after="80"/>
      </w:pPr>
      <w:r>
        <w:rPr>
          <w:rFonts w:ascii="Arial" w:cs="Arial" w:eastAsia="Arial" w:hAnsi="Arial"/>
          <w:b w:val="false"/>
          <w:bCs w:val="false"/>
          <w:sz w:val="22"/>
          <w:szCs w:val="22"/>
        </w:rPr>
        <w:t xml:space="preserve">First Principles — We question every assumption. Processes are built from the ground up, not inherited from tradition.</w:t>
      </w:r>
    </w:p>
    <w:p>
      <w:pPr>
        <w:pStyle w:val="ListParagraph"/>
        <w:numPr>
          <w:ilvl w:val="0"/>
          <w:numId w:val="2"/>
        </w:numPr>
        <w:spacing w:after="80"/>
      </w:pPr>
      <w:r>
        <w:rPr>
          <w:rFonts w:ascii="Arial" w:cs="Arial" w:eastAsia="Arial" w:hAnsi="Arial"/>
          <w:b w:val="false"/>
          <w:bCs w:val="false"/>
          <w:sz w:val="22"/>
          <w:szCs w:val="22"/>
        </w:rPr>
        <w:t xml:space="preserve">Models &amp; Data — Every decision is grounded in a standardised model. We measure what matters and ignore vanity metrics.</w:t>
      </w:r>
    </w:p>
    <w:p>
      <w:pPr>
        <w:pStyle w:val="ListParagraph"/>
        <w:numPr>
          <w:ilvl w:val="0"/>
          <w:numId w:val="2"/>
        </w:numPr>
        <w:spacing w:after="80"/>
      </w:pPr>
      <w:r>
        <w:rPr>
          <w:rFonts w:ascii="Arial" w:cs="Arial" w:eastAsia="Arial" w:hAnsi="Arial"/>
          <w:b w:val="false"/>
          <w:bCs w:val="false"/>
          <w:sz w:val="22"/>
          <w:szCs w:val="22"/>
        </w:rPr>
        <w:t xml:space="preserve">Systems &amp; Process Design — Sustainable revenue requires designed systems with clear inputs, defined processes, and predictable outputs.</w:t>
      </w:r>
    </w:p>
    <w:p>
      <w:pPr>
        <w:spacing w:after="0" w:before="80"/>
      </w:pPr>
      <w:r>
        <w:t xml:space="preserve"/>
      </w:r>
    </w:p>
    <w:p>
      <w:pPr>
        <w:pStyle w:val="Heading2"/>
      </w:pPr>
      <w:r>
        <w:rPr>
          <w:rFonts w:ascii="Arial" w:cs="Arial" w:eastAsia="Arial" w:hAnsi="Arial"/>
          <w:b/>
          <w:bCs/>
          <w:color w:val="2563A8"/>
          <w:sz w:val="28"/>
          <w:szCs w:val="28"/>
        </w:rPr>
        <w:t xml:space="preserve">1.3  The Bow Tie Operating Model</w:t>
      </w:r>
    </w:p>
    <w:p>
      <w:pPr>
        <w:spacing w:after="120"/>
      </w:pPr>
      <w:r>
        <w:rPr>
          <w:rFonts w:ascii="Arial" w:cs="Arial" w:eastAsia="Arial" w:hAnsi="Arial"/>
          <w:b w:val="false"/>
          <w:bCs w:val="false"/>
          <w:color w:val="1A1A1A"/>
          <w:sz w:val="22"/>
          <w:szCs w:val="22"/>
        </w:rPr>
        <w:t xml:space="preserve">Provecta rejects the traditional linear sales funnel. We operate using the Bow Tie Model — the customer journey model that maps the full revenue lifecycle from first engagement through to customer expansion and advocacy.</w:t>
      </w:r>
    </w:p>
    <w:p>
      <w:pPr>
        <w:spacing w:after="120"/>
      </w:pPr>
      <w:r>
        <w:rPr>
          <w:rFonts w:ascii="Arial" w:cs="Arial" w:eastAsia="Arial" w:hAnsi="Arial"/>
          <w:b w:val="false"/>
          <w:bCs w:val="false"/>
          <w:color w:val="1A1A1A"/>
          <w:sz w:val="22"/>
          <w:szCs w:val="22"/>
        </w:rPr>
        <w:t xml:space="preserve">The Bow Tie has three zones, each with equal operational importance: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563A8" w:sz="6"/>
              <w:left w:val="single" w:color="2563A8" w:sz="6"/>
              <w:bottom w:val="single" w:color="2563A8" w:sz="6"/>
              <w:right w:val="single" w:color="2563A8" w:sz="6"/>
            </w:tcBorders>
            <w:shd w:fill="1B2F5B" w:val="clear"/>
            <w:tcMar>
              <w:top w:type="dxa" w:w="120"/>
              <w:left w:type="dxa" w:w="140"/>
              <w:bottom w:type="dxa" w:w="120"/>
              <w:right w:type="dxa" w:w="140"/>
            </w:tcMar>
            <w:vAlign w:val="center"/>
          </w:tcPr>
          <w:p>
            <w:pPr>
              <w:spacing w:after="60"/>
              <w:jc w:val="center"/>
            </w:pPr>
            <w:r>
              <w:rPr>
                <w:rFonts w:ascii="Arial" w:cs="Arial" w:eastAsia="Arial" w:hAnsi="Arial"/>
                <w:b/>
                <w:bCs/>
                <w:caps/>
                <w:color w:val="FFFFFF"/>
                <w:sz w:val="22"/>
                <w:szCs w:val="22"/>
              </w:rPr>
              <w:t xml:space="preserve">ACQUIRE</w:t>
            </w:r>
          </w:p>
          <w:p>
            <w:pPr>
              <w:spacing w:after="0"/>
              <w:jc w:val="center"/>
            </w:pPr>
            <w:r>
              <w:rPr>
                <w:rFonts w:ascii="Arial" w:cs="Arial" w:eastAsia="Arial" w:hAnsi="Arial"/>
                <w:color w:val="D6E4F7"/>
                <w:sz w:val="18"/>
                <w:szCs w:val="18"/>
              </w:rPr>
              <w:t xml:space="preserve">(Left side of Bow Tie)</w:t>
            </w:r>
          </w:p>
        </w:tc>
        <w:tc>
          <w:tcPr>
            <w:tcW w:type="dxa" w:w="3120"/>
            <w:tcBorders>
              <w:top w:val="single" w:color="E8A020" w:sz="8"/>
              <w:left w:val="single" w:color="E8A020" w:sz="8"/>
              <w:bottom w:val="single" w:color="E8A020" w:sz="8"/>
              <w:right w:val="single" w:color="E8A020" w:sz="8"/>
            </w:tcBorders>
            <w:shd w:fill="E8A020" w:val="clear"/>
            <w:tcMar>
              <w:top w:type="dxa" w:w="120"/>
              <w:left w:type="dxa" w:w="140"/>
              <w:bottom w:type="dxa" w:w="120"/>
              <w:right w:type="dxa" w:w="140"/>
            </w:tcMar>
            <w:vAlign w:val="center"/>
          </w:tcPr>
          <w:p>
            <w:pPr>
              <w:spacing w:after="60"/>
              <w:jc w:val="center"/>
            </w:pPr>
            <w:r>
              <w:rPr>
                <w:rFonts w:ascii="Arial" w:cs="Arial" w:eastAsia="Arial" w:hAnsi="Arial"/>
                <w:b/>
                <w:bCs/>
                <w:caps/>
                <w:color w:val="FFFFFF"/>
                <w:sz w:val="22"/>
                <w:szCs w:val="22"/>
              </w:rPr>
              <w:t xml:space="preserve">CLOSE</w:t>
            </w:r>
          </w:p>
          <w:p>
            <w:pPr>
              <w:spacing w:after="0"/>
              <w:jc w:val="center"/>
            </w:pPr>
            <w:r>
              <w:rPr>
                <w:rFonts w:ascii="Arial" w:cs="Arial" w:eastAsia="Arial" w:hAnsi="Arial"/>
                <w:color w:val="FFFFFF"/>
                <w:sz w:val="18"/>
                <w:szCs w:val="18"/>
              </w:rPr>
              <w:t xml:space="preserve">(The knot)</w:t>
            </w:r>
          </w:p>
        </w:tc>
        <w:tc>
          <w:tcPr>
            <w:tcW w:type="dxa" w:w="3120"/>
            <w:tcBorders>
              <w:top w:val="single" w:color="2563A8" w:sz="6"/>
              <w:left w:val="single" w:color="2563A8" w:sz="6"/>
              <w:bottom w:val="single" w:color="2563A8" w:sz="6"/>
              <w:right w:val="single" w:color="2563A8" w:sz="6"/>
            </w:tcBorders>
            <w:shd w:fill="1B2F5B" w:val="clear"/>
            <w:tcMar>
              <w:top w:type="dxa" w:w="120"/>
              <w:left w:type="dxa" w:w="140"/>
              <w:bottom w:type="dxa" w:w="120"/>
              <w:right w:type="dxa" w:w="140"/>
            </w:tcMar>
            <w:vAlign w:val="center"/>
          </w:tcPr>
          <w:p>
            <w:pPr>
              <w:spacing w:after="60"/>
              <w:jc w:val="center"/>
            </w:pPr>
            <w:r>
              <w:rPr>
                <w:rFonts w:ascii="Arial" w:cs="Arial" w:eastAsia="Arial" w:hAnsi="Arial"/>
                <w:b/>
                <w:bCs/>
                <w:caps/>
                <w:color w:val="FFFFFF"/>
                <w:sz w:val="22"/>
                <w:szCs w:val="22"/>
              </w:rPr>
              <w:t xml:space="preserve">GROW</w:t>
            </w:r>
          </w:p>
          <w:p>
            <w:pPr>
              <w:spacing w:after="0"/>
              <w:jc w:val="center"/>
            </w:pPr>
            <w:r>
              <w:rPr>
                <w:rFonts w:ascii="Arial" w:cs="Arial" w:eastAsia="Arial" w:hAnsi="Arial"/>
                <w:color w:val="D6E4F7"/>
                <w:sz w:val="18"/>
                <w:szCs w:val="18"/>
              </w:rPr>
              <w:t xml:space="preserve">(Right side of Bow Tie)</w:t>
            </w:r>
          </w:p>
        </w:tc>
      </w:tr>
      <w:tr>
        <w:tc>
          <w:tcPr>
            <w:tcW w:type="dxa" w:w="3120"/>
            <w:tcBorders>
              <w:top w:val="single" w:color="CCCCCC" w:sz="4"/>
              <w:left w:val="single" w:color="CCCCCC" w:sz="4"/>
              <w:bottom w:val="single" w:color="CCCCCC" w:sz="4"/>
              <w:right w:val="single" w:color="CCCCCC" w:sz="4"/>
            </w:tcBorders>
            <w:shd w:fill="D6E4F7" w:val="clear"/>
            <w:tcMar>
              <w:top w:type="dxa" w:w="100"/>
              <w:left w:type="dxa" w:w="140"/>
              <w:bottom w:type="dxa" w:w="100"/>
              <w:right w:type="dxa" w:w="140"/>
            </w:tcMar>
          </w:tcPr>
          <w:p>
            <w:pPr>
              <w:spacing w:after="40"/>
            </w:pPr>
            <w:r>
              <w:rPr>
                <w:rFonts w:ascii="Arial" w:cs="Arial" w:eastAsia="Arial" w:hAnsi="Arial"/>
                <w:color w:val="1A1A1A"/>
                <w:sz w:val="20"/>
                <w:szCs w:val="20"/>
              </w:rPr>
              <w:t xml:space="preserve">Lead Generation</w:t>
            </w:r>
          </w:p>
          <w:p>
            <w:pPr>
              <w:spacing w:after="40"/>
            </w:pPr>
            <w:r>
              <w:rPr>
                <w:rFonts w:ascii="Arial" w:cs="Arial" w:eastAsia="Arial" w:hAnsi="Arial"/>
                <w:color w:val="1A1A1A"/>
                <w:sz w:val="20"/>
                <w:szCs w:val="20"/>
              </w:rPr>
              <w:t xml:space="preserve">Lead Development</w:t>
            </w:r>
          </w:p>
          <w:p>
            <w:pPr>
              <w:spacing w:after="0"/>
            </w:pPr>
            <w:r>
              <w:rPr>
                <w:rFonts w:ascii="Arial" w:cs="Arial" w:eastAsia="Arial" w:hAnsi="Arial"/>
                <w:color w:val="1A1A1A"/>
                <w:sz w:val="20"/>
                <w:szCs w:val="20"/>
              </w:rPr>
              <w:t xml:space="preserve">Sales / Qualification</w:t>
            </w:r>
          </w:p>
        </w:tc>
        <w:tc>
          <w:tcPr>
            <w:tcW w:type="dxa" w:w="3120"/>
            <w:tcBorders>
              <w:top w:val="single" w:color="CCCCCC" w:sz="4"/>
              <w:left w:val="single" w:color="CCCCCC" w:sz="4"/>
              <w:bottom w:val="single" w:color="CCCCCC" w:sz="4"/>
              <w:right w:val="single" w:color="CCCCCC" w:sz="4"/>
            </w:tcBorders>
            <w:shd w:fill="F4F6FA" w:val="clear"/>
            <w:tcMar>
              <w:top w:type="dxa" w:w="100"/>
              <w:left w:type="dxa" w:w="140"/>
              <w:bottom w:type="dxa" w:w="100"/>
              <w:right w:type="dxa" w:w="140"/>
            </w:tcMar>
          </w:tcPr>
          <w:p>
            <w:pPr>
              <w:spacing w:after="40"/>
            </w:pPr>
            <w:r>
              <w:rPr>
                <w:rFonts w:ascii="Arial" w:cs="Arial" w:eastAsia="Arial" w:hAnsi="Arial"/>
                <w:color w:val="1A1A1A"/>
                <w:sz w:val="20"/>
                <w:szCs w:val="20"/>
              </w:rPr>
              <w:t xml:space="preserve">Proposal</w:t>
            </w:r>
          </w:p>
          <w:p>
            <w:pPr>
              <w:spacing w:after="40"/>
            </w:pPr>
            <w:r>
              <w:rPr>
                <w:rFonts w:ascii="Arial" w:cs="Arial" w:eastAsia="Arial" w:hAnsi="Arial"/>
                <w:color w:val="1A1A1A"/>
                <w:sz w:val="20"/>
                <w:szCs w:val="20"/>
              </w:rPr>
              <w:t xml:space="preserve">Negotiation</w:t>
            </w:r>
          </w:p>
          <w:p>
            <w:pPr>
              <w:spacing w:after="0"/>
            </w:pPr>
            <w:r>
              <w:rPr>
                <w:rFonts w:ascii="Arial" w:cs="Arial" w:eastAsia="Arial" w:hAnsi="Arial"/>
                <w:color w:val="1A1A1A"/>
                <w:sz w:val="20"/>
                <w:szCs w:val="20"/>
              </w:rPr>
              <w:t xml:space="preserve">Contract / Close</w:t>
            </w:r>
          </w:p>
        </w:tc>
        <w:tc>
          <w:tcPr>
            <w:tcW w:type="dxa" w:w="3120"/>
            <w:tcBorders>
              <w:top w:val="single" w:color="CCCCCC" w:sz="4"/>
              <w:left w:val="single" w:color="CCCCCC" w:sz="4"/>
              <w:bottom w:val="single" w:color="CCCCCC" w:sz="4"/>
              <w:right w:val="single" w:color="CCCCCC" w:sz="4"/>
            </w:tcBorders>
            <w:shd w:fill="D6E4F7" w:val="clear"/>
            <w:tcMar>
              <w:top w:type="dxa" w:w="100"/>
              <w:left w:type="dxa" w:w="140"/>
              <w:bottom w:type="dxa" w:w="100"/>
              <w:right w:type="dxa" w:w="140"/>
            </w:tcMar>
          </w:tcPr>
          <w:p>
            <w:pPr>
              <w:spacing w:after="40"/>
            </w:pPr>
            <w:r>
              <w:rPr>
                <w:rFonts w:ascii="Arial" w:cs="Arial" w:eastAsia="Arial" w:hAnsi="Arial"/>
                <w:color w:val="1A1A1A"/>
                <w:sz w:val="20"/>
                <w:szCs w:val="20"/>
              </w:rPr>
              <w:t xml:space="preserve">Onboarding</w:t>
            </w:r>
          </w:p>
          <w:p>
            <w:pPr>
              <w:spacing w:after="40"/>
            </w:pPr>
            <w:r>
              <w:rPr>
                <w:rFonts w:ascii="Arial" w:cs="Arial" w:eastAsia="Arial" w:hAnsi="Arial"/>
                <w:color w:val="1A1A1A"/>
                <w:sz w:val="20"/>
                <w:szCs w:val="20"/>
              </w:rPr>
              <w:t xml:space="preserve">Adoption / Value Delivery</w:t>
            </w:r>
          </w:p>
          <w:p>
            <w:pPr>
              <w:spacing w:after="0"/>
            </w:pPr>
            <w:r>
              <w:rPr>
                <w:rFonts w:ascii="Arial" w:cs="Arial" w:eastAsia="Arial" w:hAnsi="Arial"/>
                <w:color w:val="1A1A1A"/>
                <w:sz w:val="20"/>
                <w:szCs w:val="20"/>
              </w:rPr>
              <w:t xml:space="preserve">Expansion / Advocacy</w:t>
            </w:r>
          </w:p>
        </w:tc>
      </w:tr>
    </w:tbl>
    <w:p>
      <w:pPr>
        <w:spacing w:after="0" w:before="120"/>
      </w:pPr>
      <w:r>
        <w:t xml:space="preserve"/>
      </w:r>
    </w:p>
    <w:p>
      <w:pPr>
        <w:spacing w:after="120"/>
      </w:pPr>
      <w:r>
        <w:rPr>
          <w:rFonts w:ascii="Arial" w:cs="Arial" w:eastAsia="Arial" w:hAnsi="Arial"/>
          <w:b w:val="false"/>
          <w:bCs w:val="false"/>
          <w:color w:val="1A1A1A"/>
          <w:sz w:val="22"/>
          <w:szCs w:val="22"/>
        </w:rPr>
        <w:t xml:space="preserve">Provecta measures and optimises every stage of this model — not just Closed Won. Our KPIs, SLAs, and reporting are all designed around the full Bow Tie.</w:t>
      </w:r>
    </w:p>
    <w:p>
      <w:pPr>
        <w:spacing w:after="0" w:before="80"/>
      </w:pPr>
      <w:r>
        <w:t xml:space="preserve"/>
      </w:r>
    </w:p>
    <w:p>
      <w:pPr>
        <w:pStyle w:val="Heading2"/>
      </w:pPr>
      <w:r>
        <w:rPr>
          <w:rFonts w:ascii="Arial" w:cs="Arial" w:eastAsia="Arial" w:hAnsi="Arial"/>
          <w:b/>
          <w:bCs/>
          <w:color w:val="2563A8"/>
          <w:sz w:val="28"/>
          <w:szCs w:val="28"/>
        </w:rPr>
        <w:t xml:space="preserve">1.4  The Universal Language: SPICED Methodology</w:t>
      </w:r>
    </w:p>
    <w:p>
      <w:pPr>
        <w:spacing w:after="120"/>
      </w:pPr>
      <w:r>
        <w:rPr>
          <w:rFonts w:ascii="Arial" w:cs="Arial" w:eastAsia="Arial" w:hAnsi="Arial"/>
          <w:b w:val="false"/>
          <w:bCs w:val="false"/>
          <w:color w:val="1A1A1A"/>
          <w:sz w:val="22"/>
          <w:szCs w:val="22"/>
        </w:rPr>
        <w:t xml:space="preserve">Every person at Provecta — and every client team we work with — uses SPICED as the universal qualification and discovery framework. SPICED replaces ad-hoc questioning and creates a consistent, repeatable approach to understanding any customer or prospect at any stage of the Bow Tie.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single" w:color="2563A8" w:sz="6"/>
              <w:left w:val="single" w:color="2563A8" w:sz="6"/>
              <w:bottom w:val="single" w:color="2563A8" w:sz="6"/>
              <w:right w:val="single" w:color="2563A8" w:sz="6"/>
            </w:tcBorders>
            <w:shd w:fill="1B2F5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Letter</w:t>
            </w:r>
          </w:p>
        </w:tc>
        <w:tc>
          <w:tcPr>
            <w:tcW w:type="dxa" w:w="2400"/>
            <w:tcBorders>
              <w:top w:val="single" w:color="2563A8" w:sz="6"/>
              <w:left w:val="single" w:color="2563A8" w:sz="6"/>
              <w:bottom w:val="single" w:color="2563A8" w:sz="6"/>
              <w:right w:val="single" w:color="2563A8" w:sz="6"/>
            </w:tcBorders>
            <w:shd w:fill="1B2F5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Dimension</w:t>
            </w:r>
          </w:p>
        </w:tc>
        <w:tc>
          <w:tcPr>
            <w:tcW w:type="dxa" w:w="6240"/>
            <w:tcBorders>
              <w:top w:val="single" w:color="2563A8" w:sz="6"/>
              <w:left w:val="single" w:color="2563A8" w:sz="6"/>
              <w:bottom w:val="single" w:color="2563A8" w:sz="6"/>
              <w:right w:val="single" w:color="2563A8" w:sz="6"/>
            </w:tcBorders>
            <w:shd w:fill="1B2F5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What We Diagnose</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Situation</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Current context: company size, team structure, existing tools, stage of growth, and operational maturity.</w:t>
            </w:r>
          </w:p>
        </w:tc>
      </w:tr>
      <w:tr>
        <w:tc>
          <w:tcPr>
            <w:tcW w:type="dxa" w:w="72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P</w:t>
            </w:r>
          </w:p>
        </w:tc>
        <w:tc>
          <w:tcPr>
            <w:tcW w:type="dxa" w:w="24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Pain</w:t>
            </w:r>
          </w:p>
        </w:tc>
        <w:tc>
          <w:tcPr>
            <w:tcW w:type="dxa" w:w="624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The specific friction, bottleneck, or problem they are experiencing. What is broken, inefficient, or missing?</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I</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Impact</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The measurable business impact of solving (or not solving) the Pain. Quantify in dollars, time, or growth rate.</w:t>
            </w:r>
          </w:p>
        </w:tc>
      </w:tr>
      <w:tr>
        <w:tc>
          <w:tcPr>
            <w:tcW w:type="dxa" w:w="72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C</w:t>
            </w:r>
          </w:p>
        </w:tc>
        <w:tc>
          <w:tcPr>
            <w:tcW w:type="dxa" w:w="24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Critical Event</w:t>
            </w:r>
          </w:p>
        </w:tc>
        <w:tc>
          <w:tcPr>
            <w:tcW w:type="dxa" w:w="624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The deadline, trigger, event, or external pressure that creates urgency. Why does this need to be solved now?</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Decision</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The decision-making process: who is involved, what criteria they use, what success looks like, and what would block a decision.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4"/>
              <w:left w:val="single" w:color="2563A8" w:sz="4"/>
              <w:bottom w:val="single" w:color="2563A8" w:sz="4"/>
              <w:right w:val="single" w:color="2563A8" w:sz="4"/>
            </w:tcBorders>
            <w:shd w:fill="D6E4F7" w:val="clear"/>
            <w:tcMar>
              <w:top w:type="dxa" w:w="160"/>
              <w:left w:type="dxa" w:w="200"/>
              <w:bottom w:type="dxa" w:w="160"/>
              <w:right w:type="dxa" w:w="200"/>
            </w:tcMar>
          </w:tcPr>
          <w:p>
            <w:pPr>
              <w:spacing w:after="80"/>
            </w:pPr>
            <w:r>
              <w:rPr>
                <w:rFonts w:ascii="Arial" w:cs="Arial" w:eastAsia="Arial" w:hAnsi="Arial"/>
                <w:b/>
                <w:bCs/>
                <w:color w:val="1B2F5B"/>
                <w:sz w:val="22"/>
                <w:szCs w:val="22"/>
              </w:rPr>
              <w:t xml:space="preserve">SPICED is not a sales tool — it is a team alignment tool.</w:t>
            </w:r>
          </w:p>
          <w:p>
            <w:pPr>
              <w:spacing w:after="0"/>
            </w:pPr>
            <w:r>
              <w:rPr>
                <w:rFonts w:ascii="Arial" w:cs="Arial" w:eastAsia="Arial" w:hAnsi="Arial"/>
                <w:color w:val="1A1A1A"/>
                <w:sz w:val="20"/>
                <w:szCs w:val="20"/>
              </w:rPr>
              <w:t xml:space="preserve">SPICED is used by Business Development when qualifying leads, by Delivery when scoping engagements, by Account Management when reviewing client health, and by Leadership when reviewing pipeline. It creates a single, shared language across the entire Provecta team.</w:t>
            </w:r>
          </w:p>
        </w:tc>
      </w:tr>
    </w:tbl>
    <w:p>
      <w:pPr>
        <w:spacing w:after="0" w:before="80"/>
      </w:pPr>
      <w:r>
        <w:t xml:space="preserve"/>
      </w:r>
    </w:p>
    <w:p>
      <w:pPr>
        <w:pStyle w:val="Heading2"/>
      </w:pPr>
      <w:r>
        <w:rPr>
          <w:rFonts w:ascii="Arial" w:cs="Arial" w:eastAsia="Arial" w:hAnsi="Arial"/>
          <w:b/>
          <w:bCs/>
          <w:color w:val="2563A8"/>
          <w:sz w:val="28"/>
          <w:szCs w:val="28"/>
        </w:rPr>
        <w:t xml:space="preserve">1.5  The 8-Phase RevOps SOP</w:t>
      </w:r>
    </w:p>
    <w:p>
      <w:pPr>
        <w:spacing w:after="120"/>
      </w:pPr>
      <w:r>
        <w:rPr>
          <w:rFonts w:ascii="Arial" w:cs="Arial" w:eastAsia="Arial" w:hAnsi="Arial"/>
          <w:b w:val="false"/>
          <w:bCs w:val="false"/>
          <w:color w:val="1A1A1A"/>
          <w:sz w:val="22"/>
          <w:szCs w:val="22"/>
        </w:rPr>
        <w:t xml:space="preserve">The Provecta RevOps SOP is structured into 8 sequential phases. Each phase is both an internal operational standard and a client delivery module. Together, they build a complete, world-class RevOps function from the ground up.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4860"/>
      </w:tblGrid>
      <w:tr>
        <w:tc>
          <w:tcPr>
            <w:tcW w:type="dxa" w:w="1000"/>
            <w:tcBorders>
              <w:top w:val="single" w:color="2563A8" w:sz="6"/>
              <w:left w:val="single" w:color="2563A8" w:sz="6"/>
              <w:bottom w:val="single" w:color="2563A8" w:sz="6"/>
              <w:right w:val="single" w:color="2563A8" w:sz="6"/>
            </w:tcBorders>
            <w:shd w:fill="1B2F5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Phase</w:t>
            </w:r>
          </w:p>
        </w:tc>
        <w:tc>
          <w:tcPr>
            <w:tcW w:type="dxa" w:w="3500"/>
            <w:tcBorders>
              <w:top w:val="single" w:color="2563A8" w:sz="6"/>
              <w:left w:val="single" w:color="2563A8" w:sz="6"/>
              <w:bottom w:val="single" w:color="2563A8" w:sz="6"/>
              <w:right w:val="single" w:color="2563A8" w:sz="6"/>
            </w:tcBorders>
            <w:shd w:fill="1B2F5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Focus Area</w:t>
            </w:r>
          </w:p>
        </w:tc>
        <w:tc>
          <w:tcPr>
            <w:tcW w:type="dxa" w:w="4860"/>
            <w:tcBorders>
              <w:top w:val="single" w:color="2563A8" w:sz="6"/>
              <w:left w:val="single" w:color="2563A8" w:sz="6"/>
              <w:bottom w:val="single" w:color="2563A8" w:sz="6"/>
              <w:right w:val="single" w:color="2563A8" w:sz="6"/>
            </w:tcBorders>
            <w:shd w:fill="1B2F5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Core Outcome</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1</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Revenue Operations Audit</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Complete diagnostic of the current-state revenue engine</w:t>
            </w:r>
          </w:p>
        </w:tc>
      </w:tr>
      <w:tr>
        <w:tc>
          <w:tcPr>
            <w:tcW w:type="dxa" w:w="10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2</w:t>
            </w:r>
          </w:p>
        </w:tc>
        <w:tc>
          <w:tcPr>
            <w:tcW w:type="dxa" w:w="35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Single Source of Truth Architecture</w:t>
            </w:r>
          </w:p>
        </w:tc>
        <w:tc>
          <w:tcPr>
            <w:tcW w:type="dxa" w:w="486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Unified, trusted data foundation across all systems</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3</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Lead Lifecycle Management</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Defined, enforced lifecycle from first touch to expansion</w:t>
            </w:r>
          </w:p>
        </w:tc>
      </w:tr>
      <w:tr>
        <w:tc>
          <w:tcPr>
            <w:tcW w:type="dxa" w:w="10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4</w:t>
            </w:r>
          </w:p>
        </w:tc>
        <w:tc>
          <w:tcPr>
            <w:tcW w:type="dxa" w:w="35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Pipeline Management &amp; Forecasting</w:t>
            </w:r>
          </w:p>
        </w:tc>
        <w:tc>
          <w:tcPr>
            <w:tcW w:type="dxa" w:w="486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Clean, predictable pipeline with reliable forecasting</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5</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Data Governance</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Documented ownership, validation, and hygiene standards</w:t>
            </w:r>
          </w:p>
        </w:tc>
      </w:tr>
      <w:tr>
        <w:tc>
          <w:tcPr>
            <w:tcW w:type="dxa" w:w="10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6</w:t>
            </w:r>
          </w:p>
        </w:tc>
        <w:tc>
          <w:tcPr>
            <w:tcW w:type="dxa" w:w="35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Cross-Functional SLAs</w:t>
            </w:r>
          </w:p>
        </w:tc>
        <w:tc>
          <w:tcPr>
            <w:tcW w:type="dxa" w:w="486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Enforced handoff rules between all revenue-facing teams</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7</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Reporting, Analytics &amp; Attribution</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Full-funnel visibility and multi-touch attribution</w:t>
            </w:r>
          </w:p>
        </w:tc>
      </w:tr>
      <w:tr>
        <w:tc>
          <w:tcPr>
            <w:tcW w:type="dxa" w:w="10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8</w:t>
            </w:r>
          </w:p>
        </w:tc>
        <w:tc>
          <w:tcPr>
            <w:tcW w:type="dxa" w:w="35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RevOps Technology Stack</w:t>
            </w:r>
          </w:p>
        </w:tc>
        <w:tc>
          <w:tcPr>
            <w:tcW w:type="dxa" w:w="486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Right tools, correctly implemented, fully integrated</w:t>
            </w:r>
          </w:p>
        </w:tc>
      </w:tr>
    </w:tbl>
    <w:p>
      <w:r>
        <w:br w:type="page"/>
      </w:r>
    </w:p>
    <w:p>
      <w:pPr>
        <w:pStyle w:val="Heading1"/>
      </w:pPr>
      <w:r>
        <w:rPr>
          <w:rFonts w:ascii="Arial" w:cs="Arial" w:eastAsia="Arial" w:hAnsi="Arial"/>
          <w:b/>
          <w:bCs/>
          <w:color w:val="1B2F5B"/>
          <w:sz w:val="36"/>
          <w:szCs w:val="36"/>
        </w:rPr>
        <w:t xml:space="preserve">Part 2: The 8-Phase Step-by-Step SOP</w:t>
      </w:r>
    </w:p>
    <w:p>
      <w:pPr>
        <w:pBdr>
          <w:bottom w:val="single" w:color="2563A8" w:sz="8"/>
        </w:pBdr>
        <w:spacing w:after="80" w:before="8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A020" w:sz="24"/>
              <w:bottom w:val="none" w:color="FFFFFF" w:sz="0"/>
              <w:right w:val="none" w:color="FFFFFF" w:sz="0"/>
            </w:tcBorders>
            <w:shd w:fill="F4F6FA" w:val="clear"/>
            <w:tcMar>
              <w:top w:type="dxa" w:w="160"/>
              <w:left w:type="dxa" w:w="280"/>
              <w:bottom w:type="dxa" w:w="160"/>
              <w:right w:type="dxa" w:w="200"/>
            </w:tcMar>
          </w:tcPr>
          <w:p>
            <w:pPr>
              <w:spacing w:after="60"/>
            </w:pPr>
            <w:r>
              <w:rPr>
                <w:rFonts w:ascii="Arial" w:cs="Arial" w:eastAsia="Arial" w:hAnsi="Arial"/>
                <w:b/>
                <w:bCs/>
                <w:caps/>
                <w:color w:val="E8A020"/>
                <w:sz w:val="18"/>
                <w:szCs w:val="18"/>
              </w:rPr>
              <w:t xml:space="preserve">PHASE 1</w:t>
            </w:r>
          </w:p>
          <w:p>
            <w:pPr>
              <w:spacing w:after="80"/>
            </w:pPr>
            <w:r>
              <w:rPr>
                <w:rFonts w:ascii="Arial" w:cs="Arial" w:eastAsia="Arial" w:hAnsi="Arial"/>
                <w:b/>
                <w:bCs/>
                <w:color w:val="1B2F5B"/>
                <w:sz w:val="32"/>
                <w:szCs w:val="32"/>
              </w:rPr>
              <w:t xml:space="preserve">Revenue Operations Audit</w:t>
            </w:r>
          </w:p>
          <w:p>
            <w:pPr>
              <w:spacing w:after="0"/>
            </w:pPr>
            <w:r>
              <w:rPr>
                <w:rFonts w:ascii="Arial" w:cs="Arial" w:eastAsia="Arial" w:hAnsi="Arial"/>
                <w:color w:val="888888"/>
                <w:sz w:val="20"/>
                <w:szCs w:val="20"/>
              </w:rPr>
              <w:t xml:space="preserve">Understand the current state before designing the future state.</w:t>
            </w:r>
          </w:p>
        </w:tc>
      </w:tr>
    </w:tbl>
    <w:p>
      <w:pPr>
        <w:spacing w:after="0" w:before="120"/>
      </w:pPr>
      <w:r>
        <w:t xml:space="preserve"/>
      </w:r>
    </w:p>
    <w:p>
      <w:pPr>
        <w:pStyle w:val="Heading2"/>
      </w:pPr>
      <w:r>
        <w:rPr>
          <w:rFonts w:ascii="Arial" w:cs="Arial" w:eastAsia="Arial" w:hAnsi="Arial"/>
          <w:b/>
          <w:bCs/>
          <w:color w:val="2563A8"/>
          <w:sz w:val="28"/>
          <w:szCs w:val="28"/>
        </w:rPr>
        <w:t xml:space="preserve">Phase 1 Overview</w:t>
      </w:r>
    </w:p>
    <w:p>
      <w:pPr>
        <w:spacing w:after="120"/>
      </w:pPr>
      <w:r>
        <w:rPr>
          <w:rFonts w:ascii="Arial" w:cs="Arial" w:eastAsia="Arial" w:hAnsi="Arial"/>
          <w:b w:val="false"/>
          <w:bCs w:val="false"/>
          <w:color w:val="1A1A1A"/>
          <w:sz w:val="22"/>
          <w:szCs w:val="22"/>
        </w:rPr>
        <w:t xml:space="preserve">No RevOps transformation can begin without an honest, structured audit of where things stand today. The Provecta RevOps Audit is the mandatory first step for every client engagement and for any internal operational review cycle. It creates the fact base that all subsequent phases build upon.</w:t>
      </w:r>
    </w:p>
    <w:p>
      <w:pPr>
        <w:spacing w:after="120"/>
      </w:pPr>
      <w:r>
        <w:rPr>
          <w:rFonts w:ascii="Arial" w:cs="Arial" w:eastAsia="Arial" w:hAnsi="Arial"/>
          <w:b w:val="false"/>
          <w:bCs w:val="false"/>
          <w:color w:val="1A1A1A"/>
          <w:sz w:val="22"/>
          <w:szCs w:val="22"/>
        </w:rPr>
        <w:t xml:space="preserve">The audit is aligned with the SPICED framework: we are diagnosing Situation and Pain across every dimension of the revenue engine.</w:t>
      </w:r>
    </w:p>
    <w:p>
      <w:pPr>
        <w:spacing w:after="0" w:before="80"/>
      </w:pPr>
      <w:r>
        <w:t xml:space="preserve"/>
      </w:r>
    </w:p>
    <w:p>
      <w:pPr>
        <w:pStyle w:val="Heading3"/>
      </w:pPr>
      <w:r>
        <w:rPr>
          <w:rFonts w:ascii="Arial" w:cs="Arial" w:eastAsia="Arial" w:hAnsi="Arial"/>
          <w:b/>
          <w:bCs/>
          <w:color w:val="1B2F5B"/>
          <w:sz w:val="24"/>
          <w:szCs w:val="24"/>
        </w:rPr>
        <w:t xml:space="preserve">Step 1.1 — Initiate the Audit</w:t>
      </w:r>
    </w:p>
    <w:p>
      <w:pPr>
        <w:pStyle w:val="ListParagraph"/>
        <w:numPr>
          <w:ilvl w:val="0"/>
          <w:numId w:val="3"/>
        </w:numPr>
        <w:spacing w:after="100"/>
      </w:pPr>
      <w:r>
        <w:rPr>
          <w:rFonts w:ascii="Arial" w:cs="Arial" w:eastAsia="Arial" w:hAnsi="Arial"/>
          <w:sz w:val="22"/>
          <w:szCs w:val="22"/>
        </w:rPr>
        <w:t xml:space="preserve">Schedule an Audit Kick-off meeting with all relevant stakeholders: CRO/VP Sales, VP Marketing, Head of Customer Success, and RevOps lead (internal or external).</w:t>
      </w:r>
    </w:p>
    <w:p>
      <w:pPr>
        <w:pStyle w:val="ListParagraph"/>
        <w:numPr>
          <w:ilvl w:val="0"/>
          <w:numId w:val="3"/>
        </w:numPr>
        <w:spacing w:after="100"/>
      </w:pPr>
      <w:r>
        <w:rPr>
          <w:rFonts w:ascii="Arial" w:cs="Arial" w:eastAsia="Arial" w:hAnsi="Arial"/>
          <w:sz w:val="22"/>
          <w:szCs w:val="22"/>
        </w:rPr>
        <w:t xml:space="preserve">Distribute the Provecta Pre-Audit Questionnaire covering: current tools in use, headcount by function, current KPIs tracked, and known operational pain points.</w:t>
      </w:r>
    </w:p>
    <w:p>
      <w:pPr>
        <w:pStyle w:val="ListParagraph"/>
        <w:numPr>
          <w:ilvl w:val="0"/>
          <w:numId w:val="3"/>
        </w:numPr>
        <w:spacing w:after="100"/>
      </w:pPr>
      <w:r>
        <w:rPr>
          <w:rFonts w:ascii="Arial" w:cs="Arial" w:eastAsia="Arial" w:hAnsi="Arial"/>
          <w:sz w:val="22"/>
          <w:szCs w:val="22"/>
        </w:rPr>
        <w:t xml:space="preserve">Assign a SPICED lens to the audit: use the Situation and Pain dimensions explicitly to frame each audit area.</w:t>
      </w:r>
    </w:p>
    <w:p>
      <w:pPr>
        <w:spacing w:after="0" w:before="80"/>
      </w:pPr>
      <w:r>
        <w:t xml:space="preserve"/>
      </w:r>
    </w:p>
    <w:p>
      <w:pPr>
        <w:pStyle w:val="Heading3"/>
      </w:pPr>
      <w:r>
        <w:rPr>
          <w:rFonts w:ascii="Arial" w:cs="Arial" w:eastAsia="Arial" w:hAnsi="Arial"/>
          <w:b/>
          <w:bCs/>
          <w:color w:val="1B2F5B"/>
          <w:sz w:val="24"/>
          <w:szCs w:val="24"/>
        </w:rPr>
        <w:t xml:space="preserve">Step 1.2 — CRM &amp; Data Quality Audit</w:t>
      </w:r>
    </w:p>
    <w:p>
      <w:pPr>
        <w:pStyle w:val="ListParagraph"/>
        <w:numPr>
          <w:ilvl w:val="0"/>
          <w:numId w:val="3"/>
        </w:numPr>
        <w:spacing w:after="100"/>
      </w:pPr>
      <w:r>
        <w:rPr>
          <w:rFonts w:ascii="Arial" w:cs="Arial" w:eastAsia="Arial" w:hAnsi="Arial"/>
          <w:sz w:val="22"/>
          <w:szCs w:val="22"/>
        </w:rPr>
        <w:t xml:space="preserve">Export a sample of 200+ CRM records (contacts, accounts, opportunities) and score for completeness across all required fields.</w:t>
      </w:r>
    </w:p>
    <w:p>
      <w:pPr>
        <w:pStyle w:val="ListParagraph"/>
        <w:numPr>
          <w:ilvl w:val="0"/>
          <w:numId w:val="3"/>
        </w:numPr>
        <w:spacing w:after="100"/>
      </w:pPr>
      <w:r>
        <w:rPr>
          <w:rFonts w:ascii="Arial" w:cs="Arial" w:eastAsia="Arial" w:hAnsi="Arial"/>
          <w:sz w:val="22"/>
          <w:szCs w:val="22"/>
        </w:rPr>
        <w:t xml:space="preserve">Identify the percentage of records missing: ICP qualification fields, deal stage entry dates, lead source, and owner assignment.</w:t>
      </w:r>
    </w:p>
    <w:p>
      <w:pPr>
        <w:pStyle w:val="ListParagraph"/>
        <w:numPr>
          <w:ilvl w:val="0"/>
          <w:numId w:val="3"/>
        </w:numPr>
        <w:spacing w:after="100"/>
      </w:pPr>
      <w:r>
        <w:rPr>
          <w:rFonts w:ascii="Arial" w:cs="Arial" w:eastAsia="Arial" w:hAnsi="Arial"/>
          <w:sz w:val="22"/>
          <w:szCs w:val="22"/>
        </w:rPr>
        <w:t xml:space="preserve">Document the current data model: what objects exist, how they relate to each other, and whether they match the actual business process.</w:t>
      </w:r>
    </w:p>
    <w:p>
      <w:pPr>
        <w:pStyle w:val="ListParagraph"/>
        <w:numPr>
          <w:ilvl w:val="0"/>
          <w:numId w:val="3"/>
        </w:numPr>
        <w:spacing w:after="100"/>
      </w:pPr>
      <w:r>
        <w:rPr>
          <w:rFonts w:ascii="Arial" w:cs="Arial" w:eastAsia="Arial" w:hAnsi="Arial"/>
          <w:sz w:val="22"/>
          <w:szCs w:val="22"/>
        </w:rPr>
        <w:t xml:space="preserve">Flag any duplicate records, zombie deals (stale opportunities not updated in 30+ days), and leads with no activity.</w:t>
      </w:r>
    </w:p>
    <w:p>
      <w:pPr>
        <w:spacing w:after="0" w:before="80"/>
      </w:pPr>
      <w:r>
        <w:t xml:space="preserve"/>
      </w:r>
    </w:p>
    <w:p>
      <w:pPr>
        <w:pStyle w:val="Heading3"/>
      </w:pPr>
      <w:r>
        <w:rPr>
          <w:rFonts w:ascii="Arial" w:cs="Arial" w:eastAsia="Arial" w:hAnsi="Arial"/>
          <w:b/>
          <w:bCs/>
          <w:color w:val="1B2F5B"/>
          <w:sz w:val="24"/>
          <w:szCs w:val="24"/>
        </w:rPr>
        <w:t xml:space="preserve">Step 1.3 — Lead Lifecycle &amp; Funnel Audit</w:t>
      </w:r>
    </w:p>
    <w:p>
      <w:pPr>
        <w:pStyle w:val="ListParagraph"/>
        <w:numPr>
          <w:ilvl w:val="0"/>
          <w:numId w:val="3"/>
        </w:numPr>
        <w:spacing w:after="100"/>
      </w:pPr>
      <w:r>
        <w:rPr>
          <w:rFonts w:ascii="Arial" w:cs="Arial" w:eastAsia="Arial" w:hAnsi="Arial"/>
          <w:sz w:val="22"/>
          <w:szCs w:val="22"/>
        </w:rPr>
        <w:t xml:space="preserve">Map the current lead-to-revenue flow on a whiteboard or diagram tool. Document every stage a lead passes through from first touch to Closed Won.</w:t>
      </w:r>
    </w:p>
    <w:p>
      <w:pPr>
        <w:pStyle w:val="ListParagraph"/>
        <w:numPr>
          <w:ilvl w:val="0"/>
          <w:numId w:val="3"/>
        </w:numPr>
        <w:spacing w:after="100"/>
      </w:pPr>
      <w:r>
        <w:rPr>
          <w:rFonts w:ascii="Arial" w:cs="Arial" w:eastAsia="Arial" w:hAnsi="Arial"/>
          <w:sz w:val="22"/>
          <w:szCs w:val="22"/>
        </w:rPr>
        <w:t xml:space="preserve">Identify whether Marketing Qualified Lead (MQL) and Sales Qualified Lead (SQL) criteria are formally documented and shared between teams.</w:t>
      </w:r>
    </w:p>
    <w:p>
      <w:pPr>
        <w:pStyle w:val="ListParagraph"/>
        <w:numPr>
          <w:ilvl w:val="0"/>
          <w:numId w:val="3"/>
        </w:numPr>
        <w:spacing w:after="100"/>
      </w:pPr>
      <w:r>
        <w:rPr>
          <w:rFonts w:ascii="Arial" w:cs="Arial" w:eastAsia="Arial" w:hAnsi="Arial"/>
          <w:sz w:val="22"/>
          <w:szCs w:val="22"/>
        </w:rPr>
        <w:t xml:space="preserve">Measure stage-to-stage conversion rates using CRM data. Identify the largest conversion rate drop-offs (these are your highest-priority bottlenecks).</w:t>
      </w:r>
    </w:p>
    <w:p>
      <w:pPr>
        <w:pStyle w:val="ListParagraph"/>
        <w:numPr>
          <w:ilvl w:val="0"/>
          <w:numId w:val="3"/>
        </w:numPr>
        <w:spacing w:after="100"/>
      </w:pPr>
      <w:r>
        <w:rPr>
          <w:rFonts w:ascii="Arial" w:cs="Arial" w:eastAsia="Arial" w:hAnsi="Arial"/>
          <w:sz w:val="22"/>
          <w:szCs w:val="22"/>
        </w:rPr>
        <w:t xml:space="preserve">Document the current handoff process between Marketing, Sales, and Customer Success. Identify where handoffs are informal, undocumented, or inconsistently applied.</w:t>
      </w:r>
    </w:p>
    <w:p>
      <w:pPr>
        <w:spacing w:after="0" w:before="80"/>
      </w:pPr>
      <w:r>
        <w:t xml:space="preserve"/>
      </w:r>
    </w:p>
    <w:p>
      <w:pPr>
        <w:pStyle w:val="Heading3"/>
      </w:pPr>
      <w:r>
        <w:rPr>
          <w:rFonts w:ascii="Arial" w:cs="Arial" w:eastAsia="Arial" w:hAnsi="Arial"/>
          <w:b/>
          <w:bCs/>
          <w:color w:val="1B2F5B"/>
          <w:sz w:val="24"/>
          <w:szCs w:val="24"/>
        </w:rPr>
        <w:t xml:space="preserve">Step 1.4 — Tech Stack Audit</w:t>
      </w:r>
    </w:p>
    <w:p>
      <w:pPr>
        <w:pStyle w:val="ListParagraph"/>
        <w:numPr>
          <w:ilvl w:val="0"/>
          <w:numId w:val="3"/>
        </w:numPr>
        <w:spacing w:after="100"/>
      </w:pPr>
      <w:r>
        <w:rPr>
          <w:rFonts w:ascii="Arial" w:cs="Arial" w:eastAsia="Arial" w:hAnsi="Arial"/>
          <w:sz w:val="22"/>
          <w:szCs w:val="22"/>
        </w:rPr>
        <w:t xml:space="preserve">List every tool currently in use across Marketing, Sales, and Customer Success with its primary function and monthly cost.</w:t>
      </w:r>
    </w:p>
    <w:p>
      <w:pPr>
        <w:pStyle w:val="ListParagraph"/>
        <w:numPr>
          <w:ilvl w:val="0"/>
          <w:numId w:val="3"/>
        </w:numPr>
        <w:spacing w:after="100"/>
      </w:pPr>
      <w:r>
        <w:rPr>
          <w:rFonts w:ascii="Arial" w:cs="Arial" w:eastAsia="Arial" w:hAnsi="Arial"/>
          <w:sz w:val="22"/>
          <w:szCs w:val="22"/>
        </w:rPr>
        <w:t xml:space="preserve">For each tool, assess: Is it fully implemented? Is it adopted by the team? Is it integrated with the CRM? Is it generating actionable data?</w:t>
      </w:r>
    </w:p>
    <w:p>
      <w:pPr>
        <w:pStyle w:val="ListParagraph"/>
        <w:numPr>
          <w:ilvl w:val="0"/>
          <w:numId w:val="3"/>
        </w:numPr>
        <w:spacing w:after="100"/>
      </w:pPr>
      <w:r>
        <w:rPr>
          <w:rFonts w:ascii="Arial" w:cs="Arial" w:eastAsia="Arial" w:hAnsi="Arial"/>
          <w:sz w:val="22"/>
          <w:szCs w:val="22"/>
        </w:rPr>
        <w:t xml:space="preserve">Identify redundant tools (two tools doing the same job), ghost tools (paid for but not used), and integration gaps (data not flowing between systems).</w:t>
      </w:r>
    </w:p>
    <w:p>
      <w:pPr>
        <w:spacing w:after="0" w:before="80"/>
      </w:pPr>
      <w:r>
        <w:t xml:space="preserve"/>
      </w:r>
    </w:p>
    <w:p>
      <w:pPr>
        <w:pStyle w:val="Heading3"/>
      </w:pPr>
      <w:r>
        <w:rPr>
          <w:rFonts w:ascii="Arial" w:cs="Arial" w:eastAsia="Arial" w:hAnsi="Arial"/>
          <w:b/>
          <w:bCs/>
          <w:color w:val="1B2F5B"/>
          <w:sz w:val="24"/>
          <w:szCs w:val="24"/>
        </w:rPr>
        <w:t xml:space="preserve">Step 1.5 — Reporting &amp; Visibility Audit</w:t>
      </w:r>
    </w:p>
    <w:p>
      <w:pPr>
        <w:pStyle w:val="ListParagraph"/>
        <w:numPr>
          <w:ilvl w:val="0"/>
          <w:numId w:val="3"/>
        </w:numPr>
        <w:spacing w:after="100"/>
      </w:pPr>
      <w:r>
        <w:rPr>
          <w:rFonts w:ascii="Arial" w:cs="Arial" w:eastAsia="Arial" w:hAnsi="Arial"/>
          <w:sz w:val="22"/>
          <w:szCs w:val="22"/>
        </w:rPr>
        <w:t xml:space="preserve">Document every report and dashboard currently in use. Who built them? Who looks at them? How often are they reviewed?</w:t>
      </w:r>
    </w:p>
    <w:p>
      <w:pPr>
        <w:pStyle w:val="ListParagraph"/>
        <w:numPr>
          <w:ilvl w:val="0"/>
          <w:numId w:val="3"/>
        </w:numPr>
        <w:spacing w:after="100"/>
      </w:pPr>
      <w:r>
        <w:rPr>
          <w:rFonts w:ascii="Arial" w:cs="Arial" w:eastAsia="Arial" w:hAnsi="Arial"/>
          <w:sz w:val="22"/>
          <w:szCs w:val="22"/>
        </w:rPr>
        <w:t xml:space="preserve">Assess whether leadership has real-time visibility into: pipeline health, forecast accuracy, conversion rates, and customer health.</w:t>
      </w:r>
    </w:p>
    <w:p>
      <w:pPr>
        <w:pStyle w:val="ListParagraph"/>
        <w:numPr>
          <w:ilvl w:val="0"/>
          <w:numId w:val="3"/>
        </w:numPr>
        <w:spacing w:after="100"/>
      </w:pPr>
      <w:r>
        <w:rPr>
          <w:rFonts w:ascii="Arial" w:cs="Arial" w:eastAsia="Arial" w:hAnsi="Arial"/>
          <w:sz w:val="22"/>
          <w:szCs w:val="22"/>
        </w:rPr>
        <w:t xml:space="preserve">Identify any metrics currently tracked that are not connected to revenue outcomes (vanity metrics to be deprioritised).</w:t>
      </w:r>
    </w:p>
    <w:p>
      <w:pPr>
        <w:spacing w:after="0" w:before="80"/>
      </w:pPr>
      <w:r>
        <w:t xml:space="preserve"/>
      </w:r>
    </w:p>
    <w:p>
      <w:pPr>
        <w:pStyle w:val="Heading3"/>
      </w:pPr>
      <w:r>
        <w:rPr>
          <w:rFonts w:ascii="Arial" w:cs="Arial" w:eastAsia="Arial" w:hAnsi="Arial"/>
          <w:b/>
          <w:bCs/>
          <w:color w:val="1B2F5B"/>
          <w:sz w:val="24"/>
          <w:szCs w:val="24"/>
        </w:rPr>
        <w:t xml:space="preserve">Step 1.6 — Audit Output: The Current State Report</w:t>
      </w:r>
    </w:p>
    <w:p>
      <w:pPr>
        <w:spacing w:after="120"/>
      </w:pPr>
      <w:r>
        <w:rPr>
          <w:rFonts w:ascii="Arial" w:cs="Arial" w:eastAsia="Arial" w:hAnsi="Arial"/>
          <w:b w:val="false"/>
          <w:bCs w:val="false"/>
          <w:color w:val="1A1A1A"/>
          <w:sz w:val="22"/>
          <w:szCs w:val="22"/>
        </w:rPr>
        <w:t xml:space="preserve">Consolidate findings into a structured Current State Report covering:</w:t>
      </w:r>
    </w:p>
    <w:p>
      <w:pPr>
        <w:pStyle w:val="ListParagraph"/>
        <w:numPr>
          <w:ilvl w:val="0"/>
          <w:numId w:val="2"/>
        </w:numPr>
        <w:spacing w:after="80"/>
      </w:pPr>
      <w:r>
        <w:rPr>
          <w:rFonts w:ascii="Arial" w:cs="Arial" w:eastAsia="Arial" w:hAnsi="Arial"/>
          <w:b w:val="false"/>
          <w:bCs w:val="false"/>
          <w:sz w:val="22"/>
          <w:szCs w:val="22"/>
        </w:rPr>
        <w:t xml:space="preserve">Executive summary with top 5 findings and their estimated revenue impact</w:t>
      </w:r>
    </w:p>
    <w:p>
      <w:pPr>
        <w:pStyle w:val="ListParagraph"/>
        <w:numPr>
          <w:ilvl w:val="0"/>
          <w:numId w:val="2"/>
        </w:numPr>
        <w:spacing w:after="80"/>
      </w:pPr>
      <w:r>
        <w:rPr>
          <w:rFonts w:ascii="Arial" w:cs="Arial" w:eastAsia="Arial" w:hAnsi="Arial"/>
          <w:b w:val="false"/>
          <w:bCs w:val="false"/>
          <w:sz w:val="22"/>
          <w:szCs w:val="22"/>
        </w:rPr>
        <w:t xml:space="preserve">CRM data quality score (% complete records)</w:t>
      </w:r>
    </w:p>
    <w:p>
      <w:pPr>
        <w:pStyle w:val="ListParagraph"/>
        <w:numPr>
          <w:ilvl w:val="0"/>
          <w:numId w:val="2"/>
        </w:numPr>
        <w:spacing w:after="80"/>
      </w:pPr>
      <w:r>
        <w:rPr>
          <w:rFonts w:ascii="Arial" w:cs="Arial" w:eastAsia="Arial" w:hAnsi="Arial"/>
          <w:b w:val="false"/>
          <w:bCs w:val="false"/>
          <w:sz w:val="22"/>
          <w:szCs w:val="22"/>
        </w:rPr>
        <w:t xml:space="preserve">Funnel conversion rate waterfall (stage by stage)</w:t>
      </w:r>
    </w:p>
    <w:p>
      <w:pPr>
        <w:pStyle w:val="ListParagraph"/>
        <w:numPr>
          <w:ilvl w:val="0"/>
          <w:numId w:val="2"/>
        </w:numPr>
        <w:spacing w:after="80"/>
      </w:pPr>
      <w:r>
        <w:rPr>
          <w:rFonts w:ascii="Arial" w:cs="Arial" w:eastAsia="Arial" w:hAnsi="Arial"/>
          <w:b w:val="false"/>
          <w:bCs w:val="false"/>
          <w:sz w:val="22"/>
          <w:szCs w:val="22"/>
        </w:rPr>
        <w:t xml:space="preserve">Tech stack inventory with recommendation (keep, optimise, or retire) for each tool</w:t>
      </w:r>
    </w:p>
    <w:p>
      <w:pPr>
        <w:pStyle w:val="ListParagraph"/>
        <w:numPr>
          <w:ilvl w:val="0"/>
          <w:numId w:val="2"/>
        </w:numPr>
        <w:spacing w:after="80"/>
      </w:pPr>
      <w:r>
        <w:rPr>
          <w:rFonts w:ascii="Arial" w:cs="Arial" w:eastAsia="Arial" w:hAnsi="Arial"/>
          <w:b w:val="false"/>
          <w:bCs w:val="false"/>
          <w:sz w:val="22"/>
          <w:szCs w:val="22"/>
        </w:rPr>
        <w:t xml:space="preserve">Reporting coverage gap analysis</w:t>
      </w:r>
    </w:p>
    <w:p>
      <w:pPr>
        <w:pStyle w:val="ListParagraph"/>
        <w:numPr>
          <w:ilvl w:val="0"/>
          <w:numId w:val="2"/>
        </w:numPr>
        <w:spacing w:after="80"/>
      </w:pPr>
      <w:r>
        <w:rPr>
          <w:rFonts w:ascii="Arial" w:cs="Arial" w:eastAsia="Arial" w:hAnsi="Arial"/>
          <w:b w:val="false"/>
          <w:bCs w:val="false"/>
          <w:sz w:val="22"/>
          <w:szCs w:val="22"/>
        </w:rPr>
        <w:t xml:space="preserve">Prioritised list of issues ranked by revenue impact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4"/>
              <w:left w:val="single" w:color="2563A8" w:sz="4"/>
              <w:bottom w:val="single" w:color="2563A8" w:sz="4"/>
              <w:right w:val="single" w:color="2563A8" w:sz="4"/>
            </w:tcBorders>
            <w:shd w:fill="D6E4F7" w:val="clear"/>
            <w:tcMar>
              <w:top w:type="dxa" w:w="160"/>
              <w:left w:type="dxa" w:w="200"/>
              <w:bottom w:type="dxa" w:w="160"/>
              <w:right w:type="dxa" w:w="200"/>
            </w:tcMar>
          </w:tcPr>
          <w:p>
            <w:pPr>
              <w:spacing w:after="80"/>
            </w:pPr>
            <w:r>
              <w:rPr>
                <w:rFonts w:ascii="Arial" w:cs="Arial" w:eastAsia="Arial" w:hAnsi="Arial"/>
                <w:b/>
                <w:bCs/>
                <w:color w:val="1B2F5B"/>
                <w:sz w:val="22"/>
                <w:szCs w:val="22"/>
              </w:rPr>
              <w:t xml:space="preserve">SPICED Checkpoint — Phase 1 Output</w:t>
            </w:r>
          </w:p>
          <w:p>
            <w:pPr>
              <w:spacing w:after="0"/>
            </w:pPr>
            <w:r>
              <w:rPr>
                <w:rFonts w:ascii="Arial" w:cs="Arial" w:eastAsia="Arial" w:hAnsi="Arial"/>
                <w:color w:val="1A1A1A"/>
                <w:sz w:val="20"/>
                <w:szCs w:val="20"/>
              </w:rPr>
              <w:t xml:space="preserve">By the end of Phase 1, Provecta should be able to articulate the client's (or our own) Situation and Pain in precise, quantified terms. Example: 'The current CRM has 62% field completion, resulting in unreliable forecasting and an estimated $400K in unqualified pipeline. The Pain is invisible pipeline risk. The Impact is missed quarter-end targets.'</w:t>
            </w:r>
          </w:p>
        </w:tc>
      </w:tr>
    </w:tbl>
    <w:p>
      <w:r>
        <w:br w:type="pag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A020" w:sz="24"/>
              <w:bottom w:val="none" w:color="FFFFFF" w:sz="0"/>
              <w:right w:val="none" w:color="FFFFFF" w:sz="0"/>
            </w:tcBorders>
            <w:shd w:fill="F4F6FA" w:val="clear"/>
            <w:tcMar>
              <w:top w:type="dxa" w:w="160"/>
              <w:left w:type="dxa" w:w="280"/>
              <w:bottom w:type="dxa" w:w="160"/>
              <w:right w:type="dxa" w:w="200"/>
            </w:tcMar>
          </w:tcPr>
          <w:p>
            <w:pPr>
              <w:spacing w:after="60"/>
            </w:pPr>
            <w:r>
              <w:rPr>
                <w:rFonts w:ascii="Arial" w:cs="Arial" w:eastAsia="Arial" w:hAnsi="Arial"/>
                <w:b/>
                <w:bCs/>
                <w:caps/>
                <w:color w:val="E8A020"/>
                <w:sz w:val="18"/>
                <w:szCs w:val="18"/>
              </w:rPr>
              <w:t xml:space="preserve">PHASE 2</w:t>
            </w:r>
          </w:p>
          <w:p>
            <w:pPr>
              <w:spacing w:after="80"/>
            </w:pPr>
            <w:r>
              <w:rPr>
                <w:rFonts w:ascii="Arial" w:cs="Arial" w:eastAsia="Arial" w:hAnsi="Arial"/>
                <w:b/>
                <w:bCs/>
                <w:color w:val="1B2F5B"/>
                <w:sz w:val="32"/>
                <w:szCs w:val="32"/>
              </w:rPr>
              <w:t xml:space="preserve">Single Source of Truth Architecture</w:t>
            </w:r>
          </w:p>
          <w:p>
            <w:pPr>
              <w:spacing w:after="0"/>
            </w:pPr>
            <w:r>
              <w:rPr>
                <w:rFonts w:ascii="Arial" w:cs="Arial" w:eastAsia="Arial" w:hAnsi="Arial"/>
                <w:color w:val="888888"/>
                <w:sz w:val="20"/>
                <w:szCs w:val="20"/>
              </w:rPr>
              <w:t xml:space="preserve">Build the data foundation that everything else depends on.</w:t>
            </w:r>
          </w:p>
        </w:tc>
      </w:tr>
    </w:tbl>
    <w:p>
      <w:pPr>
        <w:spacing w:after="0" w:before="120"/>
      </w:pPr>
      <w:r>
        <w:t xml:space="preserve"/>
      </w:r>
    </w:p>
    <w:p>
      <w:pPr>
        <w:pStyle w:val="Heading2"/>
      </w:pPr>
      <w:r>
        <w:rPr>
          <w:rFonts w:ascii="Arial" w:cs="Arial" w:eastAsia="Arial" w:hAnsi="Arial"/>
          <w:b/>
          <w:bCs/>
          <w:color w:val="2563A8"/>
          <w:sz w:val="28"/>
          <w:szCs w:val="28"/>
        </w:rPr>
        <w:t xml:space="preserve">Phase 2 Overview</w:t>
      </w:r>
    </w:p>
    <w:p>
      <w:pPr>
        <w:spacing w:after="120"/>
      </w:pPr>
      <w:r>
        <w:rPr>
          <w:rFonts w:ascii="Arial" w:cs="Arial" w:eastAsia="Arial" w:hAnsi="Arial"/>
          <w:b w:val="false"/>
          <w:bCs w:val="false"/>
          <w:color w:val="1A1A1A"/>
          <w:sz w:val="22"/>
          <w:szCs w:val="22"/>
        </w:rPr>
        <w:t xml:space="preserve">A Single Source of Truth (SSoT) is the cornerstone of any functioning RevOps system. When every team operates from the same data, in the same platform, with the same definitions — decisions become faster, more accurate, and better aligned. Without an SSoT, analytics are untrustworthy and every report is contested.</w:t>
      </w:r>
    </w:p>
    <w:p>
      <w:pPr>
        <w:spacing w:after="120"/>
      </w:pPr>
      <w:r>
        <w:rPr>
          <w:rFonts w:ascii="Arial" w:cs="Arial" w:eastAsia="Arial" w:hAnsi="Arial"/>
          <w:b w:val="false"/>
          <w:bCs w:val="false"/>
          <w:color w:val="1A1A1A"/>
          <w:sz w:val="22"/>
          <w:szCs w:val="22"/>
        </w:rPr>
        <w:t xml:space="preserve">This phase directly implements the Models &amp; Data pillar of Revenue Architecture.</w:t>
      </w:r>
    </w:p>
    <w:p>
      <w:pPr>
        <w:spacing w:after="0" w:before="80"/>
      </w:pPr>
      <w:r>
        <w:t xml:space="preserve"/>
      </w:r>
    </w:p>
    <w:p>
      <w:pPr>
        <w:pStyle w:val="Heading3"/>
      </w:pPr>
      <w:r>
        <w:rPr>
          <w:rFonts w:ascii="Arial" w:cs="Arial" w:eastAsia="Arial" w:hAnsi="Arial"/>
          <w:b/>
          <w:bCs/>
          <w:color w:val="1B2F5B"/>
          <w:sz w:val="24"/>
          <w:szCs w:val="24"/>
        </w:rPr>
        <w:t xml:space="preserve">Step 2.1 — Designate the System of Record</w:t>
      </w:r>
    </w:p>
    <w:p>
      <w:pPr>
        <w:pStyle w:val="ListParagraph"/>
        <w:numPr>
          <w:ilvl w:val="0"/>
          <w:numId w:val="3"/>
        </w:numPr>
        <w:spacing w:after="100"/>
      </w:pPr>
      <w:r>
        <w:rPr>
          <w:rFonts w:ascii="Arial" w:cs="Arial" w:eastAsia="Arial" w:hAnsi="Arial"/>
          <w:sz w:val="22"/>
          <w:szCs w:val="22"/>
        </w:rPr>
        <w:t xml:space="preserve">Formally designate the CRM (Salesforce or HubSpot) as the single system of record for all revenue data.</w:t>
      </w:r>
    </w:p>
    <w:p>
      <w:pPr>
        <w:pStyle w:val="ListParagraph"/>
        <w:numPr>
          <w:ilvl w:val="0"/>
          <w:numId w:val="3"/>
        </w:numPr>
        <w:spacing w:after="100"/>
      </w:pPr>
      <w:r>
        <w:rPr>
          <w:rFonts w:ascii="Arial" w:cs="Arial" w:eastAsia="Arial" w:hAnsi="Arial"/>
          <w:sz w:val="22"/>
          <w:szCs w:val="22"/>
        </w:rPr>
        <w:t xml:space="preserve">Document and communicate this decision to all team leads. Every data point that affects revenue decisions must live in — or sync to — the CRM.</w:t>
      </w:r>
    </w:p>
    <w:p>
      <w:pPr>
        <w:pStyle w:val="ListParagraph"/>
        <w:numPr>
          <w:ilvl w:val="0"/>
          <w:numId w:val="3"/>
        </w:numPr>
        <w:spacing w:after="100"/>
      </w:pPr>
      <w:r>
        <w:rPr>
          <w:rFonts w:ascii="Arial" w:cs="Arial" w:eastAsia="Arial" w:hAnsi="Arial"/>
          <w:sz w:val="22"/>
          <w:szCs w:val="22"/>
        </w:rPr>
        <w:t xml:space="preserve">Remove or disable any shadow systems (spreadsheets, personal trackers) that duplicate CRM data without feeding back into it.</w:t>
      </w:r>
    </w:p>
    <w:p>
      <w:pPr>
        <w:spacing w:after="0" w:before="80"/>
      </w:pPr>
      <w:r>
        <w:t xml:space="preserve"/>
      </w:r>
    </w:p>
    <w:p>
      <w:pPr>
        <w:pStyle w:val="Heading3"/>
      </w:pPr>
      <w:r>
        <w:rPr>
          <w:rFonts w:ascii="Arial" w:cs="Arial" w:eastAsia="Arial" w:hAnsi="Arial"/>
          <w:b/>
          <w:bCs/>
          <w:color w:val="1B2F5B"/>
          <w:sz w:val="24"/>
          <w:szCs w:val="24"/>
        </w:rPr>
        <w:t xml:space="preserve">Step 2.2 — Design the Data Model</w:t>
      </w:r>
    </w:p>
    <w:p>
      <w:pPr>
        <w:pStyle w:val="ListParagraph"/>
        <w:numPr>
          <w:ilvl w:val="0"/>
          <w:numId w:val="3"/>
        </w:numPr>
        <w:spacing w:after="100"/>
      </w:pPr>
      <w:r>
        <w:rPr>
          <w:rFonts w:ascii="Arial" w:cs="Arial" w:eastAsia="Arial" w:hAnsi="Arial"/>
          <w:sz w:val="22"/>
          <w:szCs w:val="22"/>
        </w:rPr>
        <w:t xml:space="preserve">Map the core CRM objects needed to represent the business: Contacts, Accounts, Opportunities, Deals, Activities, Products, and (for CS teams) Customer Health records.</w:t>
      </w:r>
    </w:p>
    <w:p>
      <w:pPr>
        <w:pStyle w:val="ListParagraph"/>
        <w:numPr>
          <w:ilvl w:val="0"/>
          <w:numId w:val="3"/>
        </w:numPr>
        <w:spacing w:after="100"/>
      </w:pPr>
      <w:r>
        <w:rPr>
          <w:rFonts w:ascii="Arial" w:cs="Arial" w:eastAsia="Arial" w:hAnsi="Arial"/>
          <w:sz w:val="22"/>
          <w:szCs w:val="22"/>
        </w:rPr>
        <w:t xml:space="preserve">Define the relationships between objects. For each relationship, specify: one-to-one, one-to-many, or many-to-many, and the directionality of the sync.</w:t>
      </w:r>
    </w:p>
    <w:p>
      <w:pPr>
        <w:pStyle w:val="ListParagraph"/>
        <w:numPr>
          <w:ilvl w:val="0"/>
          <w:numId w:val="3"/>
        </w:numPr>
        <w:spacing w:after="100"/>
      </w:pPr>
      <w:r>
        <w:rPr>
          <w:rFonts w:ascii="Arial" w:cs="Arial" w:eastAsia="Arial" w:hAnsi="Arial"/>
          <w:sz w:val="22"/>
          <w:szCs w:val="22"/>
        </w:rPr>
        <w:t xml:space="preserve">Align the data model to the Bow Tie: each stage of the Bow Tie (Acquire → Close → Grow) must have corresponding CRM objects and fields that represent it.</w:t>
      </w:r>
    </w:p>
    <w:p>
      <w:pPr>
        <w:pStyle w:val="ListParagraph"/>
        <w:numPr>
          <w:ilvl w:val="0"/>
          <w:numId w:val="3"/>
        </w:numPr>
        <w:spacing w:after="100"/>
      </w:pPr>
      <w:r>
        <w:rPr>
          <w:rFonts w:ascii="Arial" w:cs="Arial" w:eastAsia="Arial" w:hAnsi="Arial"/>
          <w:sz w:val="22"/>
          <w:szCs w:val="22"/>
        </w:rPr>
        <w:t xml:space="preserve">Document the data model in a Master Data Dictionary: a single reference document listing every object, every field, its data type, its purpose, and its owner.</w:t>
      </w:r>
    </w:p>
    <w:p>
      <w:pPr>
        <w:spacing w:after="0" w:before="80"/>
      </w:pPr>
      <w:r>
        <w:t xml:space="preserve"/>
      </w:r>
    </w:p>
    <w:p>
      <w:pPr>
        <w:pStyle w:val="Heading3"/>
      </w:pPr>
      <w:r>
        <w:rPr>
          <w:rFonts w:ascii="Arial" w:cs="Arial" w:eastAsia="Arial" w:hAnsi="Arial"/>
          <w:b/>
          <w:bCs/>
          <w:color w:val="1B2F5B"/>
          <w:sz w:val="24"/>
          <w:szCs w:val="24"/>
        </w:rPr>
        <w:t xml:space="preserve">Step 2.3 — Integration Architecture</w:t>
      </w:r>
    </w:p>
    <w:p>
      <w:pPr>
        <w:pStyle w:val="ListParagraph"/>
        <w:numPr>
          <w:ilvl w:val="0"/>
          <w:numId w:val="3"/>
        </w:numPr>
        <w:spacing w:after="100"/>
      </w:pPr>
      <w:r>
        <w:rPr>
          <w:rFonts w:ascii="Arial" w:cs="Arial" w:eastAsia="Arial" w:hAnsi="Arial"/>
          <w:sz w:val="22"/>
          <w:szCs w:val="22"/>
        </w:rPr>
        <w:t xml:space="preserve">Map every tool in the tech stack that generates or needs revenue data (marketing automation, sales engagement, BI tools, etc.).</w:t>
      </w:r>
    </w:p>
    <w:p>
      <w:pPr>
        <w:pStyle w:val="ListParagraph"/>
        <w:numPr>
          <w:ilvl w:val="0"/>
          <w:numId w:val="3"/>
        </w:numPr>
        <w:spacing w:after="100"/>
      </w:pPr>
      <w:r>
        <w:rPr>
          <w:rFonts w:ascii="Arial" w:cs="Arial" w:eastAsia="Arial" w:hAnsi="Arial"/>
          <w:sz w:val="22"/>
          <w:szCs w:val="22"/>
        </w:rPr>
        <w:t xml:space="preserve">For each integration, define: direction of data flow (uni-directional or bi-directional), sync frequency (real-time or batch), and field-level mapping.</w:t>
      </w:r>
    </w:p>
    <w:p>
      <w:pPr>
        <w:pStyle w:val="ListParagraph"/>
        <w:numPr>
          <w:ilvl w:val="0"/>
          <w:numId w:val="3"/>
        </w:numPr>
        <w:spacing w:after="100"/>
      </w:pPr>
      <w:r>
        <w:rPr>
          <w:rFonts w:ascii="Arial" w:cs="Arial" w:eastAsia="Arial" w:hAnsi="Arial"/>
          <w:sz w:val="22"/>
          <w:szCs w:val="22"/>
        </w:rPr>
        <w:t xml:space="preserve">Implement all integrations using the CRM as the hub. No two non-CRM tools should share data directly without it flowing through the CRM first.</w:t>
      </w:r>
    </w:p>
    <w:p>
      <w:pPr>
        <w:pStyle w:val="ListParagraph"/>
        <w:numPr>
          <w:ilvl w:val="0"/>
          <w:numId w:val="3"/>
        </w:numPr>
        <w:spacing w:after="100"/>
      </w:pPr>
      <w:r>
        <w:rPr>
          <w:rFonts w:ascii="Arial" w:cs="Arial" w:eastAsia="Arial" w:hAnsi="Arial"/>
          <w:sz w:val="22"/>
          <w:szCs w:val="22"/>
        </w:rPr>
        <w:t xml:space="preserve">Test every integration with a sample data set. Verify that data arrives clean, without duplication, and within the expected sync window.</w:t>
      </w:r>
    </w:p>
    <w:p>
      <w:pPr>
        <w:spacing w:after="0" w:before="80"/>
      </w:pPr>
      <w:r>
        <w:t xml:space="preserve"/>
      </w:r>
    </w:p>
    <w:p>
      <w:pPr>
        <w:pStyle w:val="Heading3"/>
      </w:pPr>
      <w:r>
        <w:rPr>
          <w:rFonts w:ascii="Arial" w:cs="Arial" w:eastAsia="Arial" w:hAnsi="Arial"/>
          <w:b/>
          <w:bCs/>
          <w:color w:val="1B2F5B"/>
          <w:sz w:val="24"/>
          <w:szCs w:val="24"/>
        </w:rPr>
        <w:t xml:space="preserve">Step 2.4 — Define Required Fields &amp; Validation</w:t>
      </w:r>
    </w:p>
    <w:p>
      <w:pPr>
        <w:pStyle w:val="ListParagraph"/>
        <w:numPr>
          <w:ilvl w:val="0"/>
          <w:numId w:val="3"/>
        </w:numPr>
        <w:spacing w:after="100"/>
      </w:pPr>
      <w:r>
        <w:rPr>
          <w:rFonts w:ascii="Arial" w:cs="Arial" w:eastAsia="Arial" w:hAnsi="Arial"/>
          <w:sz w:val="22"/>
          <w:szCs w:val="22"/>
        </w:rPr>
        <w:t xml:space="preserve">Identify the minimum set of fields that must be populated for a record to be considered 'complete' at each Bow Tie stage.</w:t>
      </w:r>
    </w:p>
    <w:p>
      <w:pPr>
        <w:pStyle w:val="ListParagraph"/>
        <w:numPr>
          <w:ilvl w:val="0"/>
          <w:numId w:val="3"/>
        </w:numPr>
        <w:spacing w:after="100"/>
      </w:pPr>
      <w:r>
        <w:rPr>
          <w:rFonts w:ascii="Arial" w:cs="Arial" w:eastAsia="Arial" w:hAnsi="Arial"/>
          <w:sz w:val="22"/>
          <w:szCs w:val="22"/>
        </w:rPr>
        <w:t xml:space="preserve">Configure CRM validation rules to enforce required fields at stage transitions. A deal should not be able to advance to a new stage without the required fields being populated.</w:t>
      </w:r>
    </w:p>
    <w:p>
      <w:pPr>
        <w:pStyle w:val="ListParagraph"/>
        <w:numPr>
          <w:ilvl w:val="0"/>
          <w:numId w:val="3"/>
        </w:numPr>
        <w:spacing w:after="100"/>
      </w:pPr>
      <w:r>
        <w:rPr>
          <w:rFonts w:ascii="Arial" w:cs="Arial" w:eastAsia="Arial" w:hAnsi="Arial"/>
          <w:sz w:val="22"/>
          <w:szCs w:val="22"/>
        </w:rPr>
        <w:t xml:space="preserve">Create field-level help text in the CRM so every user understands what each field means and what data belongs there.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4"/>
              <w:left w:val="single" w:color="2563A8" w:sz="4"/>
              <w:bottom w:val="single" w:color="2563A8" w:sz="4"/>
              <w:right w:val="single" w:color="2563A8" w:sz="4"/>
            </w:tcBorders>
            <w:shd w:fill="D6E4F7" w:val="clear"/>
            <w:tcMar>
              <w:top w:type="dxa" w:w="160"/>
              <w:left w:type="dxa" w:w="200"/>
              <w:bottom w:type="dxa" w:w="160"/>
              <w:right w:type="dxa" w:w="200"/>
            </w:tcMar>
          </w:tcPr>
          <w:p>
            <w:pPr>
              <w:spacing w:after="80"/>
            </w:pPr>
            <w:r>
              <w:rPr>
                <w:rFonts w:ascii="Arial" w:cs="Arial" w:eastAsia="Arial" w:hAnsi="Arial"/>
                <w:b/>
                <w:bCs/>
                <w:color w:val="1B2F5B"/>
                <w:sz w:val="22"/>
                <w:szCs w:val="22"/>
              </w:rPr>
              <w:t xml:space="preserve">SPICED Checkpoint — Phase 2 Output</w:t>
            </w:r>
          </w:p>
          <w:p>
            <w:pPr>
              <w:spacing w:after="0"/>
            </w:pPr>
            <w:r>
              <w:rPr>
                <w:rFonts w:ascii="Arial" w:cs="Arial" w:eastAsia="Arial" w:hAnsi="Arial"/>
                <w:color w:val="1A1A1A"/>
                <w:sz w:val="20"/>
                <w:szCs w:val="20"/>
              </w:rPr>
              <w:t xml:space="preserve">By the end of Phase 2, every SPICED dimension (S, P, I, C, D) should have corresponding CRM fields that capture the output of a SPICED conversation. When a rep completes a SPICED discovery call, the insights are recorded in the CRM immediately — not on a notepad.</w:t>
            </w:r>
          </w:p>
        </w:tc>
      </w:tr>
    </w:tbl>
    <w:p>
      <w:r>
        <w:br w:type="pag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A020" w:sz="24"/>
              <w:bottom w:val="none" w:color="FFFFFF" w:sz="0"/>
              <w:right w:val="none" w:color="FFFFFF" w:sz="0"/>
            </w:tcBorders>
            <w:shd w:fill="F4F6FA" w:val="clear"/>
            <w:tcMar>
              <w:top w:type="dxa" w:w="160"/>
              <w:left w:type="dxa" w:w="280"/>
              <w:bottom w:type="dxa" w:w="160"/>
              <w:right w:type="dxa" w:w="200"/>
            </w:tcMar>
          </w:tcPr>
          <w:p>
            <w:pPr>
              <w:spacing w:after="60"/>
            </w:pPr>
            <w:r>
              <w:rPr>
                <w:rFonts w:ascii="Arial" w:cs="Arial" w:eastAsia="Arial" w:hAnsi="Arial"/>
                <w:b/>
                <w:bCs/>
                <w:caps/>
                <w:color w:val="E8A020"/>
                <w:sz w:val="18"/>
                <w:szCs w:val="18"/>
              </w:rPr>
              <w:t xml:space="preserve">PHASE 3</w:t>
            </w:r>
          </w:p>
          <w:p>
            <w:pPr>
              <w:spacing w:after="80"/>
            </w:pPr>
            <w:r>
              <w:rPr>
                <w:rFonts w:ascii="Arial" w:cs="Arial" w:eastAsia="Arial" w:hAnsi="Arial"/>
                <w:b/>
                <w:bCs/>
                <w:color w:val="1B2F5B"/>
                <w:sz w:val="32"/>
                <w:szCs w:val="32"/>
              </w:rPr>
              <w:t xml:space="preserve">Lead Lifecycle Management</w:t>
            </w:r>
          </w:p>
          <w:p>
            <w:pPr>
              <w:spacing w:after="0"/>
            </w:pPr>
            <w:r>
              <w:rPr>
                <w:rFonts w:ascii="Arial" w:cs="Arial" w:eastAsia="Arial" w:hAnsi="Arial"/>
                <w:color w:val="888888"/>
                <w:sz w:val="20"/>
                <w:szCs w:val="20"/>
              </w:rPr>
              <w:t xml:space="preserve">Define every stage of the customer journey and enforce it consistently.</w:t>
            </w:r>
          </w:p>
        </w:tc>
      </w:tr>
    </w:tbl>
    <w:p>
      <w:pPr>
        <w:spacing w:after="0" w:before="120"/>
      </w:pPr>
      <w:r>
        <w:t xml:space="preserve"/>
      </w:r>
    </w:p>
    <w:p>
      <w:pPr>
        <w:pStyle w:val="Heading2"/>
      </w:pPr>
      <w:r>
        <w:rPr>
          <w:rFonts w:ascii="Arial" w:cs="Arial" w:eastAsia="Arial" w:hAnsi="Arial"/>
          <w:b/>
          <w:bCs/>
          <w:color w:val="2563A8"/>
          <w:sz w:val="28"/>
          <w:szCs w:val="28"/>
        </w:rPr>
        <w:t xml:space="preserve">Phase 3 Overview</w:t>
      </w:r>
    </w:p>
    <w:p>
      <w:pPr>
        <w:spacing w:after="120"/>
      </w:pPr>
      <w:r>
        <w:rPr>
          <w:rFonts w:ascii="Arial" w:cs="Arial" w:eastAsia="Arial" w:hAnsi="Arial"/>
          <w:b w:val="false"/>
          <w:bCs w:val="false"/>
          <w:color w:val="1A1A1A"/>
          <w:sz w:val="22"/>
          <w:szCs w:val="22"/>
        </w:rPr>
        <w:t xml:space="preserve">Lead Lifecycle Management is the operational framework that governs how a prospect moves through the Bow Tie — from anonymous visitor to loyal advocate. Without a formally defined lifecycle, leads fall through cracks, handoffs are messy, and reporting is meaningless.</w:t>
      </w:r>
    </w:p>
    <w:p>
      <w:pPr>
        <w:spacing w:after="120"/>
      </w:pPr>
      <w:r>
        <w:rPr>
          <w:rFonts w:ascii="Arial" w:cs="Arial" w:eastAsia="Arial" w:hAnsi="Arial"/>
          <w:b w:val="false"/>
          <w:bCs w:val="false"/>
          <w:color w:val="1A1A1A"/>
          <w:sz w:val="22"/>
          <w:szCs w:val="22"/>
        </w:rPr>
        <w:t xml:space="preserve">This phase operationalises the left side of the Bow Tie and connects it to the right side through a seamless handoff process.</w:t>
      </w:r>
    </w:p>
    <w:p>
      <w:pPr>
        <w:spacing w:after="0" w:before="80"/>
      </w:pPr>
      <w:r>
        <w:t xml:space="preserve"/>
      </w:r>
    </w:p>
    <w:p>
      <w:pPr>
        <w:pStyle w:val="Heading3"/>
      </w:pPr>
      <w:r>
        <w:rPr>
          <w:rFonts w:ascii="Arial" w:cs="Arial" w:eastAsia="Arial" w:hAnsi="Arial"/>
          <w:b/>
          <w:bCs/>
          <w:color w:val="1B2F5B"/>
          <w:sz w:val="24"/>
          <w:szCs w:val="24"/>
        </w:rPr>
        <w:t xml:space="preserve">Step 3.1 — Define Lifecycle Stages</w:t>
      </w:r>
    </w:p>
    <w:p>
      <w:pPr>
        <w:spacing w:after="120"/>
      </w:pPr>
      <w:r>
        <w:rPr>
          <w:rFonts w:ascii="Arial" w:cs="Arial" w:eastAsia="Arial" w:hAnsi="Arial"/>
          <w:b w:val="false"/>
          <w:bCs w:val="false"/>
          <w:color w:val="1A1A1A"/>
          <w:sz w:val="22"/>
          <w:szCs w:val="22"/>
        </w:rPr>
        <w:t xml:space="preserve">Formally define every lifecycle stage with clear entry criteria, exit criteria, and the team responsible at each stage: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2563A8" w:sz="6"/>
              <w:left w:val="single" w:color="2563A8" w:sz="6"/>
              <w:bottom w:val="single" w:color="2563A8" w:sz="6"/>
              <w:right w:val="single" w:color="2563A8" w:sz="6"/>
            </w:tcBorders>
            <w:shd w:fill="1B2F5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Stage</w:t>
            </w:r>
          </w:p>
        </w:tc>
        <w:tc>
          <w:tcPr>
            <w:tcW w:type="dxa" w:w="2000"/>
            <w:tcBorders>
              <w:top w:val="single" w:color="2563A8" w:sz="6"/>
              <w:left w:val="single" w:color="2563A8" w:sz="6"/>
              <w:bottom w:val="single" w:color="2563A8" w:sz="6"/>
              <w:right w:val="single" w:color="2563A8" w:sz="6"/>
            </w:tcBorders>
            <w:shd w:fill="1B2F5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Owner</w:t>
            </w:r>
          </w:p>
        </w:tc>
        <w:tc>
          <w:tcPr>
            <w:tcW w:type="dxa" w:w="2680"/>
            <w:tcBorders>
              <w:top w:val="single" w:color="2563A8" w:sz="6"/>
              <w:left w:val="single" w:color="2563A8" w:sz="6"/>
              <w:bottom w:val="single" w:color="2563A8" w:sz="6"/>
              <w:right w:val="single" w:color="2563A8" w:sz="6"/>
            </w:tcBorders>
            <w:shd w:fill="1B2F5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Entry Criteria</w:t>
            </w:r>
          </w:p>
        </w:tc>
        <w:tc>
          <w:tcPr>
            <w:tcW w:type="dxa" w:w="2680"/>
            <w:tcBorders>
              <w:top w:val="single" w:color="2563A8" w:sz="6"/>
              <w:left w:val="single" w:color="2563A8" w:sz="6"/>
              <w:bottom w:val="single" w:color="2563A8" w:sz="6"/>
              <w:right w:val="single" w:color="2563A8" w:sz="6"/>
            </w:tcBorders>
            <w:shd w:fill="1B2F5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Exit Criteria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Subscriber / Visitor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Marketing</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Opted in or visited key page</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Completes a tracked engagement action</w:t>
            </w:r>
          </w:p>
        </w:tc>
      </w:tr>
      <w:tr>
        <w:tc>
          <w:tcPr>
            <w:tcW w:type="dxa" w:w="20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Lead</w:t>
            </w:r>
          </w:p>
        </w:tc>
        <w:tc>
          <w:tcPr>
            <w:tcW w:type="dxa" w:w="20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Marketing</w:t>
            </w:r>
          </w:p>
        </w:tc>
        <w:tc>
          <w:tcPr>
            <w:tcW w:type="dxa" w:w="268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Submitted a form or booked a meeting</w:t>
            </w:r>
          </w:p>
        </w:tc>
        <w:tc>
          <w:tcPr>
            <w:tcW w:type="dxa" w:w="268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Meets initial ICP criteria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MQL (Marketing Qualified)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Marketing</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Meets lead score threshold and ICP criteria</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Sales accepts and begins active outreach</w:t>
            </w:r>
          </w:p>
        </w:tc>
      </w:tr>
      <w:tr>
        <w:tc>
          <w:tcPr>
            <w:tcW w:type="dxa" w:w="20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SAL (Sales Accepted)</w:t>
            </w:r>
          </w:p>
        </w:tc>
        <w:tc>
          <w:tcPr>
            <w:tcW w:type="dxa" w:w="20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Sales</w:t>
            </w:r>
          </w:p>
        </w:tc>
        <w:tc>
          <w:tcPr>
            <w:tcW w:type="dxa" w:w="268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Sales rep has reviewed and accepted the lead</w:t>
            </w:r>
          </w:p>
        </w:tc>
        <w:tc>
          <w:tcPr>
            <w:tcW w:type="dxa" w:w="268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First meaningful conversation completed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SQL (Sales Qualified)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Sales</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SPICED discovery completed, viable opportunity confirmed</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Proposal or evaluation formally initiated</w:t>
            </w:r>
          </w:p>
        </w:tc>
      </w:tr>
      <w:tr>
        <w:tc>
          <w:tcPr>
            <w:tcW w:type="dxa" w:w="20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Opportunity</w:t>
            </w:r>
          </w:p>
        </w:tc>
        <w:tc>
          <w:tcPr>
            <w:tcW w:type="dxa" w:w="20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Sales</w:t>
            </w:r>
          </w:p>
        </w:tc>
        <w:tc>
          <w:tcPr>
            <w:tcW w:type="dxa" w:w="268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Active deal in the pipeline</w:t>
            </w:r>
          </w:p>
        </w:tc>
        <w:tc>
          <w:tcPr>
            <w:tcW w:type="dxa" w:w="268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Closed Won or Closed Lost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Customer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CS / Account Mgmt</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Contract signed, deal closed</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Onboarding complete, adoption begins</w:t>
            </w:r>
          </w:p>
        </w:tc>
      </w:tr>
      <w:tr>
        <w:tc>
          <w:tcPr>
            <w:tcW w:type="dxa" w:w="20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Expansion / Advocate</w:t>
            </w:r>
          </w:p>
        </w:tc>
        <w:tc>
          <w:tcPr>
            <w:tcW w:type="dxa" w:w="20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CS / Account Mgmt</w:t>
            </w:r>
          </w:p>
        </w:tc>
        <w:tc>
          <w:tcPr>
            <w:tcW w:type="dxa" w:w="268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Healthy adoption, NPS positive, upsell identified</w:t>
            </w:r>
          </w:p>
        </w:tc>
        <w:tc>
          <w:tcPr>
            <w:tcW w:type="dxa" w:w="268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Expanded contract or referral generated</w:t>
            </w:r>
          </w:p>
        </w:tc>
      </w:tr>
    </w:tbl>
    <w:p>
      <w:pPr>
        <w:spacing w:after="0" w:before="120"/>
      </w:pPr>
      <w:r>
        <w:t xml:space="preserve"/>
      </w:r>
    </w:p>
    <w:p>
      <w:pPr>
        <w:pStyle w:val="Heading3"/>
      </w:pPr>
      <w:r>
        <w:rPr>
          <w:rFonts w:ascii="Arial" w:cs="Arial" w:eastAsia="Arial" w:hAnsi="Arial"/>
          <w:b/>
          <w:bCs/>
          <w:color w:val="1B2F5B"/>
          <w:sz w:val="24"/>
          <w:szCs w:val="24"/>
        </w:rPr>
        <w:t xml:space="preserve">Step 3.2 — Define ICP (Ideal Customer Profile)</w:t>
      </w:r>
    </w:p>
    <w:p>
      <w:pPr>
        <w:pStyle w:val="ListParagraph"/>
        <w:numPr>
          <w:ilvl w:val="0"/>
          <w:numId w:val="3"/>
        </w:numPr>
        <w:spacing w:after="100"/>
      </w:pPr>
      <w:r>
        <w:rPr>
          <w:rFonts w:ascii="Arial" w:cs="Arial" w:eastAsia="Arial" w:hAnsi="Arial"/>
          <w:sz w:val="22"/>
          <w:szCs w:val="22"/>
        </w:rPr>
        <w:t xml:space="preserve">Document the Ideal Customer Profile using SPICED Situation criteria: company size, industry, geography, tech stack, team structure, and growth stage.</w:t>
      </w:r>
    </w:p>
    <w:p>
      <w:pPr>
        <w:pStyle w:val="ListParagraph"/>
        <w:numPr>
          <w:ilvl w:val="0"/>
          <w:numId w:val="3"/>
        </w:numPr>
        <w:spacing w:after="100"/>
      </w:pPr>
      <w:r>
        <w:rPr>
          <w:rFonts w:ascii="Arial" w:cs="Arial" w:eastAsia="Arial" w:hAnsi="Arial"/>
          <w:sz w:val="22"/>
          <w:szCs w:val="22"/>
        </w:rPr>
        <w:t xml:space="preserve">Translate the ICP into CRM-level qualification fields. Every required ICP field must exist as a structured CRM field — not a free-text notes field.</w:t>
      </w:r>
    </w:p>
    <w:p>
      <w:pPr>
        <w:pStyle w:val="ListParagraph"/>
        <w:numPr>
          <w:ilvl w:val="0"/>
          <w:numId w:val="3"/>
        </w:numPr>
        <w:spacing w:after="100"/>
      </w:pPr>
      <w:r>
        <w:rPr>
          <w:rFonts w:ascii="Arial" w:cs="Arial" w:eastAsia="Arial" w:hAnsi="Arial"/>
          <w:sz w:val="22"/>
          <w:szCs w:val="22"/>
        </w:rPr>
        <w:t xml:space="preserve">Create a lead scoring model in the CRM/MAP that automatically scores leads against the ICP and raises or lowers their lifecycle stage accordingly.</w:t>
      </w:r>
    </w:p>
    <w:p>
      <w:pPr>
        <w:pStyle w:val="ListParagraph"/>
        <w:numPr>
          <w:ilvl w:val="0"/>
          <w:numId w:val="3"/>
        </w:numPr>
        <w:spacing w:after="100"/>
      </w:pPr>
      <w:r>
        <w:rPr>
          <w:rFonts w:ascii="Arial" w:cs="Arial" w:eastAsia="Arial" w:hAnsi="Arial"/>
          <w:sz w:val="22"/>
          <w:szCs w:val="22"/>
        </w:rPr>
        <w:t xml:space="preserve">Review and update the ICP quarterly using Closed Won data. The ICP should reflect who actually buys — not who we wish would buy.</w:t>
      </w:r>
    </w:p>
    <w:p>
      <w:pPr>
        <w:spacing w:after="0" w:before="80"/>
      </w:pPr>
      <w:r>
        <w:t xml:space="preserve"/>
      </w:r>
    </w:p>
    <w:p>
      <w:pPr>
        <w:pStyle w:val="Heading3"/>
      </w:pPr>
      <w:r>
        <w:rPr>
          <w:rFonts w:ascii="Arial" w:cs="Arial" w:eastAsia="Arial" w:hAnsi="Arial"/>
          <w:b/>
          <w:bCs/>
          <w:color w:val="1B2F5B"/>
          <w:sz w:val="24"/>
          <w:szCs w:val="24"/>
        </w:rPr>
        <w:t xml:space="preserve">Step 3.3 — Build MQL &amp; SQL Criteria</w:t>
      </w:r>
    </w:p>
    <w:p>
      <w:pPr>
        <w:pStyle w:val="ListParagraph"/>
        <w:numPr>
          <w:ilvl w:val="0"/>
          <w:numId w:val="3"/>
        </w:numPr>
        <w:spacing w:after="100"/>
      </w:pPr>
      <w:r>
        <w:rPr>
          <w:rFonts w:ascii="Arial" w:cs="Arial" w:eastAsia="Arial" w:hAnsi="Arial"/>
          <w:sz w:val="22"/>
          <w:szCs w:val="22"/>
        </w:rPr>
        <w:t xml:space="preserve">Convene a joint session between Marketing and Sales leadership to agree on MQL and SQL definitions. Both teams must sign off.</w:t>
      </w:r>
    </w:p>
    <w:p>
      <w:pPr>
        <w:pStyle w:val="ListParagraph"/>
        <w:numPr>
          <w:ilvl w:val="0"/>
          <w:numId w:val="3"/>
        </w:numPr>
        <w:spacing w:after="100"/>
      </w:pPr>
      <w:r>
        <w:rPr>
          <w:rFonts w:ascii="Arial" w:cs="Arial" w:eastAsia="Arial" w:hAnsi="Arial"/>
          <w:sz w:val="22"/>
          <w:szCs w:val="22"/>
        </w:rPr>
        <w:t xml:space="preserve">Document the criteria in writing. MQL and SQL definitions must be unambiguous, objective, and CRM-enforceable (based on field values, not gut feel).</w:t>
      </w:r>
    </w:p>
    <w:p>
      <w:pPr>
        <w:pStyle w:val="ListParagraph"/>
        <w:numPr>
          <w:ilvl w:val="0"/>
          <w:numId w:val="3"/>
        </w:numPr>
        <w:spacing w:after="100"/>
      </w:pPr>
      <w:r>
        <w:rPr>
          <w:rFonts w:ascii="Arial" w:cs="Arial" w:eastAsia="Arial" w:hAnsi="Arial"/>
          <w:sz w:val="22"/>
          <w:szCs w:val="22"/>
        </w:rPr>
        <w:t xml:space="preserve">Configure the CRM to automatically promote a lead to MQL when the scoring threshold is met and the required ICP fields are populated.</w:t>
      </w:r>
    </w:p>
    <w:p>
      <w:pPr>
        <w:pStyle w:val="ListParagraph"/>
        <w:numPr>
          <w:ilvl w:val="0"/>
          <w:numId w:val="3"/>
        </w:numPr>
        <w:spacing w:after="100"/>
      </w:pPr>
      <w:r>
        <w:rPr>
          <w:rFonts w:ascii="Arial" w:cs="Arial" w:eastAsia="Arial" w:hAnsi="Arial"/>
          <w:sz w:val="22"/>
          <w:szCs w:val="22"/>
        </w:rPr>
        <w:t xml:space="preserve">Review the MQL-to-SQL conversion rate monthly. If acceptance rates drop below 70%, re-examine qualification criteria in a joint Marketing-Sales review.</w:t>
      </w:r>
    </w:p>
    <w:p>
      <w:pPr>
        <w:spacing w:after="0" w:before="80"/>
      </w:pPr>
      <w:r>
        <w:t xml:space="preserve"/>
      </w:r>
    </w:p>
    <w:p>
      <w:pPr>
        <w:pStyle w:val="Heading3"/>
      </w:pPr>
      <w:r>
        <w:rPr>
          <w:rFonts w:ascii="Arial" w:cs="Arial" w:eastAsia="Arial" w:hAnsi="Arial"/>
          <w:b/>
          <w:bCs/>
          <w:color w:val="1B2F5B"/>
          <w:sz w:val="24"/>
          <w:szCs w:val="24"/>
        </w:rPr>
        <w:t xml:space="preserve">Step 3.4 — Automate Lead Routing</w:t>
      </w:r>
    </w:p>
    <w:p>
      <w:pPr>
        <w:pStyle w:val="ListParagraph"/>
        <w:numPr>
          <w:ilvl w:val="0"/>
          <w:numId w:val="3"/>
        </w:numPr>
        <w:spacing w:after="100"/>
      </w:pPr>
      <w:r>
        <w:rPr>
          <w:rFonts w:ascii="Arial" w:cs="Arial" w:eastAsia="Arial" w:hAnsi="Arial"/>
          <w:sz w:val="22"/>
          <w:szCs w:val="22"/>
        </w:rPr>
        <w:t xml:space="preserve">Define lead routing rules based on: territory, company size, industry, product interest, and source.</w:t>
      </w:r>
    </w:p>
    <w:p>
      <w:pPr>
        <w:pStyle w:val="ListParagraph"/>
        <w:numPr>
          <w:ilvl w:val="0"/>
          <w:numId w:val="3"/>
        </w:numPr>
        <w:spacing w:after="100"/>
      </w:pPr>
      <w:r>
        <w:rPr>
          <w:rFonts w:ascii="Arial" w:cs="Arial" w:eastAsia="Arial" w:hAnsi="Arial"/>
          <w:sz w:val="22"/>
          <w:szCs w:val="22"/>
        </w:rPr>
        <w:t xml:space="preserve">Configure automatic lead assignment in the CRM. No lead should sit unowned for more than the SLA window (see Phase 6).</w:t>
      </w:r>
    </w:p>
    <w:p>
      <w:pPr>
        <w:pStyle w:val="ListParagraph"/>
        <w:numPr>
          <w:ilvl w:val="0"/>
          <w:numId w:val="3"/>
        </w:numPr>
        <w:spacing w:after="100"/>
      </w:pPr>
      <w:r>
        <w:rPr>
          <w:rFonts w:ascii="Arial" w:cs="Arial" w:eastAsia="Arial" w:hAnsi="Arial"/>
          <w:sz w:val="22"/>
          <w:szCs w:val="22"/>
        </w:rPr>
        <w:t xml:space="preserve">Build a lead routing escalation: if a lead is not accepted within the SLA window, it is automatically re-routed or escalated to the sales manager.</w:t>
      </w:r>
    </w:p>
    <w:p>
      <w:pPr>
        <w:spacing w:after="0" w:before="80"/>
      </w:pPr>
      <w:r>
        <w:t xml:space="preserve"/>
      </w:r>
    </w:p>
    <w:p>
      <w:pPr>
        <w:pStyle w:val="Heading3"/>
      </w:pPr>
      <w:r>
        <w:rPr>
          <w:rFonts w:ascii="Arial" w:cs="Arial" w:eastAsia="Arial" w:hAnsi="Arial"/>
          <w:b/>
          <w:bCs/>
          <w:color w:val="1B2F5B"/>
          <w:sz w:val="24"/>
          <w:szCs w:val="24"/>
        </w:rPr>
        <w:t xml:space="preserve">Step 3.5 — Build Re-Engagement Workflows</w:t>
      </w:r>
    </w:p>
    <w:p>
      <w:pPr>
        <w:pStyle w:val="ListParagraph"/>
        <w:numPr>
          <w:ilvl w:val="0"/>
          <w:numId w:val="3"/>
        </w:numPr>
        <w:spacing w:after="100"/>
      </w:pPr>
      <w:r>
        <w:rPr>
          <w:rFonts w:ascii="Arial" w:cs="Arial" w:eastAsia="Arial" w:hAnsi="Arial"/>
          <w:sz w:val="22"/>
          <w:szCs w:val="22"/>
        </w:rPr>
        <w:t xml:space="preserve">Define the criteria for recycling a lead back to Marketing (e.g., lead rejected by sales due to timing, or a lost deal that could re-enter later).</w:t>
      </w:r>
    </w:p>
    <w:p>
      <w:pPr>
        <w:pStyle w:val="ListParagraph"/>
        <w:numPr>
          <w:ilvl w:val="0"/>
          <w:numId w:val="3"/>
        </w:numPr>
        <w:spacing w:after="100"/>
      </w:pPr>
      <w:r>
        <w:rPr>
          <w:rFonts w:ascii="Arial" w:cs="Arial" w:eastAsia="Arial" w:hAnsi="Arial"/>
          <w:sz w:val="22"/>
          <w:szCs w:val="22"/>
        </w:rPr>
        <w:t xml:space="preserve">Build a nurture sequence that keeps recycled leads engaged until they re-qualify. The sequence should use SPICED-aligned content: addressing Pain, illustrating Impact, and highlighting Critical Events.</w:t>
      </w:r>
    </w:p>
    <w:p>
      <w:r>
        <w:br w:type="pag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A020" w:sz="24"/>
              <w:bottom w:val="none" w:color="FFFFFF" w:sz="0"/>
              <w:right w:val="none" w:color="FFFFFF" w:sz="0"/>
            </w:tcBorders>
            <w:shd w:fill="F4F6FA" w:val="clear"/>
            <w:tcMar>
              <w:top w:type="dxa" w:w="160"/>
              <w:left w:type="dxa" w:w="280"/>
              <w:bottom w:type="dxa" w:w="160"/>
              <w:right w:type="dxa" w:w="200"/>
            </w:tcMar>
          </w:tcPr>
          <w:p>
            <w:pPr>
              <w:spacing w:after="60"/>
            </w:pPr>
            <w:r>
              <w:rPr>
                <w:rFonts w:ascii="Arial" w:cs="Arial" w:eastAsia="Arial" w:hAnsi="Arial"/>
                <w:b/>
                <w:bCs/>
                <w:caps/>
                <w:color w:val="E8A020"/>
                <w:sz w:val="18"/>
                <w:szCs w:val="18"/>
              </w:rPr>
              <w:t xml:space="preserve">PHASE 4</w:t>
            </w:r>
          </w:p>
          <w:p>
            <w:pPr>
              <w:spacing w:after="80"/>
            </w:pPr>
            <w:r>
              <w:rPr>
                <w:rFonts w:ascii="Arial" w:cs="Arial" w:eastAsia="Arial" w:hAnsi="Arial"/>
                <w:b/>
                <w:bCs/>
                <w:color w:val="1B2F5B"/>
                <w:sz w:val="32"/>
                <w:szCs w:val="32"/>
              </w:rPr>
              <w:t xml:space="preserve">Pipeline Management &amp; Forecasting</w:t>
            </w:r>
          </w:p>
          <w:p>
            <w:pPr>
              <w:spacing w:after="0"/>
            </w:pPr>
            <w:r>
              <w:rPr>
                <w:rFonts w:ascii="Arial" w:cs="Arial" w:eastAsia="Arial" w:hAnsi="Arial"/>
                <w:color w:val="888888"/>
                <w:sz w:val="20"/>
                <w:szCs w:val="20"/>
              </w:rPr>
              <w:t xml:space="preserve">Build a pipeline that is clean, trustworthy, and predictable.</w:t>
            </w:r>
          </w:p>
        </w:tc>
      </w:tr>
    </w:tbl>
    <w:p>
      <w:pPr>
        <w:spacing w:after="0" w:before="120"/>
      </w:pPr>
      <w:r>
        <w:t xml:space="preserve"/>
      </w:r>
    </w:p>
    <w:p>
      <w:pPr>
        <w:pStyle w:val="Heading2"/>
      </w:pPr>
      <w:r>
        <w:rPr>
          <w:rFonts w:ascii="Arial" w:cs="Arial" w:eastAsia="Arial" w:hAnsi="Arial"/>
          <w:b/>
          <w:bCs/>
          <w:color w:val="2563A8"/>
          <w:sz w:val="28"/>
          <w:szCs w:val="28"/>
        </w:rPr>
        <w:t xml:space="preserve">Phase 4 Overview</w:t>
      </w:r>
    </w:p>
    <w:p>
      <w:pPr>
        <w:spacing w:after="120"/>
      </w:pPr>
      <w:r>
        <w:rPr>
          <w:rFonts w:ascii="Arial" w:cs="Arial" w:eastAsia="Arial" w:hAnsi="Arial"/>
          <w:b w:val="false"/>
          <w:bCs w:val="false"/>
          <w:color w:val="1A1A1A"/>
          <w:sz w:val="22"/>
          <w:szCs w:val="22"/>
        </w:rPr>
        <w:t xml:space="preserve">A pipeline is only as useful as it is accurate. Unreliable pipeline data leads to missed forecasts, over-hiring or under-hiring, and strategic decisions made on false assumptions. This phase builds the operational discipline to make pipeline a trusted asset — not a hope register.</w:t>
      </w:r>
    </w:p>
    <w:p>
      <w:pPr>
        <w:spacing w:after="0" w:before="80"/>
      </w:pPr>
      <w:r>
        <w:t xml:space="preserve"/>
      </w:r>
    </w:p>
    <w:p>
      <w:pPr>
        <w:pStyle w:val="Heading3"/>
      </w:pPr>
      <w:r>
        <w:rPr>
          <w:rFonts w:ascii="Arial" w:cs="Arial" w:eastAsia="Arial" w:hAnsi="Arial"/>
          <w:b/>
          <w:bCs/>
          <w:color w:val="1B2F5B"/>
          <w:sz w:val="24"/>
          <w:szCs w:val="24"/>
        </w:rPr>
        <w:t xml:space="preserve">Step 4.1 — Define Pipeline Stages</w:t>
      </w:r>
    </w:p>
    <w:p>
      <w:pPr>
        <w:pStyle w:val="ListParagraph"/>
        <w:numPr>
          <w:ilvl w:val="0"/>
          <w:numId w:val="3"/>
        </w:numPr>
        <w:spacing w:after="100"/>
      </w:pPr>
      <w:r>
        <w:rPr>
          <w:rFonts w:ascii="Arial" w:cs="Arial" w:eastAsia="Arial" w:hAnsi="Arial"/>
          <w:sz w:val="22"/>
          <w:szCs w:val="22"/>
        </w:rPr>
        <w:t xml:space="preserve">Define every pipeline stage from SQL to Closed Won / Closed Lost with clear entry and exit criteria. Each stage must reflect an actual change in buyer commitment — not just seller activity.</w:t>
      </w:r>
    </w:p>
    <w:p>
      <w:pPr>
        <w:pStyle w:val="ListParagraph"/>
        <w:numPr>
          <w:ilvl w:val="0"/>
          <w:numId w:val="3"/>
        </w:numPr>
        <w:spacing w:after="100"/>
      </w:pPr>
      <w:r>
        <w:rPr>
          <w:rFonts w:ascii="Arial" w:cs="Arial" w:eastAsia="Arial" w:hAnsi="Arial"/>
          <w:sz w:val="22"/>
          <w:szCs w:val="22"/>
        </w:rPr>
        <w:t xml:space="preserve">Assign a probability % to each stage that reflects actual historical close rates from your data (not industry defaults).</w:t>
      </w:r>
    </w:p>
    <w:p>
      <w:pPr>
        <w:pStyle w:val="ListParagraph"/>
        <w:numPr>
          <w:ilvl w:val="0"/>
          <w:numId w:val="3"/>
        </w:numPr>
        <w:spacing w:after="100"/>
      </w:pPr>
      <w:r>
        <w:rPr>
          <w:rFonts w:ascii="Arial" w:cs="Arial" w:eastAsia="Arial" w:hAnsi="Arial"/>
          <w:sz w:val="22"/>
          <w:szCs w:val="22"/>
        </w:rPr>
        <w:t xml:space="preserve">Configure the CRM to enforce stage entry criteria via validation rules. A deal cannot advance unless the required actions and SPICED fields are completed.</w:t>
      </w:r>
    </w:p>
    <w:p>
      <w:pPr>
        <w:spacing w:after="0" w:before="80"/>
      </w:pPr>
      <w:r>
        <w:t xml:space="preserve"/>
      </w:r>
    </w:p>
    <w:p>
      <w:pPr>
        <w:pStyle w:val="Heading3"/>
      </w:pPr>
      <w:r>
        <w:rPr>
          <w:rFonts w:ascii="Arial" w:cs="Arial" w:eastAsia="Arial" w:hAnsi="Arial"/>
          <w:b/>
          <w:bCs/>
          <w:color w:val="1B2F5B"/>
          <w:sz w:val="24"/>
          <w:szCs w:val="24"/>
        </w:rPr>
        <w:t xml:space="preserve">Step 4.2 — Establish Pipeline Hygiene Standards</w:t>
      </w:r>
    </w:p>
    <w:p>
      <w:pPr>
        <w:pStyle w:val="ListParagraph"/>
        <w:numPr>
          <w:ilvl w:val="0"/>
          <w:numId w:val="3"/>
        </w:numPr>
        <w:spacing w:after="100"/>
      </w:pPr>
      <w:r>
        <w:rPr>
          <w:rFonts w:ascii="Arial" w:cs="Arial" w:eastAsia="Arial" w:hAnsi="Arial"/>
          <w:sz w:val="22"/>
          <w:szCs w:val="22"/>
        </w:rPr>
        <w:t xml:space="preserve">Define 'stale deal' thresholds: any opportunity with no activity for 14 days is flagged as at-risk; no activity for 30 days is flagged as stale.</w:t>
      </w:r>
    </w:p>
    <w:p>
      <w:pPr>
        <w:pStyle w:val="ListParagraph"/>
        <w:numPr>
          <w:ilvl w:val="0"/>
          <w:numId w:val="3"/>
        </w:numPr>
        <w:spacing w:after="100"/>
      </w:pPr>
      <w:r>
        <w:rPr>
          <w:rFonts w:ascii="Arial" w:cs="Arial" w:eastAsia="Arial" w:hAnsi="Arial"/>
          <w:sz w:val="22"/>
          <w:szCs w:val="22"/>
        </w:rPr>
        <w:t xml:space="preserve">Configure automated CRM alerts: notify deal owners and their managers when deals hit the at-risk and stale thresholds.</w:t>
      </w:r>
    </w:p>
    <w:p>
      <w:pPr>
        <w:pStyle w:val="ListParagraph"/>
        <w:numPr>
          <w:ilvl w:val="0"/>
          <w:numId w:val="3"/>
        </w:numPr>
        <w:spacing w:after="100"/>
      </w:pPr>
      <w:r>
        <w:rPr>
          <w:rFonts w:ascii="Arial" w:cs="Arial" w:eastAsia="Arial" w:hAnsi="Arial"/>
          <w:sz w:val="22"/>
          <w:szCs w:val="22"/>
        </w:rPr>
        <w:t xml:space="preserve">Conduct a weekly pipeline review cadence: every active opportunity must have a next step logged, a close date that is current, and an updated SPICED assessment.</w:t>
      </w:r>
    </w:p>
    <w:p>
      <w:pPr>
        <w:pStyle w:val="ListParagraph"/>
        <w:numPr>
          <w:ilvl w:val="0"/>
          <w:numId w:val="3"/>
        </w:numPr>
        <w:spacing w:after="100"/>
      </w:pPr>
      <w:r>
        <w:rPr>
          <w:rFonts w:ascii="Arial" w:cs="Arial" w:eastAsia="Arial" w:hAnsi="Arial"/>
          <w:sz w:val="22"/>
          <w:szCs w:val="22"/>
        </w:rPr>
        <w:t xml:space="preserve">Build a deal health scoring system: each deal is automatically scored based on recency of activity, SPICED completeness, stakeholder engagement, and stage progression velocity.</w:t>
      </w:r>
    </w:p>
    <w:p>
      <w:pPr>
        <w:spacing w:after="0" w:before="80"/>
      </w:pPr>
      <w:r>
        <w:t xml:space="preserve"/>
      </w:r>
    </w:p>
    <w:p>
      <w:pPr>
        <w:pStyle w:val="Heading3"/>
      </w:pPr>
      <w:r>
        <w:rPr>
          <w:rFonts w:ascii="Arial" w:cs="Arial" w:eastAsia="Arial" w:hAnsi="Arial"/>
          <w:b/>
          <w:bCs/>
          <w:color w:val="1B2F5B"/>
          <w:sz w:val="24"/>
          <w:szCs w:val="24"/>
        </w:rPr>
        <w:t xml:space="preserve">Step 4.3 — Build Forecast Categories</w:t>
      </w:r>
    </w:p>
    <w:p>
      <w:pPr>
        <w:spacing w:after="120"/>
      </w:pPr>
      <w:r>
        <w:rPr>
          <w:rFonts w:ascii="Arial" w:cs="Arial" w:eastAsia="Arial" w:hAnsi="Arial"/>
          <w:b w:val="false"/>
          <w:bCs w:val="false"/>
          <w:color w:val="1A1A1A"/>
          <w:sz w:val="22"/>
          <w:szCs w:val="22"/>
        </w:rPr>
        <w:t xml:space="preserve">Train all sales reps to categorise every active deal into one of four forecast categories: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5000"/>
      </w:tblGrid>
      <w:tr>
        <w:tc>
          <w:tcPr>
            <w:tcW w:type="dxa" w:w="2000"/>
            <w:tcBorders>
              <w:top w:val="single" w:color="2563A8" w:sz="6"/>
              <w:left w:val="single" w:color="2563A8" w:sz="6"/>
              <w:bottom w:val="single" w:color="2563A8" w:sz="6"/>
              <w:right w:val="single" w:color="2563A8" w:sz="6"/>
            </w:tcBorders>
            <w:shd w:fill="1B2F5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Category</w:t>
            </w:r>
          </w:p>
        </w:tc>
        <w:tc>
          <w:tcPr>
            <w:tcW w:type="dxa" w:w="2360"/>
            <w:tcBorders>
              <w:top w:val="single" w:color="2563A8" w:sz="6"/>
              <w:left w:val="single" w:color="2563A8" w:sz="6"/>
              <w:bottom w:val="single" w:color="2563A8" w:sz="6"/>
              <w:right w:val="single" w:color="2563A8" w:sz="6"/>
            </w:tcBorders>
            <w:shd w:fill="1B2F5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Confidence Level</w:t>
            </w:r>
          </w:p>
        </w:tc>
        <w:tc>
          <w:tcPr>
            <w:tcW w:type="dxa" w:w="5000"/>
            <w:tcBorders>
              <w:top w:val="single" w:color="2563A8" w:sz="6"/>
              <w:left w:val="single" w:color="2563A8" w:sz="6"/>
              <w:bottom w:val="single" w:color="2563A8" w:sz="6"/>
              <w:right w:val="single" w:color="2563A8" w:sz="6"/>
            </w:tcBorders>
            <w:shd w:fill="1B2F5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Definition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Commit</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90%+</w:t>
            </w:r>
          </w:p>
        </w:tc>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Rep is committing this deal will close this period. All SPICED dimensions confirmed.</w:t>
            </w:r>
          </w:p>
        </w:tc>
      </w:tr>
      <w:tr>
        <w:tc>
          <w:tcPr>
            <w:tcW w:type="dxa" w:w="20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Best Case</w:t>
            </w:r>
          </w:p>
        </w:tc>
        <w:tc>
          <w:tcPr>
            <w:tcW w:type="dxa" w:w="236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60-89%</w:t>
            </w:r>
          </w:p>
        </w:tc>
        <w:tc>
          <w:tcPr>
            <w:tcW w:type="dxa" w:w="50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Good momentum but not fully committed. One or more SPICED dimensions unconfirmed.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Upside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30-59%</w:t>
            </w:r>
          </w:p>
        </w:tc>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Possible but uncertain. Active engagement but Critical Event or Decision unclear.</w:t>
            </w:r>
          </w:p>
        </w:tc>
      </w:tr>
      <w:tr>
        <w:tc>
          <w:tcPr>
            <w:tcW w:type="dxa" w:w="20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Pipeline</w:t>
            </w:r>
          </w:p>
        </w:tc>
        <w:tc>
          <w:tcPr>
            <w:tcW w:type="dxa" w:w="236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&lt; 30%</w:t>
            </w:r>
          </w:p>
        </w:tc>
        <w:tc>
          <w:tcPr>
            <w:tcW w:type="dxa" w:w="50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Early stage. SPICED discovery underway. Not counted in forecast.</w:t>
            </w:r>
          </w:p>
        </w:tc>
      </w:tr>
    </w:tbl>
    <w:p>
      <w:pPr>
        <w:spacing w:after="0" w:before="120"/>
      </w:pPr>
      <w:r>
        <w:t xml:space="preserve"/>
      </w:r>
    </w:p>
    <w:p>
      <w:pPr>
        <w:pStyle w:val="Heading3"/>
      </w:pPr>
      <w:r>
        <w:rPr>
          <w:rFonts w:ascii="Arial" w:cs="Arial" w:eastAsia="Arial" w:hAnsi="Arial"/>
          <w:b/>
          <w:bCs/>
          <w:color w:val="1B2F5B"/>
          <w:sz w:val="24"/>
          <w:szCs w:val="24"/>
        </w:rPr>
        <w:t xml:space="preserve">Step 4.4 — Forecast Review Cadence</w:t>
      </w:r>
    </w:p>
    <w:p>
      <w:pPr>
        <w:pStyle w:val="ListParagraph"/>
        <w:numPr>
          <w:ilvl w:val="0"/>
          <w:numId w:val="3"/>
        </w:numPr>
        <w:spacing w:after="100"/>
      </w:pPr>
      <w:r>
        <w:rPr>
          <w:rFonts w:ascii="Arial" w:cs="Arial" w:eastAsia="Arial" w:hAnsi="Arial"/>
          <w:sz w:val="22"/>
          <w:szCs w:val="22"/>
        </w:rPr>
        <w:t xml:space="preserve">Hold a weekly forecast call: each rep presents their Commit and Best Case deals with a SPICED-based rationale for each.</w:t>
      </w:r>
    </w:p>
    <w:p>
      <w:pPr>
        <w:pStyle w:val="ListParagraph"/>
        <w:numPr>
          <w:ilvl w:val="0"/>
          <w:numId w:val="3"/>
        </w:numPr>
        <w:spacing w:after="100"/>
      </w:pPr>
      <w:r>
        <w:rPr>
          <w:rFonts w:ascii="Arial" w:cs="Arial" w:eastAsia="Arial" w:hAnsi="Arial"/>
          <w:sz w:val="22"/>
          <w:szCs w:val="22"/>
        </w:rPr>
        <w:t xml:space="preserve">Hold a monthly forecast review with leadership: compare forecast vs. actuals for the previous period. Track forecast accuracy as a KPI.</w:t>
      </w:r>
    </w:p>
    <w:p>
      <w:pPr>
        <w:pStyle w:val="ListParagraph"/>
        <w:numPr>
          <w:ilvl w:val="0"/>
          <w:numId w:val="3"/>
        </w:numPr>
        <w:spacing w:after="100"/>
      </w:pPr>
      <w:r>
        <w:rPr>
          <w:rFonts w:ascii="Arial" w:cs="Arial" w:eastAsia="Arial" w:hAnsi="Arial"/>
          <w:sz w:val="22"/>
          <w:szCs w:val="22"/>
        </w:rPr>
        <w:t xml:space="preserve">Build a rolling 90-day pipeline view: at any given time, there should be a minimum of 3x pipeline coverage of the quarterly target in the pipeline.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4"/>
              <w:left w:val="single" w:color="2563A8" w:sz="4"/>
              <w:bottom w:val="single" w:color="2563A8" w:sz="4"/>
              <w:right w:val="single" w:color="2563A8" w:sz="4"/>
            </w:tcBorders>
            <w:shd w:fill="D6E4F7" w:val="clear"/>
            <w:tcMar>
              <w:top w:type="dxa" w:w="160"/>
              <w:left w:type="dxa" w:w="200"/>
              <w:bottom w:type="dxa" w:w="160"/>
              <w:right w:type="dxa" w:w="200"/>
            </w:tcMar>
          </w:tcPr>
          <w:p>
            <w:pPr>
              <w:spacing w:after="80"/>
            </w:pPr>
            <w:r>
              <w:rPr>
                <w:rFonts w:ascii="Arial" w:cs="Arial" w:eastAsia="Arial" w:hAnsi="Arial"/>
                <w:b/>
                <w:bCs/>
                <w:color w:val="1B2F5B"/>
                <w:sz w:val="22"/>
                <w:szCs w:val="22"/>
              </w:rPr>
              <w:t xml:space="preserve">SPICED &amp; Forecasting</w:t>
            </w:r>
          </w:p>
          <w:p>
            <w:pPr>
              <w:spacing w:after="0"/>
            </w:pPr>
            <w:r>
              <w:rPr>
                <w:rFonts w:ascii="Arial" w:cs="Arial" w:eastAsia="Arial" w:hAnsi="Arial"/>
                <w:color w:val="1A1A1A"/>
                <w:sz w:val="20"/>
                <w:szCs w:val="20"/>
              </w:rPr>
              <w:t xml:space="preserve">The quality of a forecast is directly correlated to SPICED completeness. A deal with all five SPICED dimensions confirmed produces a reliable commit forecast. A deal with only Situation and Pain confirmed belongs in Pipeline — not Commit. Train your team to connect SPICED completion to forecast category.</w:t>
            </w:r>
          </w:p>
        </w:tc>
      </w:tr>
    </w:tbl>
    <w:p>
      <w:r>
        <w:br w:type="pag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A020" w:sz="24"/>
              <w:bottom w:val="none" w:color="FFFFFF" w:sz="0"/>
              <w:right w:val="none" w:color="FFFFFF" w:sz="0"/>
            </w:tcBorders>
            <w:shd w:fill="F4F6FA" w:val="clear"/>
            <w:tcMar>
              <w:top w:type="dxa" w:w="160"/>
              <w:left w:type="dxa" w:w="280"/>
              <w:bottom w:type="dxa" w:w="160"/>
              <w:right w:type="dxa" w:w="200"/>
            </w:tcMar>
          </w:tcPr>
          <w:p>
            <w:pPr>
              <w:spacing w:after="60"/>
            </w:pPr>
            <w:r>
              <w:rPr>
                <w:rFonts w:ascii="Arial" w:cs="Arial" w:eastAsia="Arial" w:hAnsi="Arial"/>
                <w:b/>
                <w:bCs/>
                <w:caps/>
                <w:color w:val="E8A020"/>
                <w:sz w:val="18"/>
                <w:szCs w:val="18"/>
              </w:rPr>
              <w:t xml:space="preserve">PHASE 5</w:t>
            </w:r>
          </w:p>
          <w:p>
            <w:pPr>
              <w:spacing w:after="80"/>
            </w:pPr>
            <w:r>
              <w:rPr>
                <w:rFonts w:ascii="Arial" w:cs="Arial" w:eastAsia="Arial" w:hAnsi="Arial"/>
                <w:b/>
                <w:bCs/>
                <w:color w:val="1B2F5B"/>
                <w:sz w:val="32"/>
                <w:szCs w:val="32"/>
              </w:rPr>
              <w:t xml:space="preserve">Data Governance</w:t>
            </w:r>
          </w:p>
          <w:p>
            <w:pPr>
              <w:spacing w:after="0"/>
            </w:pPr>
            <w:r>
              <w:rPr>
                <w:rFonts w:ascii="Arial" w:cs="Arial" w:eastAsia="Arial" w:hAnsi="Arial"/>
                <w:color w:val="888888"/>
                <w:sz w:val="20"/>
                <w:szCs w:val="20"/>
              </w:rPr>
              <w:t xml:space="preserve">Establish who owns what data, how it is maintained, and what standards apply.</w:t>
            </w:r>
          </w:p>
        </w:tc>
      </w:tr>
    </w:tbl>
    <w:p>
      <w:pPr>
        <w:spacing w:after="0" w:before="120"/>
      </w:pPr>
      <w:r>
        <w:t xml:space="preserve"/>
      </w:r>
    </w:p>
    <w:p>
      <w:pPr>
        <w:pStyle w:val="Heading2"/>
      </w:pPr>
      <w:r>
        <w:rPr>
          <w:rFonts w:ascii="Arial" w:cs="Arial" w:eastAsia="Arial" w:hAnsi="Arial"/>
          <w:b/>
          <w:bCs/>
          <w:color w:val="2563A8"/>
          <w:sz w:val="28"/>
          <w:szCs w:val="28"/>
        </w:rPr>
        <w:t xml:space="preserve">Phase 5 Overview</w:t>
      </w:r>
    </w:p>
    <w:p>
      <w:pPr>
        <w:spacing w:after="120"/>
      </w:pPr>
      <w:r>
        <w:rPr>
          <w:rFonts w:ascii="Arial" w:cs="Arial" w:eastAsia="Arial" w:hAnsi="Arial"/>
          <w:b w:val="false"/>
          <w:bCs w:val="false"/>
          <w:color w:val="1A1A1A"/>
          <w:sz w:val="22"/>
          <w:szCs w:val="22"/>
        </w:rPr>
        <w:t xml:space="preserve">Gartner estimates that 60% of companies fail to build an end-to-end revenue process because of poor data governance. Data governance is not glamorous — but it is foundational. Without it, every insight is suspect and every report is contested.</w:t>
      </w:r>
    </w:p>
    <w:p>
      <w:pPr>
        <w:spacing w:after="120"/>
      </w:pPr>
      <w:r>
        <w:rPr>
          <w:rFonts w:ascii="Arial" w:cs="Arial" w:eastAsia="Arial" w:hAnsi="Arial"/>
          <w:b w:val="false"/>
          <w:bCs w:val="false"/>
          <w:color w:val="1A1A1A"/>
          <w:sz w:val="22"/>
          <w:szCs w:val="22"/>
        </w:rPr>
        <w:t xml:space="preserve">This phase formalises the ownership, quality standards, and maintenance cadences that keep your revenue data trustworthy.</w:t>
      </w:r>
    </w:p>
    <w:p>
      <w:pPr>
        <w:spacing w:after="0" w:before="80"/>
      </w:pPr>
      <w:r>
        <w:t xml:space="preserve"/>
      </w:r>
    </w:p>
    <w:p>
      <w:pPr>
        <w:pStyle w:val="Heading3"/>
      </w:pPr>
      <w:r>
        <w:rPr>
          <w:rFonts w:ascii="Arial" w:cs="Arial" w:eastAsia="Arial" w:hAnsi="Arial"/>
          <w:b/>
          <w:bCs/>
          <w:color w:val="1B2F5B"/>
          <w:sz w:val="24"/>
          <w:szCs w:val="24"/>
        </w:rPr>
        <w:t xml:space="preserve">Step 5.1 — Write the Data Governance Charter</w:t>
      </w:r>
    </w:p>
    <w:p>
      <w:pPr>
        <w:pStyle w:val="ListParagraph"/>
        <w:numPr>
          <w:ilvl w:val="0"/>
          <w:numId w:val="3"/>
        </w:numPr>
        <w:spacing w:after="100"/>
      </w:pPr>
      <w:r>
        <w:rPr>
          <w:rFonts w:ascii="Arial" w:cs="Arial" w:eastAsia="Arial" w:hAnsi="Arial"/>
          <w:sz w:val="22"/>
          <w:szCs w:val="22"/>
        </w:rPr>
        <w:t xml:space="preserve">Create a formal, written Data Governance Charter that covers: data ownership model, quality standards, validation rules, breach escalation process, and audit cadence.</w:t>
      </w:r>
    </w:p>
    <w:p>
      <w:pPr>
        <w:pStyle w:val="ListParagraph"/>
        <w:numPr>
          <w:ilvl w:val="0"/>
          <w:numId w:val="3"/>
        </w:numPr>
        <w:spacing w:after="100"/>
      </w:pPr>
      <w:r>
        <w:rPr>
          <w:rFonts w:ascii="Arial" w:cs="Arial" w:eastAsia="Arial" w:hAnsi="Arial"/>
          <w:sz w:val="22"/>
          <w:szCs w:val="22"/>
        </w:rPr>
        <w:t xml:space="preserve">Assign a Data Steward role: one person (or role) who is accountable for data quality across the revenue engine. For smaller teams, this is the RevOps lead.</w:t>
      </w:r>
    </w:p>
    <w:p>
      <w:pPr>
        <w:pStyle w:val="ListParagraph"/>
        <w:numPr>
          <w:ilvl w:val="0"/>
          <w:numId w:val="3"/>
        </w:numPr>
        <w:spacing w:after="100"/>
      </w:pPr>
      <w:r>
        <w:rPr>
          <w:rFonts w:ascii="Arial" w:cs="Arial" w:eastAsia="Arial" w:hAnsi="Arial"/>
          <w:sz w:val="22"/>
          <w:szCs w:val="22"/>
        </w:rPr>
        <w:t xml:space="preserve">Distribute and get sign-off on the Charter from all department heads. Data governance is a cross-functional commitment, not a solo RevOps task.</w:t>
      </w:r>
    </w:p>
    <w:p>
      <w:pPr>
        <w:spacing w:after="0" w:before="80"/>
      </w:pPr>
      <w:r>
        <w:t xml:space="preserve"/>
      </w:r>
    </w:p>
    <w:p>
      <w:pPr>
        <w:pStyle w:val="Heading3"/>
      </w:pPr>
      <w:r>
        <w:rPr>
          <w:rFonts w:ascii="Arial" w:cs="Arial" w:eastAsia="Arial" w:hAnsi="Arial"/>
          <w:b/>
          <w:bCs/>
          <w:color w:val="1B2F5B"/>
          <w:sz w:val="24"/>
          <w:szCs w:val="24"/>
        </w:rPr>
        <w:t xml:space="preserve">Step 5.2 — Assign Field-Level Ownership</w:t>
      </w:r>
    </w:p>
    <w:p>
      <w:pPr>
        <w:pStyle w:val="ListParagraph"/>
        <w:numPr>
          <w:ilvl w:val="0"/>
          <w:numId w:val="3"/>
        </w:numPr>
        <w:spacing w:after="100"/>
      </w:pPr>
      <w:r>
        <w:rPr>
          <w:rFonts w:ascii="Arial" w:cs="Arial" w:eastAsia="Arial" w:hAnsi="Arial"/>
          <w:sz w:val="22"/>
          <w:szCs w:val="22"/>
        </w:rPr>
        <w:t xml:space="preserve">For every required field in the CRM, assign an owner: the role responsible for populating that field and keeping it current.</w:t>
      </w:r>
    </w:p>
    <w:p>
      <w:pPr>
        <w:pStyle w:val="ListParagraph"/>
        <w:numPr>
          <w:ilvl w:val="0"/>
          <w:numId w:val="3"/>
        </w:numPr>
        <w:spacing w:after="100"/>
      </w:pPr>
      <w:r>
        <w:rPr>
          <w:rFonts w:ascii="Arial" w:cs="Arial" w:eastAsia="Arial" w:hAnsi="Arial"/>
          <w:sz w:val="22"/>
          <w:szCs w:val="22"/>
        </w:rPr>
        <w:t xml:space="preserve">Document ownership in the Master Data Dictionary (created in Phase 2). The dictionary should show: field name, object, data type, owner role, and update cadence.</w:t>
      </w:r>
    </w:p>
    <w:p>
      <w:pPr>
        <w:pStyle w:val="ListParagraph"/>
        <w:numPr>
          <w:ilvl w:val="0"/>
          <w:numId w:val="3"/>
        </w:numPr>
        <w:spacing w:after="100"/>
      </w:pPr>
      <w:r>
        <w:rPr>
          <w:rFonts w:ascii="Arial" w:cs="Arial" w:eastAsia="Arial" w:hAnsi="Arial"/>
          <w:sz w:val="22"/>
          <w:szCs w:val="22"/>
        </w:rPr>
        <w:t xml:space="preserve">Configure CRM permissions so that only the designated owner role can edit specific sensitive fields. This prevents accidental or unauthorised data corruption.</w:t>
      </w:r>
    </w:p>
    <w:p>
      <w:pPr>
        <w:spacing w:after="0" w:before="80"/>
      </w:pPr>
      <w:r>
        <w:t xml:space="preserve"/>
      </w:r>
    </w:p>
    <w:p>
      <w:pPr>
        <w:pStyle w:val="Heading3"/>
      </w:pPr>
      <w:r>
        <w:rPr>
          <w:rFonts w:ascii="Arial" w:cs="Arial" w:eastAsia="Arial" w:hAnsi="Arial"/>
          <w:b/>
          <w:bCs/>
          <w:color w:val="1B2F5B"/>
          <w:sz w:val="24"/>
          <w:szCs w:val="24"/>
        </w:rPr>
        <w:t xml:space="preserve">Step 5.3 — Establish Data Quality Standards</w:t>
      </w:r>
    </w:p>
    <w:p>
      <w:pPr>
        <w:spacing w:after="120"/>
      </w:pPr>
      <w:r>
        <w:rPr>
          <w:rFonts w:ascii="Arial" w:cs="Arial" w:eastAsia="Arial" w:hAnsi="Arial"/>
          <w:b w:val="false"/>
          <w:bCs w:val="false"/>
          <w:color w:val="1A1A1A"/>
          <w:sz w:val="22"/>
          <w:szCs w:val="22"/>
        </w:rPr>
        <w:t xml:space="preserve">Define minimum quality standards for each data category:</w:t>
      </w:r>
    </w:p>
    <w:p>
      <w:pPr>
        <w:pStyle w:val="ListParagraph"/>
        <w:numPr>
          <w:ilvl w:val="0"/>
          <w:numId w:val="2"/>
        </w:numPr>
        <w:spacing w:after="80"/>
      </w:pPr>
      <w:r>
        <w:rPr>
          <w:rFonts w:ascii="Arial" w:cs="Arial" w:eastAsia="Arial" w:hAnsi="Arial"/>
          <w:b w:val="false"/>
          <w:bCs w:val="false"/>
          <w:sz w:val="22"/>
          <w:szCs w:val="22"/>
        </w:rPr>
        <w:t xml:space="preserve">Contact records: First name, last name, email, job title, account, lead source — 100% required.</w:t>
      </w:r>
    </w:p>
    <w:p>
      <w:pPr>
        <w:pStyle w:val="ListParagraph"/>
        <w:numPr>
          <w:ilvl w:val="0"/>
          <w:numId w:val="2"/>
        </w:numPr>
        <w:spacing w:after="80"/>
      </w:pPr>
      <w:r>
        <w:rPr>
          <w:rFonts w:ascii="Arial" w:cs="Arial" w:eastAsia="Arial" w:hAnsi="Arial"/>
          <w:b w:val="false"/>
          <w:bCs w:val="false"/>
          <w:sz w:val="22"/>
          <w:szCs w:val="22"/>
        </w:rPr>
        <w:t xml:space="preserve">Account records: Company name, industry, employee count, country, ICP tier — 100% required.</w:t>
      </w:r>
    </w:p>
    <w:p>
      <w:pPr>
        <w:pStyle w:val="ListParagraph"/>
        <w:numPr>
          <w:ilvl w:val="0"/>
          <w:numId w:val="2"/>
        </w:numPr>
        <w:spacing w:after="80"/>
      </w:pPr>
      <w:r>
        <w:rPr>
          <w:rFonts w:ascii="Arial" w:cs="Arial" w:eastAsia="Arial" w:hAnsi="Arial"/>
          <w:b w:val="false"/>
          <w:bCs w:val="false"/>
          <w:sz w:val="22"/>
          <w:szCs w:val="22"/>
        </w:rPr>
        <w:t xml:space="preserve">Opportunity records: Account, close date, deal value, stage, SPICED fields, next step — 100% required at SQL and beyond.</w:t>
      </w:r>
    </w:p>
    <w:p>
      <w:pPr>
        <w:pStyle w:val="ListParagraph"/>
        <w:numPr>
          <w:ilvl w:val="0"/>
          <w:numId w:val="2"/>
        </w:numPr>
        <w:spacing w:after="80"/>
      </w:pPr>
      <w:r>
        <w:rPr>
          <w:rFonts w:ascii="Arial" w:cs="Arial" w:eastAsia="Arial" w:hAnsi="Arial"/>
          <w:b w:val="false"/>
          <w:bCs w:val="false"/>
          <w:sz w:val="22"/>
          <w:szCs w:val="22"/>
        </w:rPr>
        <w:t xml:space="preserve">Activity records: Subject, date, outcome, associated contact or deal — 100% required for all logged activities.</w:t>
      </w:r>
    </w:p>
    <w:p>
      <w:pPr>
        <w:spacing w:after="0" w:before="80"/>
      </w:pPr>
      <w:r>
        <w:t xml:space="preserve"/>
      </w:r>
    </w:p>
    <w:p>
      <w:pPr>
        <w:pStyle w:val="Heading3"/>
      </w:pPr>
      <w:r>
        <w:rPr>
          <w:rFonts w:ascii="Arial" w:cs="Arial" w:eastAsia="Arial" w:hAnsi="Arial"/>
          <w:b/>
          <w:bCs/>
          <w:color w:val="1B2F5B"/>
          <w:sz w:val="24"/>
          <w:szCs w:val="24"/>
        </w:rPr>
        <w:t xml:space="preserve">Step 5.4 — Build Data Hygiene Cadences</w:t>
      </w:r>
    </w:p>
    <w:p>
      <w:pPr>
        <w:pStyle w:val="ListParagraph"/>
        <w:numPr>
          <w:ilvl w:val="0"/>
          <w:numId w:val="3"/>
        </w:numPr>
        <w:spacing w:after="100"/>
      </w:pPr>
      <w:r>
        <w:rPr>
          <w:rFonts w:ascii="Arial" w:cs="Arial" w:eastAsia="Arial" w:hAnsi="Arial"/>
          <w:sz w:val="22"/>
          <w:szCs w:val="22"/>
        </w:rPr>
        <w:t xml:space="preserve">Weekly: Automated CRM report surfaces all records missing required fields. Data Steward reviews and assigns clean-up tasks.</w:t>
      </w:r>
    </w:p>
    <w:p>
      <w:pPr>
        <w:pStyle w:val="ListParagraph"/>
        <w:numPr>
          <w:ilvl w:val="0"/>
          <w:numId w:val="3"/>
        </w:numPr>
        <w:spacing w:after="100"/>
      </w:pPr>
      <w:r>
        <w:rPr>
          <w:rFonts w:ascii="Arial" w:cs="Arial" w:eastAsia="Arial" w:hAnsi="Arial"/>
          <w:sz w:val="22"/>
          <w:szCs w:val="22"/>
        </w:rPr>
        <w:t xml:space="preserve">Monthly: Duplicate detection scan run across Contact and Account objects. Duplicates are reviewed and merged by the Data Steward.</w:t>
      </w:r>
    </w:p>
    <w:p>
      <w:pPr>
        <w:pStyle w:val="ListParagraph"/>
        <w:numPr>
          <w:ilvl w:val="0"/>
          <w:numId w:val="3"/>
        </w:numPr>
        <w:spacing w:after="100"/>
      </w:pPr>
      <w:r>
        <w:rPr>
          <w:rFonts w:ascii="Arial" w:cs="Arial" w:eastAsia="Arial" w:hAnsi="Arial"/>
          <w:sz w:val="22"/>
          <w:szCs w:val="22"/>
        </w:rPr>
        <w:t xml:space="preserve">Quarterly: Full data audit against governance standards. Metrics tracked include: field completion rate, duplicate rate, stale record rate, and integration error rate.</w:t>
      </w:r>
    </w:p>
    <w:p>
      <w:pPr>
        <w:pStyle w:val="ListParagraph"/>
        <w:numPr>
          <w:ilvl w:val="0"/>
          <w:numId w:val="3"/>
        </w:numPr>
        <w:spacing w:after="100"/>
      </w:pPr>
      <w:r>
        <w:rPr>
          <w:rFonts w:ascii="Arial" w:cs="Arial" w:eastAsia="Arial" w:hAnsi="Arial"/>
          <w:sz w:val="22"/>
          <w:szCs w:val="22"/>
        </w:rPr>
        <w:t xml:space="preserve">Annually: Review and update the ICP criteria, lead scoring model, and data model to reflect changes in the business.</w:t>
      </w:r>
    </w:p>
    <w:p>
      <w:pPr>
        <w:spacing w:after="0" w:before="80"/>
      </w:pPr>
      <w:r>
        <w:t xml:space="preserve"/>
      </w:r>
    </w:p>
    <w:p>
      <w:pPr>
        <w:pStyle w:val="Heading3"/>
      </w:pPr>
      <w:r>
        <w:rPr>
          <w:rFonts w:ascii="Arial" w:cs="Arial" w:eastAsia="Arial" w:hAnsi="Arial"/>
          <w:b/>
          <w:bCs/>
          <w:color w:val="1B2F5B"/>
          <w:sz w:val="24"/>
          <w:szCs w:val="24"/>
        </w:rPr>
        <w:t xml:space="preserve">Step 5.5 — Data Enrichment Strategy</w:t>
      </w:r>
    </w:p>
    <w:p>
      <w:pPr>
        <w:pStyle w:val="ListParagraph"/>
        <w:numPr>
          <w:ilvl w:val="0"/>
          <w:numId w:val="3"/>
        </w:numPr>
        <w:spacing w:after="100"/>
      </w:pPr>
      <w:r>
        <w:rPr>
          <w:rFonts w:ascii="Arial" w:cs="Arial" w:eastAsia="Arial" w:hAnsi="Arial"/>
          <w:sz w:val="22"/>
          <w:szCs w:val="22"/>
        </w:rPr>
        <w:t xml:space="preserve">Define the data enrichment tools used to automatically populate CRM fields from third-party sources (e.g., ZoomInfo, Clearbit, Apollo.io).</w:t>
      </w:r>
    </w:p>
    <w:p>
      <w:pPr>
        <w:pStyle w:val="ListParagraph"/>
        <w:numPr>
          <w:ilvl w:val="0"/>
          <w:numId w:val="3"/>
        </w:numPr>
        <w:spacing w:after="100"/>
      </w:pPr>
      <w:r>
        <w:rPr>
          <w:rFonts w:ascii="Arial" w:cs="Arial" w:eastAsia="Arial" w:hAnsi="Arial"/>
          <w:sz w:val="22"/>
          <w:szCs w:val="22"/>
        </w:rPr>
        <w:t xml:space="preserve">Configure enrichment to run automatically on new record creation. Never require a sales rep to manually look up firmographic data that can be enriched automatically.</w:t>
      </w:r>
    </w:p>
    <w:p>
      <w:pPr>
        <w:pStyle w:val="ListParagraph"/>
        <w:numPr>
          <w:ilvl w:val="0"/>
          <w:numId w:val="3"/>
        </w:numPr>
        <w:spacing w:after="100"/>
      </w:pPr>
      <w:r>
        <w:rPr>
          <w:rFonts w:ascii="Arial" w:cs="Arial" w:eastAsia="Arial" w:hAnsi="Arial"/>
          <w:sz w:val="22"/>
          <w:szCs w:val="22"/>
        </w:rPr>
        <w:t xml:space="preserve">Audit enrichment accuracy quarterly: compare enriched data to actuals to ensure the data source remains reliable.</w:t>
      </w:r>
    </w:p>
    <w:p>
      <w:r>
        <w:br w:type="pag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A020" w:sz="24"/>
              <w:bottom w:val="none" w:color="FFFFFF" w:sz="0"/>
              <w:right w:val="none" w:color="FFFFFF" w:sz="0"/>
            </w:tcBorders>
            <w:shd w:fill="F4F6FA" w:val="clear"/>
            <w:tcMar>
              <w:top w:type="dxa" w:w="160"/>
              <w:left w:type="dxa" w:w="280"/>
              <w:bottom w:type="dxa" w:w="160"/>
              <w:right w:type="dxa" w:w="200"/>
            </w:tcMar>
          </w:tcPr>
          <w:p>
            <w:pPr>
              <w:spacing w:after="60"/>
            </w:pPr>
            <w:r>
              <w:rPr>
                <w:rFonts w:ascii="Arial" w:cs="Arial" w:eastAsia="Arial" w:hAnsi="Arial"/>
                <w:b/>
                <w:bCs/>
                <w:caps/>
                <w:color w:val="E8A020"/>
                <w:sz w:val="18"/>
                <w:szCs w:val="18"/>
              </w:rPr>
              <w:t xml:space="preserve">PHASE 6</w:t>
            </w:r>
          </w:p>
          <w:p>
            <w:pPr>
              <w:spacing w:after="80"/>
            </w:pPr>
            <w:r>
              <w:rPr>
                <w:rFonts w:ascii="Arial" w:cs="Arial" w:eastAsia="Arial" w:hAnsi="Arial"/>
                <w:b/>
                <w:bCs/>
                <w:color w:val="1B2F5B"/>
                <w:sz w:val="32"/>
                <w:szCs w:val="32"/>
              </w:rPr>
              <w:t xml:space="preserve">Cross-Functional SLAs</w:t>
            </w:r>
          </w:p>
          <w:p>
            <w:pPr>
              <w:spacing w:after="0"/>
            </w:pPr>
            <w:r>
              <w:rPr>
                <w:rFonts w:ascii="Arial" w:cs="Arial" w:eastAsia="Arial" w:hAnsi="Arial"/>
                <w:color w:val="888888"/>
                <w:sz w:val="20"/>
                <w:szCs w:val="20"/>
              </w:rPr>
              <w:t xml:space="preserve">Define and enforce the handoff rules that keep the revenue engine moving.</w:t>
            </w:r>
          </w:p>
        </w:tc>
      </w:tr>
    </w:tbl>
    <w:p>
      <w:pPr>
        <w:spacing w:after="0" w:before="120"/>
      </w:pPr>
      <w:r>
        <w:t xml:space="preserve"/>
      </w:r>
    </w:p>
    <w:p>
      <w:pPr>
        <w:pStyle w:val="Heading2"/>
      </w:pPr>
      <w:r>
        <w:rPr>
          <w:rFonts w:ascii="Arial" w:cs="Arial" w:eastAsia="Arial" w:hAnsi="Arial"/>
          <w:b/>
          <w:bCs/>
          <w:color w:val="2563A8"/>
          <w:sz w:val="28"/>
          <w:szCs w:val="28"/>
        </w:rPr>
        <w:t xml:space="preserve">Phase 6 Overview</w:t>
      </w:r>
    </w:p>
    <w:p>
      <w:pPr>
        <w:spacing w:after="120"/>
      </w:pPr>
      <w:r>
        <w:rPr>
          <w:rFonts w:ascii="Arial" w:cs="Arial" w:eastAsia="Arial" w:hAnsi="Arial"/>
          <w:b w:val="false"/>
          <w:bCs w:val="false"/>
          <w:color w:val="1A1A1A"/>
          <w:sz w:val="22"/>
          <w:szCs w:val="22"/>
        </w:rPr>
        <w:t xml:space="preserve">Pipeline reliability breaks when handoffs rely on good intentions instead of enforceable rules. An SLA (Service Level Agreement) is a documented, agreed commitment between two teams about how they will interact. Without SLAs, every handoff is a negotiation — and negotiations slow revenue.</w:t>
      </w:r>
    </w:p>
    <w:p>
      <w:pPr>
        <w:spacing w:after="0" w:before="80"/>
      </w:pPr>
      <w:r>
        <w:t xml:space="preserve"/>
      </w:r>
    </w:p>
    <w:p>
      <w:pPr>
        <w:pStyle w:val="Heading3"/>
      </w:pPr>
      <w:r>
        <w:rPr>
          <w:rFonts w:ascii="Arial" w:cs="Arial" w:eastAsia="Arial" w:hAnsi="Arial"/>
          <w:b/>
          <w:bCs/>
          <w:color w:val="1B2F5B"/>
          <w:sz w:val="24"/>
          <w:szCs w:val="24"/>
        </w:rPr>
        <w:t xml:space="preserve">Step 6.1 — Map All Handoff Points</w:t>
      </w:r>
    </w:p>
    <w:p>
      <w:pPr>
        <w:spacing w:after="120"/>
      </w:pPr>
      <w:r>
        <w:rPr>
          <w:rFonts w:ascii="Arial" w:cs="Arial" w:eastAsia="Arial" w:hAnsi="Arial"/>
          <w:b w:val="false"/>
          <w:bCs w:val="false"/>
          <w:color w:val="1A1A1A"/>
          <w:sz w:val="22"/>
          <w:szCs w:val="22"/>
        </w:rPr>
        <w:t xml:space="preserve">Identify every point in the Bow Tie where ownership transfers from one team to another:</w:t>
      </w:r>
    </w:p>
    <w:p>
      <w:pPr>
        <w:pStyle w:val="ListParagraph"/>
        <w:numPr>
          <w:ilvl w:val="0"/>
          <w:numId w:val="2"/>
        </w:numPr>
        <w:spacing w:after="80"/>
      </w:pPr>
      <w:r>
        <w:rPr>
          <w:rFonts w:ascii="Arial" w:cs="Arial" w:eastAsia="Arial" w:hAnsi="Arial"/>
          <w:b w:val="false"/>
          <w:bCs w:val="false"/>
          <w:sz w:val="22"/>
          <w:szCs w:val="22"/>
        </w:rPr>
        <w:t xml:space="preserve">Marketing → Sales: MQL handoff</w:t>
      </w:r>
    </w:p>
    <w:p>
      <w:pPr>
        <w:pStyle w:val="ListParagraph"/>
        <w:numPr>
          <w:ilvl w:val="0"/>
          <w:numId w:val="2"/>
        </w:numPr>
        <w:spacing w:after="80"/>
      </w:pPr>
      <w:r>
        <w:rPr>
          <w:rFonts w:ascii="Arial" w:cs="Arial" w:eastAsia="Arial" w:hAnsi="Arial"/>
          <w:b w:val="false"/>
          <w:bCs w:val="false"/>
          <w:sz w:val="22"/>
          <w:szCs w:val="22"/>
        </w:rPr>
        <w:t xml:space="preserve">Sales (BDR/SDR) → Sales (AE): Qualified meeting handoff</w:t>
      </w:r>
    </w:p>
    <w:p>
      <w:pPr>
        <w:pStyle w:val="ListParagraph"/>
        <w:numPr>
          <w:ilvl w:val="0"/>
          <w:numId w:val="2"/>
        </w:numPr>
        <w:spacing w:after="80"/>
      </w:pPr>
      <w:r>
        <w:rPr>
          <w:rFonts w:ascii="Arial" w:cs="Arial" w:eastAsia="Arial" w:hAnsi="Arial"/>
          <w:b w:val="false"/>
          <w:bCs w:val="false"/>
          <w:sz w:val="22"/>
          <w:szCs w:val="22"/>
        </w:rPr>
        <w:t xml:space="preserve">Sales → Customer Success: Closed Won / Onboarding handoff</w:t>
      </w:r>
    </w:p>
    <w:p>
      <w:pPr>
        <w:pStyle w:val="ListParagraph"/>
        <w:numPr>
          <w:ilvl w:val="0"/>
          <w:numId w:val="2"/>
        </w:numPr>
        <w:spacing w:after="80"/>
      </w:pPr>
      <w:r>
        <w:rPr>
          <w:rFonts w:ascii="Arial" w:cs="Arial" w:eastAsia="Arial" w:hAnsi="Arial"/>
          <w:b w:val="false"/>
          <w:bCs w:val="false"/>
          <w:sz w:val="22"/>
          <w:szCs w:val="22"/>
        </w:rPr>
        <w:t xml:space="preserve">Customer Success → Account Management: Adoption-phase handoff</w:t>
      </w:r>
    </w:p>
    <w:p>
      <w:pPr>
        <w:pStyle w:val="ListParagraph"/>
        <w:numPr>
          <w:ilvl w:val="0"/>
          <w:numId w:val="2"/>
        </w:numPr>
        <w:spacing w:after="80"/>
      </w:pPr>
      <w:r>
        <w:rPr>
          <w:rFonts w:ascii="Arial" w:cs="Arial" w:eastAsia="Arial" w:hAnsi="Arial"/>
          <w:b w:val="false"/>
          <w:bCs w:val="false"/>
          <w:sz w:val="22"/>
          <w:szCs w:val="22"/>
        </w:rPr>
        <w:t xml:space="preserve">Account Management → Sales: Expansion opportunity handoff</w:t>
      </w:r>
    </w:p>
    <w:p>
      <w:pPr>
        <w:spacing w:after="0" w:before="80"/>
      </w:pPr>
      <w:r>
        <w:t xml:space="preserve"/>
      </w:r>
    </w:p>
    <w:p>
      <w:pPr>
        <w:pStyle w:val="Heading3"/>
      </w:pPr>
      <w:r>
        <w:rPr>
          <w:rFonts w:ascii="Arial" w:cs="Arial" w:eastAsia="Arial" w:hAnsi="Arial"/>
          <w:b/>
          <w:bCs/>
          <w:color w:val="1B2F5B"/>
          <w:sz w:val="24"/>
          <w:szCs w:val="24"/>
        </w:rPr>
        <w:t xml:space="preserve">Step 6.2 — Define SLAs for Each Handoff</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80"/>
        <w:gridCol w:w="2280"/>
      </w:tblGrid>
      <w:tr>
        <w:tc>
          <w:tcPr>
            <w:tcW w:type="dxa" w:w="2400"/>
            <w:tcBorders>
              <w:top w:val="single" w:color="2563A8" w:sz="6"/>
              <w:left w:val="single" w:color="2563A8" w:sz="6"/>
              <w:bottom w:val="single" w:color="2563A8" w:sz="6"/>
              <w:right w:val="single" w:color="2563A8" w:sz="6"/>
            </w:tcBorders>
            <w:shd w:fill="1B2F5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Handoff</w:t>
            </w:r>
          </w:p>
        </w:tc>
        <w:tc>
          <w:tcPr>
            <w:tcW w:type="dxa" w:w="2200"/>
            <w:tcBorders>
              <w:top w:val="single" w:color="2563A8" w:sz="6"/>
              <w:left w:val="single" w:color="2563A8" w:sz="6"/>
              <w:bottom w:val="single" w:color="2563A8" w:sz="6"/>
              <w:right w:val="single" w:color="2563A8" w:sz="6"/>
            </w:tcBorders>
            <w:shd w:fill="1B2F5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SLA Commitment</w:t>
            </w:r>
          </w:p>
        </w:tc>
        <w:tc>
          <w:tcPr>
            <w:tcW w:type="dxa" w:w="2480"/>
            <w:tcBorders>
              <w:top w:val="single" w:color="2563A8" w:sz="6"/>
              <w:left w:val="single" w:color="2563A8" w:sz="6"/>
              <w:bottom w:val="single" w:color="2563A8" w:sz="6"/>
              <w:right w:val="single" w:color="2563A8" w:sz="6"/>
            </w:tcBorders>
            <w:shd w:fill="1B2F5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Owner</w:t>
            </w:r>
          </w:p>
        </w:tc>
        <w:tc>
          <w:tcPr>
            <w:tcW w:type="dxa" w:w="2280"/>
            <w:tcBorders>
              <w:top w:val="single" w:color="2563A8" w:sz="6"/>
              <w:left w:val="single" w:color="2563A8" w:sz="6"/>
              <w:bottom w:val="single" w:color="2563A8" w:sz="6"/>
              <w:right w:val="single" w:color="2563A8" w:sz="6"/>
            </w:tcBorders>
            <w:shd w:fill="1B2F5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Escalation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MQL → Sales Outreach</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First contact within 2 business hours of MQL creation</w:t>
            </w:r>
          </w:p>
        </w:tc>
        <w:tc>
          <w:tcPr>
            <w:tcW w:type="dxa" w:w="2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AE / BDR assigned</w:t>
            </w:r>
          </w:p>
        </w:tc>
        <w:tc>
          <w:tcPr>
            <w:tcW w:type="dxa" w:w="2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Escalate to Sales Manager if breached</w:t>
            </w:r>
          </w:p>
        </w:tc>
      </w:tr>
      <w:tr>
        <w:tc>
          <w:tcPr>
            <w:tcW w:type="dxa" w:w="24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BDR Meeting → AE</w:t>
            </w:r>
          </w:p>
        </w:tc>
        <w:tc>
          <w:tcPr>
            <w:tcW w:type="dxa" w:w="22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AE briefed 24hrs before meeting; SPICED pre-call notes provided</w:t>
            </w:r>
          </w:p>
        </w:tc>
        <w:tc>
          <w:tcPr>
            <w:tcW w:type="dxa" w:w="248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BDR</w:t>
            </w:r>
          </w:p>
        </w:tc>
        <w:tc>
          <w:tcPr>
            <w:tcW w:type="dxa" w:w="228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BDR Manager reviews breach</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Closed Won → CS Onboarding</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CS intro email within 24 hours; kickoff scheduled within 5 days</w:t>
            </w:r>
          </w:p>
        </w:tc>
        <w:tc>
          <w:tcPr>
            <w:tcW w:type="dxa" w:w="2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AE + CS Manager</w:t>
            </w:r>
          </w:p>
        </w:tc>
        <w:tc>
          <w:tcPr>
            <w:tcW w:type="dxa" w:w="2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CRO reviews breach within 48 hours</w:t>
            </w:r>
          </w:p>
        </w:tc>
      </w:tr>
      <w:tr>
        <w:tc>
          <w:tcPr>
            <w:tcW w:type="dxa" w:w="24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Adoption → Expansion Flag</w:t>
            </w:r>
          </w:p>
        </w:tc>
        <w:tc>
          <w:tcPr>
            <w:tcW w:type="dxa" w:w="22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Expansion signal flagged to Sales within 5 business days</w:t>
            </w:r>
          </w:p>
        </w:tc>
        <w:tc>
          <w:tcPr>
            <w:tcW w:type="dxa" w:w="248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CS / AM</w:t>
            </w:r>
          </w:p>
        </w:tc>
        <w:tc>
          <w:tcPr>
            <w:tcW w:type="dxa" w:w="228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VP Customer Success reviews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Renewal Risk Flag</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At-risk renewal flagged 90 days before renewal date</w:t>
            </w:r>
          </w:p>
        </w:tc>
        <w:tc>
          <w:tcPr>
            <w:tcW w:type="dxa" w:w="2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CS</w:t>
            </w:r>
          </w:p>
        </w:tc>
        <w:tc>
          <w:tcPr>
            <w:tcW w:type="dxa" w:w="2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CRO and relevant AE notified immediately</w:t>
            </w:r>
          </w:p>
        </w:tc>
      </w:tr>
    </w:tbl>
    <w:p>
      <w:pPr>
        <w:spacing w:after="0" w:before="120"/>
      </w:pPr>
      <w:r>
        <w:t xml:space="preserve"/>
      </w:r>
    </w:p>
    <w:p>
      <w:pPr>
        <w:pStyle w:val="Heading3"/>
      </w:pPr>
      <w:r>
        <w:rPr>
          <w:rFonts w:ascii="Arial" w:cs="Arial" w:eastAsia="Arial" w:hAnsi="Arial"/>
          <w:b/>
          <w:bCs/>
          <w:color w:val="1B2F5B"/>
          <w:sz w:val="24"/>
          <w:szCs w:val="24"/>
        </w:rPr>
        <w:t xml:space="preserve">Step 6.3 — Document Handoff Packages</w:t>
      </w:r>
    </w:p>
    <w:p>
      <w:pPr>
        <w:spacing w:after="120"/>
      </w:pPr>
      <w:r>
        <w:rPr>
          <w:rFonts w:ascii="Arial" w:cs="Arial" w:eastAsia="Arial" w:hAnsi="Arial"/>
          <w:b w:val="false"/>
          <w:bCs w:val="false"/>
          <w:color w:val="1A1A1A"/>
          <w:sz w:val="22"/>
          <w:szCs w:val="22"/>
        </w:rPr>
        <w:t xml:space="preserve">For each handoff, define what information must be transferred — not just that the handoff happened. Create a Handoff Package template for each:</w:t>
      </w:r>
    </w:p>
    <w:p>
      <w:pPr>
        <w:pStyle w:val="ListParagraph"/>
        <w:numPr>
          <w:ilvl w:val="0"/>
          <w:numId w:val="2"/>
        </w:numPr>
        <w:spacing w:after="80"/>
      </w:pPr>
      <w:r>
        <w:rPr>
          <w:rFonts w:ascii="Arial" w:cs="Arial" w:eastAsia="Arial" w:hAnsi="Arial"/>
          <w:b w:val="false"/>
          <w:bCs w:val="false"/>
          <w:sz w:val="22"/>
          <w:szCs w:val="22"/>
        </w:rPr>
        <w:t xml:space="preserve">MQL Package: Lead source, SPICED Situation summary, lead score, key content consumed, contact info.</w:t>
      </w:r>
    </w:p>
    <w:p>
      <w:pPr>
        <w:pStyle w:val="ListParagraph"/>
        <w:numPr>
          <w:ilvl w:val="0"/>
          <w:numId w:val="2"/>
        </w:numPr>
        <w:spacing w:after="80"/>
      </w:pPr>
      <w:r>
        <w:rPr>
          <w:rFonts w:ascii="Arial" w:cs="Arial" w:eastAsia="Arial" w:hAnsi="Arial"/>
          <w:b w:val="false"/>
          <w:bCs w:val="false"/>
          <w:sz w:val="22"/>
          <w:szCs w:val="22"/>
        </w:rPr>
        <w:t xml:space="preserve">BDR → AE Package: SPICED S + P completed, key objections raised, meeting agenda, proposed solutions.</w:t>
      </w:r>
    </w:p>
    <w:p>
      <w:pPr>
        <w:pStyle w:val="ListParagraph"/>
        <w:numPr>
          <w:ilvl w:val="0"/>
          <w:numId w:val="2"/>
        </w:numPr>
        <w:spacing w:after="80"/>
      </w:pPr>
      <w:r>
        <w:rPr>
          <w:rFonts w:ascii="Arial" w:cs="Arial" w:eastAsia="Arial" w:hAnsi="Arial"/>
          <w:b w:val="false"/>
          <w:bCs w:val="false"/>
          <w:sz w:val="22"/>
          <w:szCs w:val="22"/>
        </w:rPr>
        <w:t xml:space="preserve">Sales → CS Handoff Package: Full SPICED summary, commercial terms, key stakeholders, success criteria, known risks.</w:t>
      </w:r>
    </w:p>
    <w:p>
      <w:pPr>
        <w:pStyle w:val="ListParagraph"/>
        <w:numPr>
          <w:ilvl w:val="0"/>
          <w:numId w:val="2"/>
        </w:numPr>
        <w:spacing w:after="80"/>
      </w:pPr>
      <w:r>
        <w:rPr>
          <w:rFonts w:ascii="Arial" w:cs="Arial" w:eastAsia="Arial" w:hAnsi="Arial"/>
          <w:b w:val="false"/>
          <w:bCs w:val="false"/>
          <w:sz w:val="22"/>
          <w:szCs w:val="22"/>
        </w:rPr>
        <w:t xml:space="preserve">CS → Sales Expansion Package: Usage data, NPS score, SPICED Impact confirmation, expansion signal and opportunity size.</w:t>
      </w:r>
    </w:p>
    <w:p>
      <w:pPr>
        <w:spacing w:after="0" w:before="80"/>
      </w:pPr>
      <w:r>
        <w:t xml:space="preserve"/>
      </w:r>
    </w:p>
    <w:p>
      <w:pPr>
        <w:pStyle w:val="Heading3"/>
      </w:pPr>
      <w:r>
        <w:rPr>
          <w:rFonts w:ascii="Arial" w:cs="Arial" w:eastAsia="Arial" w:hAnsi="Arial"/>
          <w:b/>
          <w:bCs/>
          <w:color w:val="1B2F5B"/>
          <w:sz w:val="24"/>
          <w:szCs w:val="24"/>
        </w:rPr>
        <w:t xml:space="preserve">Step 6.4 — Build SLA Monitoring in the CRM</w:t>
      </w:r>
    </w:p>
    <w:p>
      <w:pPr>
        <w:pStyle w:val="ListParagraph"/>
        <w:numPr>
          <w:ilvl w:val="0"/>
          <w:numId w:val="3"/>
        </w:numPr>
        <w:spacing w:after="100"/>
      </w:pPr>
      <w:r>
        <w:rPr>
          <w:rFonts w:ascii="Arial" w:cs="Arial" w:eastAsia="Arial" w:hAnsi="Arial"/>
          <w:sz w:val="22"/>
          <w:szCs w:val="22"/>
        </w:rPr>
        <w:t xml:space="preserve">Configure automated CRM timestamps at each handoff point. The system records when the handoff occurred and when the next action was taken.</w:t>
      </w:r>
    </w:p>
    <w:p>
      <w:pPr>
        <w:pStyle w:val="ListParagraph"/>
        <w:numPr>
          <w:ilvl w:val="0"/>
          <w:numId w:val="3"/>
        </w:numPr>
        <w:spacing w:after="100"/>
      </w:pPr>
      <w:r>
        <w:rPr>
          <w:rFonts w:ascii="Arial" w:cs="Arial" w:eastAsia="Arial" w:hAnsi="Arial"/>
          <w:sz w:val="22"/>
          <w:szCs w:val="22"/>
        </w:rPr>
        <w:t xml:space="preserve">Build an SLA breach report: a real-time CRM view showing any handoff where the SLA commitment has been missed.</w:t>
      </w:r>
    </w:p>
    <w:p>
      <w:pPr>
        <w:pStyle w:val="ListParagraph"/>
        <w:numPr>
          <w:ilvl w:val="0"/>
          <w:numId w:val="3"/>
        </w:numPr>
        <w:spacing w:after="100"/>
      </w:pPr>
      <w:r>
        <w:rPr>
          <w:rFonts w:ascii="Arial" w:cs="Arial" w:eastAsia="Arial" w:hAnsi="Arial"/>
          <w:sz w:val="22"/>
          <w:szCs w:val="22"/>
        </w:rPr>
        <w:t xml:space="preserve">Review SLA compliance in the weekly leadership meeting. Track SLA adherence as a team KPI, not a personal performance metric.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4"/>
              <w:left w:val="single" w:color="2563A8" w:sz="4"/>
              <w:bottom w:val="single" w:color="2563A8" w:sz="4"/>
              <w:right w:val="single" w:color="2563A8" w:sz="4"/>
            </w:tcBorders>
            <w:shd w:fill="D6E4F7" w:val="clear"/>
            <w:tcMar>
              <w:top w:type="dxa" w:w="160"/>
              <w:left w:type="dxa" w:w="200"/>
              <w:bottom w:type="dxa" w:w="160"/>
              <w:right w:type="dxa" w:w="200"/>
            </w:tcMar>
          </w:tcPr>
          <w:p>
            <w:pPr>
              <w:spacing w:after="80"/>
            </w:pPr>
            <w:r>
              <w:rPr>
                <w:rFonts w:ascii="Arial" w:cs="Arial" w:eastAsia="Arial" w:hAnsi="Arial"/>
                <w:b/>
                <w:bCs/>
                <w:color w:val="1B2F5B"/>
                <w:sz w:val="22"/>
                <w:szCs w:val="22"/>
              </w:rPr>
              <w:t xml:space="preserve">SLAs &amp; SPICED: The Connection</w:t>
            </w:r>
          </w:p>
          <w:p>
            <w:pPr>
              <w:spacing w:after="0"/>
            </w:pPr>
            <w:r>
              <w:rPr>
                <w:rFonts w:ascii="Arial" w:cs="Arial" w:eastAsia="Arial" w:hAnsi="Arial"/>
                <w:color w:val="1A1A1A"/>
                <w:sz w:val="20"/>
                <w:szCs w:val="20"/>
              </w:rPr>
              <w:t xml:space="preserve">The SLA for each handoff must include a SPICED completeness requirement. A handoff package is not considered 'complete' unless the relevant SPICED dimensions are populated in the CRM. This creates a direct link between methodology adoption and operational compliance.</w:t>
            </w:r>
          </w:p>
        </w:tc>
      </w:tr>
    </w:tbl>
    <w:p>
      <w:r>
        <w:br w:type="pag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A020" w:sz="24"/>
              <w:bottom w:val="none" w:color="FFFFFF" w:sz="0"/>
              <w:right w:val="none" w:color="FFFFFF" w:sz="0"/>
            </w:tcBorders>
            <w:shd w:fill="F4F6FA" w:val="clear"/>
            <w:tcMar>
              <w:top w:type="dxa" w:w="160"/>
              <w:left w:type="dxa" w:w="280"/>
              <w:bottom w:type="dxa" w:w="160"/>
              <w:right w:type="dxa" w:w="200"/>
            </w:tcMar>
          </w:tcPr>
          <w:p>
            <w:pPr>
              <w:spacing w:after="60"/>
            </w:pPr>
            <w:r>
              <w:rPr>
                <w:rFonts w:ascii="Arial" w:cs="Arial" w:eastAsia="Arial" w:hAnsi="Arial"/>
                <w:b/>
                <w:bCs/>
                <w:caps/>
                <w:color w:val="E8A020"/>
                <w:sz w:val="18"/>
                <w:szCs w:val="18"/>
              </w:rPr>
              <w:t xml:space="preserve">PHASE 7</w:t>
            </w:r>
          </w:p>
          <w:p>
            <w:pPr>
              <w:spacing w:after="80"/>
            </w:pPr>
            <w:r>
              <w:rPr>
                <w:rFonts w:ascii="Arial" w:cs="Arial" w:eastAsia="Arial" w:hAnsi="Arial"/>
                <w:b/>
                <w:bCs/>
                <w:color w:val="1B2F5B"/>
                <w:sz w:val="32"/>
                <w:szCs w:val="32"/>
              </w:rPr>
              <w:t xml:space="preserve">Reporting, Analytics &amp; Attribution</w:t>
            </w:r>
          </w:p>
          <w:p>
            <w:pPr>
              <w:spacing w:after="0"/>
            </w:pPr>
            <w:r>
              <w:rPr>
                <w:rFonts w:ascii="Arial" w:cs="Arial" w:eastAsia="Arial" w:hAnsi="Arial"/>
                <w:color w:val="888888"/>
                <w:sz w:val="20"/>
                <w:szCs w:val="20"/>
              </w:rPr>
              <w:t xml:space="preserve">Build full-funnel visibility and understand what is actually driving revenue.</w:t>
            </w:r>
          </w:p>
        </w:tc>
      </w:tr>
    </w:tbl>
    <w:p>
      <w:pPr>
        <w:spacing w:after="0" w:before="120"/>
      </w:pPr>
      <w:r>
        <w:t xml:space="preserve"/>
      </w:r>
    </w:p>
    <w:p>
      <w:pPr>
        <w:pStyle w:val="Heading2"/>
      </w:pPr>
      <w:r>
        <w:rPr>
          <w:rFonts w:ascii="Arial" w:cs="Arial" w:eastAsia="Arial" w:hAnsi="Arial"/>
          <w:b/>
          <w:bCs/>
          <w:color w:val="2563A8"/>
          <w:sz w:val="28"/>
          <w:szCs w:val="28"/>
        </w:rPr>
        <w:t xml:space="preserve">Phase 7 Overview</w:t>
      </w:r>
    </w:p>
    <w:p>
      <w:pPr>
        <w:spacing w:after="120"/>
      </w:pPr>
      <w:r>
        <w:rPr>
          <w:rFonts w:ascii="Arial" w:cs="Arial" w:eastAsia="Arial" w:hAnsi="Arial"/>
          <w:b w:val="false"/>
          <w:bCs w:val="false"/>
          <w:color w:val="1A1A1A"/>
          <w:sz w:val="22"/>
          <w:szCs w:val="22"/>
        </w:rPr>
        <w:t xml:space="preserve">Reporting is the nervous system of the revenue engine. Without it, leaders are flying blind. With poor reporting, they are flying on false data — which is worse. This phase builds the dashboards, metrics, and attribution models that give Provecta and our clients complete, trustworthy revenue intelligence.</w:t>
      </w:r>
    </w:p>
    <w:p>
      <w:pPr>
        <w:spacing w:after="120"/>
      </w:pPr>
      <w:r>
        <w:rPr>
          <w:rFonts w:ascii="Arial" w:cs="Arial" w:eastAsia="Arial" w:hAnsi="Arial"/>
          <w:b w:val="false"/>
          <w:bCs w:val="false"/>
          <w:color w:val="1A1A1A"/>
          <w:sz w:val="22"/>
          <w:szCs w:val="22"/>
        </w:rPr>
        <w:t xml:space="preserve">This phase implements the Data &amp; Insights pillar of Revenue Architecture.</w:t>
      </w:r>
    </w:p>
    <w:p>
      <w:pPr>
        <w:spacing w:after="0" w:before="80"/>
      </w:pPr>
      <w:r>
        <w:t xml:space="preserve"/>
      </w:r>
    </w:p>
    <w:p>
      <w:pPr>
        <w:pStyle w:val="Heading3"/>
      </w:pPr>
      <w:r>
        <w:rPr>
          <w:rFonts w:ascii="Arial" w:cs="Arial" w:eastAsia="Arial" w:hAnsi="Arial"/>
          <w:b/>
          <w:bCs/>
          <w:color w:val="1B2F5B"/>
          <w:sz w:val="24"/>
          <w:szCs w:val="24"/>
        </w:rPr>
        <w:t xml:space="preserve">Step 7.1 — Define the Core Metric Framework</w:t>
      </w:r>
    </w:p>
    <w:p>
      <w:pPr>
        <w:spacing w:after="120"/>
      </w:pPr>
      <w:r>
        <w:rPr>
          <w:rFonts w:ascii="Arial" w:cs="Arial" w:eastAsia="Arial" w:hAnsi="Arial"/>
          <w:b w:val="false"/>
          <w:bCs w:val="false"/>
          <w:color w:val="1A1A1A"/>
          <w:sz w:val="22"/>
          <w:szCs w:val="22"/>
        </w:rPr>
        <w:t xml:space="preserve">Provecta uses the Bow Tie as the organising structure for all metrics. Every KPI is assigned to a Bow Tie zone: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2563A8" w:sz="6"/>
              <w:left w:val="single" w:color="2563A8" w:sz="6"/>
              <w:bottom w:val="single" w:color="2563A8" w:sz="6"/>
              <w:right w:val="single" w:color="2563A8" w:sz="6"/>
            </w:tcBorders>
            <w:shd w:fill="1B2F5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Bow Tie Zone</w:t>
            </w:r>
          </w:p>
        </w:tc>
        <w:tc>
          <w:tcPr>
            <w:tcW w:type="dxa" w:w="3380"/>
            <w:tcBorders>
              <w:top w:val="single" w:color="2563A8" w:sz="6"/>
              <w:left w:val="single" w:color="2563A8" w:sz="6"/>
              <w:bottom w:val="single" w:color="2563A8" w:sz="6"/>
              <w:right w:val="single" w:color="2563A8" w:sz="6"/>
            </w:tcBorders>
            <w:shd w:fill="1B2F5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Volume Metrics</w:t>
            </w:r>
          </w:p>
        </w:tc>
        <w:tc>
          <w:tcPr>
            <w:tcW w:type="dxa" w:w="3380"/>
            <w:tcBorders>
              <w:top w:val="single" w:color="2563A8" w:sz="6"/>
              <w:left w:val="single" w:color="2563A8" w:sz="6"/>
              <w:bottom w:val="single" w:color="2563A8" w:sz="6"/>
              <w:right w:val="single" w:color="2563A8" w:sz="6"/>
            </w:tcBorders>
            <w:shd w:fill="1B2F5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Efficiency Metrics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Acquire (Left)</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MQLs generated, SQLs created, Meetings booked, Pipeline created ($)</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Lead-to-MQL rate, MQL-to-SQL rate, Cost per MQL, Time to first meeting</w:t>
            </w:r>
          </w:p>
        </w:tc>
      </w:tr>
      <w:tr>
        <w:tc>
          <w:tcPr>
            <w:tcW w:type="dxa" w:w="26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Close (Knot)</w:t>
            </w:r>
          </w:p>
        </w:tc>
        <w:tc>
          <w:tcPr>
            <w:tcW w:type="dxa" w:w="338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Opportunities created, Proposals sent, Closed Won ($)</w:t>
            </w:r>
          </w:p>
        </w:tc>
        <w:tc>
          <w:tcPr>
            <w:tcW w:type="dxa" w:w="338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Win rate, Average deal size, Sales cycle length, Forecast accuracy</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Grow (Right)</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Customers onboarded, Adoption rate, NPS score, Expansion revenue ($)</w:t>
            </w:r>
          </w:p>
        </w:tc>
        <w:tc>
          <w:tcPr>
            <w:tcW w:type="dxa" w:w="33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Churn rate, Net Revenue Retention (NRR), Time to value, Expansion rate</w:t>
            </w:r>
          </w:p>
        </w:tc>
      </w:tr>
    </w:tbl>
    <w:p>
      <w:pPr>
        <w:spacing w:after="0" w:before="120"/>
      </w:pPr>
      <w:r>
        <w:t xml:space="preserve"/>
      </w:r>
    </w:p>
    <w:p>
      <w:pPr>
        <w:pStyle w:val="Heading3"/>
      </w:pPr>
      <w:r>
        <w:rPr>
          <w:rFonts w:ascii="Arial" w:cs="Arial" w:eastAsia="Arial" w:hAnsi="Arial"/>
          <w:b/>
          <w:bCs/>
          <w:color w:val="1B2F5B"/>
          <w:sz w:val="24"/>
          <w:szCs w:val="24"/>
        </w:rPr>
        <w:t xml:space="preserve">Step 7.2 — Build the Core Dashboards</w:t>
      </w:r>
    </w:p>
    <w:p>
      <w:pPr>
        <w:spacing w:after="120"/>
      </w:pPr>
      <w:r>
        <w:rPr>
          <w:rFonts w:ascii="Arial" w:cs="Arial" w:eastAsia="Arial" w:hAnsi="Arial"/>
          <w:b w:val="false"/>
          <w:bCs w:val="false"/>
          <w:color w:val="1A1A1A"/>
          <w:sz w:val="22"/>
          <w:szCs w:val="22"/>
        </w:rPr>
        <w:t xml:space="preserve">Provecta builds four standard dashboards for every engagement:</w:t>
      </w:r>
    </w:p>
    <w:p>
      <w:pPr>
        <w:pStyle w:val="ListParagraph"/>
        <w:numPr>
          <w:ilvl w:val="0"/>
          <w:numId w:val="3"/>
        </w:numPr>
        <w:spacing w:after="100"/>
      </w:pPr>
      <w:r>
        <w:rPr>
          <w:rFonts w:ascii="Arial" w:cs="Arial" w:eastAsia="Arial" w:hAnsi="Arial"/>
          <w:sz w:val="22"/>
          <w:szCs w:val="22"/>
        </w:rPr>
        <w:t xml:space="preserve">Revenue Command Centre: A single-screen view showing current-quarter performance across all three Bow Tie zones. For CRO and CEO-level consumption.</w:t>
      </w:r>
    </w:p>
    <w:p>
      <w:pPr>
        <w:pStyle w:val="ListParagraph"/>
        <w:numPr>
          <w:ilvl w:val="0"/>
          <w:numId w:val="3"/>
        </w:numPr>
        <w:spacing w:after="100"/>
      </w:pPr>
      <w:r>
        <w:rPr>
          <w:rFonts w:ascii="Arial" w:cs="Arial" w:eastAsia="Arial" w:hAnsi="Arial"/>
          <w:sz w:val="22"/>
          <w:szCs w:val="22"/>
        </w:rPr>
        <w:t xml:space="preserve">Pipeline Health Dashboard: A sales-focused view showing pipeline by stage, deal health scores, SLA compliance, and forecast category breakdown.</w:t>
      </w:r>
    </w:p>
    <w:p>
      <w:pPr>
        <w:pStyle w:val="ListParagraph"/>
        <w:numPr>
          <w:ilvl w:val="0"/>
          <w:numId w:val="3"/>
        </w:numPr>
        <w:spacing w:after="100"/>
      </w:pPr>
      <w:r>
        <w:rPr>
          <w:rFonts w:ascii="Arial" w:cs="Arial" w:eastAsia="Arial" w:hAnsi="Arial"/>
          <w:sz w:val="22"/>
          <w:szCs w:val="22"/>
        </w:rPr>
        <w:t xml:space="preserve">Marketing Performance Dashboard: Lead volume, source breakdown, MQL conversion rates, campaign attribution, and cost per pipeline dollar.</w:t>
      </w:r>
    </w:p>
    <w:p>
      <w:pPr>
        <w:pStyle w:val="ListParagraph"/>
        <w:numPr>
          <w:ilvl w:val="0"/>
          <w:numId w:val="3"/>
        </w:numPr>
        <w:spacing w:after="100"/>
      </w:pPr>
      <w:r>
        <w:rPr>
          <w:rFonts w:ascii="Arial" w:cs="Arial" w:eastAsia="Arial" w:hAnsi="Arial"/>
          <w:sz w:val="22"/>
          <w:szCs w:val="22"/>
        </w:rPr>
        <w:t xml:space="preserve">Customer Success Dashboard: Onboarding completion rate, adoption metrics, NPS trend, renewal risk alerts, and expansion pipeline.</w:t>
      </w:r>
    </w:p>
    <w:p>
      <w:pPr>
        <w:spacing w:after="0" w:before="80"/>
      </w:pPr>
      <w:r>
        <w:t xml:space="preserve"/>
      </w:r>
    </w:p>
    <w:p>
      <w:pPr>
        <w:pStyle w:val="Heading3"/>
      </w:pPr>
      <w:r>
        <w:rPr>
          <w:rFonts w:ascii="Arial" w:cs="Arial" w:eastAsia="Arial" w:hAnsi="Arial"/>
          <w:b/>
          <w:bCs/>
          <w:color w:val="1B2F5B"/>
          <w:sz w:val="24"/>
          <w:szCs w:val="24"/>
        </w:rPr>
        <w:t xml:space="preserve">Step 7.3 — Implement Attribution Modelling</w:t>
      </w:r>
    </w:p>
    <w:p>
      <w:pPr>
        <w:spacing w:after="120"/>
      </w:pPr>
      <w:r>
        <w:rPr>
          <w:rFonts w:ascii="Arial" w:cs="Arial" w:eastAsia="Arial" w:hAnsi="Arial"/>
          <w:b w:val="false"/>
          <w:bCs w:val="false"/>
          <w:color w:val="1A1A1A"/>
          <w:sz w:val="22"/>
          <w:szCs w:val="22"/>
        </w:rPr>
        <w:t xml:space="preserve">Attribution answers the critical question: which marketing and sales activities actually drive revenue? Provecta implements a staged attribution approach:</w:t>
      </w:r>
    </w:p>
    <w:p>
      <w:pPr>
        <w:pStyle w:val="ListParagraph"/>
        <w:numPr>
          <w:ilvl w:val="0"/>
          <w:numId w:val="3"/>
        </w:numPr>
        <w:spacing w:after="100"/>
      </w:pPr>
      <w:r>
        <w:rPr>
          <w:rFonts w:ascii="Arial" w:cs="Arial" w:eastAsia="Arial" w:hAnsi="Arial"/>
          <w:sz w:val="22"/>
          <w:szCs w:val="22"/>
        </w:rPr>
        <w:t xml:space="preserve">Start with First Touch + Last Touch: Understand which channels generate awareness and which channels close deals. This is the minimum viable attribution model.</w:t>
      </w:r>
    </w:p>
    <w:p>
      <w:pPr>
        <w:pStyle w:val="ListParagraph"/>
        <w:numPr>
          <w:ilvl w:val="0"/>
          <w:numId w:val="3"/>
        </w:numPr>
        <w:spacing w:after="100"/>
      </w:pPr>
      <w:r>
        <w:rPr>
          <w:rFonts w:ascii="Arial" w:cs="Arial" w:eastAsia="Arial" w:hAnsi="Arial"/>
          <w:sz w:val="22"/>
          <w:szCs w:val="22"/>
        </w:rPr>
        <w:t xml:space="preserve">Advance to Multi-Touch (W-Shaped): Assign credit to first touch (20%), lead creation (20%), opportunity creation (20%), and all intermediate touches (40% shared). This model reflects the full Bow Tie acquisition journey.</w:t>
      </w:r>
    </w:p>
    <w:p>
      <w:pPr>
        <w:pStyle w:val="ListParagraph"/>
        <w:numPr>
          <w:ilvl w:val="0"/>
          <w:numId w:val="3"/>
        </w:numPr>
        <w:spacing w:after="100"/>
      </w:pPr>
      <w:r>
        <w:rPr>
          <w:rFonts w:ascii="Arial" w:cs="Arial" w:eastAsia="Arial" w:hAnsi="Arial"/>
          <w:sz w:val="22"/>
          <w:szCs w:val="22"/>
        </w:rPr>
        <w:t xml:space="preserve">Document the attribution logic in writing. Every stakeholder must understand how credit is assigned before they can trust the model.</w:t>
      </w:r>
    </w:p>
    <w:p>
      <w:pPr>
        <w:pStyle w:val="ListParagraph"/>
        <w:numPr>
          <w:ilvl w:val="0"/>
          <w:numId w:val="3"/>
        </w:numPr>
        <w:spacing w:after="100"/>
      </w:pPr>
      <w:r>
        <w:rPr>
          <w:rFonts w:ascii="Arial" w:cs="Arial" w:eastAsia="Arial" w:hAnsi="Arial"/>
          <w:sz w:val="22"/>
          <w:szCs w:val="22"/>
        </w:rPr>
        <w:t xml:space="preserve">Review attribution data quarterly: identify over-attributed channels (getting credit they don't deserve) and under-attributed channels (invisible in your data).</w:t>
      </w:r>
    </w:p>
    <w:p>
      <w:pPr>
        <w:spacing w:after="0" w:before="80"/>
      </w:pPr>
      <w:r>
        <w:t xml:space="preserve"/>
      </w:r>
    </w:p>
    <w:p>
      <w:pPr>
        <w:pStyle w:val="Heading3"/>
      </w:pPr>
      <w:r>
        <w:rPr>
          <w:rFonts w:ascii="Arial" w:cs="Arial" w:eastAsia="Arial" w:hAnsi="Arial"/>
          <w:b/>
          <w:bCs/>
          <w:color w:val="1B2F5B"/>
          <w:sz w:val="24"/>
          <w:szCs w:val="24"/>
        </w:rPr>
        <w:t xml:space="preserve">Step 7.4 — Build a Forecasting Model</w:t>
      </w:r>
    </w:p>
    <w:p>
      <w:pPr>
        <w:pStyle w:val="ListParagraph"/>
        <w:numPr>
          <w:ilvl w:val="0"/>
          <w:numId w:val="3"/>
        </w:numPr>
        <w:spacing w:after="100"/>
      </w:pPr>
      <w:r>
        <w:rPr>
          <w:rFonts w:ascii="Arial" w:cs="Arial" w:eastAsia="Arial" w:hAnsi="Arial"/>
          <w:sz w:val="22"/>
          <w:szCs w:val="22"/>
        </w:rPr>
        <w:t xml:space="preserve">Use historical stage-by-stage conversion rates to build a probability-weighted pipeline forecast (output of Phase 4 data).</w:t>
      </w:r>
    </w:p>
    <w:p>
      <w:pPr>
        <w:pStyle w:val="ListParagraph"/>
        <w:numPr>
          <w:ilvl w:val="0"/>
          <w:numId w:val="3"/>
        </w:numPr>
        <w:spacing w:after="100"/>
      </w:pPr>
      <w:r>
        <w:rPr>
          <w:rFonts w:ascii="Arial" w:cs="Arial" w:eastAsia="Arial" w:hAnsi="Arial"/>
          <w:sz w:val="22"/>
          <w:szCs w:val="22"/>
        </w:rPr>
        <w:t xml:space="preserve">Layer in the AI-assisted forecast from the CRM (if available) to complement the human commit forecast.</w:t>
      </w:r>
    </w:p>
    <w:p>
      <w:pPr>
        <w:pStyle w:val="ListParagraph"/>
        <w:numPr>
          <w:ilvl w:val="0"/>
          <w:numId w:val="3"/>
        </w:numPr>
        <w:spacing w:after="100"/>
      </w:pPr>
      <w:r>
        <w:rPr>
          <w:rFonts w:ascii="Arial" w:cs="Arial" w:eastAsia="Arial" w:hAnsi="Arial"/>
          <w:sz w:val="22"/>
          <w:szCs w:val="22"/>
        </w:rPr>
        <w:t xml:space="preserve">Track forecast accuracy month over month: the delta between committed forecast and actual Closed Won. Target accuracy of within 10% of forecast.</w:t>
      </w:r>
    </w:p>
    <w:p>
      <w:pPr>
        <w:pStyle w:val="ListParagraph"/>
        <w:numPr>
          <w:ilvl w:val="0"/>
          <w:numId w:val="3"/>
        </w:numPr>
        <w:spacing w:after="100"/>
      </w:pPr>
      <w:r>
        <w:rPr>
          <w:rFonts w:ascii="Arial" w:cs="Arial" w:eastAsia="Arial" w:hAnsi="Arial"/>
          <w:sz w:val="22"/>
          <w:szCs w:val="22"/>
        </w:rPr>
        <w:t xml:space="preserve">Review the forecasting model annually and update stage probabilities based on the previous 12 months of closed data.</w:t>
      </w:r>
    </w:p>
    <w:p>
      <w:pPr>
        <w:spacing w:after="0" w:before="80"/>
      </w:pPr>
      <w:r>
        <w:t xml:space="preserve"/>
      </w:r>
    </w:p>
    <w:p>
      <w:pPr>
        <w:pStyle w:val="Heading3"/>
      </w:pPr>
      <w:r>
        <w:rPr>
          <w:rFonts w:ascii="Arial" w:cs="Arial" w:eastAsia="Arial" w:hAnsi="Arial"/>
          <w:b/>
          <w:bCs/>
          <w:color w:val="1B2F5B"/>
          <w:sz w:val="24"/>
          <w:szCs w:val="24"/>
        </w:rPr>
        <w:t xml:space="preserve">Step 7.5 — Executive Reporting Cadence</w:t>
      </w:r>
    </w:p>
    <w:p>
      <w:pPr>
        <w:pStyle w:val="ListParagraph"/>
        <w:numPr>
          <w:ilvl w:val="0"/>
          <w:numId w:val="2"/>
        </w:numPr>
        <w:spacing w:after="80"/>
      </w:pPr>
      <w:r>
        <w:rPr>
          <w:rFonts w:ascii="Arial" w:cs="Arial" w:eastAsia="Arial" w:hAnsi="Arial"/>
          <w:b w:val="false"/>
          <w:bCs w:val="false"/>
          <w:sz w:val="22"/>
          <w:szCs w:val="22"/>
        </w:rPr>
        <w:t xml:space="preserve">Weekly: Pipeline health review — deal movement, SLA adherence, at-risk deals.</w:t>
      </w:r>
    </w:p>
    <w:p>
      <w:pPr>
        <w:pStyle w:val="ListParagraph"/>
        <w:numPr>
          <w:ilvl w:val="0"/>
          <w:numId w:val="2"/>
        </w:numPr>
        <w:spacing w:after="80"/>
      </w:pPr>
      <w:r>
        <w:rPr>
          <w:rFonts w:ascii="Arial" w:cs="Arial" w:eastAsia="Arial" w:hAnsi="Arial"/>
          <w:b w:val="false"/>
          <w:bCs w:val="false"/>
          <w:sz w:val="22"/>
          <w:szCs w:val="22"/>
        </w:rPr>
        <w:t xml:space="preserve">Monthly: Full Bow Tie performance review — MQLs, pipeline created, Closed Won, NRR, and churn.</w:t>
      </w:r>
    </w:p>
    <w:p>
      <w:pPr>
        <w:pStyle w:val="ListParagraph"/>
        <w:numPr>
          <w:ilvl w:val="0"/>
          <w:numId w:val="2"/>
        </w:numPr>
        <w:spacing w:after="80"/>
      </w:pPr>
      <w:r>
        <w:rPr>
          <w:rFonts w:ascii="Arial" w:cs="Arial" w:eastAsia="Arial" w:hAnsi="Arial"/>
          <w:b w:val="false"/>
          <w:bCs w:val="false"/>
          <w:sz w:val="22"/>
          <w:szCs w:val="22"/>
        </w:rPr>
        <w:t xml:space="preserve">Quarterly: GTM strategy review — attribution analysis, ICP win rate by segment, forecast accuracy, and capacity planning.</w:t>
      </w:r>
    </w:p>
    <w:p>
      <w:r>
        <w:br w:type="pag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A020" w:sz="24"/>
              <w:bottom w:val="none" w:color="FFFFFF" w:sz="0"/>
              <w:right w:val="none" w:color="FFFFFF" w:sz="0"/>
            </w:tcBorders>
            <w:shd w:fill="F4F6FA" w:val="clear"/>
            <w:tcMar>
              <w:top w:type="dxa" w:w="160"/>
              <w:left w:type="dxa" w:w="280"/>
              <w:bottom w:type="dxa" w:w="160"/>
              <w:right w:type="dxa" w:w="200"/>
            </w:tcMar>
          </w:tcPr>
          <w:p>
            <w:pPr>
              <w:spacing w:after="60"/>
            </w:pPr>
            <w:r>
              <w:rPr>
                <w:rFonts w:ascii="Arial" w:cs="Arial" w:eastAsia="Arial" w:hAnsi="Arial"/>
                <w:b/>
                <w:bCs/>
                <w:caps/>
                <w:color w:val="E8A020"/>
                <w:sz w:val="18"/>
                <w:szCs w:val="18"/>
              </w:rPr>
              <w:t xml:space="preserve">PHASE 8</w:t>
            </w:r>
          </w:p>
          <w:p>
            <w:pPr>
              <w:spacing w:after="80"/>
            </w:pPr>
            <w:r>
              <w:rPr>
                <w:rFonts w:ascii="Arial" w:cs="Arial" w:eastAsia="Arial" w:hAnsi="Arial"/>
                <w:b/>
                <w:bCs/>
                <w:color w:val="1B2F5B"/>
                <w:sz w:val="32"/>
                <w:szCs w:val="32"/>
              </w:rPr>
              <w:t xml:space="preserve">RevOps Technology Stack</w:t>
            </w:r>
          </w:p>
          <w:p>
            <w:pPr>
              <w:spacing w:after="0"/>
            </w:pPr>
            <w:r>
              <w:rPr>
                <w:rFonts w:ascii="Arial" w:cs="Arial" w:eastAsia="Arial" w:hAnsi="Arial"/>
                <w:color w:val="888888"/>
                <w:sz w:val="20"/>
                <w:szCs w:val="20"/>
              </w:rPr>
              <w:t xml:space="preserve">Select, implement, and integrate the right tools for a fully connected revenue engine.</w:t>
            </w:r>
          </w:p>
        </w:tc>
      </w:tr>
    </w:tbl>
    <w:p>
      <w:pPr>
        <w:spacing w:after="0" w:before="120"/>
      </w:pPr>
      <w:r>
        <w:t xml:space="preserve"/>
      </w:r>
    </w:p>
    <w:p>
      <w:pPr>
        <w:pStyle w:val="Heading2"/>
      </w:pPr>
      <w:r>
        <w:rPr>
          <w:rFonts w:ascii="Arial" w:cs="Arial" w:eastAsia="Arial" w:hAnsi="Arial"/>
          <w:b/>
          <w:bCs/>
          <w:color w:val="2563A8"/>
          <w:sz w:val="28"/>
          <w:szCs w:val="28"/>
        </w:rPr>
        <w:t xml:space="preserve">Phase 8 Overview</w:t>
      </w:r>
    </w:p>
    <w:p>
      <w:pPr>
        <w:spacing w:after="120"/>
      </w:pPr>
      <w:r>
        <w:rPr>
          <w:rFonts w:ascii="Arial" w:cs="Arial" w:eastAsia="Arial" w:hAnsi="Arial"/>
          <w:b w:val="false"/>
          <w:bCs w:val="false"/>
          <w:color w:val="1A1A1A"/>
          <w:sz w:val="22"/>
          <w:szCs w:val="22"/>
        </w:rPr>
        <w:t xml:space="preserve">Technology should serve the process — never the other way around. The most common RevOps failure is buying tools before processes are defined. This phase ensures that every tool in the Provecta stack is deliberately chosen, correctly implemented, and generating the data the business needs.</w:t>
      </w:r>
    </w:p>
    <w:p>
      <w:pPr>
        <w:spacing w:after="0" w:before="80"/>
      </w:pPr>
      <w:r>
        <w:t xml:space="preserve"/>
      </w:r>
    </w:p>
    <w:p>
      <w:pPr>
        <w:pStyle w:val="Heading3"/>
      </w:pPr>
      <w:r>
        <w:rPr>
          <w:rFonts w:ascii="Arial" w:cs="Arial" w:eastAsia="Arial" w:hAnsi="Arial"/>
          <w:b/>
          <w:bCs/>
          <w:color w:val="1B2F5B"/>
          <w:sz w:val="24"/>
          <w:szCs w:val="24"/>
        </w:rPr>
        <w:t xml:space="preserve">Step 8.1 — Technology Selection Principles</w:t>
      </w:r>
    </w:p>
    <w:p>
      <w:pPr>
        <w:spacing w:after="120"/>
      </w:pPr>
      <w:r>
        <w:rPr>
          <w:rFonts w:ascii="Arial" w:cs="Arial" w:eastAsia="Arial" w:hAnsi="Arial"/>
          <w:b w:val="false"/>
          <w:bCs w:val="false"/>
          <w:color w:val="1A1A1A"/>
          <w:sz w:val="22"/>
          <w:szCs w:val="22"/>
        </w:rPr>
        <w:t xml:space="preserve">Provecta applies the following principles when evaluating technology for ourselves or clients:</w:t>
      </w:r>
    </w:p>
    <w:p>
      <w:pPr>
        <w:pStyle w:val="ListParagraph"/>
        <w:numPr>
          <w:ilvl w:val="0"/>
          <w:numId w:val="2"/>
        </w:numPr>
        <w:spacing w:after="80"/>
      </w:pPr>
      <w:r>
        <w:rPr>
          <w:rFonts w:ascii="Arial" w:cs="Arial" w:eastAsia="Arial" w:hAnsi="Arial"/>
          <w:b w:val="false"/>
          <w:bCs w:val="false"/>
          <w:sz w:val="22"/>
          <w:szCs w:val="22"/>
        </w:rPr>
        <w:t xml:space="preserve">Process first: No tool is selected until the process it must support is documented and agreed.</w:t>
      </w:r>
    </w:p>
    <w:p>
      <w:pPr>
        <w:pStyle w:val="ListParagraph"/>
        <w:numPr>
          <w:ilvl w:val="0"/>
          <w:numId w:val="2"/>
        </w:numPr>
        <w:spacing w:after="80"/>
      </w:pPr>
      <w:r>
        <w:rPr>
          <w:rFonts w:ascii="Arial" w:cs="Arial" w:eastAsia="Arial" w:hAnsi="Arial"/>
          <w:b w:val="false"/>
          <w:bCs w:val="false"/>
          <w:sz w:val="22"/>
          <w:szCs w:val="22"/>
        </w:rPr>
        <w:t xml:space="preserve">Integration mandatory: A tool that cannot integrate with the CRM is not considered.</w:t>
      </w:r>
    </w:p>
    <w:p>
      <w:pPr>
        <w:pStyle w:val="ListParagraph"/>
        <w:numPr>
          <w:ilvl w:val="0"/>
          <w:numId w:val="2"/>
        </w:numPr>
        <w:spacing w:after="80"/>
      </w:pPr>
      <w:r>
        <w:rPr>
          <w:rFonts w:ascii="Arial" w:cs="Arial" w:eastAsia="Arial" w:hAnsi="Arial"/>
          <w:b w:val="false"/>
          <w:bCs w:val="false"/>
          <w:sz w:val="22"/>
          <w:szCs w:val="22"/>
        </w:rPr>
        <w:t xml:space="preserve">Data quality test: Every tool must be evaluated on the quality and accessibility of the data it generates.</w:t>
      </w:r>
    </w:p>
    <w:p>
      <w:pPr>
        <w:pStyle w:val="ListParagraph"/>
        <w:numPr>
          <w:ilvl w:val="0"/>
          <w:numId w:val="2"/>
        </w:numPr>
        <w:spacing w:after="80"/>
      </w:pPr>
      <w:r>
        <w:rPr>
          <w:rFonts w:ascii="Arial" w:cs="Arial" w:eastAsia="Arial" w:hAnsi="Arial"/>
          <w:b w:val="false"/>
          <w:bCs w:val="false"/>
          <w:sz w:val="22"/>
          <w:szCs w:val="22"/>
        </w:rPr>
        <w:t xml:space="preserve">Adoption realism: A tool only creates value if the team uses it. Simplicity and workflow integration are prioritised over feature richness.</w:t>
      </w:r>
    </w:p>
    <w:p>
      <w:pPr>
        <w:pStyle w:val="ListParagraph"/>
        <w:numPr>
          <w:ilvl w:val="0"/>
          <w:numId w:val="2"/>
        </w:numPr>
        <w:spacing w:after="80"/>
      </w:pPr>
      <w:r>
        <w:rPr>
          <w:rFonts w:ascii="Arial" w:cs="Arial" w:eastAsia="Arial" w:hAnsi="Arial"/>
          <w:b w:val="false"/>
          <w:bCs w:val="false"/>
          <w:sz w:val="22"/>
          <w:szCs w:val="22"/>
        </w:rPr>
        <w:t xml:space="preserve">Total cost of ownership: Licensing cost plus implementation cost plus ongoing management cost must be justified by measurable revenue impact.</w:t>
      </w:r>
    </w:p>
    <w:p>
      <w:pPr>
        <w:spacing w:after="0" w:before="80"/>
      </w:pPr>
      <w:r>
        <w:t xml:space="preserve"/>
      </w:r>
    </w:p>
    <w:p>
      <w:pPr>
        <w:pStyle w:val="Heading3"/>
      </w:pPr>
      <w:r>
        <w:rPr>
          <w:rFonts w:ascii="Arial" w:cs="Arial" w:eastAsia="Arial" w:hAnsi="Arial"/>
          <w:b/>
          <w:bCs/>
          <w:color w:val="1B2F5B"/>
          <w:sz w:val="24"/>
          <w:szCs w:val="24"/>
        </w:rPr>
        <w:t xml:space="preserve">Step 8.2 — The Provecta Standard Stack</w:t>
      </w:r>
    </w:p>
    <w:p>
      <w:pPr>
        <w:spacing w:after="120"/>
      </w:pPr>
      <w:r>
        <w:rPr>
          <w:rFonts w:ascii="Arial" w:cs="Arial" w:eastAsia="Arial" w:hAnsi="Arial"/>
          <w:b w:val="false"/>
          <w:bCs w:val="false"/>
          <w:color w:val="1A1A1A"/>
          <w:sz w:val="22"/>
          <w:szCs w:val="22"/>
        </w:rPr>
        <w:t xml:space="preserve">The following stack represents Provecta's recommended tools by category. Specific tool selection should be validated against the client's existing investments and team capabilities.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2563A8" w:sz="6"/>
              <w:left w:val="single" w:color="2563A8" w:sz="6"/>
              <w:bottom w:val="single" w:color="2563A8" w:sz="6"/>
              <w:right w:val="single" w:color="2563A8" w:sz="6"/>
            </w:tcBorders>
            <w:shd w:fill="1B2F5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Category</w:t>
            </w:r>
          </w:p>
        </w:tc>
        <w:tc>
          <w:tcPr>
            <w:tcW w:type="dxa" w:w="3000"/>
            <w:tcBorders>
              <w:top w:val="single" w:color="2563A8" w:sz="6"/>
              <w:left w:val="single" w:color="2563A8" w:sz="6"/>
              <w:bottom w:val="single" w:color="2563A8" w:sz="6"/>
              <w:right w:val="single" w:color="2563A8" w:sz="6"/>
            </w:tcBorders>
            <w:shd w:fill="1B2F5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Recommended Tool(s)</w:t>
            </w:r>
          </w:p>
        </w:tc>
        <w:tc>
          <w:tcPr>
            <w:tcW w:type="dxa" w:w="3960"/>
            <w:tcBorders>
              <w:top w:val="single" w:color="2563A8" w:sz="6"/>
              <w:left w:val="single" w:color="2563A8" w:sz="6"/>
              <w:bottom w:val="single" w:color="2563A8" w:sz="6"/>
              <w:right w:val="single" w:color="2563A8" w:sz="6"/>
            </w:tcBorders>
            <w:shd w:fill="1B2F5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Role in the Revenue Engine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CRM (System of Record)</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HubSpot / Salesforce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Master data store for all contacts, accounts, deals, and activities across the Bow Tie</w:t>
            </w:r>
          </w:p>
        </w:tc>
      </w:tr>
      <w:tr>
        <w:tc>
          <w:tcPr>
            <w:tcW w:type="dxa" w:w="24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Marketing Automation</w:t>
            </w:r>
          </w:p>
        </w:tc>
        <w:tc>
          <w:tcPr>
            <w:tcW w:type="dxa" w:w="30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HubSpot / Marketo / Pardot</w:t>
            </w:r>
          </w:p>
        </w:tc>
        <w:tc>
          <w:tcPr>
            <w:tcW w:type="dxa" w:w="396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Lifecycle nurture, lead scoring, MQL automation, and campaign management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Sales Engagement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Outreach / SalesLoft / Apollo</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Sequenced outbound, meeting booking, cadence tracking, and reply management</w:t>
            </w:r>
          </w:p>
        </w:tc>
      </w:tr>
      <w:tr>
        <w:tc>
          <w:tcPr>
            <w:tcW w:type="dxa" w:w="24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Revenue Intelligence</w:t>
            </w:r>
          </w:p>
        </w:tc>
        <w:tc>
          <w:tcPr>
            <w:tcW w:type="dxa" w:w="30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Gong / Chorus / Clari</w:t>
            </w:r>
          </w:p>
        </w:tc>
        <w:tc>
          <w:tcPr>
            <w:tcW w:type="dxa" w:w="396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Call recording, deal coaching, AI forecasting, and risk scoring</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Data Enrichment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ZoomInfo / Clearbit / Apollo.io</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Automatic firmographic and contact data enrichment on CRM record creation</w:t>
            </w:r>
          </w:p>
        </w:tc>
      </w:tr>
      <w:tr>
        <w:tc>
          <w:tcPr>
            <w:tcW w:type="dxa" w:w="24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Business Intelligence</w:t>
            </w:r>
          </w:p>
        </w:tc>
        <w:tc>
          <w:tcPr>
            <w:tcW w:type="dxa" w:w="30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Looker / Tableau / Metabase</w:t>
            </w:r>
          </w:p>
        </w:tc>
        <w:tc>
          <w:tcPr>
            <w:tcW w:type="dxa" w:w="396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Cross-system reporting, attribution dashboards, and executive reporting</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CPQ / Quote-to-Cash</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Salesforce CPQ / DealHub</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Proposal generation, pricing, approvals, and contract management</w:t>
            </w:r>
          </w:p>
        </w:tc>
      </w:tr>
      <w:tr>
        <w:tc>
          <w:tcPr>
            <w:tcW w:type="dxa" w:w="24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Customer Success</w:t>
            </w:r>
          </w:p>
        </w:tc>
        <w:tc>
          <w:tcPr>
            <w:tcW w:type="dxa" w:w="30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Gainsight / ChurnZero / Totango</w:t>
            </w:r>
          </w:p>
        </w:tc>
        <w:tc>
          <w:tcPr>
            <w:tcW w:type="dxa" w:w="396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Customer health scoring, onboarding tracking, NPS, and renewal management</w:t>
            </w:r>
          </w:p>
        </w:tc>
      </w:tr>
    </w:tbl>
    <w:p>
      <w:pPr>
        <w:spacing w:after="0" w:before="120"/>
      </w:pPr>
      <w:r>
        <w:t xml:space="preserve"/>
      </w:r>
    </w:p>
    <w:p>
      <w:pPr>
        <w:pStyle w:val="Heading3"/>
      </w:pPr>
      <w:r>
        <w:rPr>
          <w:rFonts w:ascii="Arial" w:cs="Arial" w:eastAsia="Arial" w:hAnsi="Arial"/>
          <w:b/>
          <w:bCs/>
          <w:color w:val="1B2F5B"/>
          <w:sz w:val="24"/>
          <w:szCs w:val="24"/>
        </w:rPr>
        <w:t xml:space="preserve">Step 8.3 — Implementation Standards</w:t>
      </w:r>
    </w:p>
    <w:p>
      <w:pPr>
        <w:pStyle w:val="ListParagraph"/>
        <w:numPr>
          <w:ilvl w:val="0"/>
          <w:numId w:val="3"/>
        </w:numPr>
        <w:spacing w:after="100"/>
      </w:pPr>
      <w:r>
        <w:rPr>
          <w:rFonts w:ascii="Arial" w:cs="Arial" w:eastAsia="Arial" w:hAnsi="Arial"/>
          <w:sz w:val="22"/>
          <w:szCs w:val="22"/>
        </w:rPr>
        <w:t xml:space="preserve">Every tool implementation begins with a written implementation brief: what the tool must do, how it integrates, what data it produces, and who owns it.</w:t>
      </w:r>
    </w:p>
    <w:p>
      <w:pPr>
        <w:pStyle w:val="ListParagraph"/>
        <w:numPr>
          <w:ilvl w:val="0"/>
          <w:numId w:val="3"/>
        </w:numPr>
        <w:spacing w:after="100"/>
      </w:pPr>
      <w:r>
        <w:rPr>
          <w:rFonts w:ascii="Arial" w:cs="Arial" w:eastAsia="Arial" w:hAnsi="Arial"/>
          <w:sz w:val="22"/>
          <w:szCs w:val="22"/>
        </w:rPr>
        <w:t xml:space="preserve">No tool goes live until it has been tested in a sandbox environment with realistic data.</w:t>
      </w:r>
    </w:p>
    <w:p>
      <w:pPr>
        <w:pStyle w:val="ListParagraph"/>
        <w:numPr>
          <w:ilvl w:val="0"/>
          <w:numId w:val="3"/>
        </w:numPr>
        <w:spacing w:after="100"/>
      </w:pPr>
      <w:r>
        <w:rPr>
          <w:rFonts w:ascii="Arial" w:cs="Arial" w:eastAsia="Arial" w:hAnsi="Arial"/>
          <w:sz w:val="22"/>
          <w:szCs w:val="22"/>
        </w:rPr>
        <w:t xml:space="preserve">Every new tool must have an onboarding training plan. Adoption is measured 30, 60, and 90 days post-launch.</w:t>
      </w:r>
    </w:p>
    <w:p>
      <w:pPr>
        <w:pStyle w:val="ListParagraph"/>
        <w:numPr>
          <w:ilvl w:val="0"/>
          <w:numId w:val="3"/>
        </w:numPr>
        <w:spacing w:after="100"/>
      </w:pPr>
      <w:r>
        <w:rPr>
          <w:rFonts w:ascii="Arial" w:cs="Arial" w:eastAsia="Arial" w:hAnsi="Arial"/>
          <w:sz w:val="22"/>
          <w:szCs w:val="22"/>
        </w:rPr>
        <w:t xml:space="preserve">Every tool is reviewed for ROI at the 6-month and 12-month mark. Tools that are not generating measurable value are retired.</w:t>
      </w:r>
    </w:p>
    <w:p>
      <w:pPr>
        <w:spacing w:after="0" w:before="80"/>
      </w:pPr>
      <w:r>
        <w:t xml:space="preserve"/>
      </w:r>
    </w:p>
    <w:p>
      <w:pPr>
        <w:pStyle w:val="Heading3"/>
      </w:pPr>
      <w:r>
        <w:rPr>
          <w:rFonts w:ascii="Arial" w:cs="Arial" w:eastAsia="Arial" w:hAnsi="Arial"/>
          <w:b/>
          <w:bCs/>
          <w:color w:val="1B2F5B"/>
          <w:sz w:val="24"/>
          <w:szCs w:val="24"/>
        </w:rPr>
        <w:t xml:space="preserve">Step 8.4 — Stack Governance Cadence</w:t>
      </w:r>
    </w:p>
    <w:p>
      <w:pPr>
        <w:pStyle w:val="ListParagraph"/>
        <w:numPr>
          <w:ilvl w:val="0"/>
          <w:numId w:val="2"/>
        </w:numPr>
        <w:spacing w:after="80"/>
      </w:pPr>
      <w:r>
        <w:rPr>
          <w:rFonts w:ascii="Arial" w:cs="Arial" w:eastAsia="Arial" w:hAnsi="Arial"/>
          <w:b w:val="false"/>
          <w:bCs w:val="false"/>
          <w:sz w:val="22"/>
          <w:szCs w:val="22"/>
        </w:rPr>
        <w:t xml:space="preserve">Monthly: Review any new tool requests against the selection principles. No new tool is added without RevOps sign-off.</w:t>
      </w:r>
    </w:p>
    <w:p>
      <w:pPr>
        <w:pStyle w:val="ListParagraph"/>
        <w:numPr>
          <w:ilvl w:val="0"/>
          <w:numId w:val="2"/>
        </w:numPr>
        <w:spacing w:after="80"/>
      </w:pPr>
      <w:r>
        <w:rPr>
          <w:rFonts w:ascii="Arial" w:cs="Arial" w:eastAsia="Arial" w:hAnsi="Arial"/>
          <w:b w:val="false"/>
          <w:bCs w:val="false"/>
          <w:sz w:val="22"/>
          <w:szCs w:val="22"/>
        </w:rPr>
        <w:t xml:space="preserve">Quarterly: Conduct a stack audit: adoption rates, integration health, and cost vs. value for each tool.</w:t>
      </w:r>
    </w:p>
    <w:p>
      <w:pPr>
        <w:pStyle w:val="ListParagraph"/>
        <w:numPr>
          <w:ilvl w:val="0"/>
          <w:numId w:val="2"/>
        </w:numPr>
        <w:spacing w:after="80"/>
      </w:pPr>
      <w:r>
        <w:rPr>
          <w:rFonts w:ascii="Arial" w:cs="Arial" w:eastAsia="Arial" w:hAnsi="Arial"/>
          <w:b w:val="false"/>
          <w:bCs w:val="false"/>
          <w:sz w:val="22"/>
          <w:szCs w:val="22"/>
        </w:rPr>
        <w:t xml:space="preserve">Annually: Full stack rationalisation. Remove redundant tools, consolidate overlapping capabilities, and evaluate emerging tools against the roadmap.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4"/>
              <w:left w:val="single" w:color="2563A8" w:sz="4"/>
              <w:bottom w:val="single" w:color="2563A8" w:sz="4"/>
              <w:right w:val="single" w:color="2563A8" w:sz="4"/>
            </w:tcBorders>
            <w:shd w:fill="D6E4F7" w:val="clear"/>
            <w:tcMar>
              <w:top w:type="dxa" w:w="160"/>
              <w:left w:type="dxa" w:w="200"/>
              <w:bottom w:type="dxa" w:w="160"/>
              <w:right w:type="dxa" w:w="200"/>
            </w:tcMar>
          </w:tcPr>
          <w:p>
            <w:pPr>
              <w:spacing w:after="80"/>
            </w:pPr>
            <w:r>
              <w:rPr>
                <w:rFonts w:ascii="Arial" w:cs="Arial" w:eastAsia="Arial" w:hAnsi="Arial"/>
                <w:b/>
                <w:bCs/>
                <w:color w:val="1B2F5B"/>
                <w:sz w:val="22"/>
                <w:szCs w:val="22"/>
              </w:rPr>
              <w:t xml:space="preserve">The Rule of One</w:t>
            </w:r>
          </w:p>
          <w:p>
            <w:pPr>
              <w:spacing w:after="0"/>
            </w:pPr>
            <w:r>
              <w:rPr>
                <w:rFonts w:ascii="Arial" w:cs="Arial" w:eastAsia="Arial" w:hAnsi="Arial"/>
                <w:color w:val="1A1A1A"/>
                <w:sz w:val="20"/>
                <w:szCs w:val="20"/>
              </w:rPr>
              <w:t xml:space="preserve">For every RevOps function (CRM, engagement, intelligence, enrichment), Provecta enforces a maximum of one primary tool. Parallel tools for the same function always create data fragmentation, duplicated effort, and attribution confusion. When in doubt, consolidate.</w:t>
            </w:r>
          </w:p>
        </w:tc>
      </w:tr>
    </w:tbl>
    <w:p>
      <w:r>
        <w:br w:type="page"/>
      </w:r>
    </w:p>
    <w:p>
      <w:pPr>
        <w:pStyle w:val="Heading1"/>
      </w:pPr>
      <w:r>
        <w:rPr>
          <w:rFonts w:ascii="Arial" w:cs="Arial" w:eastAsia="Arial" w:hAnsi="Arial"/>
          <w:b/>
          <w:bCs/>
          <w:color w:val="1B2F5B"/>
          <w:sz w:val="36"/>
          <w:szCs w:val="36"/>
        </w:rPr>
        <w:t xml:space="preserve">Part 3: Implementation Roadmap</w:t>
      </w:r>
    </w:p>
    <w:p>
      <w:pPr>
        <w:pBdr>
          <w:bottom w:val="single" w:color="2563A8" w:sz="8"/>
        </w:pBdr>
        <w:spacing w:after="80" w:before="80"/>
      </w:pPr>
      <w:r>
        <w:t xml:space="preserve"/>
      </w:r>
    </w:p>
    <w:p>
      <w:pPr>
        <w:spacing w:after="0" w:before="80"/>
      </w:pPr>
      <w:r>
        <w:t xml:space="preserve"/>
      </w:r>
    </w:p>
    <w:p>
      <w:pPr>
        <w:pStyle w:val="Heading2"/>
      </w:pPr>
      <w:r>
        <w:rPr>
          <w:rFonts w:ascii="Arial" w:cs="Arial" w:eastAsia="Arial" w:hAnsi="Arial"/>
          <w:b/>
          <w:bCs/>
          <w:color w:val="2563A8"/>
          <w:sz w:val="28"/>
          <w:szCs w:val="28"/>
        </w:rPr>
        <w:t xml:space="preserve">3.1  Phased Rollout Timeline</w:t>
      </w:r>
    </w:p>
    <w:p>
      <w:pPr>
        <w:spacing w:after="120"/>
      </w:pPr>
      <w:r>
        <w:rPr>
          <w:rFonts w:ascii="Arial" w:cs="Arial" w:eastAsia="Arial" w:hAnsi="Arial"/>
          <w:b w:val="false"/>
          <w:bCs w:val="false"/>
          <w:color w:val="1A1A1A"/>
          <w:sz w:val="22"/>
          <w:szCs w:val="22"/>
        </w:rPr>
        <w:t xml:space="preserve">The 8-phase SOP is designed to be implemented progressively over a 6-month period. Phases 1-3 build the foundation; Phases 4-6 operationalise the system; Phases 7-8 enable continuous optimisation.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400"/>
        <w:gridCol w:w="2360"/>
      </w:tblGrid>
      <w:tr>
        <w:tc>
          <w:tcPr>
            <w:tcW w:type="dxa" w:w="1200"/>
            <w:tcBorders>
              <w:top w:val="single" w:color="2563A8" w:sz="6"/>
              <w:left w:val="single" w:color="2563A8" w:sz="6"/>
              <w:bottom w:val="single" w:color="2563A8" w:sz="6"/>
              <w:right w:val="single" w:color="2563A8" w:sz="6"/>
            </w:tcBorders>
            <w:shd w:fill="1B2F5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Phase</w:t>
            </w:r>
          </w:p>
        </w:tc>
        <w:tc>
          <w:tcPr>
            <w:tcW w:type="dxa" w:w="3400"/>
            <w:tcBorders>
              <w:top w:val="single" w:color="2563A8" w:sz="6"/>
              <w:left w:val="single" w:color="2563A8" w:sz="6"/>
              <w:bottom w:val="single" w:color="2563A8" w:sz="6"/>
              <w:right w:val="single" w:color="2563A8" w:sz="6"/>
            </w:tcBorders>
            <w:shd w:fill="1B2F5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Focus Area</w:t>
            </w:r>
          </w:p>
        </w:tc>
        <w:tc>
          <w:tcPr>
            <w:tcW w:type="dxa" w:w="2400"/>
            <w:tcBorders>
              <w:top w:val="single" w:color="2563A8" w:sz="6"/>
              <w:left w:val="single" w:color="2563A8" w:sz="6"/>
              <w:bottom w:val="single" w:color="2563A8" w:sz="6"/>
              <w:right w:val="single" w:color="2563A8" w:sz="6"/>
            </w:tcBorders>
            <w:shd w:fill="1B2F5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Recommended Timeline</w:t>
            </w:r>
          </w:p>
        </w:tc>
        <w:tc>
          <w:tcPr>
            <w:tcW w:type="dxa" w:w="2360"/>
            <w:tcBorders>
              <w:top w:val="single" w:color="2563A8" w:sz="6"/>
              <w:left w:val="single" w:color="2563A8" w:sz="6"/>
              <w:bottom w:val="single" w:color="2563A8" w:sz="6"/>
              <w:right w:val="single" w:color="2563A8" w:sz="6"/>
            </w:tcBorders>
            <w:shd w:fill="1B2F5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Key Milestone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1</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Revenue Operations Audit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Weeks 1-2</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Current State Report delivered</w:t>
            </w:r>
          </w:p>
        </w:tc>
      </w:tr>
      <w:tr>
        <w:tc>
          <w:tcPr>
            <w:tcW w:type="dxa" w:w="12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2</w:t>
            </w:r>
          </w:p>
        </w:tc>
        <w:tc>
          <w:tcPr>
            <w:tcW w:type="dxa" w:w="34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Single Source of Truth Architecture</w:t>
            </w:r>
          </w:p>
        </w:tc>
        <w:tc>
          <w:tcPr>
            <w:tcW w:type="dxa" w:w="24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Weeks 3-5</w:t>
            </w:r>
          </w:p>
        </w:tc>
        <w:tc>
          <w:tcPr>
            <w:tcW w:type="dxa" w:w="236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CRM data model documented &amp; live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3</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Lead Lifecycle Management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Weeks 4-7</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MQL/SQL criteria agreed &amp; live in CRM</w:t>
            </w:r>
          </w:p>
        </w:tc>
      </w:tr>
      <w:tr>
        <w:tc>
          <w:tcPr>
            <w:tcW w:type="dxa" w:w="12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4</w:t>
            </w:r>
          </w:p>
        </w:tc>
        <w:tc>
          <w:tcPr>
            <w:tcW w:type="dxa" w:w="34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Pipeline Management &amp; Forecasting</w:t>
            </w:r>
          </w:p>
        </w:tc>
        <w:tc>
          <w:tcPr>
            <w:tcW w:type="dxa" w:w="24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Weeks 6-9</w:t>
            </w:r>
          </w:p>
        </w:tc>
        <w:tc>
          <w:tcPr>
            <w:tcW w:type="dxa" w:w="236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First forecast review using new model</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5</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Data Governance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Weeks 8-10</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Charter signed, data steward assigned</w:t>
            </w:r>
          </w:p>
        </w:tc>
      </w:tr>
      <w:tr>
        <w:tc>
          <w:tcPr>
            <w:tcW w:type="dxa" w:w="12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6</w:t>
            </w:r>
          </w:p>
        </w:tc>
        <w:tc>
          <w:tcPr>
            <w:tcW w:type="dxa" w:w="34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Cross-Functional SLAs</w:t>
            </w:r>
          </w:p>
        </w:tc>
        <w:tc>
          <w:tcPr>
            <w:tcW w:type="dxa" w:w="24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Weeks 9-11</w:t>
            </w:r>
          </w:p>
        </w:tc>
        <w:tc>
          <w:tcPr>
            <w:tcW w:type="dxa" w:w="236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SLAs documented and compliance tracking live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7</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Reporting &amp; Attribution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Weeks 10-14</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Core dashboards live; attribution model documented</w:t>
            </w:r>
          </w:p>
        </w:tc>
      </w:tr>
      <w:tr>
        <w:tc>
          <w:tcPr>
            <w:tcW w:type="dxa" w:w="12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8</w:t>
            </w:r>
          </w:p>
        </w:tc>
        <w:tc>
          <w:tcPr>
            <w:tcW w:type="dxa" w:w="34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Technology Stack</w:t>
            </w:r>
          </w:p>
        </w:tc>
        <w:tc>
          <w:tcPr>
            <w:tcW w:type="dxa" w:w="24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Weeks 12-16</w:t>
            </w:r>
          </w:p>
        </w:tc>
        <w:tc>
          <w:tcPr>
            <w:tcW w:type="dxa" w:w="236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Stack audit complete; implementation brief for any new tools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Ongoing</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Continuous Improvement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Month 4 onwards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Monthly Bow Tie review; quarterly GTM audit</w:t>
            </w:r>
          </w:p>
        </w:tc>
      </w:tr>
    </w:tbl>
    <w:p>
      <w:pPr>
        <w:spacing w:after="0" w:before="120"/>
      </w:pPr>
      <w:r>
        <w:t xml:space="preserve"/>
      </w:r>
    </w:p>
    <w:p>
      <w:pPr>
        <w:pStyle w:val="Heading2"/>
      </w:pPr>
      <w:r>
        <w:rPr>
          <w:rFonts w:ascii="Arial" w:cs="Arial" w:eastAsia="Arial" w:hAnsi="Arial"/>
          <w:b/>
          <w:bCs/>
          <w:color w:val="2563A8"/>
          <w:sz w:val="28"/>
          <w:szCs w:val="28"/>
        </w:rPr>
        <w:t xml:space="preserve">3.2  Internal vs. Client Application</w:t>
      </w:r>
    </w:p>
    <w:p>
      <w:pPr>
        <w:spacing w:after="120"/>
      </w:pPr>
      <w:r>
        <w:rPr>
          <w:rFonts w:ascii="Arial" w:cs="Arial" w:eastAsia="Arial" w:hAnsi="Arial"/>
          <w:b w:val="false"/>
          <w:bCs w:val="false"/>
          <w:color w:val="1A1A1A"/>
          <w:sz w:val="22"/>
          <w:szCs w:val="22"/>
        </w:rPr>
        <w:t xml:space="preserve">This SOP is designed to run in two parallel tracks simultaneously: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A8" w:sz="6"/>
              <w:left w:val="single" w:color="2563A8" w:sz="6"/>
              <w:bottom w:val="single" w:color="2563A8" w:sz="6"/>
              <w:right w:val="single" w:color="2563A8" w:sz="6"/>
            </w:tcBorders>
            <w:shd w:fill="1B2F5B" w:val="clear"/>
            <w:tcMar>
              <w:top w:type="dxa" w:w="100"/>
              <w:left w:type="dxa" w:w="140"/>
              <w:bottom w:type="dxa" w:w="100"/>
              <w:right w:type="dxa" w:w="140"/>
            </w:tcMar>
          </w:tcPr>
          <w:p>
            <w:pPr>
              <w:spacing w:after="0"/>
              <w:jc w:val="center"/>
            </w:pPr>
            <w:r>
              <w:rPr>
                <w:rFonts w:ascii="Arial" w:cs="Arial" w:eastAsia="Arial" w:hAnsi="Arial"/>
                <w:b/>
                <w:bCs/>
                <w:color w:val="FFFFFF"/>
                <w:sz w:val="22"/>
                <w:szCs w:val="22"/>
              </w:rPr>
              <w:t xml:space="preserve">Provecta Internal</w:t>
            </w:r>
          </w:p>
        </w:tc>
        <w:tc>
          <w:tcPr>
            <w:tcW w:type="dxa" w:w="4680"/>
            <w:tcBorders>
              <w:top w:val="single" w:color="2563A8" w:sz="6"/>
              <w:left w:val="single" w:color="2563A8" w:sz="6"/>
              <w:bottom w:val="single" w:color="2563A8" w:sz="6"/>
              <w:right w:val="single" w:color="2563A8" w:sz="6"/>
            </w:tcBorders>
            <w:shd w:fill="2563A8" w:val="clear"/>
            <w:tcMar>
              <w:top w:type="dxa" w:w="100"/>
              <w:left w:type="dxa" w:w="140"/>
              <w:bottom w:type="dxa" w:w="100"/>
              <w:right w:type="dxa" w:w="140"/>
            </w:tcMar>
          </w:tcPr>
          <w:p>
            <w:pPr>
              <w:spacing w:after="0"/>
              <w:jc w:val="center"/>
            </w:pPr>
            <w:r>
              <w:rPr>
                <w:rFonts w:ascii="Arial" w:cs="Arial" w:eastAsia="Arial" w:hAnsi="Arial"/>
                <w:b/>
                <w:bCs/>
                <w:color w:val="FFFFFF"/>
                <w:sz w:val="22"/>
                <w:szCs w:val="22"/>
              </w:rPr>
              <w:t xml:space="preserve">Client Delivery</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1A1A1A"/>
                <w:sz w:val="20"/>
                <w:szCs w:val="20"/>
              </w:rPr>
              <w:t xml:space="preserve">The same 8-phase framework governs how Provecta runs its own revenue engine. We do not sell what we do not practise. Every phase of this SOP is implemented internally first, giving us direct operational experience before we deploy it for clients.</w:t>
            </w:r>
          </w:p>
        </w:tc>
        <w:tc>
          <w:tcPr>
            <w:tcW w:type="dxa" w:w="4680"/>
            <w:tcBorders>
              <w:top w:val="single" w:color="CCCCCC" w:sz="4"/>
              <w:left w:val="single" w:color="CCCCCC" w:sz="4"/>
              <w:bottom w:val="single" w:color="CCCCCC" w:sz="4"/>
              <w:right w:val="single" w:color="CCCCCC" w:sz="4"/>
            </w:tcBorders>
            <w:shd w:fill="F4F6FA" w:val="clear"/>
            <w:tcMar>
              <w:top w:type="dxa" w:w="100"/>
              <w:left w:type="dxa" w:w="140"/>
              <w:bottom w:type="dxa" w:w="100"/>
              <w:right w:type="dxa" w:w="140"/>
            </w:tcMar>
          </w:tcPr>
          <w:p>
            <w:pPr>
              <w:spacing w:after="0"/>
            </w:pPr>
            <w:r>
              <w:rPr>
                <w:rFonts w:ascii="Arial" w:cs="Arial" w:eastAsia="Arial" w:hAnsi="Arial"/>
                <w:color w:val="1A1A1A"/>
                <w:sz w:val="20"/>
                <w:szCs w:val="20"/>
              </w:rPr>
              <w:t xml:space="preserve">Every Provecta client engagement begins with Phase 1 (Audit) and progresses through the phases in sequence. The SOP is modular: clients at different maturity levels may enter at different phases, but the sequence is never skipped.</w:t>
            </w:r>
          </w:p>
        </w:tc>
      </w:tr>
    </w:tbl>
    <w:p>
      <w:pPr>
        <w:spacing w:after="0" w:before="120"/>
      </w:pPr>
      <w:r>
        <w:t xml:space="preserve"/>
      </w:r>
    </w:p>
    <w:p>
      <w:r>
        <w:br w:type="page"/>
      </w:r>
    </w:p>
    <w:p>
      <w:pPr>
        <w:pStyle w:val="Heading1"/>
      </w:pPr>
      <w:r>
        <w:rPr>
          <w:rFonts w:ascii="Arial" w:cs="Arial" w:eastAsia="Arial" w:hAnsi="Arial"/>
          <w:b/>
          <w:bCs/>
          <w:color w:val="1B2F5B"/>
          <w:sz w:val="36"/>
          <w:szCs w:val="36"/>
        </w:rPr>
        <w:t xml:space="preserve">Appendix: SPICED Quick Reference Card</w:t>
      </w:r>
    </w:p>
    <w:p>
      <w:pPr>
        <w:pBdr>
          <w:bottom w:val="single" w:color="2563A8" w:sz="8"/>
        </w:pBdr>
        <w:spacing w:after="80" w:before="80"/>
      </w:pPr>
      <w:r>
        <w:t xml:space="preserve"/>
      </w:r>
    </w:p>
    <w:p>
      <w:pPr>
        <w:spacing w:after="0" w:before="80"/>
      </w:pPr>
      <w:r>
        <w:t xml:space="preserve"/>
      </w:r>
    </w:p>
    <w:p>
      <w:pPr>
        <w:spacing w:after="120"/>
      </w:pPr>
      <w:r>
        <w:rPr>
          <w:rFonts w:ascii="Arial" w:cs="Arial" w:eastAsia="Arial" w:hAnsi="Arial"/>
          <w:b w:val="false"/>
          <w:bCs w:val="false"/>
          <w:color w:val="1A1A1A"/>
          <w:sz w:val="22"/>
          <w:szCs w:val="22"/>
        </w:rPr>
        <w:t xml:space="preserve">Use this reference during every client-facing conversation — discovery calls, check-ins, QBRs, and renewal discussions. All SPICED outputs must be logged in the CRM within 24 hours of the conversation.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600"/>
        <w:gridCol w:w="3560"/>
        <w:gridCol w:w="3560"/>
      </w:tblGrid>
      <w:tr>
        <w:tc>
          <w:tcPr>
            <w:tcW w:type="dxa" w:w="640"/>
            <w:tcBorders>
              <w:top w:val="single" w:color="2563A8" w:sz="6"/>
              <w:left w:val="single" w:color="2563A8" w:sz="6"/>
              <w:bottom w:val="single" w:color="2563A8" w:sz="6"/>
              <w:right w:val="single" w:color="2563A8" w:sz="6"/>
            </w:tcBorders>
            <w:shd w:fill="1B2F5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
            </w:r>
          </w:p>
        </w:tc>
        <w:tc>
          <w:tcPr>
            <w:tcW w:type="dxa" w:w="1600"/>
            <w:tcBorders>
              <w:top w:val="single" w:color="2563A8" w:sz="6"/>
              <w:left w:val="single" w:color="2563A8" w:sz="6"/>
              <w:bottom w:val="single" w:color="2563A8" w:sz="6"/>
              <w:right w:val="single" w:color="2563A8" w:sz="6"/>
            </w:tcBorders>
            <w:shd w:fill="1B2F5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Dimension</w:t>
            </w:r>
          </w:p>
        </w:tc>
        <w:tc>
          <w:tcPr>
            <w:tcW w:type="dxa" w:w="3560"/>
            <w:tcBorders>
              <w:top w:val="single" w:color="2563A8" w:sz="6"/>
              <w:left w:val="single" w:color="2563A8" w:sz="6"/>
              <w:bottom w:val="single" w:color="2563A8" w:sz="6"/>
              <w:right w:val="single" w:color="2563A8" w:sz="6"/>
            </w:tcBorders>
            <w:shd w:fill="1B2F5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Key Questions to Ask</w:t>
            </w:r>
          </w:p>
        </w:tc>
        <w:tc>
          <w:tcPr>
            <w:tcW w:type="dxa" w:w="3560"/>
            <w:tcBorders>
              <w:top w:val="single" w:color="2563A8" w:sz="6"/>
              <w:left w:val="single" w:color="2563A8" w:sz="6"/>
              <w:bottom w:val="single" w:color="2563A8" w:sz="6"/>
              <w:right w:val="single" w:color="2563A8" w:sz="6"/>
            </w:tcBorders>
            <w:shd w:fill="1B2F5B"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CRM Field to Update</w:t>
            </w:r>
          </w:p>
        </w:tc>
      </w:tr>
      <w:tr>
        <w:tc>
          <w:tcPr>
            <w:tcW w:type="dxa" w:w="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Situation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How is your team structured today? What tools are you using? How many people are in revenue-facing roles? What stage is the business at?</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Company size, Industry, Tech stack, Growth stage, Team structure</w:t>
            </w:r>
          </w:p>
        </w:tc>
      </w:tr>
      <w:tr>
        <w:tc>
          <w:tcPr>
            <w:tcW w:type="dxa" w:w="64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P</w:t>
            </w:r>
          </w:p>
        </w:tc>
        <w:tc>
          <w:tcPr>
            <w:tcW w:type="dxa" w:w="16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Pain</w:t>
            </w:r>
          </w:p>
        </w:tc>
        <w:tc>
          <w:tcPr>
            <w:tcW w:type="dxa" w:w="356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What is the biggest challenge your revenue team faces right now? What is not working the way it should? Where do deals get stuck?</w:t>
            </w:r>
          </w:p>
        </w:tc>
        <w:tc>
          <w:tcPr>
            <w:tcW w:type="dxa" w:w="356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Pain summary (text), Pain category (dropdown), Primary bottleneck</w:t>
            </w:r>
          </w:p>
        </w:tc>
      </w:tr>
      <w:tr>
        <w:tc>
          <w:tcPr>
            <w:tcW w:type="dxa" w:w="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I</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Impact</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What does it cost you to leave this problem unsolved? How does this affect your targets, your team, or your customers?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Impact value (currency), Impact description, ROI estimate</w:t>
            </w:r>
          </w:p>
        </w:tc>
      </w:tr>
      <w:tr>
        <w:tc>
          <w:tcPr>
            <w:tcW w:type="dxa" w:w="64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C</w:t>
            </w:r>
          </w:p>
        </w:tc>
        <w:tc>
          <w:tcPr>
            <w:tcW w:type="dxa" w:w="160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Critical Event</w:t>
            </w:r>
          </w:p>
        </w:tc>
        <w:tc>
          <w:tcPr>
            <w:tcW w:type="dxa" w:w="356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Is there a deadline, event, or trigger that makes this urgent? What happens if you haven't solved this by [date]?</w:t>
            </w:r>
          </w:p>
        </w:tc>
        <w:tc>
          <w:tcPr>
            <w:tcW w:type="dxa" w:w="3560"/>
            <w:tcBorders>
              <w:top w:val="single" w:color="CCCCCC" w:sz="4"/>
              <w:left w:val="single" w:color="CCCCCC" w:sz="4"/>
              <w:bottom w:val="single" w:color="CCCCCC" w:sz="4"/>
              <w:right w:val="single" w:color="CCCCCC" w:sz="4"/>
            </w:tcBorders>
            <w:shd w:fill="F4F6FA" w:val="clear"/>
            <w:tcMar>
              <w:top w:type="dxa" w:w="80"/>
              <w:left w:type="dxa" w:w="120"/>
              <w:bottom w:type="dxa" w:w="80"/>
              <w:right w:type="dxa" w:w="120"/>
            </w:tcMar>
          </w:tcPr>
          <w:p>
            <w:pPr>
              <w:spacing w:after="0"/>
            </w:pPr>
            <w:r>
              <w:rPr>
                <w:rFonts w:ascii="Arial" w:cs="Arial" w:eastAsia="Arial" w:hAnsi="Arial"/>
                <w:color w:val="1A1A1A"/>
                <w:sz w:val="20"/>
                <w:szCs w:val="20"/>
              </w:rPr>
              <w:t xml:space="preserve">Target go-live date, Critical event description, Urgency score</w:t>
            </w:r>
          </w:p>
        </w:tc>
      </w:tr>
      <w:tr>
        <w:tc>
          <w:tcPr>
            <w:tcW w:type="dxa" w:w="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Decision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Who else is involved in this decision? What does your evaluation process look like? What would need to be true for you to move forward?</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Decision maker(s), Decision criteria, Buying process, Expected timeline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4"/>
              <w:left w:val="single" w:color="2563A8" w:sz="4"/>
              <w:bottom w:val="single" w:color="2563A8" w:sz="4"/>
              <w:right w:val="single" w:color="2563A8" w:sz="4"/>
            </w:tcBorders>
            <w:shd w:fill="D6E4F7" w:val="clear"/>
            <w:tcMar>
              <w:top w:type="dxa" w:w="160"/>
              <w:left w:type="dxa" w:w="200"/>
              <w:bottom w:type="dxa" w:w="160"/>
              <w:right w:type="dxa" w:w="200"/>
            </w:tcMar>
          </w:tcPr>
          <w:p>
            <w:pPr>
              <w:spacing w:after="80"/>
            </w:pPr>
            <w:r>
              <w:rPr>
                <w:rFonts w:ascii="Arial" w:cs="Arial" w:eastAsia="Arial" w:hAnsi="Arial"/>
                <w:b/>
                <w:bCs/>
                <w:color w:val="1B2F5B"/>
                <w:sz w:val="22"/>
                <w:szCs w:val="22"/>
              </w:rPr>
              <w:t xml:space="preserve">SPICED Completion = Deal Quality</w:t>
            </w:r>
          </w:p>
          <w:p>
            <w:pPr>
              <w:spacing w:after="0"/>
            </w:pPr>
            <w:r>
              <w:rPr>
                <w:rFonts w:ascii="Arial" w:cs="Arial" w:eastAsia="Arial" w:hAnsi="Arial"/>
                <w:color w:val="1A1A1A"/>
                <w:sz w:val="20"/>
                <w:szCs w:val="20"/>
              </w:rPr>
              <w:t xml:space="preserve">A deal is only as strong as its SPICED foundation. Before any deal advances from SQL to Opportunity, all five SPICED dimensions must be populated in the CRM. Incomplete SPICED = incomplete deal. This is a non-negotiable standard at Provecta.</w:t>
            </w:r>
          </w:p>
        </w:tc>
      </w:tr>
    </w:tbl>
    <w:p>
      <w:pPr>
        <w:spacing w:after="0" w:before="120"/>
      </w:pPr>
      <w:r>
        <w:t xml:space="preserve"/>
      </w:r>
    </w:p>
    <w:p>
      <w:pPr>
        <w:pBdr>
          <w:bottom w:val="single" w:color="E8A020" w:sz="8"/>
        </w:pBdr>
        <w:spacing w:after="80" w:before="80"/>
      </w:pPr>
      <w:r>
        <w:t xml:space="preserve"/>
      </w:r>
    </w:p>
    <w:p>
      <w:pPr>
        <w:spacing w:after="0" w:before="80"/>
      </w:pPr>
      <w:r>
        <w:t xml:space="preserve"/>
      </w:r>
    </w:p>
    <w:p>
      <w:pPr>
        <w:spacing w:after="60"/>
        <w:jc w:val="center"/>
      </w:pPr>
      <w:r>
        <w:rPr>
          <w:rFonts w:ascii="Arial" w:cs="Arial" w:eastAsia="Arial" w:hAnsi="Arial"/>
          <w:color w:val="888888"/>
          <w:sz w:val="18"/>
          <w:szCs w:val="18"/>
        </w:rPr>
        <w:t xml:space="preserve">Provecta Group  |  Revenue Operations SOP  |  Version 1.0  |  April 2026</w:t>
      </w:r>
    </w:p>
    <w:p>
      <w:pPr>
        <w:spacing w:after="0"/>
        <w:jc w:val="center"/>
      </w:pPr>
      <w:r>
        <w:rPr>
          <w:rFonts w:ascii="Arial" w:cs="Arial" w:eastAsia="Arial" w:hAnsi="Arial"/>
          <w:color w:val="888888"/>
          <w:sz w:val="18"/>
          <w:szCs w:val="18"/>
        </w:rPr>
        <w:t xml:space="preserve">Provecta Revenue Architecture &amp; SPICED Methodology</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tabs>
        <w:tab w:val="right" w:pos="9360"/>
      </w:tabs>
      <w:spacing w:before="80"/>
    </w:pPr>
    <w:r>
      <w:rPr>
        <w:rFonts w:ascii="Arial" w:cs="Arial" w:eastAsia="Arial" w:hAnsi="Arial"/>
        <w:color w:val="888888"/>
        <w:sz w:val="16"/>
        <w:szCs w:val="16"/>
      </w:rPr>
      <w:t xml:space="preserve">Provecta Group Revenue Operations SOP  |  Provecta Revenue Architecture &amp; SPICED Methodology</w:t>
    </w:r>
    <w:r>
      <w:rPr>
        <w:rFonts w:ascii="Arial" w:cs="Arial" w:eastAsia="Arial" w:hAnsi="Arial"/>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tabs>
        <w:tab w:val="right" w:pos="9360"/>
      </w:tabs>
      <w:spacing w:after="0"/>
    </w:pPr>
    <w:r>
      <w:rPr>
        <w:rFonts w:ascii="Arial" w:cs="Arial" w:eastAsia="Arial" w:hAnsi="Arial"/>
        <w:color w:val="888888"/>
        <w:sz w:val="18"/>
        <w:szCs w:val="18"/>
      </w:rPr>
      <w:t xml:space="preserve">Provecta Group  |  RevOps SOP</w:t>
    </w:r>
    <w:r>
      <w:rPr>
        <w:rFonts w:ascii="Arial" w:cs="Arial" w:eastAsia="Arial" w:hAnsi="Arial"/>
      </w:rPr>
      <w:t xml:space="preserve">	</w:t>
    </w:r>
    <w:r>
      <w:rPr>
        <w:rFonts w:ascii="Arial" w:cs="Arial" w:eastAsia="Arial" w:hAnsi="Arial"/>
        <w:b/>
        <w:bCs/>
        <w:color w:val="E8A02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abstractNum w:abstractNumId="3" w15:restartNumberingAfterBreak="0">
    <w:multiLevelType w:val="hybridMultilevel"/>
    <w:lvl w:ilvl="0" w15:tentative="1">
      <w:start w:val="1"/>
      <w:numFmt w:val="decimal"/>
      <w:lvlText w:val="%1."/>
      <w:lvlJc w:val="left"/>
      <w:pPr>
        <w:ind w:left="640" w:hanging="320"/>
      </w:pPr>
    </w:lvl>
    <w:lvl w:ilvl="1" w15:tentative="1">
      <w:start w:val="1"/>
      <w:numFmt w:val="lowerLetter"/>
      <w:lvlText w:val="%2."/>
      <w:lvlJc w:val="left"/>
      <w:pPr>
        <w:ind w:left="11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2F5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563A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F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978820de9ae9c855b6154c5a8d66e1fb4ecd0f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2026-04-06T11:08:44.388Z</dcterms:created>
  <dcterms:modified xsi:type="dcterms:W3CDTF">2026-04-06T11:08:44.388Z</dcterms:modified>
</cp:coreProperties>
</file>

<file path=docProps/custom.xml><?xml version="1.0" encoding="utf-8"?>
<Properties xmlns="http://schemas.openxmlformats.org/officeDocument/2006/custom-properties" xmlns:vt="http://schemas.openxmlformats.org/officeDocument/2006/docPropsVTypes"/>
</file>