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2147" w:val="clear"/>
            <w:tcMar>
              <w:top w:type="dxa" w:w="80"/>
              <w:left w:type="dxa" w:w="120"/>
              <w:bottom w:type="dxa" w:w="80"/>
              <w:right w:type="dxa" w:w="120"/>
            </w:tcMar>
            <w:vAlign w:val="top"/>
          </w:tcPr>
          <w:p>
            <w:pPr>
              <w:spacing w:after="120" w:before="400"/>
              <w:jc w:val="left"/>
            </w:pPr>
            <w:r>
              <w:rPr>
                <w:rFonts w:ascii="Arial" w:cs="Arial" w:eastAsia="Arial" w:hAnsi="Arial"/>
                <w:color w:val="1A1A2E"/>
                <w:sz w:val="22"/>
                <w:szCs w:val="22"/>
              </w:rPr>
              <w:t xml:space="preserve"/>
            </w:r>
          </w:p>
          <w:p>
            <w:pPr>
              <w:spacing w:after="0" w:before="0"/>
              <w:ind w:left="1080"/>
              <w:jc w:val="left"/>
            </w:pPr>
            <w:r>
              <w:drawing>
                <wp:inline distT="0" distB="0" distL="0" distR="0">
                  <wp:extent cx="1524000" cy="514350"/>
                  <wp:effectExtent t="0" r="0" b="0" l="0"/>
                  <wp:docPr id="1" name="logo" descr="Logo" title="Provecta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514350"/>
                          </a:xfrm>
                          <a:prstGeom prst="rect">
                            <a:avLst/>
                          </a:prstGeom>
                        </pic:spPr>
                      </pic:pic>
                    </a:graphicData>
                  </a:graphic>
                </wp:inline>
              </w:drawing>
            </w:r>
          </w:p>
          <w:p>
            <w:pPr>
              <w:spacing w:after="120" w:before="240"/>
              <w:jc w:val="left"/>
            </w:pPr>
            <w:r>
              <w:rPr>
                <w:rFonts w:ascii="Arial" w:cs="Arial" w:eastAsia="Arial" w:hAnsi="Arial"/>
                <w:color w:val="1A1A2E"/>
                <w:sz w:val="22"/>
                <w:szCs w:val="22"/>
              </w:rP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20" w:hRule="atLeast"/>
        </w:trPr>
        <w:tc>
          <w:tcPr>
            <w:tcW w:type="dxa" w:w="12240"/>
            <w:tcBorders>
              <w:top w:val="none" w:color="FFFFFF" w:sz="0"/>
              <w:left w:val="none" w:color="FFFFFF" w:sz="0"/>
              <w:bottom w:val="none" w:color="FFFFFF" w:sz="0"/>
              <w:right w:val="none" w:color="FFFFFF" w:sz="0"/>
            </w:tcBorders>
            <w:shd w:fill="C8A96E" w:val="clear"/>
            <w:tcMar>
              <w:top w:type="dxa" w:w="80"/>
              <w:left w:type="dxa" w:w="120"/>
              <w:bottom w:type="dxa" w:w="80"/>
              <w:right w:type="dxa" w:w="120"/>
            </w:tcMar>
            <w:vAlign w:val="top"/>
          </w:tcPr>
          <w:p>
            <w:pPr>
              <w:spacing w:after="120" w:before="0"/>
              <w:jc w:val="left"/>
            </w:pPr>
            <w:r>
              <w:rPr>
                <w:rFonts w:ascii="Arial" w:cs="Arial" w:eastAsia="Arial" w:hAnsi="Arial"/>
                <w:color w:val="1A1A2E"/>
                <w:sz w:val="22"/>
                <w:szCs w:val="22"/>
              </w:rPr>
              <w:t xml:space="preserve"/>
            </w:r>
          </w:p>
        </w:tc>
      </w:tr>
    </w:tbl>
    <w:p>
      <w:pPr>
        <w:spacing w:after="120" w:before="600"/>
        <w:jc w:val="left"/>
      </w:pPr>
      <w:r>
        <w:rPr>
          <w:rFonts w:ascii="Arial" w:cs="Arial" w:eastAsia="Arial" w:hAnsi="Arial"/>
          <w:color w:val="1A1A2E"/>
          <w:sz w:val="22"/>
          <w:szCs w:val="22"/>
        </w:rPr>
        <w:t xml:space="preserve"/>
      </w:r>
    </w:p>
    <w:p>
      <w:pPr>
        <w:spacing w:after="100" w:before="0"/>
        <w:ind w:left="1080"/>
        <w:jc w:val="left"/>
      </w:pPr>
      <w:r>
        <w:rPr>
          <w:rFonts w:ascii="Arial" w:cs="Arial" w:eastAsia="Arial" w:hAnsi="Arial"/>
          <w:b/>
          <w:bCs/>
          <w:caps/>
          <w:color w:val="C8A96E"/>
          <w:sz w:val="18"/>
          <w:szCs w:val="18"/>
        </w:rPr>
        <w:t xml:space="preserve">PREPARED EXCLUSIVELY FOR</w:t>
      </w:r>
    </w:p>
    <w:p>
      <w:pPr>
        <w:spacing w:after="120" w:before="0"/>
        <w:ind w:left="1080"/>
        <w:jc w:val="left"/>
      </w:pPr>
      <w:r>
        <w:rPr>
          <w:rFonts w:ascii="Arial" w:cs="Arial" w:eastAsia="Arial" w:hAnsi="Arial"/>
          <w:b/>
          <w:bCs/>
          <w:color w:val="0D2147"/>
          <w:sz w:val="64"/>
          <w:szCs w:val="64"/>
        </w:rPr>
        <w:t xml:space="preserve">Premier Realty Limited</w:t>
      </w:r>
    </w:p>
    <w:p>
      <w:pPr>
        <w:spacing w:after="80" w:before="0"/>
        <w:ind w:left="1080"/>
        <w:jc w:val="left"/>
      </w:pPr>
      <w:r>
        <w:rPr>
          <w:rFonts w:ascii="Arial" w:cs="Arial" w:eastAsia="Arial" w:hAnsi="Arial"/>
          <w:b/>
          <w:bCs/>
          <w:color w:val="1A1A2E"/>
          <w:sz w:val="32"/>
          <w:szCs w:val="32"/>
        </w:rPr>
        <w:t xml:space="preserve">Revenue Operations &amp; AI Implementation Proposal</w:t>
      </w:r>
    </w:p>
    <w:p>
      <w:pPr>
        <w:spacing w:after="600" w:before="0"/>
        <w:ind w:left="1080"/>
        <w:jc w:val="left"/>
      </w:pPr>
      <w:r>
        <w:rPr>
          <w:rFonts w:ascii="Arial" w:cs="Arial" w:eastAsia="Arial" w:hAnsi="Arial"/>
          <w:i/>
          <w:iCs/>
          <w:color w:val="1E65B0"/>
          <w:sz w:val="24"/>
          <w:szCs w:val="24"/>
        </w:rPr>
        <w:t xml:space="preserve">A 3-Quarter Roadmap to Measurable Sales Growth — Q2 through Q4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40" w:before="0"/>
              <w:jc w:val="left"/>
            </w:pPr>
            <w:r>
              <w:rPr>
                <w:rFonts w:ascii="Arial" w:cs="Arial" w:eastAsia="Arial" w:hAnsi="Arial"/>
                <w:b/>
                <w:bCs/>
                <w:caps/>
                <w:color w:val="C8A96E"/>
                <w:sz w:val="18"/>
                <w:szCs w:val="18"/>
              </w:rPr>
              <w:t xml:space="preserve">Prepared By</w:t>
            </w:r>
          </w:p>
          <w:p>
            <w:pPr>
              <w:spacing w:after="40" w:before="0"/>
              <w:jc w:val="left"/>
            </w:pPr>
            <w:r>
              <w:rPr>
                <w:rFonts w:ascii="Arial" w:cs="Arial" w:eastAsia="Arial" w:hAnsi="Arial"/>
                <w:b/>
                <w:bCs/>
                <w:color w:val="0D2147"/>
                <w:sz w:val="22"/>
                <w:szCs w:val="22"/>
              </w:rPr>
              <w:t xml:space="preserve">Provecta Group</w:t>
            </w:r>
          </w:p>
          <w:p>
            <w:pPr>
              <w:spacing w:after="120" w:before="0"/>
              <w:jc w:val="left"/>
            </w:pPr>
            <w:r>
              <w:rPr>
                <w:rFonts w:ascii="Arial" w:cs="Arial" w:eastAsia="Arial" w:hAnsi="Arial"/>
                <w:color w:val="1A1A2E"/>
                <w:sz w:val="20"/>
                <w:szCs w:val="20"/>
              </w:rPr>
              <w:t xml:space="preserve">Hassan Wilson, Founder &amp; MD</w:t>
            </w:r>
          </w:p>
        </w:tc>
        <w:tc>
          <w:tcPr>
            <w:tcW w:type="dxa" w:w="3360"/>
            <w:tcBorders>
              <w:top w:val="none" w:color="FFFFFF" w:sz="0"/>
              <w:left w:val="single" w:color="D0D5DC" w:sz="4"/>
              <w:bottom w:val="none" w:color="FFFFFF" w:sz="0"/>
              <w:right w:val="none" w:color="FFFFFF" w:sz="0"/>
            </w:tcBorders>
            <w:tcMar>
              <w:top w:type="dxa" w:w="80"/>
              <w:left w:type="dxa" w:w="200"/>
              <w:bottom w:type="dxa" w:w="80"/>
              <w:right w:type="dxa" w:w="120"/>
            </w:tcMar>
            <w:vAlign w:val="top"/>
          </w:tcPr>
          <w:p>
            <w:pPr>
              <w:spacing w:after="40" w:before="0"/>
              <w:jc w:val="left"/>
            </w:pPr>
            <w:r>
              <w:rPr>
                <w:rFonts w:ascii="Arial" w:cs="Arial" w:eastAsia="Arial" w:hAnsi="Arial"/>
                <w:b/>
                <w:bCs/>
                <w:caps/>
                <w:color w:val="C8A96E"/>
                <w:sz w:val="18"/>
                <w:szCs w:val="18"/>
              </w:rPr>
              <w:t xml:space="preserve">Date</w:t>
            </w:r>
          </w:p>
          <w:p>
            <w:pPr>
              <w:spacing w:after="40" w:before="0"/>
              <w:jc w:val="left"/>
            </w:pPr>
            <w:r>
              <w:rPr>
                <w:rFonts w:ascii="Arial" w:cs="Arial" w:eastAsia="Arial" w:hAnsi="Arial"/>
                <w:b/>
                <w:bCs/>
                <w:color w:val="0D2147"/>
                <w:sz w:val="22"/>
                <w:szCs w:val="22"/>
              </w:rPr>
              <w:t xml:space="preserve">April 9, 2026</w:t>
            </w:r>
          </w:p>
          <w:p>
            <w:pPr>
              <w:spacing w:after="120" w:before="0"/>
              <w:jc w:val="left"/>
            </w:pPr>
            <w:r>
              <w:rPr>
                <w:rFonts w:ascii="Arial" w:cs="Arial" w:eastAsia="Arial" w:hAnsi="Arial"/>
                <w:color w:val="1A1A2E"/>
                <w:sz w:val="20"/>
                <w:szCs w:val="20"/>
              </w:rPr>
              <w:t xml:space="preserve">Valid for 30 days</w:t>
            </w:r>
          </w:p>
        </w:tc>
        <w:tc>
          <w:tcPr>
            <w:tcW w:type="dxa" w:w="3360"/>
            <w:tcBorders>
              <w:top w:val="none" w:color="FFFFFF" w:sz="0"/>
              <w:left w:val="single" w:color="D0D5DC" w:sz="4"/>
              <w:bottom w:val="none" w:color="FFFFFF" w:sz="0"/>
              <w:right w:val="none" w:color="FFFFFF" w:sz="0"/>
            </w:tcBorders>
            <w:tcMar>
              <w:top w:type="dxa" w:w="80"/>
              <w:left w:type="dxa" w:w="200"/>
              <w:bottom w:type="dxa" w:w="80"/>
              <w:right w:type="dxa" w:w="120"/>
            </w:tcMar>
            <w:vAlign w:val="top"/>
          </w:tcPr>
          <w:p>
            <w:pPr>
              <w:spacing w:after="40" w:before="0"/>
              <w:jc w:val="left"/>
            </w:pPr>
            <w:r>
              <w:rPr>
                <w:rFonts w:ascii="Arial" w:cs="Arial" w:eastAsia="Arial" w:hAnsi="Arial"/>
                <w:b/>
                <w:bCs/>
                <w:caps/>
                <w:color w:val="C8A96E"/>
                <w:sz w:val="18"/>
                <w:szCs w:val="18"/>
              </w:rPr>
              <w:t xml:space="preserve">Contact</w:t>
            </w:r>
          </w:p>
          <w:p>
            <w:pPr>
              <w:spacing w:after="40" w:before="0"/>
              <w:jc w:val="left"/>
            </w:pPr>
            <w:r>
              <w:rPr>
                <w:rFonts w:ascii="Arial" w:cs="Arial" w:eastAsia="Arial" w:hAnsi="Arial"/>
                <w:color w:val="1E65B0"/>
                <w:sz w:val="20"/>
                <w:szCs w:val="20"/>
              </w:rPr>
              <w:t xml:space="preserve">info@provectagroup.com</w:t>
            </w:r>
          </w:p>
          <w:p>
            <w:pPr>
              <w:spacing w:after="120" w:before="0"/>
              <w:jc w:val="left"/>
            </w:pPr>
            <w:r>
              <w:rPr>
                <w:rFonts w:ascii="Arial" w:cs="Arial" w:eastAsia="Arial" w:hAnsi="Arial"/>
                <w:color w:val="1A1A2E"/>
                <w:sz w:val="20"/>
                <w:szCs w:val="20"/>
              </w:rPr>
              <w:t xml:space="preserve">provectagroup.com</w:t>
            </w:r>
          </w:p>
        </w:tc>
      </w:tr>
    </w:tbl>
    <w:p>
      <w:pPr>
        <w:spacing w:after="120" w:before="400"/>
        <w:jc w:val="left"/>
      </w:pPr>
      <w:r>
        <w:rPr>
          <w:rFonts w:ascii="Arial" w:cs="Arial" w:eastAsia="Arial" w:hAnsi="Arial"/>
          <w:color w:val="1A1A2E"/>
          <w:sz w:val="22"/>
          <w:szCs w:val="22"/>
        </w:rP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2147" w:val="clear"/>
            <w:tcMar>
              <w:top w:type="dxa" w:w="80"/>
              <w:left w:type="dxa" w:w="120"/>
              <w:bottom w:type="dxa" w:w="80"/>
              <w:right w:type="dxa" w:w="120"/>
            </w:tcMar>
            <w:vAlign w:val="top"/>
          </w:tcPr>
          <w:p>
            <w:pPr>
              <w:spacing w:after="120" w:before="120"/>
              <w:jc w:val="center"/>
            </w:pPr>
            <w:r>
              <w:rPr>
                <w:rFonts w:ascii="Arial" w:cs="Arial" w:eastAsia="Arial" w:hAnsi="Arial"/>
                <w:b/>
                <w:bCs/>
                <w:color w:val="C8A96E"/>
                <w:sz w:val="18"/>
                <w:szCs w:val="18"/>
              </w:rPr>
              <w:t xml:space="preserve">CONFIDENTIAL  |  </w:t>
            </w:r>
            <w:r>
              <w:rPr>
                <w:rFonts w:ascii="Arial" w:cs="Arial" w:eastAsia="Arial" w:hAnsi="Arial"/>
                <w:color w:val="FFFFFF"/>
                <w:sz w:val="18"/>
                <w:szCs w:val="18"/>
              </w:rPr>
              <w:t xml:space="preserve">Revenue Architecture &amp; AI Transformation</w:t>
            </w:r>
          </w:p>
        </w:tc>
      </w:tr>
    </w:tbl>
    <w:p>
      <w:pPr>
        <w:sectPr>
          <w:pgSz w:w="12240" w:h="15840" w:orient="portrait"/>
          <w:pgMar w:top="0" w:right="0" w:bottom="0" w:left="0" w:header="708" w:footer="708" w:gutter="0"/>
          <w:pgNumType/>
          <w:docGrid w:linePitch="360"/>
        </w:sectPr>
      </w:pP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01</w:t>
      </w:r>
    </w:p>
    <w:p>
      <w:pPr>
        <w:spacing w:after="120" w:before="0"/>
        <w:jc w:val="left"/>
      </w:pPr>
      <w:r>
        <w:rPr>
          <w:rFonts w:ascii="Arial" w:cs="Arial" w:eastAsia="Arial" w:hAnsi="Arial"/>
          <w:b/>
          <w:bCs/>
          <w:color w:val="0D2147"/>
          <w:sz w:val="32"/>
          <w:szCs w:val="32"/>
        </w:rPr>
        <w:t xml:space="preserve">Executive Summary</w:t>
      </w:r>
    </w:p>
    <w:p>
      <w:pPr>
        <w:pBdr>
          <w:bottom w:val="single" w:color="C8A96E" w:sz="8"/>
        </w:pBdr>
        <w:spacing w:after="200" w:before="80"/>
      </w:pPr>
    </w:p>
    <w:p>
      <w:pPr>
        <w:spacing w:after="160" w:before="0"/>
        <w:jc w:val="left"/>
      </w:pPr>
      <w:r>
        <w:rPr>
          <w:rFonts w:ascii="Arial" w:cs="Arial" w:eastAsia="Arial" w:hAnsi="Arial"/>
          <w:color w:val="1A1A2E"/>
          <w:sz w:val="22"/>
          <w:szCs w:val="22"/>
        </w:rPr>
        <w:t xml:space="preserve">Premier Realty Limited has built something rare in Kenya's real estate market: two decades of operational credibility, a multi-service platform, a formal diaspora offering, and active land development projects across some of the country's most compelling growth corridors. The foundation is strong. The revenue engine is not.</w:t>
      </w:r>
    </w:p>
    <w:p>
      <w:pPr>
        <w:spacing w:after="160" w:before="0"/>
        <w:jc w:val="left"/>
      </w:pPr>
      <w:r>
        <w:rPr>
          <w:rFonts w:ascii="Arial" w:cs="Arial" w:eastAsia="Arial" w:hAnsi="Arial"/>
          <w:color w:val="1A1A2E"/>
          <w:sz w:val="22"/>
          <w:szCs w:val="22"/>
        </w:rPr>
        <w:t xml:space="preserve">From the outside, the gaps are visible and consistent: 188 LinkedIn followers after 20 years of operation. A blog page that returns a broken link. No pipeline visibility. A sales process that runs on instinct rather than system. A diaspora segment that is the highest-value customer group in Kenya real estate — and no structured digital funnel to reach them.</w:t>
      </w:r>
    </w:p>
    <w:p>
      <w:pPr>
        <w:spacing w:after="160" w:before="0"/>
        <w:jc w:val="left"/>
      </w:pPr>
      <w:r>
        <w:rPr>
          <w:rFonts w:ascii="Arial" w:cs="Arial" w:eastAsia="Arial" w:hAnsi="Arial"/>
          <w:color w:val="1A1A2E"/>
          <w:sz w:val="22"/>
          <w:szCs w:val="22"/>
        </w:rPr>
        <w:t xml:space="preserve">These are not brand problems. They are revenue architecture problems. And revenue architecture is exactly what Provecta Group is built to solve.</w:t>
      </w:r>
    </w:p>
    <w:p>
      <w:pPr>
        <w:spacing w:after="120" w:before="0"/>
        <w:jc w:val="left"/>
      </w:pPr>
      <w:r>
        <w:rPr>
          <w:rFonts w:ascii="Arial" w:cs="Arial" w:eastAsia="Arial" w:hAnsi="Arial"/>
          <w:color w:val="1A1A2E"/>
          <w:sz w:val="22"/>
          <w:szCs w:val="22"/>
        </w:rPr>
        <w:t xml:space="preserve">This proposal outlines a 3-quarter engagement — Q2 through Q4 2026 — to design, build, and operate a complete Revenue Operations system for Premier Realty. The engagement covers three interconnected pillars: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0D2147" w:val="clear"/>
            <w:tcMar>
              <w:top w:type="dxa" w:w="200"/>
              <w:left w:type="dxa" w:w="200"/>
              <w:bottom w:type="dxa" w:w="200"/>
              <w:right w:type="dxa" w:w="160"/>
            </w:tcMar>
            <w:vAlign w:val="top"/>
          </w:tcPr>
          <w:p>
            <w:pPr>
              <w:spacing w:after="60" w:before="0"/>
              <w:jc w:val="left"/>
            </w:pPr>
            <w:r>
              <w:rPr>
                <w:rFonts w:ascii="Arial" w:cs="Arial" w:eastAsia="Arial" w:hAnsi="Arial"/>
                <w:b/>
                <w:bCs/>
                <w:caps/>
                <w:color w:val="C8A96E"/>
                <w:sz w:val="18"/>
                <w:szCs w:val="18"/>
              </w:rPr>
              <w:t xml:space="preserve">PILLAR 1</w:t>
            </w:r>
          </w:p>
          <w:p>
            <w:pPr>
              <w:spacing w:after="60" w:before="0"/>
              <w:jc w:val="left"/>
            </w:pPr>
            <w:r>
              <w:rPr>
                <w:rFonts w:ascii="Arial" w:cs="Arial" w:eastAsia="Arial" w:hAnsi="Arial"/>
                <w:b/>
                <w:bCs/>
                <w:color w:val="FFFFFF"/>
                <w:sz w:val="24"/>
                <w:szCs w:val="24"/>
              </w:rPr>
              <w:t xml:space="preserve">Revenue Infrastructure</w:t>
            </w:r>
          </w:p>
          <w:p>
            <w:pPr>
              <w:spacing w:after="80" w:before="0"/>
              <w:jc w:val="left"/>
            </w:pPr>
            <w:r>
              <w:rPr>
                <w:rFonts w:ascii="Arial" w:cs="Arial" w:eastAsia="Arial" w:hAnsi="Arial"/>
                <w:color w:val="FFFFFF"/>
                <w:sz w:val="20"/>
                <w:szCs w:val="20"/>
              </w:rPr>
              <w:t xml:space="preserve">CRM setup, lead lifecycle design, pipeline management, and data governance — the system that makes revenue repeatable.</w:t>
            </w:r>
          </w:p>
        </w:tc>
        <w:tc>
          <w:tcPr>
            <w:tcW w:type="dxa" w:w="3360"/>
            <w:tcBorders>
              <w:top w:val="none" w:color="FFFFFF" w:sz="0"/>
              <w:left w:val="none" w:color="FFFFFF" w:sz="0"/>
              <w:bottom w:val="none" w:color="FFFFFF" w:sz="0"/>
              <w:right w:val="none" w:color="FFFFFF" w:sz="0"/>
            </w:tcBorders>
            <w:shd w:fill="1E65B0" w:val="clear"/>
            <w:tcMar>
              <w:top w:type="dxa" w:w="200"/>
              <w:left w:type="dxa" w:w="200"/>
              <w:bottom w:type="dxa" w:w="200"/>
              <w:right w:type="dxa" w:w="160"/>
            </w:tcMar>
            <w:vAlign w:val="top"/>
          </w:tcPr>
          <w:p>
            <w:pPr>
              <w:spacing w:after="60" w:before="0"/>
              <w:jc w:val="left"/>
            </w:pPr>
            <w:r>
              <w:rPr>
                <w:rFonts w:ascii="Arial" w:cs="Arial" w:eastAsia="Arial" w:hAnsi="Arial"/>
                <w:b/>
                <w:bCs/>
                <w:caps/>
                <w:color w:val="C8A96E"/>
                <w:sz w:val="18"/>
                <w:szCs w:val="18"/>
              </w:rPr>
              <w:t xml:space="preserve">PILLAR 2</w:t>
            </w:r>
          </w:p>
          <w:p>
            <w:pPr>
              <w:spacing w:after="60" w:before="0"/>
              <w:jc w:val="left"/>
            </w:pPr>
            <w:r>
              <w:rPr>
                <w:rFonts w:ascii="Arial" w:cs="Arial" w:eastAsia="Arial" w:hAnsi="Arial"/>
                <w:b/>
                <w:bCs/>
                <w:color w:val="FFFFFF"/>
                <w:sz w:val="24"/>
                <w:szCs w:val="24"/>
              </w:rPr>
              <w:t xml:space="preserve">Growth Activation</w:t>
            </w:r>
          </w:p>
          <w:p>
            <w:pPr>
              <w:spacing w:after="80" w:before="0"/>
              <w:jc w:val="left"/>
            </w:pPr>
            <w:r>
              <w:rPr>
                <w:rFonts w:ascii="Arial" w:cs="Arial" w:eastAsia="Arial" w:hAnsi="Arial"/>
                <w:color w:val="FFFFFF"/>
                <w:sz w:val="20"/>
                <w:szCs w:val="20"/>
              </w:rPr>
              <w:t xml:space="preserve">Diaspora funnel, content marketing engine, LinkedIn authority, and WhatsApp conversion — the channels that fill the pipeline.</w:t>
            </w:r>
          </w:p>
        </w:tc>
        <w:tc>
          <w:tcPr>
            <w:tcW w:type="dxa" w:w="3360"/>
            <w:tcBorders>
              <w:top w:val="none" w:color="FFFFFF" w:sz="0"/>
              <w:left w:val="none" w:color="FFFFFF" w:sz="0"/>
              <w:bottom w:val="none" w:color="FFFFFF" w:sz="0"/>
              <w:right w:val="none" w:color="FFFFFF" w:sz="0"/>
            </w:tcBorders>
            <w:shd w:fill="1A3A6B" w:val="clear"/>
            <w:tcMar>
              <w:top w:type="dxa" w:w="200"/>
              <w:left w:type="dxa" w:w="200"/>
              <w:bottom w:type="dxa" w:w="200"/>
              <w:right w:type="dxa" w:w="200"/>
            </w:tcMar>
            <w:vAlign w:val="top"/>
          </w:tcPr>
          <w:p>
            <w:pPr>
              <w:spacing w:after="60" w:before="0"/>
              <w:jc w:val="left"/>
            </w:pPr>
            <w:r>
              <w:rPr>
                <w:rFonts w:ascii="Arial" w:cs="Arial" w:eastAsia="Arial" w:hAnsi="Arial"/>
                <w:b/>
                <w:bCs/>
                <w:caps/>
                <w:color w:val="C8A96E"/>
                <w:sz w:val="18"/>
                <w:szCs w:val="18"/>
              </w:rPr>
              <w:t xml:space="preserve">PILLAR 3</w:t>
            </w:r>
          </w:p>
          <w:p>
            <w:pPr>
              <w:spacing w:after="60" w:before="0"/>
              <w:jc w:val="left"/>
            </w:pPr>
            <w:r>
              <w:rPr>
                <w:rFonts w:ascii="Arial" w:cs="Arial" w:eastAsia="Arial" w:hAnsi="Arial"/>
                <w:b/>
                <w:bCs/>
                <w:color w:val="FFFFFF"/>
                <w:sz w:val="24"/>
                <w:szCs w:val="24"/>
              </w:rPr>
              <w:t xml:space="preserve">AI Implementation</w:t>
            </w:r>
          </w:p>
          <w:p>
            <w:pPr>
              <w:spacing w:after="80" w:before="0"/>
              <w:jc w:val="left"/>
            </w:pPr>
            <w:r>
              <w:rPr>
                <w:rFonts w:ascii="Arial" w:cs="Arial" w:eastAsia="Arial" w:hAnsi="Arial"/>
                <w:color w:val="FFFFFF"/>
                <w:sz w:val="20"/>
                <w:szCs w:val="20"/>
              </w:rPr>
              <w:t xml:space="preserve">AI-assisted lead qualification, automated follow-up systems, reporting intelligence, and a deployed AI Memory infrastructure for the PRL team.</w:t>
            </w:r>
          </w:p>
        </w:tc>
      </w:tr>
    </w:tbl>
    <w:p>
      <w:pPr>
        <w:spacing w:after="120" w:before="200"/>
        <w:jc w:val="left"/>
      </w:pPr>
      <w:r>
        <w:rPr>
          <w:rFonts w:ascii="Arial" w:cs="Arial" w:eastAsia="Arial" w:hAnsi="Arial"/>
          <w:color w:val="1A1A2E"/>
          <w:sz w:val="22"/>
          <w:szCs w:val="22"/>
        </w:rPr>
        <w:t xml:space="preserve"/>
      </w:r>
    </w:p>
    <w:p>
      <w:pPr>
        <w:spacing w:after="80" w:before="0"/>
        <w:jc w:val="left"/>
      </w:pPr>
      <w:r>
        <w:rPr>
          <w:rFonts w:ascii="Arial" w:cs="Arial" w:eastAsia="Arial" w:hAnsi="Arial"/>
          <w:color w:val="1A1A2E"/>
          <w:sz w:val="22"/>
          <w:szCs w:val="22"/>
        </w:rPr>
        <w:t xml:space="preserve">The expected outcome: a measurably higher volume of qualified leads, a shorter and more predictable sales cycle, a structured diaspora acquisition channel, and the data visibility to make confident commercial decisions — all by December 2026.</w:t>
      </w:r>
    </w:p>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02</w:t>
      </w:r>
    </w:p>
    <w:p>
      <w:pPr>
        <w:spacing w:after="120" w:before="0"/>
        <w:jc w:val="left"/>
      </w:pPr>
      <w:r>
        <w:rPr>
          <w:rFonts w:ascii="Arial" w:cs="Arial" w:eastAsia="Arial" w:hAnsi="Arial"/>
          <w:b/>
          <w:bCs/>
          <w:color w:val="0D2147"/>
          <w:sz w:val="32"/>
          <w:szCs w:val="32"/>
        </w:rPr>
        <w:t xml:space="preserve">Situation Analysis — SPICED Framework</w:t>
      </w:r>
    </w:p>
    <w:p>
      <w:pPr>
        <w:pBdr>
          <w:bottom w:val="single" w:color="C8A96E" w:sz="8"/>
        </w:pBdr>
        <w:spacing w:after="200" w:before="80"/>
      </w:pPr>
    </w:p>
    <w:p>
      <w:pPr>
        <w:spacing w:after="200" w:before="0"/>
        <w:jc w:val="left"/>
      </w:pPr>
      <w:r>
        <w:rPr>
          <w:rFonts w:ascii="Arial" w:cs="Arial" w:eastAsia="Arial" w:hAnsi="Arial"/>
          <w:color w:val="1A1A2E"/>
          <w:sz w:val="22"/>
          <w:szCs w:val="22"/>
        </w:rPr>
        <w:t xml:space="preserve">Every Provecta engagement begins with a structured diagnosis of the client's revenue environment. We apply the SPICED framework — Provecta's universal qualification and discovery methodology — to establish a shared, honest picture of where Premier Realty stands today and what is at stake.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880"/>
      </w:tblGrid>
      <w:tr>
        <w:tc>
          <w:tcPr>
            <w:tcW w:type="dxa" w:w="600"/>
            <w:tcBorders>
              <w:top w:val="single" w:color="D0D5DC" w:sz="4"/>
              <w:left w:val="single" w:color="D0D5DC" w:sz="4"/>
              <w:bottom w:val="single" w:color="D0D5DC" w:sz="4"/>
              <w:right w:val="single" w:color="D0D5DC" w:sz="4"/>
            </w:tcBorders>
            <w:shd w:fill="0D2147" w:val="clear"/>
            <w:tcMar>
              <w:top w:type="dxa" w:w="100"/>
              <w:left w:type="dxa" w:w="60"/>
              <w:bottom w:type="dxa" w:w="100"/>
              <w:right w:type="dxa" w:w="60"/>
            </w:tcMar>
            <w:vAlign w:val="center"/>
          </w:tcPr>
          <w:p>
            <w:pPr>
              <w:spacing w:after="120" w:before="0"/>
              <w:jc w:val="center"/>
            </w:pPr>
            <w:r>
              <w:rPr>
                <w:rFonts w:ascii="Arial" w:cs="Arial" w:eastAsia="Arial" w:hAnsi="Arial"/>
                <w:b/>
                <w:bCs/>
                <w:color w:val="FFFFFF"/>
                <w:sz w:val="32"/>
                <w:szCs w:val="32"/>
              </w:rPr>
              <w:t xml:space="preserve">S</w:t>
            </w:r>
          </w:p>
        </w:tc>
        <w:tc>
          <w:tcPr>
            <w:tcW w:type="dxa" w:w="1600"/>
            <w:tcBorders>
              <w:top w:val="single" w:color="D0D5DC" w:sz="4"/>
              <w:left w:val="single" w:color="D0D5DC" w:sz="4"/>
              <w:bottom w:val="single" w:color="D0D5DC" w:sz="4"/>
              <w:right w:val="single" w:color="D0D5DC" w:sz="4"/>
            </w:tcBorders>
            <w:shd w:fill="F0F4F8" w:val="clear"/>
            <w:tcMar>
              <w:top w:type="dxa" w:w="100"/>
              <w:left w:type="dxa" w:w="120"/>
              <w:bottom w:type="dxa" w:w="100"/>
              <w:right w:type="dxa" w:w="80"/>
            </w:tcMar>
            <w:vAlign w:val="center"/>
          </w:tcPr>
          <w:p>
            <w:pPr>
              <w:spacing w:after="120" w:before="0"/>
              <w:jc w:val="left"/>
            </w:pPr>
            <w:r>
              <w:rPr>
                <w:rFonts w:ascii="Arial" w:cs="Arial" w:eastAsia="Arial" w:hAnsi="Arial"/>
                <w:b/>
                <w:bCs/>
                <w:color w:val="0D2147"/>
                <w:sz w:val="22"/>
                <w:szCs w:val="22"/>
              </w:rPr>
              <w:t xml:space="preserve">Situation</w:t>
            </w:r>
          </w:p>
        </w:tc>
        <w:tc>
          <w:tcPr>
            <w:tcW w:type="dxa" w:w="7880"/>
            <w:tcBorders>
              <w:top w:val="single" w:color="D0D5DC" w:sz="4"/>
              <w:left w:val="single" w:color="D0D5DC" w:sz="4"/>
              <w:bottom w:val="single" w:color="D0D5DC" w:sz="4"/>
              <w:right w:val="single" w:color="D0D5DC" w:sz="4"/>
            </w:tcBorders>
            <w:shd w:fill="F0F4F8" w:val="clear"/>
            <w:tcMar>
              <w:top w:type="dxa" w:w="100"/>
              <w:left w:type="dxa" w:w="80"/>
              <w:bottom w:type="dxa" w:w="100"/>
              <w:right w:type="dxa" w:w="120"/>
            </w:tcMar>
            <w:vAlign w:val="top"/>
          </w:tcPr>
          <w:p>
            <w:pPr>
              <w:spacing w:after="120" w:before="0"/>
              <w:jc w:val="left"/>
            </w:pPr>
            <w:r>
              <w:rPr>
                <w:rFonts w:ascii="Arial" w:cs="Arial" w:eastAsia="Arial" w:hAnsi="Arial"/>
                <w:color w:val="1A1A2E"/>
                <w:sz w:val="20"/>
                <w:szCs w:val="20"/>
              </w:rPr>
              <w:t xml:space="preserve">Premier Realty Limited is an 18-person, 20-year-old full-service real estate firm headquartered in Westlands, Nairobi. Active land projects across 5 growth corridors. 200+ rental/sale listings. Serves individual buyers, diaspora investors, corporates, embassies, and NGOs. Ranked #27 in Kenya land sales (Gazebo Homes 2026). Operates without a formal CRM, structured sales process, or documented lead lifecycle.</w:t>
            </w:r>
          </w:p>
        </w:tc>
      </w:tr>
      <w:tr>
        <w:tc>
          <w:tcPr>
            <w:tcW w:type="dxa" w:w="600"/>
            <w:tcBorders>
              <w:top w:val="single" w:color="D0D5DC" w:sz="4"/>
              <w:left w:val="single" w:color="D0D5DC" w:sz="4"/>
              <w:bottom w:val="single" w:color="D0D5DC" w:sz="4"/>
              <w:right w:val="single" w:color="D0D5DC" w:sz="4"/>
            </w:tcBorders>
            <w:shd w:fill="1E65B0" w:val="clear"/>
            <w:tcMar>
              <w:top w:type="dxa" w:w="100"/>
              <w:left w:type="dxa" w:w="60"/>
              <w:bottom w:type="dxa" w:w="100"/>
              <w:right w:type="dxa" w:w="60"/>
            </w:tcMar>
            <w:vAlign w:val="center"/>
          </w:tcPr>
          <w:p>
            <w:pPr>
              <w:spacing w:after="120" w:before="0"/>
              <w:jc w:val="center"/>
            </w:pPr>
            <w:r>
              <w:rPr>
                <w:rFonts w:ascii="Arial" w:cs="Arial" w:eastAsia="Arial" w:hAnsi="Arial"/>
                <w:b/>
                <w:bCs/>
                <w:color w:val="FFFFFF"/>
                <w:sz w:val="32"/>
                <w:szCs w:val="32"/>
              </w:rPr>
              <w:t xml:space="preserve">P</w:t>
            </w:r>
          </w:p>
        </w:tc>
        <w:tc>
          <w:tcPr>
            <w:tcW w:type="dxa" w:w="1600"/>
            <w:tcBorders>
              <w:top w:val="single" w:color="D0D5DC" w:sz="4"/>
              <w:left w:val="single" w:color="D0D5DC" w:sz="4"/>
              <w:bottom w:val="single" w:color="D0D5DC" w:sz="4"/>
              <w:right w:val="single" w:color="D0D5DC" w:sz="4"/>
            </w:tcBorders>
            <w:shd w:fill="FFFFFF" w:val="clear"/>
            <w:tcMar>
              <w:top w:type="dxa" w:w="100"/>
              <w:left w:type="dxa" w:w="120"/>
              <w:bottom w:type="dxa" w:w="100"/>
              <w:right w:type="dxa" w:w="80"/>
            </w:tcMar>
            <w:vAlign w:val="center"/>
          </w:tcPr>
          <w:p>
            <w:pPr>
              <w:spacing w:after="120" w:before="0"/>
              <w:jc w:val="left"/>
            </w:pPr>
            <w:r>
              <w:rPr>
                <w:rFonts w:ascii="Arial" w:cs="Arial" w:eastAsia="Arial" w:hAnsi="Arial"/>
                <w:b/>
                <w:bCs/>
                <w:color w:val="0D2147"/>
                <w:sz w:val="22"/>
                <w:szCs w:val="22"/>
              </w:rPr>
              <w:t xml:space="preserve">Pain</w:t>
            </w:r>
          </w:p>
        </w:tc>
        <w:tc>
          <w:tcPr>
            <w:tcW w:type="dxa" w:w="7880"/>
            <w:tcBorders>
              <w:top w:val="single" w:color="D0D5DC" w:sz="4"/>
              <w:left w:val="single" w:color="D0D5DC" w:sz="4"/>
              <w:bottom w:val="single" w:color="D0D5DC" w:sz="4"/>
              <w:right w:val="single" w:color="D0D5DC" w:sz="4"/>
            </w:tcBorders>
            <w:shd w:fill="FFFFFF" w:val="clear"/>
            <w:tcMar>
              <w:top w:type="dxa" w:w="100"/>
              <w:left w:type="dxa" w:w="80"/>
              <w:bottom w:type="dxa" w:w="100"/>
              <w:right w:type="dxa" w:w="120"/>
            </w:tcMar>
            <w:vAlign w:val="top"/>
          </w:tcPr>
          <w:p>
            <w:pPr>
              <w:spacing w:after="120" w:before="0"/>
              <w:jc w:val="left"/>
            </w:pPr>
            <w:r>
              <w:rPr>
                <w:rFonts w:ascii="Arial" w:cs="Arial" w:eastAsia="Arial" w:hAnsi="Arial"/>
                <w:color w:val="1A1A2E"/>
                <w:sz w:val="20"/>
                <w:szCs w:val="20"/>
              </w:rPr>
              <w:t xml:space="preserve">Revenue is generated from effort and relationships — not from a designed system. There is no pipeline visibility, no lead scoring, no documented qualification process, and no structured follow-up. Digital presence is severely underdeveloped for a 20-year firm (188 LinkedIn followers, broken website pages, no content marketing). The diaspora segment — the industry's highest-value buyer group — has no dedicated acquisition funnel. Sales activity cannot be measured, forecast, or optimised.</w:t>
            </w:r>
          </w:p>
        </w:tc>
      </w:tr>
      <w:tr>
        <w:tc>
          <w:tcPr>
            <w:tcW w:type="dxa" w:w="600"/>
            <w:tcBorders>
              <w:top w:val="single" w:color="D0D5DC" w:sz="4"/>
              <w:left w:val="single" w:color="D0D5DC" w:sz="4"/>
              <w:bottom w:val="single" w:color="D0D5DC" w:sz="4"/>
              <w:right w:val="single" w:color="D0D5DC" w:sz="4"/>
            </w:tcBorders>
            <w:shd w:fill="0D2147" w:val="clear"/>
            <w:tcMar>
              <w:top w:type="dxa" w:w="100"/>
              <w:left w:type="dxa" w:w="60"/>
              <w:bottom w:type="dxa" w:w="100"/>
              <w:right w:type="dxa" w:w="60"/>
            </w:tcMar>
            <w:vAlign w:val="center"/>
          </w:tcPr>
          <w:p>
            <w:pPr>
              <w:spacing w:after="120" w:before="0"/>
              <w:jc w:val="center"/>
            </w:pPr>
            <w:r>
              <w:rPr>
                <w:rFonts w:ascii="Arial" w:cs="Arial" w:eastAsia="Arial" w:hAnsi="Arial"/>
                <w:b/>
                <w:bCs/>
                <w:color w:val="FFFFFF"/>
                <w:sz w:val="32"/>
                <w:szCs w:val="32"/>
              </w:rPr>
              <w:t xml:space="preserve">I</w:t>
            </w:r>
          </w:p>
        </w:tc>
        <w:tc>
          <w:tcPr>
            <w:tcW w:type="dxa" w:w="1600"/>
            <w:tcBorders>
              <w:top w:val="single" w:color="D0D5DC" w:sz="4"/>
              <w:left w:val="single" w:color="D0D5DC" w:sz="4"/>
              <w:bottom w:val="single" w:color="D0D5DC" w:sz="4"/>
              <w:right w:val="single" w:color="D0D5DC" w:sz="4"/>
            </w:tcBorders>
            <w:shd w:fill="F0F4F8" w:val="clear"/>
            <w:tcMar>
              <w:top w:type="dxa" w:w="100"/>
              <w:left w:type="dxa" w:w="120"/>
              <w:bottom w:type="dxa" w:w="100"/>
              <w:right w:type="dxa" w:w="80"/>
            </w:tcMar>
            <w:vAlign w:val="center"/>
          </w:tcPr>
          <w:p>
            <w:pPr>
              <w:spacing w:after="120" w:before="0"/>
              <w:jc w:val="left"/>
            </w:pPr>
            <w:r>
              <w:rPr>
                <w:rFonts w:ascii="Arial" w:cs="Arial" w:eastAsia="Arial" w:hAnsi="Arial"/>
                <w:b/>
                <w:bCs/>
                <w:color w:val="0D2147"/>
                <w:sz w:val="22"/>
                <w:szCs w:val="22"/>
              </w:rPr>
              <w:t xml:space="preserve">Impact</w:t>
            </w:r>
          </w:p>
        </w:tc>
        <w:tc>
          <w:tcPr>
            <w:tcW w:type="dxa" w:w="7880"/>
            <w:tcBorders>
              <w:top w:val="single" w:color="D0D5DC" w:sz="4"/>
              <w:left w:val="single" w:color="D0D5DC" w:sz="4"/>
              <w:bottom w:val="single" w:color="D0D5DC" w:sz="4"/>
              <w:right w:val="single" w:color="D0D5DC" w:sz="4"/>
            </w:tcBorders>
            <w:shd w:fill="F0F4F8" w:val="clear"/>
            <w:tcMar>
              <w:top w:type="dxa" w:w="100"/>
              <w:left w:type="dxa" w:w="80"/>
              <w:bottom w:type="dxa" w:w="100"/>
              <w:right w:type="dxa" w:w="120"/>
            </w:tcMar>
            <w:vAlign w:val="top"/>
          </w:tcPr>
          <w:p>
            <w:pPr>
              <w:spacing w:after="120" w:before="0"/>
              <w:jc w:val="left"/>
            </w:pPr>
            <w:r>
              <w:rPr>
                <w:rFonts w:ascii="Arial" w:cs="Arial" w:eastAsia="Arial" w:hAnsi="Arial"/>
                <w:color w:val="1A1A2E"/>
                <w:sz w:val="20"/>
                <w:szCs w:val="20"/>
              </w:rPr>
              <w:t xml:space="preserve">Without a revenue system: high-value leads leak before conversion; the diaspora segment is left to competitors with better digital infrastructure; sales performance is unpredictable and impossible to forecast; the firm cannot scale beyond its current headcount ceiling; and marketing spend (when it happens) generates no attributable ROI. Conservatively, unstructured diaspora lead handling alone represents KES 10M–50M+ in missed annual revenue at current Kenya land sale averages.</w:t>
            </w:r>
          </w:p>
        </w:tc>
      </w:tr>
      <w:tr>
        <w:tc>
          <w:tcPr>
            <w:tcW w:type="dxa" w:w="600"/>
            <w:tcBorders>
              <w:top w:val="single" w:color="D0D5DC" w:sz="4"/>
              <w:left w:val="single" w:color="D0D5DC" w:sz="4"/>
              <w:bottom w:val="single" w:color="D0D5DC" w:sz="4"/>
              <w:right w:val="single" w:color="D0D5DC" w:sz="4"/>
            </w:tcBorders>
            <w:shd w:fill="1E65B0" w:val="clear"/>
            <w:tcMar>
              <w:top w:type="dxa" w:w="100"/>
              <w:left w:type="dxa" w:w="60"/>
              <w:bottom w:type="dxa" w:w="100"/>
              <w:right w:type="dxa" w:w="60"/>
            </w:tcMar>
            <w:vAlign w:val="center"/>
          </w:tcPr>
          <w:p>
            <w:pPr>
              <w:spacing w:after="120" w:before="0"/>
              <w:jc w:val="center"/>
            </w:pPr>
            <w:r>
              <w:rPr>
                <w:rFonts w:ascii="Arial" w:cs="Arial" w:eastAsia="Arial" w:hAnsi="Arial"/>
                <w:b/>
                <w:bCs/>
                <w:color w:val="FFFFFF"/>
                <w:sz w:val="32"/>
                <w:szCs w:val="32"/>
              </w:rPr>
              <w:t xml:space="preserve">C</w:t>
            </w:r>
          </w:p>
        </w:tc>
        <w:tc>
          <w:tcPr>
            <w:tcW w:type="dxa" w:w="1600"/>
            <w:tcBorders>
              <w:top w:val="single" w:color="D0D5DC" w:sz="4"/>
              <w:left w:val="single" w:color="D0D5DC" w:sz="4"/>
              <w:bottom w:val="single" w:color="D0D5DC" w:sz="4"/>
              <w:right w:val="single" w:color="D0D5DC" w:sz="4"/>
            </w:tcBorders>
            <w:shd w:fill="FFFFFF" w:val="clear"/>
            <w:tcMar>
              <w:top w:type="dxa" w:w="100"/>
              <w:left w:type="dxa" w:w="120"/>
              <w:bottom w:type="dxa" w:w="100"/>
              <w:right w:type="dxa" w:w="80"/>
            </w:tcMar>
            <w:vAlign w:val="center"/>
          </w:tcPr>
          <w:p>
            <w:pPr>
              <w:spacing w:after="120" w:before="0"/>
              <w:jc w:val="left"/>
            </w:pPr>
            <w:r>
              <w:rPr>
                <w:rFonts w:ascii="Arial" w:cs="Arial" w:eastAsia="Arial" w:hAnsi="Arial"/>
                <w:b/>
                <w:bCs/>
                <w:color w:val="0D2147"/>
                <w:sz w:val="22"/>
                <w:szCs w:val="22"/>
              </w:rPr>
              <w:t xml:space="preserve">Critical Event</w:t>
            </w:r>
          </w:p>
        </w:tc>
        <w:tc>
          <w:tcPr>
            <w:tcW w:type="dxa" w:w="7880"/>
            <w:tcBorders>
              <w:top w:val="single" w:color="D0D5DC" w:sz="4"/>
              <w:left w:val="single" w:color="D0D5DC" w:sz="4"/>
              <w:bottom w:val="single" w:color="D0D5DC" w:sz="4"/>
              <w:right w:val="single" w:color="D0D5DC" w:sz="4"/>
            </w:tcBorders>
            <w:shd w:fill="FFFFFF" w:val="clear"/>
            <w:tcMar>
              <w:top w:type="dxa" w:w="100"/>
              <w:left w:type="dxa" w:w="80"/>
              <w:bottom w:type="dxa" w:w="100"/>
              <w:right w:type="dxa" w:w="120"/>
            </w:tcMar>
            <w:vAlign w:val="top"/>
          </w:tcPr>
          <w:p>
            <w:pPr>
              <w:spacing w:after="120" w:before="0"/>
              <w:jc w:val="left"/>
            </w:pPr>
            <w:r>
              <w:rPr>
                <w:rFonts w:ascii="Arial" w:cs="Arial" w:eastAsia="Arial" w:hAnsi="Arial"/>
                <w:color w:val="1A1A2E"/>
                <w:sz w:val="20"/>
                <w:szCs w:val="20"/>
              </w:rPr>
              <w:t xml:space="preserve">Kenya's real estate market is entering a consolidation phase in 2025–2026. Firms with structured digital funnels and CRM infrastructure are pulling away from relationship-only operators. The diaspora buyer segment — 3M+ Kenyans abroad — is actively being targeted by competitors including Optiven, Username Properties, and Finsco Africa with sophisticated digital campaigns. PRL risks being further displaced in rankings and losing its mid-market land sales leadership if revenue infrastructure is not built now.</w:t>
            </w:r>
          </w:p>
        </w:tc>
      </w:tr>
      <w:tr>
        <w:tc>
          <w:tcPr>
            <w:tcW w:type="dxa" w:w="600"/>
            <w:tcBorders>
              <w:top w:val="single" w:color="D0D5DC" w:sz="4"/>
              <w:left w:val="single" w:color="D0D5DC" w:sz="4"/>
              <w:bottom w:val="single" w:color="D0D5DC" w:sz="4"/>
              <w:right w:val="single" w:color="D0D5DC" w:sz="4"/>
            </w:tcBorders>
            <w:shd w:fill="0D2147" w:val="clear"/>
            <w:tcMar>
              <w:top w:type="dxa" w:w="100"/>
              <w:left w:type="dxa" w:w="60"/>
              <w:bottom w:type="dxa" w:w="100"/>
              <w:right w:type="dxa" w:w="60"/>
            </w:tcMar>
            <w:vAlign w:val="center"/>
          </w:tcPr>
          <w:p>
            <w:pPr>
              <w:spacing w:after="120" w:before="0"/>
              <w:jc w:val="center"/>
            </w:pPr>
            <w:r>
              <w:rPr>
                <w:rFonts w:ascii="Arial" w:cs="Arial" w:eastAsia="Arial" w:hAnsi="Arial"/>
                <w:b/>
                <w:bCs/>
                <w:color w:val="FFFFFF"/>
                <w:sz w:val="32"/>
                <w:szCs w:val="32"/>
              </w:rPr>
              <w:t xml:space="preserve">D</w:t>
            </w:r>
          </w:p>
        </w:tc>
        <w:tc>
          <w:tcPr>
            <w:tcW w:type="dxa" w:w="1600"/>
            <w:tcBorders>
              <w:top w:val="single" w:color="D0D5DC" w:sz="4"/>
              <w:left w:val="single" w:color="D0D5DC" w:sz="4"/>
              <w:bottom w:val="single" w:color="D0D5DC" w:sz="4"/>
              <w:right w:val="single" w:color="D0D5DC" w:sz="4"/>
            </w:tcBorders>
            <w:shd w:fill="F0F4F8" w:val="clear"/>
            <w:tcMar>
              <w:top w:type="dxa" w:w="100"/>
              <w:left w:type="dxa" w:w="120"/>
              <w:bottom w:type="dxa" w:w="100"/>
              <w:right w:type="dxa" w:w="80"/>
            </w:tcMar>
            <w:vAlign w:val="center"/>
          </w:tcPr>
          <w:p>
            <w:pPr>
              <w:spacing w:after="120" w:before="0"/>
              <w:jc w:val="left"/>
            </w:pPr>
            <w:r>
              <w:rPr>
                <w:rFonts w:ascii="Arial" w:cs="Arial" w:eastAsia="Arial" w:hAnsi="Arial"/>
                <w:b/>
                <w:bCs/>
                <w:color w:val="0D2147"/>
                <w:sz w:val="22"/>
                <w:szCs w:val="22"/>
              </w:rPr>
              <w:t xml:space="preserve">Decision</w:t>
            </w:r>
          </w:p>
        </w:tc>
        <w:tc>
          <w:tcPr>
            <w:tcW w:type="dxa" w:w="7880"/>
            <w:tcBorders>
              <w:top w:val="single" w:color="D0D5DC" w:sz="4"/>
              <w:left w:val="single" w:color="D0D5DC" w:sz="4"/>
              <w:bottom w:val="single" w:color="D0D5DC" w:sz="4"/>
              <w:right w:val="single" w:color="D0D5DC" w:sz="4"/>
            </w:tcBorders>
            <w:shd w:fill="F0F4F8" w:val="clear"/>
            <w:tcMar>
              <w:top w:type="dxa" w:w="100"/>
              <w:left w:type="dxa" w:w="80"/>
              <w:bottom w:type="dxa" w:w="100"/>
              <w:right w:type="dxa" w:w="120"/>
            </w:tcMar>
            <w:vAlign w:val="top"/>
          </w:tcPr>
          <w:p>
            <w:pPr>
              <w:spacing w:after="120" w:before="0"/>
              <w:jc w:val="left"/>
            </w:pPr>
            <w:r>
              <w:rPr>
                <w:rFonts w:ascii="Arial" w:cs="Arial" w:eastAsia="Arial" w:hAnsi="Arial"/>
                <w:color w:val="1A1A2E"/>
                <w:sz w:val="20"/>
                <w:szCs w:val="20"/>
              </w:rPr>
              <w:t xml:space="preserve">This engagement is recommended to the Founder and Managing Director. Decision criteria: demonstrable ROI by Q3 2026, measurable KPI improvement, full knowledge transfer to the internal team, and no long-term vendor lock-in. Provecta operates on a co-build model — we design and implement the system alongside PRL, ensuring the team owns and can operate it independently at engagement close.</w:t>
            </w:r>
          </w:p>
        </w:tc>
      </w:tr>
    </w:tbl>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03</w:t>
      </w:r>
    </w:p>
    <w:p>
      <w:pPr>
        <w:spacing w:after="120" w:before="0"/>
        <w:jc w:val="left"/>
      </w:pPr>
      <w:r>
        <w:rPr>
          <w:rFonts w:ascii="Arial" w:cs="Arial" w:eastAsia="Arial" w:hAnsi="Arial"/>
          <w:b/>
          <w:bCs/>
          <w:color w:val="0D2147"/>
          <w:sz w:val="32"/>
          <w:szCs w:val="32"/>
        </w:rPr>
        <w:t xml:space="preserve">The Opportunity — What the Numbers Say</w:t>
      </w:r>
    </w:p>
    <w:p>
      <w:pPr>
        <w:pBdr>
          <w:bottom w:val="single" w:color="C8A96E" w:sz="8"/>
        </w:pBdr>
        <w:spacing w:after="200" w:before="80"/>
      </w:pPr>
    </w:p>
    <w:p>
      <w:pPr>
        <w:spacing w:after="200" w:before="0"/>
        <w:jc w:val="left"/>
      </w:pPr>
      <w:r>
        <w:rPr>
          <w:rFonts w:ascii="Arial" w:cs="Arial" w:eastAsia="Arial" w:hAnsi="Arial"/>
          <w:color w:val="1A1A2E"/>
          <w:sz w:val="22"/>
          <w:szCs w:val="22"/>
        </w:rPr>
        <w:t xml:space="preserve">Premier Realty's strategic gaps are not weaknesses — they are an inventory of untapped revenue. Below is the quantified opportunity by segment.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629"/>
        <w:gridCol w:w="3629"/>
      </w:tblGrid>
      <w:tr>
        <w:tc>
          <w:tcPr>
            <w:tcW w:type="dxa" w:w="2822"/>
            <w:tcBorders>
              <w:top w:val="single" w:color="D0D5DC" w:sz="4"/>
              <w:left w:val="single" w:color="D0D5DC" w:sz="4"/>
              <w:bottom w:val="single" w:color="D0D5DC" w:sz="4"/>
              <w:right w:val="single" w:color="D0D5DC" w:sz="4"/>
            </w:tcBorders>
            <w:shd w:fill="0D2147" w:val="clear"/>
            <w:tcMar>
              <w:top w:type="dxa" w:w="80"/>
              <w:left w:type="dxa" w:w="120"/>
              <w:bottom w:type="dxa" w:w="80"/>
              <w:right w:type="dxa" w:w="80"/>
            </w:tcMar>
            <w:vAlign w:val="top"/>
          </w:tcPr>
          <w:p>
            <w:pPr>
              <w:spacing w:after="120" w:before="0"/>
              <w:jc w:val="left"/>
            </w:pPr>
            <w:r>
              <w:rPr>
                <w:rFonts w:ascii="Arial" w:cs="Arial" w:eastAsia="Arial" w:hAnsi="Arial"/>
                <w:b/>
                <w:bCs/>
                <w:color w:val="FFFFFF"/>
                <w:sz w:val="20"/>
                <w:szCs w:val="20"/>
              </w:rPr>
              <w:t xml:space="preserve">Opportunity</w:t>
            </w:r>
          </w:p>
        </w:tc>
        <w:tc>
          <w:tcPr>
            <w:tcW w:type="dxa" w:w="3629"/>
            <w:tcBorders>
              <w:top w:val="single" w:color="D0D5DC" w:sz="4"/>
              <w:left w:val="single" w:color="D0D5DC" w:sz="4"/>
              <w:bottom w:val="single" w:color="D0D5DC" w:sz="4"/>
              <w:right w:val="single" w:color="D0D5DC" w:sz="4"/>
            </w:tcBorders>
            <w:shd w:fill="0D2147" w:val="clear"/>
            <w:tcMar>
              <w:top w:type="dxa" w:w="80"/>
              <w:left w:type="dxa" w:w="80"/>
              <w:bottom w:type="dxa" w:w="80"/>
              <w:right w:type="dxa" w:w="80"/>
            </w:tcMar>
            <w:vAlign w:val="top"/>
          </w:tcPr>
          <w:p>
            <w:pPr>
              <w:spacing w:after="120" w:before="0"/>
              <w:jc w:val="left"/>
            </w:pPr>
            <w:r>
              <w:rPr>
                <w:rFonts w:ascii="Arial" w:cs="Arial" w:eastAsia="Arial" w:hAnsi="Arial"/>
                <w:b/>
                <w:bCs/>
                <w:color w:val="FFFFFF"/>
                <w:sz w:val="20"/>
                <w:szCs w:val="20"/>
              </w:rPr>
              <w:t xml:space="preserve">Current Gap</w:t>
            </w:r>
          </w:p>
        </w:tc>
        <w:tc>
          <w:tcPr>
            <w:tcW w:type="dxa" w:w="3629"/>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120" w:before="0"/>
              <w:jc w:val="left"/>
            </w:pPr>
            <w:r>
              <w:rPr>
                <w:rFonts w:ascii="Arial" w:cs="Arial" w:eastAsia="Arial" w:hAnsi="Arial"/>
                <w:b/>
                <w:bCs/>
                <w:color w:val="FFFFFF"/>
                <w:sz w:val="20"/>
                <w:szCs w:val="20"/>
              </w:rPr>
              <w:t xml:space="preserve">Estimated Value</w:t>
            </w:r>
          </w:p>
        </w:tc>
      </w:tr>
      <w:tr>
        <w:tc>
          <w:tcPr>
            <w:tcW w:type="dxa" w:w="2822"/>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0D2147"/>
                <w:sz w:val="20"/>
                <w:szCs w:val="20"/>
              </w:rPr>
              <w:t xml:space="preserve">Diaspora Land Sales</w:t>
            </w:r>
          </w:p>
        </w:tc>
        <w:tc>
          <w:tcPr>
            <w:tcW w:type="dxa" w:w="3629"/>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1A1A2E"/>
                <w:sz w:val="20"/>
                <w:szCs w:val="20"/>
              </w:rPr>
              <w:t xml:space="preserve">No digital funnel. Competitors are running active diaspora campaigns via Meta, YouTube &amp; WhatsApp webinars.</w:t>
            </w:r>
          </w:p>
        </w:tc>
        <w:tc>
          <w:tcPr>
            <w:tcW w:type="dxa" w:w="3629"/>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1 extra diaspora sale/month at KES 3M average = KES 36M incremental annual revenue</w:t>
            </w:r>
          </w:p>
        </w:tc>
      </w:tr>
      <w:tr>
        <w:tc>
          <w:tcPr>
            <w:tcW w:type="dxa" w:w="2822"/>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0D2147"/>
                <w:sz w:val="20"/>
                <w:szCs w:val="20"/>
              </w:rPr>
              <w:t xml:space="preserve">LinkedIn B2B Pipeline</w:t>
            </w:r>
          </w:p>
        </w:tc>
        <w:tc>
          <w:tcPr>
            <w:tcW w:type="dxa" w:w="3629"/>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1A1A2E"/>
                <w:sz w:val="20"/>
                <w:szCs w:val="20"/>
              </w:rPr>
              <w:t xml:space="preserve">188 followers after 20 years. Corporate clients, embassies, NGO procurement officers are LinkedIn-first.</w:t>
            </w:r>
          </w:p>
        </w:tc>
        <w:tc>
          <w:tcPr>
            <w:tcW w:type="dxa" w:w="3629"/>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6–10 qualified B2B leads per quarter from structured LinkedIn authority building</w:t>
            </w:r>
          </w:p>
        </w:tc>
      </w:tr>
      <w:tr>
        <w:tc>
          <w:tcPr>
            <w:tcW w:type="dxa" w:w="2822"/>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0D2147"/>
                <w:sz w:val="20"/>
                <w:szCs w:val="20"/>
              </w:rPr>
              <w:t xml:space="preserve">WhatsApp Lead Conversion</w:t>
            </w:r>
          </w:p>
        </w:tc>
        <w:tc>
          <w:tcPr>
            <w:tcW w:type="dxa" w:w="3629"/>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1A1A2E"/>
                <w:sz w:val="20"/>
                <w:szCs w:val="20"/>
              </w:rPr>
              <w:t xml:space="preserve">Leads arrive via WhatsApp with no structured follow-up cadence or CRM capture. Estimated 40–60% leak rate.</w:t>
            </w:r>
          </w:p>
        </w:tc>
        <w:tc>
          <w:tcPr>
            <w:tcW w:type="dxa" w:w="3629"/>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Structured 5-touch WhatsApp + email cadence can recover 20–30% of currently lost leads</w:t>
            </w:r>
          </w:p>
        </w:tc>
      </w:tr>
      <w:tr>
        <w:tc>
          <w:tcPr>
            <w:tcW w:type="dxa" w:w="2822"/>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0D2147"/>
                <w:sz w:val="20"/>
                <w:szCs w:val="20"/>
              </w:rPr>
              <w:t xml:space="preserve">Content Marketing &amp; SEO</w:t>
            </w:r>
          </w:p>
        </w:tc>
        <w:tc>
          <w:tcPr>
            <w:tcW w:type="dxa" w:w="3629"/>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1A1A2E"/>
                <w:sz w:val="20"/>
                <w:szCs w:val="20"/>
              </w:rPr>
              <w:t xml:space="preserve">Blog page is broken (404). Zero content published. Competitors rank for 'land for sale Naivasha', 'land sale Konza', etc.</w:t>
            </w:r>
          </w:p>
        </w:tc>
        <w:tc>
          <w:tcPr>
            <w:tcW w:type="dxa" w:w="3629"/>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SEO-driven organic leads cost KES 0 vs. Meta CPM of KES 250–600 per 1,000 impressions</w:t>
            </w:r>
          </w:p>
        </w:tc>
      </w:tr>
      <w:tr>
        <w:tc>
          <w:tcPr>
            <w:tcW w:type="dxa" w:w="2822"/>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0D2147"/>
                <w:sz w:val="20"/>
                <w:szCs w:val="20"/>
              </w:rPr>
              <w:t xml:space="preserve">Property Management Upsell</w:t>
            </w:r>
          </w:p>
        </w:tc>
        <w:tc>
          <w:tcPr>
            <w:tcW w:type="dxa" w:w="3629"/>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1A1A2E"/>
                <w:sz w:val="20"/>
                <w:szCs w:val="20"/>
              </w:rPr>
              <w:t xml:space="preserve">No pricing published. Landlords who buy land become natural PM clients — this cross-sell is not being systematically captured.</w:t>
            </w:r>
          </w:p>
        </w:tc>
        <w:tc>
          <w:tcPr>
            <w:tcW w:type="dxa" w:w="3629"/>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Landlord Advisory retainers at KES 15,000–40,000/month per property = predictable recurring revenue</w:t>
            </w:r>
          </w:p>
        </w:tc>
      </w:tr>
    </w:tbl>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04</w:t>
      </w:r>
    </w:p>
    <w:p>
      <w:pPr>
        <w:spacing w:after="120" w:before="0"/>
        <w:jc w:val="left"/>
      </w:pPr>
      <w:r>
        <w:rPr>
          <w:rFonts w:ascii="Arial" w:cs="Arial" w:eastAsia="Arial" w:hAnsi="Arial"/>
          <w:b/>
          <w:bCs/>
          <w:color w:val="0D2147"/>
          <w:sz w:val="32"/>
          <w:szCs w:val="32"/>
        </w:rPr>
        <w:t xml:space="preserve">The 3-Quarter Engagement Roadmap</w:t>
      </w:r>
    </w:p>
    <w:p>
      <w:pPr>
        <w:pBdr>
          <w:bottom w:val="single" w:color="C8A96E" w:sz="8"/>
        </w:pBdr>
        <w:spacing w:after="200" w:before="80"/>
      </w:pPr>
    </w:p>
    <w:p>
      <w:pPr>
        <w:spacing w:after="240" w:before="0"/>
        <w:jc w:val="left"/>
      </w:pPr>
      <w:r>
        <w:rPr>
          <w:rFonts w:ascii="Arial" w:cs="Arial" w:eastAsia="Arial" w:hAnsi="Arial"/>
          <w:color w:val="1A1A2E"/>
          <w:sz w:val="22"/>
          <w:szCs w:val="22"/>
        </w:rPr>
        <w:t xml:space="preserve">The Provecta engagement is structured across three sequential quarters, each building on the last. Q2 lays the foundation. Q3 activates growth. Q4 scales and institutionalises. Every deliverable maps to a measurable KPI — nothing is built for its own sake.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0D2147" w:val="clear"/>
            <w:tcMar>
              <w:top w:type="dxa" w:w="140"/>
              <w:left w:type="dxa" w:w="80"/>
              <w:bottom w:type="dxa" w:w="140"/>
              <w:right w:type="dxa" w:w="80"/>
            </w:tcMar>
            <w:vAlign w:val="center"/>
          </w:tcPr>
          <w:p>
            <w:pPr>
              <w:spacing w:after="120" w:before="40"/>
              <w:jc w:val="center"/>
            </w:pPr>
            <w:r>
              <w:rPr>
                <w:rFonts w:ascii="Arial" w:cs="Arial" w:eastAsia="Arial" w:hAnsi="Arial"/>
                <w:b/>
                <w:bCs/>
                <w:color w:val="FFFFFF"/>
                <w:sz w:val="36"/>
                <w:szCs w:val="36"/>
              </w:rPr>
              <w:t xml:space="preserve">Q2</w:t>
            </w:r>
          </w:p>
        </w:tc>
        <w:tc>
          <w:tcPr>
            <w:tcW w:type="dxa" w:w="8880"/>
            <w:tcBorders>
              <w:top w:val="none" w:color="FFFFFF" w:sz="0"/>
              <w:left w:val="none" w:color="FFFFFF" w:sz="0"/>
              <w:bottom w:val="none" w:color="FFFFFF" w:sz="0"/>
              <w:right w:val="none" w:color="FFFFFF" w:sz="0"/>
            </w:tcBorders>
            <w:shd w:fill="0D2147" w:val="clear"/>
            <w:tcMar>
              <w:top w:type="dxa" w:w="80"/>
              <w:left w:type="dxa" w:w="120"/>
              <w:bottom w:type="dxa" w:w="80"/>
              <w:right w:type="dxa" w:w="120"/>
            </w:tcMar>
            <w:vAlign w:val="center"/>
          </w:tcPr>
          <w:p>
            <w:pPr>
              <w:spacing w:after="60" w:before="100"/>
              <w:jc w:val="left"/>
            </w:pPr>
            <w:r>
              <w:rPr>
                <w:rFonts w:ascii="Arial" w:cs="Arial" w:eastAsia="Arial" w:hAnsi="Arial"/>
                <w:b/>
                <w:bCs/>
                <w:color w:val="FFFFFF"/>
                <w:sz w:val="24"/>
                <w:szCs w:val="24"/>
              </w:rPr>
              <w:t xml:space="preserve">FOUNDATION  —  April to June 2026  |  Build the Revenue System</w:t>
            </w:r>
          </w:p>
        </w:tc>
      </w:tr>
    </w:tbl>
    <w:p>
      <w:pPr>
        <w:spacing w:after="120" w:before="120"/>
        <w:jc w:val="left"/>
      </w:pPr>
      <w:r>
        <w:rPr>
          <w:rFonts w:ascii="Arial" w:cs="Arial" w:eastAsia="Arial" w:hAnsi="Arial"/>
          <w:color w:val="1A1A2E"/>
          <w:sz w:val="22"/>
          <w:szCs w:val="22"/>
        </w:rPr>
        <w:t xml:space="preserve"/>
      </w:r>
    </w:p>
    <w:p>
      <w:pPr>
        <w:spacing w:after="160" w:before="0"/>
        <w:jc w:val="left"/>
      </w:pPr>
      <w:r>
        <w:rPr>
          <w:rFonts w:ascii="Arial" w:cs="Arial" w:eastAsia="Arial" w:hAnsi="Arial"/>
          <w:color w:val="1A1A2E"/>
          <w:sz w:val="22"/>
          <w:szCs w:val="22"/>
        </w:rPr>
        <w:t xml:space="preserve">Q2 is the infrastructure quarter. Before any growth activity, Premier Realty needs a single source of truth for its leads, a documented sales process, and a CRM that captures and tracks every prospect. This quarter delivers the plumbing that makes everything else possible.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520"/>
        <w:gridCol w:w="2016"/>
      </w:tblGrid>
      <w:tr>
        <w:tc>
          <w:tcPr>
            <w:tcW w:type="dxa" w:w="5544"/>
            <w:tcBorders>
              <w:top w:val="single" w:color="D0D5DC" w:sz="4"/>
              <w:left w:val="single" w:color="D0D5DC" w:sz="4"/>
              <w:bottom w:val="single" w:color="D0D5DC" w:sz="4"/>
              <w:right w:val="single" w:color="D0D5DC" w:sz="4"/>
            </w:tcBorders>
            <w:shd w:fill="0D2147" w:val="clear"/>
            <w:tcMar>
              <w:top w:type="dxa" w:w="80"/>
              <w:left w:type="dxa" w:w="120"/>
              <w:bottom w:type="dxa" w:w="80"/>
              <w:right w:type="dxa" w:w="80"/>
            </w:tcMar>
            <w:vAlign w:val="top"/>
          </w:tcPr>
          <w:p>
            <w:pPr>
              <w:spacing w:after="40" w:before="0"/>
              <w:jc w:val="left"/>
            </w:pPr>
            <w:r>
              <w:rPr>
                <w:rFonts w:ascii="Arial" w:cs="Arial" w:eastAsia="Arial" w:hAnsi="Arial"/>
                <w:b/>
                <w:bCs/>
                <w:color w:val="FFFFFF"/>
                <w:sz w:val="20"/>
                <w:szCs w:val="20"/>
              </w:rPr>
              <w:t xml:space="preserve">Deliverable</w:t>
            </w:r>
          </w:p>
        </w:tc>
        <w:tc>
          <w:tcPr>
            <w:tcW w:type="dxa" w:w="2520"/>
            <w:tcBorders>
              <w:top w:val="single" w:color="D0D5DC" w:sz="4"/>
              <w:left w:val="single" w:color="D0D5DC" w:sz="4"/>
              <w:bottom w:val="single" w:color="D0D5DC" w:sz="4"/>
              <w:right w:val="single" w:color="D0D5DC" w:sz="4"/>
            </w:tcBorders>
            <w:shd w:fill="0D2147" w:val="clear"/>
            <w:tcMar>
              <w:top w:type="dxa" w:w="80"/>
              <w:left w:type="dxa" w:w="80"/>
              <w:bottom w:type="dxa" w:w="80"/>
              <w:right w:type="dxa" w:w="80"/>
            </w:tcMar>
            <w:vAlign w:val="top"/>
          </w:tcPr>
          <w:p>
            <w:pPr>
              <w:spacing w:after="40" w:before="0"/>
              <w:jc w:val="left"/>
            </w:pPr>
            <w:r>
              <w:rPr>
                <w:rFonts w:ascii="Arial" w:cs="Arial" w:eastAsia="Arial" w:hAnsi="Arial"/>
                <w:b/>
                <w:bCs/>
                <w:color w:val="FFFFFF"/>
                <w:sz w:val="20"/>
                <w:szCs w:val="20"/>
              </w:rPr>
              <w:t xml:space="preserve">Timeline</w:t>
            </w:r>
          </w:p>
        </w:tc>
        <w:tc>
          <w:tcPr>
            <w:tcW w:type="dxa" w:w="2016"/>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40" w:before="0"/>
              <w:jc w:val="left"/>
            </w:pPr>
            <w:r>
              <w:rPr>
                <w:rFonts w:ascii="Arial" w:cs="Arial" w:eastAsia="Arial" w:hAnsi="Arial"/>
                <w:b/>
                <w:bCs/>
                <w:color w:val="FFFFFF"/>
                <w:sz w:val="20"/>
                <w:szCs w:val="20"/>
              </w:rPr>
              <w:t xml:space="preserve">KPI / Outcome</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RevOps Audit &amp; SPICED Discovery</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1–2</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Documented current-state: funnel map, conversion rates, toolstack, team SLAs</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CRM Setup &amp; Configuration (Zoho CRM)</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2–4</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Fully configured CRM with PRL property types, deal stages, and contact fields</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Lead Lifecycle Design</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3–5</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MQL/SQL definitions documented; lead scoring model live; handoff SLAs published</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Pipeline Stage Architecture</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4–6</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6-stage sales pipeline live in CRM; every active deal migrated and owned</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WhatsApp-to-CRM Integration</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5–6</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All WhatsApp leads auto-captured into CRM; zero manual entry for inbound</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Team Training &amp; SOP Handoff</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 6</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PRL agents trained on CRM usage, SPICED qualification, and daily pipeline hygiene</w:t>
            </w:r>
          </w:p>
        </w:tc>
      </w:tr>
    </w:tbl>
    <w:p>
      <w:pPr>
        <w:spacing w:after="120" w:before="240"/>
        <w:jc w:val="left"/>
      </w:pPr>
      <w:r>
        <w:rPr>
          <w:rFonts w:ascii="Arial" w:cs="Arial" w:eastAsia="Arial" w:hAnsi="Arial"/>
          <w:color w:val="1A1A2E"/>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1E65B0" w:val="clear"/>
            <w:tcMar>
              <w:top w:type="dxa" w:w="140"/>
              <w:left w:type="dxa" w:w="80"/>
              <w:bottom w:type="dxa" w:w="140"/>
              <w:right w:type="dxa" w:w="80"/>
            </w:tcMar>
            <w:vAlign w:val="center"/>
          </w:tcPr>
          <w:p>
            <w:pPr>
              <w:spacing w:after="120" w:before="40"/>
              <w:jc w:val="center"/>
            </w:pPr>
            <w:r>
              <w:rPr>
                <w:rFonts w:ascii="Arial" w:cs="Arial" w:eastAsia="Arial" w:hAnsi="Arial"/>
                <w:b/>
                <w:bCs/>
                <w:color w:val="FFFFFF"/>
                <w:sz w:val="36"/>
                <w:szCs w:val="36"/>
              </w:rPr>
              <w:t xml:space="preserve">Q3</w:t>
            </w:r>
          </w:p>
        </w:tc>
        <w:tc>
          <w:tcPr>
            <w:tcW w:type="dxa" w:w="8880"/>
            <w:tcBorders>
              <w:top w:val="none" w:color="FFFFFF" w:sz="0"/>
              <w:left w:val="none" w:color="FFFFFF" w:sz="0"/>
              <w:bottom w:val="none" w:color="FFFFFF" w:sz="0"/>
              <w:right w:val="none" w:color="FFFFFF" w:sz="0"/>
            </w:tcBorders>
            <w:shd w:fill="1E65B0" w:val="clear"/>
            <w:tcMar>
              <w:top w:type="dxa" w:w="80"/>
              <w:left w:type="dxa" w:w="120"/>
              <w:bottom w:type="dxa" w:w="80"/>
              <w:right w:type="dxa" w:w="120"/>
            </w:tcMar>
            <w:vAlign w:val="center"/>
          </w:tcPr>
          <w:p>
            <w:pPr>
              <w:spacing w:after="60" w:before="100"/>
              <w:jc w:val="left"/>
            </w:pPr>
            <w:r>
              <w:rPr>
                <w:rFonts w:ascii="Arial" w:cs="Arial" w:eastAsia="Arial" w:hAnsi="Arial"/>
                <w:b/>
                <w:bCs/>
                <w:color w:val="FFFFFF"/>
                <w:sz w:val="24"/>
                <w:szCs w:val="24"/>
              </w:rPr>
              <w:t xml:space="preserve">ACTIVATION  —  July to September 2026  |  Fill the Pipeline</w:t>
            </w:r>
          </w:p>
        </w:tc>
      </w:tr>
    </w:tbl>
    <w:p>
      <w:pPr>
        <w:spacing w:after="120" w:before="120"/>
        <w:jc w:val="left"/>
      </w:pPr>
      <w:r>
        <w:rPr>
          <w:rFonts w:ascii="Arial" w:cs="Arial" w:eastAsia="Arial" w:hAnsi="Arial"/>
          <w:color w:val="1A1A2E"/>
          <w:sz w:val="22"/>
          <w:szCs w:val="22"/>
        </w:rPr>
        <w:t xml:space="preserve"/>
      </w:r>
    </w:p>
    <w:p>
      <w:pPr>
        <w:spacing w:after="160" w:before="0"/>
        <w:jc w:val="left"/>
      </w:pPr>
      <w:r>
        <w:rPr>
          <w:rFonts w:ascii="Arial" w:cs="Arial" w:eastAsia="Arial" w:hAnsi="Arial"/>
          <w:color w:val="1A1A2E"/>
          <w:sz w:val="22"/>
          <w:szCs w:val="22"/>
        </w:rPr>
        <w:t xml:space="preserve">Q3 is the growth activation quarter. With a working CRM and defined lead lifecycle in place, Q3 focuses on building and launching the channels that will fill the pipeline: a diaspora acquisition funnel, a LinkedIn authority engine, a content marketing programme, and AI-powered lead qualification and follow-up.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520"/>
        <w:gridCol w:w="2016"/>
      </w:tblGrid>
      <w:tr>
        <w:tc>
          <w:tcPr>
            <w:tcW w:type="dxa" w:w="5544"/>
            <w:tcBorders>
              <w:top w:val="single" w:color="D0D5DC" w:sz="4"/>
              <w:left w:val="single" w:color="D0D5DC" w:sz="4"/>
              <w:bottom w:val="single" w:color="D0D5DC" w:sz="4"/>
              <w:right w:val="single" w:color="D0D5DC" w:sz="4"/>
            </w:tcBorders>
            <w:shd w:fill="0D2147" w:val="clear"/>
            <w:tcMar>
              <w:top w:type="dxa" w:w="80"/>
              <w:left w:type="dxa" w:w="120"/>
              <w:bottom w:type="dxa" w:w="80"/>
              <w:right w:type="dxa" w:w="80"/>
            </w:tcMar>
            <w:vAlign w:val="top"/>
          </w:tcPr>
          <w:p>
            <w:pPr>
              <w:spacing w:after="40" w:before="0"/>
              <w:jc w:val="left"/>
            </w:pPr>
            <w:r>
              <w:rPr>
                <w:rFonts w:ascii="Arial" w:cs="Arial" w:eastAsia="Arial" w:hAnsi="Arial"/>
                <w:b/>
                <w:bCs/>
                <w:color w:val="FFFFFF"/>
                <w:sz w:val="20"/>
                <w:szCs w:val="20"/>
              </w:rPr>
              <w:t xml:space="preserve">Deliverable</w:t>
            </w:r>
          </w:p>
        </w:tc>
        <w:tc>
          <w:tcPr>
            <w:tcW w:type="dxa" w:w="2520"/>
            <w:tcBorders>
              <w:top w:val="single" w:color="D0D5DC" w:sz="4"/>
              <w:left w:val="single" w:color="D0D5DC" w:sz="4"/>
              <w:bottom w:val="single" w:color="D0D5DC" w:sz="4"/>
              <w:right w:val="single" w:color="D0D5DC" w:sz="4"/>
            </w:tcBorders>
            <w:shd w:fill="0D2147" w:val="clear"/>
            <w:tcMar>
              <w:top w:type="dxa" w:w="80"/>
              <w:left w:type="dxa" w:w="80"/>
              <w:bottom w:type="dxa" w:w="80"/>
              <w:right w:type="dxa" w:w="80"/>
            </w:tcMar>
            <w:vAlign w:val="top"/>
          </w:tcPr>
          <w:p>
            <w:pPr>
              <w:spacing w:after="40" w:before="0"/>
              <w:jc w:val="left"/>
            </w:pPr>
            <w:r>
              <w:rPr>
                <w:rFonts w:ascii="Arial" w:cs="Arial" w:eastAsia="Arial" w:hAnsi="Arial"/>
                <w:b/>
                <w:bCs/>
                <w:color w:val="FFFFFF"/>
                <w:sz w:val="20"/>
                <w:szCs w:val="20"/>
              </w:rPr>
              <w:t xml:space="preserve">Timeline</w:t>
            </w:r>
          </w:p>
        </w:tc>
        <w:tc>
          <w:tcPr>
            <w:tcW w:type="dxa" w:w="2016"/>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40" w:before="0"/>
              <w:jc w:val="left"/>
            </w:pPr>
            <w:r>
              <w:rPr>
                <w:rFonts w:ascii="Arial" w:cs="Arial" w:eastAsia="Arial" w:hAnsi="Arial"/>
                <w:b/>
                <w:bCs/>
                <w:color w:val="FFFFFF"/>
                <w:sz w:val="20"/>
                <w:szCs w:val="20"/>
              </w:rPr>
              <w:t xml:space="preserve">KPI / Outcome</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Diaspora Digital Funnel Build</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7–9</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Dedicated landing page live; Meta Ad campaign targeting diaspora in UK, USA, UAE, Canada</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YouTube Virtual Tour Programme</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7–10</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Monthly video walkthroughs for Pana Ranch, Limuru III, Konza City View; 4 videos published</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LinkedIn Authority Programme</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8–13</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3x/week content calendar; 500+ followers by end of Q3; 2+ inbound B2B inquiries</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Content Marketing Engine Launch</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9–11</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Blog live; Kenya Land &amp; Property Digest published (Month 1 edition); SEO foundations set</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AI Lead Qualification System</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10–12</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AI-assisted lead scoring live in CRM; automated SPICED pre-qualification for inbound leads</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WhatsApp Follow-Up Automation</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11–13</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5-touch automated follow-up cadence live; lead leak rate reduced by target of 25%</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Pipeline Review Cadence</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Ongoing Q3</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Weekly pipeline review meeting + dashboard; forecast accuracy baseline established</w:t>
            </w:r>
          </w:p>
        </w:tc>
      </w:tr>
    </w:tbl>
    <w:p>
      <w:pPr>
        <w:spacing w:after="120" w:before="240"/>
        <w:jc w:val="left"/>
      </w:pPr>
      <w:r>
        <w:rPr>
          <w:rFonts w:ascii="Arial" w:cs="Arial" w:eastAsia="Arial" w:hAnsi="Arial"/>
          <w:color w:val="1A1A2E"/>
          <w:sz w:val="22"/>
          <w:szCs w:val="2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1A3A6B" w:val="clear"/>
            <w:tcMar>
              <w:top w:type="dxa" w:w="140"/>
              <w:left w:type="dxa" w:w="80"/>
              <w:bottom w:type="dxa" w:w="140"/>
              <w:right w:type="dxa" w:w="80"/>
            </w:tcMar>
            <w:vAlign w:val="center"/>
          </w:tcPr>
          <w:p>
            <w:pPr>
              <w:spacing w:after="120" w:before="40"/>
              <w:jc w:val="center"/>
            </w:pPr>
            <w:r>
              <w:rPr>
                <w:rFonts w:ascii="Arial" w:cs="Arial" w:eastAsia="Arial" w:hAnsi="Arial"/>
                <w:b/>
                <w:bCs/>
                <w:color w:val="FFFFFF"/>
                <w:sz w:val="36"/>
                <w:szCs w:val="36"/>
              </w:rPr>
              <w:t xml:space="preserve">Q4</w:t>
            </w:r>
          </w:p>
        </w:tc>
        <w:tc>
          <w:tcPr>
            <w:tcW w:type="dxa" w:w="8880"/>
            <w:tcBorders>
              <w:top w:val="none" w:color="FFFFFF" w:sz="0"/>
              <w:left w:val="none" w:color="FFFFFF" w:sz="0"/>
              <w:bottom w:val="none" w:color="FFFFFF" w:sz="0"/>
              <w:right w:val="none" w:color="FFFFFF" w:sz="0"/>
            </w:tcBorders>
            <w:shd w:fill="1A3A6B" w:val="clear"/>
            <w:tcMar>
              <w:top w:type="dxa" w:w="80"/>
              <w:left w:type="dxa" w:w="120"/>
              <w:bottom w:type="dxa" w:w="80"/>
              <w:right w:type="dxa" w:w="120"/>
            </w:tcMar>
            <w:vAlign w:val="center"/>
          </w:tcPr>
          <w:p>
            <w:pPr>
              <w:spacing w:after="60" w:before="100"/>
              <w:jc w:val="left"/>
            </w:pPr>
            <w:r>
              <w:rPr>
                <w:rFonts w:ascii="Arial" w:cs="Arial" w:eastAsia="Arial" w:hAnsi="Arial"/>
                <w:b/>
                <w:bCs/>
                <w:color w:val="FFFFFF"/>
                <w:sz w:val="24"/>
                <w:szCs w:val="24"/>
              </w:rPr>
              <w:t xml:space="preserve">SCALE  —  October to December 2026  |  Institutionalise &amp; Grow</w:t>
            </w:r>
          </w:p>
        </w:tc>
      </w:tr>
    </w:tbl>
    <w:p>
      <w:pPr>
        <w:spacing w:after="120" w:before="120"/>
        <w:jc w:val="left"/>
      </w:pPr>
      <w:r>
        <w:rPr>
          <w:rFonts w:ascii="Arial" w:cs="Arial" w:eastAsia="Arial" w:hAnsi="Arial"/>
          <w:color w:val="1A1A2E"/>
          <w:sz w:val="22"/>
          <w:szCs w:val="22"/>
        </w:rPr>
        <w:t xml:space="preserve"/>
      </w:r>
    </w:p>
    <w:p>
      <w:pPr>
        <w:spacing w:after="160" w:before="0"/>
        <w:jc w:val="left"/>
      </w:pPr>
      <w:r>
        <w:rPr>
          <w:rFonts w:ascii="Arial" w:cs="Arial" w:eastAsia="Arial" w:hAnsi="Arial"/>
          <w:color w:val="1A1A2E"/>
          <w:sz w:val="22"/>
          <w:szCs w:val="22"/>
        </w:rPr>
        <w:t xml:space="preserve">Q4 is the scale and institutionalisation quarter. The system is running. The pipeline is active. Q4 focuses on optimising what's working, expanding what's converting, and building the reporting infrastructure that makes PRL's revenue engine self-sustaining beyond the engagement.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520"/>
        <w:gridCol w:w="2016"/>
      </w:tblGrid>
      <w:tr>
        <w:tc>
          <w:tcPr>
            <w:tcW w:type="dxa" w:w="5544"/>
            <w:tcBorders>
              <w:top w:val="single" w:color="D0D5DC" w:sz="4"/>
              <w:left w:val="single" w:color="D0D5DC" w:sz="4"/>
              <w:bottom w:val="single" w:color="D0D5DC" w:sz="4"/>
              <w:right w:val="single" w:color="D0D5DC" w:sz="4"/>
            </w:tcBorders>
            <w:shd w:fill="0D2147" w:val="clear"/>
            <w:tcMar>
              <w:top w:type="dxa" w:w="80"/>
              <w:left w:type="dxa" w:w="120"/>
              <w:bottom w:type="dxa" w:w="80"/>
              <w:right w:type="dxa" w:w="80"/>
            </w:tcMar>
            <w:vAlign w:val="top"/>
          </w:tcPr>
          <w:p>
            <w:pPr>
              <w:spacing w:after="40" w:before="0"/>
              <w:jc w:val="left"/>
            </w:pPr>
            <w:r>
              <w:rPr>
                <w:rFonts w:ascii="Arial" w:cs="Arial" w:eastAsia="Arial" w:hAnsi="Arial"/>
                <w:b/>
                <w:bCs/>
                <w:color w:val="FFFFFF"/>
                <w:sz w:val="20"/>
                <w:szCs w:val="20"/>
              </w:rPr>
              <w:t xml:space="preserve">Deliverable</w:t>
            </w:r>
          </w:p>
        </w:tc>
        <w:tc>
          <w:tcPr>
            <w:tcW w:type="dxa" w:w="2520"/>
            <w:tcBorders>
              <w:top w:val="single" w:color="D0D5DC" w:sz="4"/>
              <w:left w:val="single" w:color="D0D5DC" w:sz="4"/>
              <w:bottom w:val="single" w:color="D0D5DC" w:sz="4"/>
              <w:right w:val="single" w:color="D0D5DC" w:sz="4"/>
            </w:tcBorders>
            <w:shd w:fill="0D2147" w:val="clear"/>
            <w:tcMar>
              <w:top w:type="dxa" w:w="80"/>
              <w:left w:type="dxa" w:w="80"/>
              <w:bottom w:type="dxa" w:w="80"/>
              <w:right w:type="dxa" w:w="80"/>
            </w:tcMar>
            <w:vAlign w:val="top"/>
          </w:tcPr>
          <w:p>
            <w:pPr>
              <w:spacing w:after="40" w:before="0"/>
              <w:jc w:val="left"/>
            </w:pPr>
            <w:r>
              <w:rPr>
                <w:rFonts w:ascii="Arial" w:cs="Arial" w:eastAsia="Arial" w:hAnsi="Arial"/>
                <w:b/>
                <w:bCs/>
                <w:color w:val="FFFFFF"/>
                <w:sz w:val="20"/>
                <w:szCs w:val="20"/>
              </w:rPr>
              <w:t xml:space="preserve">Timeline</w:t>
            </w:r>
          </w:p>
        </w:tc>
        <w:tc>
          <w:tcPr>
            <w:tcW w:type="dxa" w:w="2016"/>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40" w:before="0"/>
              <w:jc w:val="left"/>
            </w:pPr>
            <w:r>
              <w:rPr>
                <w:rFonts w:ascii="Arial" w:cs="Arial" w:eastAsia="Arial" w:hAnsi="Arial"/>
                <w:b/>
                <w:bCs/>
                <w:color w:val="FFFFFF"/>
                <w:sz w:val="20"/>
                <w:szCs w:val="20"/>
              </w:rPr>
              <w:t xml:space="preserve">KPI / Outcome</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Full-Funnel Reporting Dashboard</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14–16</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Live Zoho Analytics dashboard: lead source attribution, stage conversion, revenue forecast</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AI Memory Brain Deployment</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14–17</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PRL-configured AI assistant with contact profiles, property data, and follow-up templates</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Diaspora Funnel Optimisation</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15–18</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Meta Ad ROAS analysis; A/B tested creative; cost-per-qualified-lead target: &lt; KES 5,000</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Property Management Upsell System</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Weeks 16–18</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Automated landlord advisory cross-sell sequence; target: 3 new PM retainer clients</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Quarterly Business Review (QBR) System</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 18</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PRL leadership QBR framework: what to measure, what to decide, what to act on</w:t>
            </w:r>
          </w:p>
        </w:tc>
      </w:tr>
      <w:tr>
        <w:tc>
          <w:tcPr>
            <w:tcW w:type="dxa" w:w="5544"/>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LinkedIn Milestone: 1,000 Followers</w:t>
            </w:r>
          </w:p>
        </w:tc>
        <w:tc>
          <w:tcPr>
            <w:tcW w:type="dxa" w:w="2520"/>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End of Q4</w:t>
            </w:r>
          </w:p>
        </w:tc>
        <w:tc>
          <w:tcPr>
            <w:tcW w:type="dxa" w:w="2016"/>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Authority established; inbound B2B pipeline generating without paid spend</w:t>
            </w:r>
          </w:p>
        </w:tc>
      </w:tr>
      <w:tr>
        <w:tc>
          <w:tcPr>
            <w:tcW w:type="dxa" w:w="5544"/>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40" w:before="0"/>
              <w:jc w:val="left"/>
            </w:pPr>
            <w:r>
              <w:rPr>
                <w:rFonts w:ascii="Arial" w:cs="Arial" w:eastAsia="Arial" w:hAnsi="Arial"/>
                <w:color w:val="1A1A2E"/>
                <w:sz w:val="20"/>
                <w:szCs w:val="20"/>
              </w:rPr>
              <w:t xml:space="preserve">Engagement Closeout &amp; Independence Handoff</w:t>
            </w:r>
          </w:p>
        </w:tc>
        <w:tc>
          <w:tcPr>
            <w:tcW w:type="dxa" w:w="2520"/>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40" w:before="0"/>
              <w:jc w:val="left"/>
            </w:pPr>
            <w:r>
              <w:rPr>
                <w:rFonts w:ascii="Arial" w:cs="Arial" w:eastAsia="Arial" w:hAnsi="Arial"/>
                <w:color w:val="1E65B0"/>
                <w:sz w:val="20"/>
                <w:szCs w:val="20"/>
              </w:rPr>
              <w:t xml:space="preserve">Week 18</w:t>
            </w:r>
          </w:p>
        </w:tc>
        <w:tc>
          <w:tcPr>
            <w:tcW w:type="dxa" w:w="2016"/>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40" w:before="0"/>
              <w:jc w:val="left"/>
            </w:pPr>
            <w:r>
              <w:rPr>
                <w:rFonts w:ascii="Arial" w:cs="Arial" w:eastAsia="Arial" w:hAnsi="Arial"/>
                <w:i/>
                <w:iCs/>
                <w:color w:val="444444"/>
                <w:sz w:val="20"/>
                <w:szCs w:val="20"/>
              </w:rPr>
              <w:t xml:space="preserve">All systems documented; PRL team fully trained; RevOps SOP customised for PRL</w:t>
            </w:r>
          </w:p>
        </w:tc>
      </w:tr>
    </w:tbl>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05</w:t>
      </w:r>
    </w:p>
    <w:p>
      <w:pPr>
        <w:spacing w:after="120" w:before="0"/>
        <w:jc w:val="left"/>
      </w:pPr>
      <w:r>
        <w:rPr>
          <w:rFonts w:ascii="Arial" w:cs="Arial" w:eastAsia="Arial" w:hAnsi="Arial"/>
          <w:b/>
          <w:bCs/>
          <w:color w:val="0D2147"/>
          <w:sz w:val="32"/>
          <w:szCs w:val="32"/>
        </w:rPr>
        <w:t xml:space="preserve">Measurable Outcomes — The KPIs We Commit To</w:t>
      </w:r>
    </w:p>
    <w:p>
      <w:pPr>
        <w:pBdr>
          <w:bottom w:val="single" w:color="C8A96E" w:sz="8"/>
        </w:pBdr>
        <w:spacing w:after="200" w:before="80"/>
      </w:pPr>
    </w:p>
    <w:p>
      <w:pPr>
        <w:spacing w:after="200" w:before="0"/>
        <w:jc w:val="left"/>
      </w:pPr>
      <w:r>
        <w:rPr>
          <w:rFonts w:ascii="Arial" w:cs="Arial" w:eastAsia="Arial" w:hAnsi="Arial"/>
          <w:color w:val="1A1A2E"/>
          <w:sz w:val="22"/>
          <w:szCs w:val="22"/>
        </w:rPr>
        <w:t xml:space="preserve">Provecta does not trade in vague promises. Below are the specific, measurable KPIs that the 3-quarter engagement is designed to deliver. These will be tracked in the live dashboard from Q3 onwards and reviewed together at each monthly check-in.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2822"/>
        <w:gridCol w:w="3428"/>
      </w:tblGrid>
      <w:tr>
        <w:tc>
          <w:tcPr>
            <w:tcW w:type="dxa" w:w="3830"/>
            <w:tcBorders>
              <w:top w:val="single" w:color="D0D5DC" w:sz="4"/>
              <w:left w:val="single" w:color="D0D5DC" w:sz="4"/>
              <w:bottom w:val="single" w:color="D0D5DC" w:sz="4"/>
              <w:right w:val="single" w:color="D0D5DC" w:sz="4"/>
            </w:tcBorders>
            <w:shd w:fill="0D2147" w:val="clear"/>
            <w:tcMar>
              <w:top w:type="dxa" w:w="80"/>
              <w:left w:type="dxa" w:w="120"/>
              <w:bottom w:type="dxa" w:w="80"/>
              <w:right w:type="dxa" w:w="80"/>
            </w:tcMar>
            <w:vAlign w:val="top"/>
          </w:tcPr>
          <w:p>
            <w:pPr>
              <w:spacing w:after="120" w:before="0"/>
              <w:jc w:val="left"/>
            </w:pPr>
            <w:r>
              <w:rPr>
                <w:rFonts w:ascii="Arial" w:cs="Arial" w:eastAsia="Arial" w:hAnsi="Arial"/>
                <w:b/>
                <w:bCs/>
                <w:color w:val="FFFFFF"/>
                <w:sz w:val="20"/>
                <w:szCs w:val="20"/>
              </w:rPr>
              <w:t xml:space="preserve">Metric</w:t>
            </w:r>
          </w:p>
        </w:tc>
        <w:tc>
          <w:tcPr>
            <w:tcW w:type="dxa" w:w="2822"/>
            <w:tcBorders>
              <w:top w:val="single" w:color="D0D5DC" w:sz="4"/>
              <w:left w:val="single" w:color="D0D5DC" w:sz="4"/>
              <w:bottom w:val="single" w:color="D0D5DC" w:sz="4"/>
              <w:right w:val="single" w:color="D0D5DC" w:sz="4"/>
            </w:tcBorders>
            <w:shd w:fill="0D2147" w:val="clear"/>
            <w:tcMar>
              <w:top w:type="dxa" w:w="80"/>
              <w:left w:type="dxa" w:w="80"/>
              <w:bottom w:type="dxa" w:w="80"/>
              <w:right w:type="dxa" w:w="80"/>
            </w:tcMar>
            <w:vAlign w:val="top"/>
          </w:tcPr>
          <w:p>
            <w:pPr>
              <w:spacing w:after="120" w:before="0"/>
              <w:jc w:val="left"/>
            </w:pPr>
            <w:r>
              <w:rPr>
                <w:rFonts w:ascii="Arial" w:cs="Arial" w:eastAsia="Arial" w:hAnsi="Arial"/>
                <w:b/>
                <w:bCs/>
                <w:color w:val="FFFFFF"/>
                <w:sz w:val="20"/>
                <w:szCs w:val="20"/>
              </w:rPr>
              <w:t xml:space="preserve">Baseline (Current)</w:t>
            </w:r>
          </w:p>
        </w:tc>
        <w:tc>
          <w:tcPr>
            <w:tcW w:type="dxa" w:w="3428"/>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120" w:before="0"/>
              <w:jc w:val="left"/>
            </w:pPr>
            <w:r>
              <w:rPr>
                <w:rFonts w:ascii="Arial" w:cs="Arial" w:eastAsia="Arial" w:hAnsi="Arial"/>
                <w:b/>
                <w:bCs/>
                <w:color w:val="FFFFFF"/>
                <w:sz w:val="20"/>
                <w:szCs w:val="20"/>
              </w:rPr>
              <w:t xml:space="preserve">Target by Q4 2026</w:t>
            </w:r>
          </w:p>
        </w:tc>
      </w:tr>
      <w:tr>
        <w:tc>
          <w:tcPr>
            <w:tcW w:type="dxa" w:w="3830"/>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CRM Lead Capture Rate</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Estimated &lt; 40% (no CRM)</w:t>
            </w:r>
          </w:p>
        </w:tc>
        <w:tc>
          <w:tcPr>
            <w:tcW w:type="dxa" w:w="3428"/>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&gt; 95% of all inbound leads captured</w:t>
            </w:r>
          </w:p>
        </w:tc>
      </w:tr>
      <w:tr>
        <w:tc>
          <w:tcPr>
            <w:tcW w:type="dxa" w:w="3830"/>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Lead-to-Qualified Conversion</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Unknown (no tracking)</w:t>
            </w:r>
          </w:p>
        </w:tc>
        <w:tc>
          <w:tcPr>
            <w:tcW w:type="dxa" w:w="3428"/>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Baseline documented in Q2; target 20% lift by Q4</w:t>
            </w:r>
          </w:p>
        </w:tc>
      </w:tr>
      <w:tr>
        <w:tc>
          <w:tcPr>
            <w:tcW w:type="dxa" w:w="3830"/>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Pipeline Forecast Accuracy</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Not measured</w:t>
            </w:r>
          </w:p>
        </w:tc>
        <w:tc>
          <w:tcPr>
            <w:tcW w:type="dxa" w:w="3428"/>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Within 15% accuracy by end of Q3</w:t>
            </w:r>
          </w:p>
        </w:tc>
      </w:tr>
      <w:tr>
        <w:tc>
          <w:tcPr>
            <w:tcW w:type="dxa" w:w="3830"/>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Diaspora Qualified Leads / Month</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~0 (no funnel)</w:t>
            </w:r>
          </w:p>
        </w:tc>
        <w:tc>
          <w:tcPr>
            <w:tcW w:type="dxa" w:w="3428"/>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&gt; 10 qualified diaspora leads per month by Q4</w:t>
            </w:r>
          </w:p>
        </w:tc>
      </w:tr>
      <w:tr>
        <w:tc>
          <w:tcPr>
            <w:tcW w:type="dxa" w:w="3830"/>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WhatsApp Lead Leak Rate</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Est. 40–60% (no follow-up)</w:t>
            </w:r>
          </w:p>
        </w:tc>
        <w:tc>
          <w:tcPr>
            <w:tcW w:type="dxa" w:w="3428"/>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&lt; 20% lead leak rate by end of Q3</w:t>
            </w:r>
          </w:p>
        </w:tc>
      </w:tr>
      <w:tr>
        <w:tc>
          <w:tcPr>
            <w:tcW w:type="dxa" w:w="3830"/>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LinkedIn Followers</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188 (April 2026)</w:t>
            </w:r>
          </w:p>
        </w:tc>
        <w:tc>
          <w:tcPr>
            <w:tcW w:type="dxa" w:w="3428"/>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&gt; 1,000 by December 2026</w:t>
            </w:r>
          </w:p>
        </w:tc>
      </w:tr>
      <w:tr>
        <w:tc>
          <w:tcPr>
            <w:tcW w:type="dxa" w:w="3830"/>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Organic Website Leads</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0 (blog broken)</w:t>
            </w:r>
          </w:p>
        </w:tc>
        <w:tc>
          <w:tcPr>
            <w:tcW w:type="dxa" w:w="3428"/>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&gt; 30 organic leads/month by Q4 via SEO + content</w:t>
            </w:r>
          </w:p>
        </w:tc>
      </w:tr>
      <w:tr>
        <w:tc>
          <w:tcPr>
            <w:tcW w:type="dxa" w:w="3830"/>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Property Management Retainers</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Not tracked / unstructured</w:t>
            </w:r>
          </w:p>
        </w:tc>
        <w:tc>
          <w:tcPr>
            <w:tcW w:type="dxa" w:w="3428"/>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3 new PM retainer clients signed by Q4</w:t>
            </w:r>
          </w:p>
        </w:tc>
      </w:tr>
      <w:tr>
        <w:tc>
          <w:tcPr>
            <w:tcW w:type="dxa" w:w="3830"/>
            <w:tcBorders>
              <w:top w:val="single" w:color="D0D5DC" w:sz="4"/>
              <w:left w:val="single" w:color="D0D5DC" w:sz="4"/>
              <w:bottom w:val="single" w:color="D0D5DC" w:sz="4"/>
              <w:right w:val="single" w:color="D0D5DC" w:sz="4"/>
            </w:tcBorders>
            <w:shd w:fill="F0F4F8"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Cost Per Qualified Lead (Meta)</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Unknown</w:t>
            </w:r>
          </w:p>
        </w:tc>
        <w:tc>
          <w:tcPr>
            <w:tcW w:type="dxa" w:w="3428"/>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&lt; KES 5,000 per qualified diaspora lead by Q3</w:t>
            </w:r>
          </w:p>
        </w:tc>
      </w:tr>
      <w:tr>
        <w:tc>
          <w:tcPr>
            <w:tcW w:type="dxa" w:w="3830"/>
            <w:tcBorders>
              <w:top w:val="single" w:color="D0D5DC" w:sz="4"/>
              <w:left w:val="single" w:color="D0D5DC" w:sz="4"/>
              <w:bottom w:val="single" w:color="D0D5DC" w:sz="4"/>
              <w:right w:val="single" w:color="D0D5DC" w:sz="4"/>
            </w:tcBorders>
            <w:shd w:fill="FFFFFF" w:val="clear"/>
            <w:tcMar>
              <w:top w:type="dxa" w:w="80"/>
              <w:left w:type="dxa" w:w="120"/>
              <w:bottom w:type="dxa" w:w="80"/>
              <w:right w:type="dxa" w:w="80"/>
            </w:tcMar>
            <w:vAlign w:val="top"/>
          </w:tcPr>
          <w:p>
            <w:pPr>
              <w:spacing w:after="120" w:before="0"/>
              <w:jc w:val="left"/>
            </w:pPr>
            <w:r>
              <w:rPr>
                <w:rFonts w:ascii="Arial" w:cs="Arial" w:eastAsia="Arial" w:hAnsi="Arial"/>
                <w:b/>
                <w:bCs/>
                <w:color w:val="1A1A2E"/>
                <w:sz w:val="20"/>
                <w:szCs w:val="20"/>
              </w:rPr>
              <w:t xml:space="preserve">Revenue Attribution</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80"/>
            </w:tcMar>
            <w:vAlign w:val="top"/>
          </w:tcPr>
          <w:p>
            <w:pPr>
              <w:spacing w:after="120" w:before="0"/>
              <w:jc w:val="left"/>
            </w:pPr>
            <w:r>
              <w:rPr>
                <w:rFonts w:ascii="Arial" w:cs="Arial" w:eastAsia="Arial" w:hAnsi="Arial"/>
                <w:color w:val="AA3333"/>
                <w:sz w:val="20"/>
                <w:szCs w:val="20"/>
              </w:rPr>
              <w:t xml:space="preserve">Not measurable</w:t>
            </w:r>
          </w:p>
        </w:tc>
        <w:tc>
          <w:tcPr>
            <w:tcW w:type="dxa" w:w="3428"/>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b/>
                <w:bCs/>
                <w:color w:val="1A7A3A"/>
                <w:sz w:val="20"/>
                <w:szCs w:val="20"/>
              </w:rPr>
              <w:t xml:space="preserve">Full source attribution live in dashboard by Q3</w:t>
            </w:r>
          </w:p>
        </w:tc>
      </w:tr>
    </w:tbl>
    <w:p>
      <w:pPr>
        <w:spacing w:after="120" w:before="200"/>
        <w:jc w:val="left"/>
      </w:pPr>
      <w:r>
        <w:rPr>
          <w:rFonts w:ascii="Arial" w:cs="Arial" w:eastAsia="Arial" w:hAnsi="Arial"/>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C8A96E" w:val="clear"/>
            <w:tcMar>
              <w:top w:type="dxa" w:w="120"/>
              <w:left w:type="dxa" w:w="80"/>
              <w:bottom w:type="dxa" w:w="120"/>
              <w:right w:type="dxa" w:w="80"/>
            </w:tcMar>
            <w:vAlign w:val="center"/>
          </w:tcPr>
          <w:p>
            <w:pPr>
              <w:spacing w:after="120" w:before="0"/>
              <w:jc w:val="center"/>
            </w:pPr>
            <w:r>
              <w:rPr>
                <w:rFonts w:ascii="Arial" w:cs="Arial" w:eastAsia="Arial" w:hAnsi="Arial"/>
                <w:b/>
                <w:bCs/>
                <w:color w:val="FFFFFF"/>
                <w:sz w:val="28"/>
                <w:szCs w:val="28"/>
              </w:rPr>
              <w:t xml:space="preserve">!</w:t>
            </w:r>
          </w:p>
        </w:tc>
        <w:tc>
          <w:tcPr>
            <w:tcW w:type="dxa" w:w="9880"/>
            <w:tcBorders>
              <w:top w:val="none" w:color="FFFFFF" w:sz="0"/>
              <w:left w:val="none" w:color="FFFFFF" w:sz="0"/>
              <w:bottom w:val="none" w:color="FFFFFF" w:sz="0"/>
              <w:right w:val="none" w:color="FFFFFF" w:sz="0"/>
            </w:tcBorders>
            <w:tcMar>
              <w:top w:type="dxa" w:w="80"/>
              <w:left w:type="dxa" w:w="160"/>
              <w:bottom w:type="dxa" w:w="80"/>
              <w:right w:type="dxa" w:w="120"/>
            </w:tcMar>
            <w:vAlign w:val="top"/>
          </w:tcPr>
          <w:p>
            <w:pPr>
              <w:spacing w:after="60" w:before="0"/>
              <w:jc w:val="left"/>
            </w:pPr>
            <w:r>
              <w:rPr>
                <w:rFonts w:ascii="Arial" w:cs="Arial" w:eastAsia="Arial" w:hAnsi="Arial"/>
                <w:b/>
                <w:bCs/>
                <w:color w:val="0D2147"/>
                <w:sz w:val="22"/>
                <w:szCs w:val="22"/>
              </w:rPr>
              <w:t xml:space="preserve">On Measurability:</w:t>
            </w:r>
          </w:p>
          <w:p>
            <w:pPr>
              <w:spacing w:after="120" w:before="0"/>
              <w:jc w:val="left"/>
            </w:pPr>
            <w:r>
              <w:rPr>
                <w:rFonts w:ascii="Arial" w:cs="Arial" w:eastAsia="Arial" w:hAnsi="Arial"/>
                <w:color w:val="1A1A2E"/>
                <w:sz w:val="20"/>
                <w:szCs w:val="20"/>
              </w:rPr>
              <w:t xml:space="preserve">All KPIs above require proper data infrastructure to measure accurately. Q2's audit will establish verified baselines for each metric. Where current-state data does not exist, we will document it in the first 30 days and set targets accordingly. Our commitment is to measurement integrity — not to impressive-sounding numbers that cannot be verified.</w:t>
            </w:r>
          </w:p>
        </w:tc>
      </w:tr>
    </w:tbl>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06</w:t>
      </w:r>
    </w:p>
    <w:p>
      <w:pPr>
        <w:spacing w:after="120" w:before="0"/>
        <w:jc w:val="left"/>
      </w:pPr>
      <w:r>
        <w:rPr>
          <w:rFonts w:ascii="Arial" w:cs="Arial" w:eastAsia="Arial" w:hAnsi="Arial"/>
          <w:b/>
          <w:bCs/>
          <w:color w:val="0D2147"/>
          <w:sz w:val="32"/>
          <w:szCs w:val="32"/>
        </w:rPr>
        <w:t xml:space="preserve">Investment Summary</w:t>
      </w:r>
    </w:p>
    <w:p>
      <w:pPr>
        <w:pBdr>
          <w:bottom w:val="single" w:color="C8A96E" w:sz="8"/>
        </w:pBdr>
        <w:spacing w:after="200" w:before="80"/>
      </w:pPr>
    </w:p>
    <w:p>
      <w:pPr>
        <w:spacing w:after="200" w:before="0"/>
        <w:jc w:val="left"/>
      </w:pPr>
      <w:r>
        <w:rPr>
          <w:rFonts w:ascii="Arial" w:cs="Arial" w:eastAsia="Arial" w:hAnsi="Arial"/>
          <w:color w:val="1A1A2E"/>
          <w:sz w:val="22"/>
          <w:szCs w:val="22"/>
        </w:rPr>
        <w:t xml:space="preserve">The 3-quarter engagement is structured as a fixed-scope, phased investment. Each quarter is independently scoped and delivered, with a review gate at the close of each phase before proceeding.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2822"/>
        <w:gridCol w:w="2722"/>
      </w:tblGrid>
      <w:tr>
        <w:tc>
          <w:tcPr>
            <w:tcW w:type="dxa" w:w="4536"/>
            <w:tcBorders>
              <w:top w:val="single" w:color="D0D5DC" w:sz="4"/>
              <w:left w:val="single" w:color="D0D5DC" w:sz="4"/>
              <w:bottom w:val="single" w:color="D0D5DC" w:sz="4"/>
              <w:right w:val="single" w:color="D0D5DC" w:sz="4"/>
            </w:tcBorders>
            <w:shd w:fill="0D2147" w:val="clear"/>
            <w:tcMar>
              <w:top w:type="dxa" w:w="80"/>
              <w:left w:type="dxa" w:w="120"/>
              <w:bottom w:type="dxa" w:w="80"/>
              <w:right w:type="dxa" w:w="120"/>
            </w:tcMar>
            <w:vAlign w:val="top"/>
          </w:tcPr>
          <w:p>
            <w:pPr>
              <w:spacing w:after="120" w:before="0"/>
              <w:jc w:val="left"/>
            </w:pPr>
            <w:r>
              <w:rPr>
                <w:rFonts w:ascii="Arial" w:cs="Arial" w:eastAsia="Arial" w:hAnsi="Arial"/>
                <w:b/>
                <w:bCs/>
                <w:color w:val="FFFFFF"/>
                <w:sz w:val="20"/>
                <w:szCs w:val="20"/>
              </w:rPr>
              <w:t xml:space="preserve">Engagement Phase</w:t>
            </w:r>
          </w:p>
        </w:tc>
        <w:tc>
          <w:tcPr>
            <w:tcW w:type="dxa" w:w="2822"/>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120" w:before="0"/>
              <w:jc w:val="left"/>
            </w:pPr>
            <w:r>
              <w:rPr>
                <w:rFonts w:ascii="Arial" w:cs="Arial" w:eastAsia="Arial" w:hAnsi="Arial"/>
                <w:b/>
                <w:bCs/>
                <w:color w:val="FFFFFF"/>
                <w:sz w:val="20"/>
                <w:szCs w:val="20"/>
              </w:rPr>
              <w:t xml:space="preserve">Duration</w:t>
            </w:r>
          </w:p>
        </w:tc>
        <w:tc>
          <w:tcPr>
            <w:tcW w:type="dxa" w:w="2722"/>
            <w:tcBorders>
              <w:top w:val="single" w:color="D0D5DC" w:sz="4"/>
              <w:left w:val="single" w:color="D0D5DC" w:sz="4"/>
              <w:bottom w:val="single" w:color="D0D5DC" w:sz="4"/>
              <w:right w:val="single" w:color="D0D5DC" w:sz="4"/>
            </w:tcBorders>
            <w:shd w:fill="0D2147" w:val="clear"/>
            <w:tcMar>
              <w:top w:type="dxa" w:w="80"/>
              <w:left w:type="dxa" w:w="80"/>
              <w:bottom w:type="dxa" w:w="80"/>
              <w:right w:type="dxa" w:w="120"/>
            </w:tcMar>
            <w:vAlign w:val="top"/>
          </w:tcPr>
          <w:p>
            <w:pPr>
              <w:spacing w:after="120" w:before="0"/>
              <w:jc w:val="left"/>
            </w:pPr>
            <w:r>
              <w:rPr>
                <w:rFonts w:ascii="Arial" w:cs="Arial" w:eastAsia="Arial" w:hAnsi="Arial"/>
                <w:b/>
                <w:bCs/>
                <w:color w:val="FFFFFF"/>
                <w:sz w:val="20"/>
                <w:szCs w:val="20"/>
              </w:rPr>
              <w:t xml:space="preserve">Investment (KES)</w:t>
            </w:r>
          </w:p>
        </w:tc>
      </w:tr>
      <w:tr>
        <w:tc>
          <w:tcPr>
            <w:tcW w:type="dxa" w:w="4536"/>
            <w:tcBorders>
              <w:top w:val="single" w:color="D0D5DC" w:sz="4"/>
              <w:left w:val="single" w:color="D0D5DC" w:sz="4"/>
              <w:bottom w:val="single" w:color="D0D5DC" w:sz="4"/>
              <w:right w:val="single" w:color="D0D5DC" w:sz="4"/>
            </w:tcBorders>
            <w:shd w:fill="F0F4F8" w:val="clear"/>
            <w:tcMar>
              <w:top w:type="dxa" w:w="80"/>
              <w:left w:type="dxa" w:w="120"/>
              <w:bottom w:type="dxa" w:w="80"/>
              <w:right w:type="dxa" w:w="120"/>
            </w:tcMar>
            <w:vAlign w:val="top"/>
          </w:tcPr>
          <w:p>
            <w:pPr>
              <w:spacing w:after="120" w:before="0"/>
              <w:jc w:val="left"/>
            </w:pPr>
            <w:r>
              <w:rPr>
                <w:rFonts w:ascii="Arial" w:cs="Arial" w:eastAsia="Arial" w:hAnsi="Arial"/>
                <w:color w:val="1A1A2E"/>
                <w:sz w:val="20"/>
                <w:szCs w:val="20"/>
              </w:rPr>
              <w:t xml:space="preserve">Q2 — Foundation (RevOps Audit, CRM Build, Lead Lifecycle, Team Training)</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color w:val="1E65B0"/>
                <w:sz w:val="20"/>
                <w:szCs w:val="20"/>
              </w:rPr>
              <w:t xml:space="preserve">6 Weeks</w:t>
            </w:r>
          </w:p>
        </w:tc>
        <w:tc>
          <w:tcPr>
            <w:tcW w:type="dxa" w:w="27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color w:val="1A1A2E"/>
                <w:sz w:val="20"/>
                <w:szCs w:val="20"/>
              </w:rPr>
              <w:t xml:space="preserve">KES 350,000</w:t>
            </w:r>
          </w:p>
        </w:tc>
      </w:tr>
      <w:tr>
        <w:tc>
          <w:tcPr>
            <w:tcW w:type="dxa" w:w="4536"/>
            <w:tcBorders>
              <w:top w:val="single" w:color="D0D5DC" w:sz="4"/>
              <w:left w:val="single" w:color="D0D5DC" w:sz="4"/>
              <w:bottom w:val="single" w:color="D0D5DC" w:sz="4"/>
              <w:right w:val="single" w:color="D0D5DC"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color w:val="1A1A2E"/>
                <w:sz w:val="20"/>
                <w:szCs w:val="20"/>
              </w:rPr>
              <w:t xml:space="preserve">Q3 — Activation (Diaspora Funnel, AI Lead Qualification, Content Engine, LinkedIn)</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color w:val="1E65B0"/>
                <w:sz w:val="20"/>
                <w:szCs w:val="20"/>
              </w:rPr>
              <w:t xml:space="preserve">6 Weeks</w:t>
            </w:r>
          </w:p>
        </w:tc>
        <w:tc>
          <w:tcPr>
            <w:tcW w:type="dxa" w:w="27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color w:val="1A1A2E"/>
                <w:sz w:val="20"/>
                <w:szCs w:val="20"/>
              </w:rPr>
              <w:t xml:space="preserve">KES 450,000</w:t>
            </w:r>
          </w:p>
        </w:tc>
      </w:tr>
      <w:tr>
        <w:tc>
          <w:tcPr>
            <w:tcW w:type="dxa" w:w="4536"/>
            <w:tcBorders>
              <w:top w:val="single" w:color="D0D5DC" w:sz="4"/>
              <w:left w:val="single" w:color="D0D5DC" w:sz="4"/>
              <w:bottom w:val="single" w:color="D0D5DC" w:sz="4"/>
              <w:right w:val="single" w:color="D0D5DC" w:sz="4"/>
            </w:tcBorders>
            <w:shd w:fill="F0F4F8" w:val="clear"/>
            <w:tcMar>
              <w:top w:type="dxa" w:w="80"/>
              <w:left w:type="dxa" w:w="120"/>
              <w:bottom w:type="dxa" w:w="80"/>
              <w:right w:type="dxa" w:w="120"/>
            </w:tcMar>
            <w:vAlign w:val="top"/>
          </w:tcPr>
          <w:p>
            <w:pPr>
              <w:spacing w:after="120" w:before="0"/>
              <w:jc w:val="left"/>
            </w:pPr>
            <w:r>
              <w:rPr>
                <w:rFonts w:ascii="Arial" w:cs="Arial" w:eastAsia="Arial" w:hAnsi="Arial"/>
                <w:color w:val="1A1A2E"/>
                <w:sz w:val="20"/>
                <w:szCs w:val="20"/>
              </w:rPr>
              <w:t xml:space="preserve">Q4 — Scale (Reporting Dashboard, AI Memory, Optimisation, Independence Handoff)</w:t>
            </w:r>
          </w:p>
        </w:tc>
        <w:tc>
          <w:tcPr>
            <w:tcW w:type="dxa" w:w="28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color w:val="1E65B0"/>
                <w:sz w:val="20"/>
                <w:szCs w:val="20"/>
              </w:rPr>
              <w:t xml:space="preserve">6 Weeks</w:t>
            </w:r>
          </w:p>
        </w:tc>
        <w:tc>
          <w:tcPr>
            <w:tcW w:type="dxa" w:w="2722"/>
            <w:tcBorders>
              <w:top w:val="single" w:color="D0D5DC" w:sz="4"/>
              <w:left w:val="single" w:color="D0D5DC" w:sz="4"/>
              <w:bottom w:val="single" w:color="D0D5DC" w:sz="4"/>
              <w:right w:val="single" w:color="D0D5DC" w:sz="4"/>
            </w:tcBorders>
            <w:shd w:fill="F0F4F8" w:val="clear"/>
            <w:tcMar>
              <w:top w:type="dxa" w:w="80"/>
              <w:left w:type="dxa" w:w="80"/>
              <w:bottom w:type="dxa" w:w="80"/>
              <w:right w:type="dxa" w:w="120"/>
            </w:tcMar>
            <w:vAlign w:val="top"/>
          </w:tcPr>
          <w:p>
            <w:pPr>
              <w:spacing w:after="120" w:before="0"/>
              <w:jc w:val="left"/>
            </w:pPr>
            <w:r>
              <w:rPr>
                <w:rFonts w:ascii="Arial" w:cs="Arial" w:eastAsia="Arial" w:hAnsi="Arial"/>
                <w:color w:val="1A1A2E"/>
                <w:sz w:val="20"/>
                <w:szCs w:val="20"/>
              </w:rPr>
              <w:t xml:space="preserve">KES 350,000</w:t>
            </w:r>
          </w:p>
        </w:tc>
      </w:tr>
      <w:tr>
        <w:tc>
          <w:tcPr>
            <w:tcW w:type="dxa" w:w="4536"/>
            <w:tcBorders>
              <w:top w:val="single" w:color="D0D5DC" w:sz="4"/>
              <w:left w:val="single" w:color="D0D5DC" w:sz="4"/>
              <w:bottom w:val="single" w:color="D0D5DC" w:sz="4"/>
              <w:right w:val="single" w:color="D0D5DC"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color w:val="1A1A2E"/>
                <w:sz w:val="20"/>
                <w:szCs w:val="20"/>
              </w:rPr>
              <w:t xml:space="preserve">Ad Spend Management (Meta Ads — Diaspora Campaign)</w:t>
            </w:r>
          </w:p>
        </w:tc>
        <w:tc>
          <w:tcPr>
            <w:tcW w:type="dxa" w:w="28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color w:val="1E65B0"/>
                <w:sz w:val="20"/>
                <w:szCs w:val="20"/>
              </w:rPr>
              <w:t xml:space="preserve">Q3–Q4 (12 Weeks)</w:t>
            </w:r>
          </w:p>
        </w:tc>
        <w:tc>
          <w:tcPr>
            <w:tcW w:type="dxa" w:w="2722"/>
            <w:tcBorders>
              <w:top w:val="single" w:color="D0D5DC" w:sz="4"/>
              <w:left w:val="single" w:color="D0D5DC" w:sz="4"/>
              <w:bottom w:val="single" w:color="D0D5DC" w:sz="4"/>
              <w:right w:val="single" w:color="D0D5DC" w:sz="4"/>
            </w:tcBorders>
            <w:shd w:fill="FFFFFF" w:val="clear"/>
            <w:tcMar>
              <w:top w:type="dxa" w:w="80"/>
              <w:left w:type="dxa" w:w="80"/>
              <w:bottom w:type="dxa" w:w="80"/>
              <w:right w:type="dxa" w:w="120"/>
            </w:tcMar>
            <w:vAlign w:val="top"/>
          </w:tcPr>
          <w:p>
            <w:pPr>
              <w:spacing w:after="120" w:before="0"/>
              <w:jc w:val="left"/>
            </w:pPr>
            <w:r>
              <w:rPr>
                <w:rFonts w:ascii="Arial" w:cs="Arial" w:eastAsia="Arial" w:hAnsi="Arial"/>
                <w:color w:val="1A1A2E"/>
                <w:sz w:val="20"/>
                <w:szCs w:val="20"/>
              </w:rPr>
              <w:t xml:space="preserve">Client-direct (Provecta managed, recommended KES 50,000–100,000/month)</w:t>
            </w:r>
          </w:p>
        </w:tc>
      </w:tr>
      <w:tr>
        <w:tc>
          <w:tcPr>
            <w:tcW w:type="dxa" w:w="4536"/>
            <w:tcBorders>
              <w:top w:val="single" w:color="D0D5DC" w:sz="4"/>
              <w:left w:val="single" w:color="D0D5DC" w:sz="4"/>
              <w:bottom w:val="single" w:color="D0D5DC" w:sz="4"/>
              <w:right w:val="single" w:color="D0D5DC" w:sz="4"/>
            </w:tcBorders>
            <w:shd w:fill="C8A96E" w:val="clear"/>
            <w:tcMar>
              <w:top w:type="dxa" w:w="100"/>
              <w:left w:type="dxa" w:w="120"/>
              <w:bottom w:type="dxa" w:w="100"/>
              <w:right w:type="dxa" w:w="120"/>
            </w:tcMar>
            <w:vAlign w:val="top"/>
          </w:tcPr>
          <w:p>
            <w:pPr>
              <w:spacing w:after="120" w:before="0"/>
              <w:jc w:val="left"/>
            </w:pPr>
            <w:r>
              <w:rPr>
                <w:rFonts w:ascii="Arial" w:cs="Arial" w:eastAsia="Arial" w:hAnsi="Arial"/>
                <w:b/>
                <w:bCs/>
                <w:color w:val="FFFFFF"/>
                <w:sz w:val="22"/>
                <w:szCs w:val="22"/>
              </w:rPr>
              <w:t xml:space="preserve">Total Engagement Investment</w:t>
            </w:r>
          </w:p>
        </w:tc>
        <w:tc>
          <w:tcPr>
            <w:tcW w:type="dxa" w:w="2822"/>
            <w:tcBorders>
              <w:top w:val="single" w:color="D0D5DC" w:sz="4"/>
              <w:left w:val="single" w:color="D0D5DC" w:sz="4"/>
              <w:bottom w:val="single" w:color="D0D5DC" w:sz="4"/>
              <w:right w:val="single" w:color="D0D5DC" w:sz="4"/>
            </w:tcBorders>
            <w:shd w:fill="C8A96E" w:val="clear"/>
            <w:tcMar>
              <w:top w:type="dxa" w:w="100"/>
              <w:left w:type="dxa" w:w="80"/>
              <w:bottom w:type="dxa" w:w="100"/>
              <w:right w:type="dxa" w:w="120"/>
            </w:tcMar>
            <w:vAlign w:val="top"/>
          </w:tcPr>
          <w:p>
            <w:pPr>
              <w:spacing w:after="120" w:before="0"/>
              <w:jc w:val="left"/>
            </w:pPr>
            <w:r>
              <w:rPr>
                <w:rFonts w:ascii="Arial" w:cs="Arial" w:eastAsia="Arial" w:hAnsi="Arial"/>
                <w:b/>
                <w:bCs/>
                <w:color w:val="FFFFFF"/>
                <w:sz w:val="22"/>
                <w:szCs w:val="22"/>
              </w:rPr>
              <w:t xml:space="preserve">18 Weeks (Q2–Q4 2026)</w:t>
            </w:r>
          </w:p>
        </w:tc>
        <w:tc>
          <w:tcPr>
            <w:tcW w:type="dxa" w:w="2722"/>
            <w:tcBorders>
              <w:top w:val="single" w:color="D0D5DC" w:sz="4"/>
              <w:left w:val="single" w:color="D0D5DC" w:sz="4"/>
              <w:bottom w:val="single" w:color="D0D5DC" w:sz="4"/>
              <w:right w:val="single" w:color="D0D5DC" w:sz="4"/>
            </w:tcBorders>
            <w:shd w:fill="C8A96E" w:val="clear"/>
            <w:tcMar>
              <w:top w:type="dxa" w:w="100"/>
              <w:left w:type="dxa" w:w="80"/>
              <w:bottom w:type="dxa" w:w="100"/>
              <w:right w:type="dxa" w:w="120"/>
            </w:tcMar>
            <w:vAlign w:val="top"/>
          </w:tcPr>
          <w:p>
            <w:pPr>
              <w:spacing w:after="120" w:before="0"/>
              <w:jc w:val="left"/>
            </w:pPr>
            <w:r>
              <w:rPr>
                <w:rFonts w:ascii="Arial" w:cs="Arial" w:eastAsia="Arial" w:hAnsi="Arial"/>
                <w:b/>
                <w:bCs/>
                <w:color w:val="FFFFFF"/>
                <w:sz w:val="22"/>
                <w:szCs w:val="22"/>
              </w:rPr>
              <w:t xml:space="preserve">KES 1,150,000</w:t>
            </w:r>
          </w:p>
        </w:tc>
      </w:tr>
    </w:tbl>
    <w:p>
      <w:pPr>
        <w:spacing w:after="120" w:before="240"/>
        <w:jc w:val="left"/>
      </w:pPr>
      <w:r>
        <w:rPr>
          <w:rFonts w:ascii="Arial" w:cs="Arial" w:eastAsia="Arial" w:hAnsi="Arial"/>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A96E" w:sz="8"/>
              <w:left w:val="single" w:color="C8A96E" w:sz="8"/>
              <w:bottom w:val="none" w:color="FFFFFF" w:sz="0"/>
              <w:right w:val="none" w:color="FFFFFF" w:sz="0"/>
            </w:tcBorders>
            <w:shd w:fill="F0F4F8" w:val="clear"/>
            <w:tcMar>
              <w:top w:type="dxa" w:w="160"/>
              <w:left w:type="dxa" w:w="200"/>
              <w:bottom w:type="dxa" w:w="160"/>
              <w:right w:type="dxa" w:w="200"/>
            </w:tcMar>
            <w:vAlign w:val="top"/>
          </w:tcPr>
          <w:p>
            <w:pPr>
              <w:spacing w:after="80" w:before="0"/>
              <w:jc w:val="left"/>
            </w:pPr>
            <w:r>
              <w:rPr>
                <w:rFonts w:ascii="Arial" w:cs="Arial" w:eastAsia="Arial" w:hAnsi="Arial"/>
                <w:b/>
                <w:bCs/>
                <w:caps/>
                <w:color w:val="C8A96E"/>
                <w:sz w:val="20"/>
                <w:szCs w:val="20"/>
              </w:rPr>
              <w:t xml:space="preserve">Payment Terms</w:t>
            </w:r>
          </w:p>
          <w:p>
            <w:pPr>
              <w:spacing w:after="120" w:before="0"/>
              <w:jc w:val="left"/>
            </w:pPr>
            <w:r>
              <w:rPr>
                <w:rFonts w:ascii="Arial" w:cs="Arial" w:eastAsia="Arial" w:hAnsi="Arial"/>
                <w:color w:val="1A1A2E"/>
                <w:sz w:val="20"/>
                <w:szCs w:val="20"/>
              </w:rPr>
              <w:t xml:space="preserve">Q2 fee invoiced at engagement start. Q3 fee invoiced at start of Q3 (July 1, 2026). Q4 fee invoiced at start of Q4 (October 1, 2026). Ad spend is billed directly to PRL's own Meta Business account — Provecta manages campaigns on PRL's behalf with zero agency markup.</w:t>
            </w:r>
          </w:p>
        </w:tc>
      </w:tr>
    </w:tbl>
    <w:p>
      <w:pPr>
        <w:spacing w:after="120" w:before="200"/>
        <w:jc w:val="left"/>
      </w:pPr>
      <w:r>
        <w:rPr>
          <w:rFonts w:ascii="Arial" w:cs="Arial" w:eastAsia="Arial" w:hAnsi="Arial"/>
          <w:color w:val="1A1A2E"/>
          <w:sz w:val="22"/>
          <w:szCs w:val="22"/>
        </w:rPr>
        <w:t xml:space="preserve"/>
      </w:r>
    </w:p>
    <w:p>
      <w:pPr>
        <w:spacing w:after="80" w:before="0"/>
        <w:jc w:val="left"/>
      </w:pPr>
      <w:r>
        <w:rPr>
          <w:rFonts w:ascii="Arial" w:cs="Arial" w:eastAsia="Arial" w:hAnsi="Arial"/>
          <w:b/>
          <w:bCs/>
          <w:color w:val="0D2147"/>
          <w:sz w:val="22"/>
          <w:szCs w:val="22"/>
        </w:rPr>
        <w:t xml:space="preserve">Return on Investment Context:</w:t>
      </w:r>
    </w:p>
    <w:p>
      <w:pPr>
        <w:spacing w:after="80" w:before="0"/>
        <w:jc w:val="left"/>
      </w:pPr>
      <w:r>
        <w:rPr>
          <w:rFonts w:ascii="Arial" w:cs="Arial" w:eastAsia="Arial" w:hAnsi="Arial"/>
          <w:color w:val="1A1A2E"/>
          <w:sz w:val="22"/>
          <w:szCs w:val="22"/>
        </w:rPr>
        <w:t xml:space="preserve">The total engagement investment of KES 1,150,000 is recovered by a single incremental diaspora land sale at PRL's average land price of KES 3,000,000 (assuming a 3% commission rate = KES 90,000 per transaction, plus the higher-value transactions in the KES 3.5M–5M range). A single additional sales transaction per month — a conservative target for a structured revenue system — represents KES 1,000,000+ in annual commission revenue above baseline. The engagement pays for itself in Q3.</w:t>
      </w:r>
    </w:p>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07</w:t>
      </w:r>
    </w:p>
    <w:p>
      <w:pPr>
        <w:spacing w:after="120" w:before="0"/>
        <w:jc w:val="left"/>
      </w:pPr>
      <w:r>
        <w:rPr>
          <w:rFonts w:ascii="Arial" w:cs="Arial" w:eastAsia="Arial" w:hAnsi="Arial"/>
          <w:b/>
          <w:bCs/>
          <w:color w:val="0D2147"/>
          <w:sz w:val="32"/>
          <w:szCs w:val="32"/>
        </w:rPr>
        <w:t xml:space="preserve">Why Provecta Group</w:t>
      </w:r>
    </w:p>
    <w:p>
      <w:pPr>
        <w:pBdr>
          <w:bottom w:val="single" w:color="C8A96E" w:sz="8"/>
        </w:pBdr>
        <w:spacing w:after="200" w:before="80"/>
      </w:pPr>
    </w:p>
    <w:p>
      <w:pPr>
        <w:spacing w:after="200" w:before="0"/>
        <w:jc w:val="left"/>
      </w:pPr>
      <w:r>
        <w:rPr>
          <w:rFonts w:ascii="Arial" w:cs="Arial" w:eastAsia="Arial" w:hAnsi="Arial"/>
          <w:color w:val="1A1A2E"/>
          <w:sz w:val="22"/>
          <w:szCs w:val="22"/>
        </w:rPr>
        <w:t xml:space="preserve">Premier Realty does not need a digital marketing agency. You need a revenue architect — someone who diagnoses the system, designs the fix, builds it alongside your team, and transfers ownership when the job is done. That is exactly what Provecta Group is built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80"/>
        <w:gridCol w:w="120"/>
        <w:gridCol w:w="4980"/>
      </w:tblGrid>
      <w:tr>
        <w:tc>
          <w:tcPr>
            <w:tcW w:type="dxa" w:w="4980"/>
            <w:tcBorders>
              <w:top w:val="none" w:color="FFFFFF" w:sz="0"/>
              <w:left w:val="none" w:color="FFFFFF" w:sz="0"/>
              <w:bottom w:val="none" w:color="FFFFFF" w:sz="0"/>
              <w:right w:val="none" w:color="FFFFFF" w:sz="0"/>
            </w:tcBorders>
            <w:shd w:fill="0D2147" w:val="clear"/>
            <w:tcMar>
              <w:top w:type="dxa" w:w="200"/>
              <w:left w:type="dxa" w:w="200"/>
              <w:bottom w:type="dxa" w:w="200"/>
              <w:right w:type="dxa" w:w="160"/>
            </w:tcMar>
            <w:vAlign w:val="top"/>
          </w:tcPr>
          <w:p>
            <w:pPr>
              <w:spacing w:after="80" w:before="0"/>
              <w:jc w:val="left"/>
            </w:pPr>
            <w:r>
              <w:rPr>
                <w:rFonts w:ascii="Arial" w:cs="Arial" w:eastAsia="Arial" w:hAnsi="Arial"/>
                <w:b/>
                <w:bCs/>
                <w:color w:val="FFFFFF"/>
                <w:sz w:val="22"/>
                <w:szCs w:val="22"/>
              </w:rPr>
              <w:t xml:space="preserve">Revenue Architecture, Not Marketing Fluff</w:t>
            </w:r>
          </w:p>
          <w:p>
            <w:pPr>
              <w:spacing w:after="120" w:before="0"/>
              <w:jc w:val="left"/>
            </w:pPr>
            <w:r>
              <w:rPr>
                <w:rFonts w:ascii="Arial" w:cs="Arial" w:eastAsia="Arial" w:hAnsi="Arial"/>
                <w:color w:val="FFFFFF"/>
                <w:sz w:val="20"/>
                <w:szCs w:val="20"/>
              </w:rPr>
              <w:t xml:space="preserve">Provecta's methodology is built on the Bow Tie Revenue Model and SPICED framework — the same systems used by world-class revenue organisations. Every deliverable we build is tied to a measurable output, not a vanity metric.</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tc>
        <w:tc>
          <w:tcPr>
            <w:tcW w:type="dxa" w:w="49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color w:val="C8A96E"/>
                <w:sz w:val="48"/>
                <w:szCs w:val="48"/>
              </w:rPr>
              <w:t xml:space="preserve">01</w:t>
            </w:r>
          </w:p>
        </w:tc>
      </w:tr>
      <w:tr>
        <w:tc>
          <w:tcPr>
            <w:tcW w:type="dxa" w:w="4980"/>
            <w:tcBorders>
              <w:top w:val="none" w:color="FFFFFF" w:sz="0"/>
              <w:left w:val="none" w:color="FFFFFF" w:sz="0"/>
              <w:bottom w:val="none" w:color="FFFFFF" w:sz="0"/>
              <w:right w:val="none" w:color="FFFFFF" w:sz="0"/>
            </w:tcBorders>
            <w:shd w:fill="1E65B0" w:val="clear"/>
            <w:tcMar>
              <w:top w:type="dxa" w:w="200"/>
              <w:left w:type="dxa" w:w="200"/>
              <w:bottom w:type="dxa" w:w="200"/>
              <w:right w:type="dxa" w:w="160"/>
            </w:tcMar>
            <w:vAlign w:val="top"/>
          </w:tcPr>
          <w:p>
            <w:pPr>
              <w:spacing w:after="80" w:before="0"/>
              <w:jc w:val="left"/>
            </w:pPr>
            <w:r>
              <w:rPr>
                <w:rFonts w:ascii="Arial" w:cs="Arial" w:eastAsia="Arial" w:hAnsi="Arial"/>
                <w:b/>
                <w:bCs/>
                <w:color w:val="FFFFFF"/>
                <w:sz w:val="22"/>
                <w:szCs w:val="22"/>
              </w:rPr>
              <w:t xml:space="preserve">Kenya Real Estate Context</w:t>
            </w:r>
          </w:p>
          <w:p>
            <w:pPr>
              <w:spacing w:after="120" w:before="0"/>
              <w:jc w:val="left"/>
            </w:pPr>
            <w:r>
              <w:rPr>
                <w:rFonts w:ascii="Arial" w:cs="Arial" w:eastAsia="Arial" w:hAnsi="Arial"/>
                <w:color w:val="FFFFFF"/>
                <w:sz w:val="20"/>
                <w:szCs w:val="20"/>
              </w:rPr>
              <w:t xml:space="preserve">We have built a deep intelligence profile of Kenya's real estate market, your competitive landscape, and your specific customer segments — diaspora investors, corporate clients, and mid-income land buyers. We are not learning this market from scratch.</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tc>
        <w:tc>
          <w:tcPr>
            <w:tcW w:type="dxa" w:w="49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color w:val="C8A96E"/>
                <w:sz w:val="48"/>
                <w:szCs w:val="48"/>
              </w:rPr>
              <w:t xml:space="preserve">02</w:t>
            </w:r>
          </w:p>
        </w:tc>
      </w:tr>
      <w:tr>
        <w:tc>
          <w:tcPr>
            <w:tcW w:type="dxa" w:w="4980"/>
            <w:tcBorders>
              <w:top w:val="none" w:color="FFFFFF" w:sz="0"/>
              <w:left w:val="none" w:color="FFFFFF" w:sz="0"/>
              <w:bottom w:val="none" w:color="FFFFFF" w:sz="0"/>
              <w:right w:val="none" w:color="FFFFFF" w:sz="0"/>
            </w:tcBorders>
            <w:shd w:fill="0D2147" w:val="clear"/>
            <w:tcMar>
              <w:top w:type="dxa" w:w="200"/>
              <w:left w:type="dxa" w:w="200"/>
              <w:bottom w:type="dxa" w:w="200"/>
              <w:right w:type="dxa" w:w="160"/>
            </w:tcMar>
            <w:vAlign w:val="top"/>
          </w:tcPr>
          <w:p>
            <w:pPr>
              <w:spacing w:after="80" w:before="0"/>
              <w:jc w:val="left"/>
            </w:pPr>
            <w:r>
              <w:rPr>
                <w:rFonts w:ascii="Arial" w:cs="Arial" w:eastAsia="Arial" w:hAnsi="Arial"/>
                <w:b/>
                <w:bCs/>
                <w:color w:val="FFFFFF"/>
                <w:sz w:val="22"/>
                <w:szCs w:val="22"/>
              </w:rPr>
              <w:t xml:space="preserve">AI-Native Operations</w:t>
            </w:r>
          </w:p>
          <w:p>
            <w:pPr>
              <w:spacing w:after="120" w:before="0"/>
              <w:jc w:val="left"/>
            </w:pPr>
            <w:r>
              <w:rPr>
                <w:rFonts w:ascii="Arial" w:cs="Arial" w:eastAsia="Arial" w:hAnsi="Arial"/>
                <w:color w:val="FFFFFF"/>
                <w:sz w:val="20"/>
                <w:szCs w:val="20"/>
              </w:rPr>
              <w:t xml:space="preserve">Provecta's AI Memory Brain infrastructure is live, tested, and deployed. We do not talk about AI — we run our own operations on it. The AI implementation we build for PRL is drawn from our own internal architecture.</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tc>
        <w:tc>
          <w:tcPr>
            <w:tcW w:type="dxa" w:w="49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color w:val="C8A96E"/>
                <w:sz w:val="48"/>
                <w:szCs w:val="48"/>
              </w:rPr>
              <w:t xml:space="preserve">03</w:t>
            </w:r>
          </w:p>
        </w:tc>
      </w:tr>
      <w:tr>
        <w:tc>
          <w:tcPr>
            <w:tcW w:type="dxa" w:w="4980"/>
            <w:tcBorders>
              <w:top w:val="none" w:color="FFFFFF" w:sz="0"/>
              <w:left w:val="none" w:color="FFFFFF" w:sz="0"/>
              <w:bottom w:val="none" w:color="FFFFFF" w:sz="0"/>
              <w:right w:val="none" w:color="FFFFFF" w:sz="0"/>
            </w:tcBorders>
            <w:shd w:fill="1E65B0" w:val="clear"/>
            <w:tcMar>
              <w:top w:type="dxa" w:w="200"/>
              <w:left w:type="dxa" w:w="200"/>
              <w:bottom w:type="dxa" w:w="200"/>
              <w:right w:type="dxa" w:w="160"/>
            </w:tcMar>
            <w:vAlign w:val="top"/>
          </w:tcPr>
          <w:p>
            <w:pPr>
              <w:spacing w:after="80" w:before="0"/>
              <w:jc w:val="left"/>
            </w:pPr>
            <w:r>
              <w:rPr>
                <w:rFonts w:ascii="Arial" w:cs="Arial" w:eastAsia="Arial" w:hAnsi="Arial"/>
                <w:b/>
                <w:bCs/>
                <w:color w:val="FFFFFF"/>
                <w:sz w:val="22"/>
                <w:szCs w:val="22"/>
              </w:rPr>
              <w:t xml:space="preserve">Co-Build Model — You Own the System</w:t>
            </w:r>
          </w:p>
          <w:p>
            <w:pPr>
              <w:spacing w:after="120" w:before="0"/>
              <w:jc w:val="left"/>
            </w:pPr>
            <w:r>
              <w:rPr>
                <w:rFonts w:ascii="Arial" w:cs="Arial" w:eastAsia="Arial" w:hAnsi="Arial"/>
                <w:color w:val="FFFFFF"/>
                <w:sz w:val="20"/>
                <w:szCs w:val="20"/>
              </w:rPr>
              <w:t xml:space="preserve">We build every system alongside your team, not in a black box. At engagement close, PRL owns the CRM, the processes, the playbooks, and the AI infrastructure. There is no dependency on Provecta to operate it.</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tc>
        <w:tc>
          <w:tcPr>
            <w:tcW w:type="dxa" w:w="49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color w:val="C8A96E"/>
                <w:sz w:val="48"/>
                <w:szCs w:val="48"/>
              </w:rPr>
              <w:t xml:space="preserve">04</w:t>
            </w:r>
          </w:p>
        </w:tc>
      </w:tr>
      <w:tr>
        <w:tc>
          <w:tcPr>
            <w:tcW w:type="dxa" w:w="4980"/>
            <w:tcBorders>
              <w:top w:val="none" w:color="FFFFFF" w:sz="0"/>
              <w:left w:val="none" w:color="FFFFFF" w:sz="0"/>
              <w:bottom w:val="none" w:color="FFFFFF" w:sz="0"/>
              <w:right w:val="none" w:color="FFFFFF" w:sz="0"/>
            </w:tcBorders>
            <w:shd w:fill="0D2147" w:val="clear"/>
            <w:tcMar>
              <w:top w:type="dxa" w:w="200"/>
              <w:left w:type="dxa" w:w="200"/>
              <w:bottom w:type="dxa" w:w="200"/>
              <w:right w:type="dxa" w:w="160"/>
            </w:tcMar>
            <w:vAlign w:val="top"/>
          </w:tcPr>
          <w:p>
            <w:pPr>
              <w:spacing w:after="80" w:before="0"/>
              <w:jc w:val="left"/>
            </w:pPr>
            <w:r>
              <w:rPr>
                <w:rFonts w:ascii="Arial" w:cs="Arial" w:eastAsia="Arial" w:hAnsi="Arial"/>
                <w:b/>
                <w:bCs/>
                <w:color w:val="FFFFFF"/>
                <w:sz w:val="22"/>
                <w:szCs w:val="22"/>
              </w:rPr>
              <w:t xml:space="preserve">Boutique Speed and Accountability</w:t>
            </w:r>
          </w:p>
          <w:p>
            <w:pPr>
              <w:spacing w:after="120" w:before="0"/>
              <w:jc w:val="left"/>
            </w:pPr>
            <w:r>
              <w:rPr>
                <w:rFonts w:ascii="Arial" w:cs="Arial" w:eastAsia="Arial" w:hAnsi="Arial"/>
                <w:color w:val="FFFFFF"/>
                <w:sz w:val="20"/>
                <w:szCs w:val="20"/>
              </w:rPr>
              <w:t xml:space="preserve">Provecta is a boutique firm. Hassan Wilson is personally accountable on every engagement. No account managers, no hand-offs, no junior staff doing the work. The person you sign with is the person who delivers.</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tc>
        <w:tc>
          <w:tcPr>
            <w:tcW w:type="dxa" w:w="49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color w:val="C8A96E"/>
                <w:sz w:val="48"/>
                <w:szCs w:val="48"/>
              </w:rPr>
              <w:t xml:space="preserve">05</w:t>
            </w:r>
          </w:p>
        </w:tc>
      </w:tr>
      <w:tr>
        <w:tc>
          <w:tcPr>
            <w:tcW w:type="dxa" w:w="4980"/>
            <w:tcBorders>
              <w:top w:val="none" w:color="FFFFFF" w:sz="0"/>
              <w:left w:val="none" w:color="FFFFFF" w:sz="0"/>
              <w:bottom w:val="none" w:color="FFFFFF" w:sz="0"/>
              <w:right w:val="none" w:color="FFFFFF" w:sz="0"/>
            </w:tcBorders>
            <w:shd w:fill="1E65B0" w:val="clear"/>
            <w:tcMar>
              <w:top w:type="dxa" w:w="200"/>
              <w:left w:type="dxa" w:w="200"/>
              <w:bottom w:type="dxa" w:w="200"/>
              <w:right w:type="dxa" w:w="160"/>
            </w:tcMar>
            <w:vAlign w:val="top"/>
          </w:tcPr>
          <w:p>
            <w:pPr>
              <w:spacing w:after="80" w:before="0"/>
              <w:jc w:val="left"/>
            </w:pPr>
            <w:r>
              <w:rPr>
                <w:rFonts w:ascii="Arial" w:cs="Arial" w:eastAsia="Arial" w:hAnsi="Arial"/>
                <w:b/>
                <w:bCs/>
                <w:color w:val="FFFFFF"/>
                <w:sz w:val="22"/>
                <w:szCs w:val="22"/>
              </w:rPr>
              <w:t xml:space="preserve">Active Kenya Engagement</w:t>
            </w:r>
          </w:p>
          <w:p>
            <w:pPr>
              <w:spacing w:after="120" w:before="0"/>
              <w:jc w:val="left"/>
            </w:pPr>
            <w:r>
              <w:rPr>
                <w:rFonts w:ascii="Arial" w:cs="Arial" w:eastAsia="Arial" w:hAnsi="Arial"/>
                <w:color w:val="FFFFFF"/>
                <w:sz w:val="20"/>
                <w:szCs w:val="20"/>
              </w:rPr>
              <w:t xml:space="preserve">Through our Sierra Homes project management engagement with Ecotecture in Naivasha, Provecta has direct exposure to Kenya's property development market — including the Naivasha corridor where PRL's Pana Ranch development sits.</w:t>
            </w:r>
          </w:p>
        </w:tc>
        <w:tc>
          <w:tcPr>
            <w:tcW w:type="dxa" w:w="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tc>
        <w:tc>
          <w:tcPr>
            <w:tcW w:type="dxa" w:w="49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color w:val="C8A96E"/>
                <w:sz w:val="48"/>
                <w:szCs w:val="48"/>
              </w:rPr>
              <w:t xml:space="preserve">06</w:t>
            </w:r>
          </w:p>
        </w:tc>
      </w:tr>
    </w:tbl>
    <w:p>
      <w:r>
        <w:br w:type="page"/>
      </w:r>
    </w:p>
    <w:p>
      <w:pPr>
        <w:spacing w:after="120" w:before="240"/>
        <w:jc w:val="left"/>
      </w:pPr>
      <w:r>
        <w:rPr>
          <w:rFonts w:ascii="Arial" w:cs="Arial" w:eastAsia="Arial" w:hAnsi="Arial"/>
          <w:color w:val="1A1A2E"/>
          <w:sz w:val="22"/>
          <w:szCs w:val="22"/>
        </w:rPr>
        <w:t xml:space="preserve"/>
      </w:r>
    </w:p>
    <w:p>
      <w:pPr>
        <w:spacing w:after="60" w:before="0"/>
        <w:jc w:val="left"/>
      </w:pPr>
      <w:r>
        <w:rPr>
          <w:rFonts w:ascii="Arial" w:cs="Arial" w:eastAsia="Arial" w:hAnsi="Arial"/>
          <w:b/>
          <w:bCs/>
          <w:caps/>
          <w:color w:val="C8A96E"/>
          <w:sz w:val="18"/>
          <w:szCs w:val="18"/>
        </w:rPr>
        <w:t xml:space="preserve">Section 08</w:t>
      </w:r>
    </w:p>
    <w:p>
      <w:pPr>
        <w:spacing w:after="120" w:before="0"/>
        <w:jc w:val="left"/>
      </w:pPr>
      <w:r>
        <w:rPr>
          <w:rFonts w:ascii="Arial" w:cs="Arial" w:eastAsia="Arial" w:hAnsi="Arial"/>
          <w:b/>
          <w:bCs/>
          <w:color w:val="0D2147"/>
          <w:sz w:val="32"/>
          <w:szCs w:val="32"/>
        </w:rPr>
        <w:t xml:space="preserve">Next Steps — How We Begin</w:t>
      </w:r>
    </w:p>
    <w:p>
      <w:pPr>
        <w:pBdr>
          <w:bottom w:val="single" w:color="C8A96E" w:sz="8"/>
        </w:pBdr>
        <w:spacing w:after="200" w:before="80"/>
      </w:pPr>
    </w:p>
    <w:p>
      <w:pPr>
        <w:spacing w:after="200" w:before="0"/>
        <w:jc w:val="left"/>
      </w:pPr>
      <w:r>
        <w:rPr>
          <w:rFonts w:ascii="Arial" w:cs="Arial" w:eastAsia="Arial" w:hAnsi="Arial"/>
          <w:color w:val="1A1A2E"/>
          <w:sz w:val="22"/>
          <w:szCs w:val="22"/>
        </w:rPr>
        <w:t xml:space="preserve">This proposal is valid for 30 days from the date of issue. Below is the recommended path to engagement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D2147" w:val="clear"/>
            <w:tcMar>
              <w:top w:type="dxa" w:w="160"/>
              <w:left w:type="dxa" w:w="160"/>
              <w:bottom w:type="dxa" w:w="160"/>
              <w:right w:type="dxa" w:w="120"/>
            </w:tcMar>
            <w:vAlign w:val="top"/>
          </w:tcPr>
          <w:p>
            <w:pPr>
              <w:spacing w:after="40" w:before="0"/>
              <w:jc w:val="left"/>
            </w:pPr>
            <w:r>
              <w:rPr>
                <w:rFonts w:ascii="Arial" w:cs="Arial" w:eastAsia="Arial" w:hAnsi="Arial"/>
                <w:b/>
                <w:bCs/>
                <w:caps/>
                <w:color w:val="C8A96E"/>
                <w:sz w:val="18"/>
                <w:szCs w:val="18"/>
              </w:rPr>
              <w:t xml:space="preserve">Step 1</w:t>
            </w:r>
          </w:p>
          <w:p>
            <w:pPr>
              <w:spacing w:after="120" w:before="0"/>
              <w:jc w:val="left"/>
            </w:pPr>
            <w:r>
              <w:rPr>
                <w:rFonts w:ascii="Arial" w:cs="Arial" w:eastAsia="Arial" w:hAnsi="Arial"/>
                <w:b/>
                <w:bCs/>
                <w:color w:val="FFFFFF"/>
                <w:sz w:val="22"/>
                <w:szCs w:val="22"/>
              </w:rPr>
              <w:t xml:space="preserve">Discovery Call (30 mins)</w:t>
            </w:r>
          </w:p>
        </w:tc>
        <w:tc>
          <w:tcPr>
            <w:tcW w:type="dxa" w:w="9280"/>
            <w:tcBorders>
              <w:top w:val="none" w:color="FFFFFF" w:sz="0"/>
              <w:left w:val="single" w:color="C8A96E" w:sz="8"/>
              <w:bottom w:val="none" w:color="FFFFFF" w:sz="0"/>
              <w:right w:val="none" w:color="FFFFFF" w:sz="0"/>
            </w:tcBorders>
            <w:shd w:fill="F0F4F8" w:val="clear"/>
            <w:tcMar>
              <w:top w:type="dxa" w:w="160"/>
              <w:left w:type="dxa" w:w="200"/>
              <w:bottom w:type="dxa" w:w="160"/>
              <w:right w:type="dxa" w:w="160"/>
            </w:tcMar>
            <w:vAlign w:val="center"/>
          </w:tcPr>
          <w:p>
            <w:pPr>
              <w:spacing w:after="120" w:before="0"/>
              <w:jc w:val="left"/>
            </w:pPr>
            <w:r>
              <w:rPr>
                <w:rFonts w:ascii="Arial" w:cs="Arial" w:eastAsia="Arial" w:hAnsi="Arial"/>
                <w:color w:val="1A1A2E"/>
                <w:sz w:val="20"/>
                <w:szCs w:val="20"/>
              </w:rPr>
              <w:t xml:space="preserve">Schedule a 30-minute video call with Hassan Wilson to walk through this proposal, answer any questions, and confirm scope. No obligation.</w:t>
            </w:r>
          </w:p>
        </w:tc>
      </w:tr>
      <w:tr>
        <w:tc>
          <w:tcPr>
            <w:tcW w:type="dxa" w:w="800"/>
            <w:tcBorders>
              <w:top w:val="none" w:color="FFFFFF" w:sz="0"/>
              <w:left w:val="none" w:color="FFFFFF" w:sz="0"/>
              <w:bottom w:val="none" w:color="FFFFFF" w:sz="0"/>
              <w:right w:val="none" w:color="FFFFFF" w:sz="0"/>
            </w:tcBorders>
            <w:shd w:fill="0D2147" w:val="clear"/>
            <w:tcMar>
              <w:top w:type="dxa" w:w="160"/>
              <w:left w:type="dxa" w:w="160"/>
              <w:bottom w:type="dxa" w:w="160"/>
              <w:right w:type="dxa" w:w="120"/>
            </w:tcMar>
            <w:vAlign w:val="top"/>
          </w:tcPr>
          <w:p>
            <w:pPr>
              <w:spacing w:after="40" w:before="0"/>
              <w:jc w:val="left"/>
            </w:pPr>
            <w:r>
              <w:rPr>
                <w:rFonts w:ascii="Arial" w:cs="Arial" w:eastAsia="Arial" w:hAnsi="Arial"/>
                <w:b/>
                <w:bCs/>
                <w:caps/>
                <w:color w:val="C8A96E"/>
                <w:sz w:val="18"/>
                <w:szCs w:val="18"/>
              </w:rPr>
              <w:t xml:space="preserve">Step 2</w:t>
            </w:r>
          </w:p>
          <w:p>
            <w:pPr>
              <w:spacing w:after="120" w:before="0"/>
              <w:jc w:val="left"/>
            </w:pPr>
            <w:r>
              <w:rPr>
                <w:rFonts w:ascii="Arial" w:cs="Arial" w:eastAsia="Arial" w:hAnsi="Arial"/>
                <w:b/>
                <w:bCs/>
                <w:color w:val="FFFFFF"/>
                <w:sz w:val="22"/>
                <w:szCs w:val="22"/>
              </w:rPr>
              <w:t xml:space="preserve">Engagement Agreement</w:t>
            </w:r>
          </w:p>
        </w:tc>
        <w:tc>
          <w:tcPr>
            <w:tcW w:type="dxa" w:w="9280"/>
            <w:tcBorders>
              <w:top w:val="none" w:color="FFFFFF" w:sz="0"/>
              <w:left w:val="single" w:color="C8A96E" w:sz="8"/>
              <w:bottom w:val="none" w:color="FFFFFF" w:sz="0"/>
              <w:right w:val="none" w:color="FFFFFF" w:sz="0"/>
            </w:tcBorders>
            <w:shd w:fill="FFFFFF" w:val="clear"/>
            <w:tcMar>
              <w:top w:type="dxa" w:w="160"/>
              <w:left w:type="dxa" w:w="200"/>
              <w:bottom w:type="dxa" w:w="160"/>
              <w:right w:type="dxa" w:w="160"/>
            </w:tcMar>
            <w:vAlign w:val="center"/>
          </w:tcPr>
          <w:p>
            <w:pPr>
              <w:spacing w:after="120" w:before="0"/>
              <w:jc w:val="left"/>
            </w:pPr>
            <w:r>
              <w:rPr>
                <w:rFonts w:ascii="Arial" w:cs="Arial" w:eastAsia="Arial" w:hAnsi="Arial"/>
                <w:color w:val="1A1A2E"/>
                <w:sz w:val="20"/>
                <w:szCs w:val="20"/>
              </w:rPr>
              <w:t xml:space="preserve">Provecta issues a short-form Engagement Agreement (2–3 pages) covering scope, deliverables, timeline, and payment terms. Reviewed and signed.</w:t>
            </w:r>
          </w:p>
        </w:tc>
      </w:tr>
      <w:tr>
        <w:tc>
          <w:tcPr>
            <w:tcW w:type="dxa" w:w="800"/>
            <w:tcBorders>
              <w:top w:val="none" w:color="FFFFFF" w:sz="0"/>
              <w:left w:val="none" w:color="FFFFFF" w:sz="0"/>
              <w:bottom w:val="none" w:color="FFFFFF" w:sz="0"/>
              <w:right w:val="none" w:color="FFFFFF" w:sz="0"/>
            </w:tcBorders>
            <w:shd w:fill="0D2147" w:val="clear"/>
            <w:tcMar>
              <w:top w:type="dxa" w:w="160"/>
              <w:left w:type="dxa" w:w="160"/>
              <w:bottom w:type="dxa" w:w="160"/>
              <w:right w:type="dxa" w:w="120"/>
            </w:tcMar>
            <w:vAlign w:val="top"/>
          </w:tcPr>
          <w:p>
            <w:pPr>
              <w:spacing w:after="40" w:before="0"/>
              <w:jc w:val="left"/>
            </w:pPr>
            <w:r>
              <w:rPr>
                <w:rFonts w:ascii="Arial" w:cs="Arial" w:eastAsia="Arial" w:hAnsi="Arial"/>
                <w:b/>
                <w:bCs/>
                <w:caps/>
                <w:color w:val="C8A96E"/>
                <w:sz w:val="18"/>
                <w:szCs w:val="18"/>
              </w:rPr>
              <w:t xml:space="preserve">Step 3</w:t>
            </w:r>
          </w:p>
          <w:p>
            <w:pPr>
              <w:spacing w:after="120" w:before="0"/>
              <w:jc w:val="left"/>
            </w:pPr>
            <w:r>
              <w:rPr>
                <w:rFonts w:ascii="Arial" w:cs="Arial" w:eastAsia="Arial" w:hAnsi="Arial"/>
                <w:b/>
                <w:bCs/>
                <w:color w:val="FFFFFF"/>
                <w:sz w:val="22"/>
                <w:szCs w:val="22"/>
              </w:rPr>
              <w:t xml:space="preserve">Q2 Kickoff</w:t>
            </w:r>
          </w:p>
        </w:tc>
        <w:tc>
          <w:tcPr>
            <w:tcW w:type="dxa" w:w="9280"/>
            <w:tcBorders>
              <w:top w:val="none" w:color="FFFFFF" w:sz="0"/>
              <w:left w:val="single" w:color="C8A96E" w:sz="8"/>
              <w:bottom w:val="none" w:color="FFFFFF" w:sz="0"/>
              <w:right w:val="none" w:color="FFFFFF" w:sz="0"/>
            </w:tcBorders>
            <w:shd w:fill="F0F4F8" w:val="clear"/>
            <w:tcMar>
              <w:top w:type="dxa" w:w="160"/>
              <w:left w:type="dxa" w:w="200"/>
              <w:bottom w:type="dxa" w:w="160"/>
              <w:right w:type="dxa" w:w="160"/>
            </w:tcMar>
            <w:vAlign w:val="center"/>
          </w:tcPr>
          <w:p>
            <w:pPr>
              <w:spacing w:after="120" w:before="0"/>
              <w:jc w:val="left"/>
            </w:pPr>
            <w:r>
              <w:rPr>
                <w:rFonts w:ascii="Arial" w:cs="Arial" w:eastAsia="Arial" w:hAnsi="Arial"/>
                <w:color w:val="1A1A2E"/>
                <w:sz w:val="20"/>
                <w:szCs w:val="20"/>
              </w:rPr>
              <w:t xml:space="preserve">RevOps Audit Kickoff scheduled within 5 business days of agreement signing. The SPICED discovery session is run with PRL's relevant team members.</w:t>
            </w:r>
          </w:p>
        </w:tc>
      </w:tr>
      <w:tr>
        <w:tc>
          <w:tcPr>
            <w:tcW w:type="dxa" w:w="800"/>
            <w:tcBorders>
              <w:top w:val="none" w:color="FFFFFF" w:sz="0"/>
              <w:left w:val="none" w:color="FFFFFF" w:sz="0"/>
              <w:bottom w:val="none" w:color="FFFFFF" w:sz="0"/>
              <w:right w:val="none" w:color="FFFFFF" w:sz="0"/>
            </w:tcBorders>
            <w:shd w:fill="0D2147" w:val="clear"/>
            <w:tcMar>
              <w:top w:type="dxa" w:w="160"/>
              <w:left w:type="dxa" w:w="160"/>
              <w:bottom w:type="dxa" w:w="160"/>
              <w:right w:type="dxa" w:w="120"/>
            </w:tcMar>
            <w:vAlign w:val="top"/>
          </w:tcPr>
          <w:p>
            <w:pPr>
              <w:spacing w:after="40" w:before="0"/>
              <w:jc w:val="left"/>
            </w:pPr>
            <w:r>
              <w:rPr>
                <w:rFonts w:ascii="Arial" w:cs="Arial" w:eastAsia="Arial" w:hAnsi="Arial"/>
                <w:b/>
                <w:bCs/>
                <w:caps/>
                <w:color w:val="C8A96E"/>
                <w:sz w:val="18"/>
                <w:szCs w:val="18"/>
              </w:rPr>
              <w:t xml:space="preserve">Step 4</w:t>
            </w:r>
          </w:p>
          <w:p>
            <w:pPr>
              <w:spacing w:after="120" w:before="0"/>
              <w:jc w:val="left"/>
            </w:pPr>
            <w:r>
              <w:rPr>
                <w:rFonts w:ascii="Arial" w:cs="Arial" w:eastAsia="Arial" w:hAnsi="Arial"/>
                <w:b/>
                <w:bCs/>
                <w:color w:val="FFFFFF"/>
                <w:sz w:val="22"/>
                <w:szCs w:val="22"/>
              </w:rPr>
              <w:t xml:space="preserve">Week 1 Deliverable</w:t>
            </w:r>
          </w:p>
        </w:tc>
        <w:tc>
          <w:tcPr>
            <w:tcW w:type="dxa" w:w="9280"/>
            <w:tcBorders>
              <w:top w:val="none" w:color="FFFFFF" w:sz="0"/>
              <w:left w:val="single" w:color="C8A96E" w:sz="8"/>
              <w:bottom w:val="none" w:color="FFFFFF" w:sz="0"/>
              <w:right w:val="none" w:color="FFFFFF" w:sz="0"/>
            </w:tcBorders>
            <w:shd w:fill="FFFFFF" w:val="clear"/>
            <w:tcMar>
              <w:top w:type="dxa" w:w="160"/>
              <w:left w:type="dxa" w:w="200"/>
              <w:bottom w:type="dxa" w:w="160"/>
              <w:right w:type="dxa" w:w="160"/>
            </w:tcMar>
            <w:vAlign w:val="center"/>
          </w:tcPr>
          <w:p>
            <w:pPr>
              <w:spacing w:after="120" w:before="0"/>
              <w:jc w:val="left"/>
            </w:pPr>
            <w:r>
              <w:rPr>
                <w:rFonts w:ascii="Arial" w:cs="Arial" w:eastAsia="Arial" w:hAnsi="Arial"/>
                <w:color w:val="1A1A2E"/>
                <w:sz w:val="20"/>
                <w:szCs w:val="20"/>
              </w:rPr>
              <w:t xml:space="preserve">Pre-Audit Questionnaire completed by PRL team. Current-state funnel mapped. CRM vendor confirmed (Zoho CRM recommended; PRL may already have an account).</w:t>
            </w:r>
          </w:p>
        </w:tc>
      </w:tr>
    </w:tbl>
    <w:p>
      <w:pPr>
        <w:spacing w:after="120" w:before="280"/>
        <w:jc w:val="left"/>
      </w:pPr>
      <w:r>
        <w:rPr>
          <w:rFonts w:ascii="Arial" w:cs="Arial" w:eastAsia="Arial" w:hAnsi="Arial"/>
          <w:color w:val="1A1A2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147" w:val="clear"/>
            <w:tcMar>
              <w:top w:type="dxa" w:w="280"/>
              <w:left w:type="dxa" w:w="200"/>
              <w:bottom w:type="dxa" w:w="280"/>
              <w:right w:type="dxa" w:w="200"/>
            </w:tcMar>
            <w:vAlign w:val="top"/>
          </w:tcPr>
          <w:p>
            <w:pPr>
              <w:spacing w:after="120" w:before="0"/>
              <w:jc w:val="center"/>
            </w:pPr>
            <w:r>
              <w:rPr>
                <w:rFonts w:ascii="Arial" w:cs="Arial" w:eastAsia="Arial" w:hAnsi="Arial"/>
                <w:b/>
                <w:bCs/>
                <w:color w:val="FFFFFF"/>
                <w:sz w:val="30"/>
                <w:szCs w:val="30"/>
              </w:rPr>
              <w:t xml:space="preserve">Ready to Build Premier Realty's Revenue Engine?</w:t>
            </w:r>
          </w:p>
          <w:p>
            <w:pPr>
              <w:spacing w:after="80" w:before="0"/>
              <w:jc w:val="center"/>
            </w:pPr>
            <w:r>
              <w:rPr>
                <w:rFonts w:ascii="Arial" w:cs="Arial" w:eastAsia="Arial" w:hAnsi="Arial"/>
                <w:color w:val="C8A96E"/>
                <w:sz w:val="22"/>
                <w:szCs w:val="22"/>
              </w:rPr>
              <w:t xml:space="preserve">Contact Hassan Wilson to schedule your Discovery Call</w:t>
            </w:r>
          </w:p>
          <w:p>
            <w:pPr>
              <w:spacing w:after="80" w:before="0"/>
              <w:jc w:val="center"/>
            </w:pPr>
            <w:r>
              <w:rPr>
                <w:rFonts w:ascii="Arial" w:cs="Arial" w:eastAsia="Arial" w:hAnsi="Arial"/>
                <w:b/>
                <w:bCs/>
                <w:color w:val="FFFFFF"/>
                <w:sz w:val="22"/>
                <w:szCs w:val="22"/>
              </w:rPr>
              <w:t xml:space="preserve">info@provectagroup.com</w:t>
            </w:r>
            <w:r>
              <w:rPr>
                <w:rFonts w:ascii="Arial" w:cs="Arial" w:eastAsia="Arial" w:hAnsi="Arial"/>
                <w:color w:val="C8A96E"/>
                <w:sz w:val="22"/>
                <w:szCs w:val="22"/>
              </w:rPr>
              <w:t xml:space="preserve">   |   </w:t>
            </w:r>
            <w:r>
              <w:rPr>
                <w:rFonts w:ascii="Arial" w:cs="Arial" w:eastAsia="Arial" w:hAnsi="Arial"/>
                <w:color w:val="FFFFFF"/>
                <w:sz w:val="22"/>
                <w:szCs w:val="22"/>
              </w:rPr>
              <w:t xml:space="preserve">provectagroup.com</w:t>
            </w:r>
          </w:p>
        </w:tc>
      </w:tr>
    </w:tbl>
    <w:p>
      <w:pPr>
        <w:spacing w:after="120" w:before="240"/>
        <w:jc w:val="left"/>
      </w:pPr>
      <w:r>
        <w:rPr>
          <w:rFonts w:ascii="Arial" w:cs="Arial" w:eastAsia="Arial" w:hAnsi="Arial"/>
          <w:color w:val="1A1A2E"/>
          <w:sz w:val="22"/>
          <w:szCs w:val="22"/>
        </w:rPr>
        <w:t xml:space="preserve"/>
      </w:r>
    </w:p>
    <w:p>
      <w:pPr>
        <w:spacing w:after="120" w:before="0"/>
        <w:jc w:val="center"/>
      </w:pPr>
      <w:r>
        <w:rPr>
          <w:rFonts w:ascii="Arial" w:cs="Arial" w:eastAsia="Arial" w:hAnsi="Arial"/>
          <w:i/>
          <w:iCs/>
          <w:color w:val="888888"/>
          <w:sz w:val="17"/>
          <w:szCs w:val="17"/>
        </w:rPr>
        <w:t xml:space="preserve">This proposal is confidential and prepared exclusively for Premier Realty Limited. It may not be shared, reproduced, or distributed without the written consent of Provecta Group.</w:t>
      </w:r>
    </w:p>
    <w:sectPr>
      <w:headerReference w:type="default" r:id="rId7"/>
      <w:footerReference w:type="default" r:id="rId8"/>
      <w:pgSz w:w="12240" w:h="15840" w:orient="portrait"/>
      <w:pgMar w:top="10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6"/>
      </w:pBdr>
      <w:spacing w:before="80"/>
      <w:jc w:val="center"/>
    </w:pPr>
    <w:r>
      <w:rPr>
        <w:rFonts w:ascii="Arial" w:cs="Arial" w:eastAsia="Arial" w:hAnsi="Arial"/>
        <w:color w:val="0D2147"/>
        <w:sz w:val="18"/>
        <w:szCs w:val="18"/>
      </w:rPr>
      <w:t xml:space="preserve">Provecta Group  |  Confidential  |  Page </w:t>
    </w:r>
    <w:r>
      <w:rPr>
        <w:rFonts w:ascii="Arial" w:cs="Arial" w:eastAsia="Arial" w:hAnsi="Arial"/>
        <w:color w:val="0D214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0D2147" w:sz="6"/>
            <w:right w:val="none" w:color="FFFFFF" w:sz="0"/>
          </w:tcBorders>
          <w:tcMar>
            <w:top w:type="dxa" w:w="80"/>
            <w:left w:type="dxa" w:w="120"/>
            <w:bottom w:type="dxa" w:w="80"/>
            <w:right w:type="dxa" w:w="120"/>
          </w:tcMar>
          <w:vAlign w:val="top"/>
        </w:tcPr>
        <w:p>
          <w:pPr>
            <w:spacing w:after="40" w:before="40"/>
          </w:pPr>
          <w:r>
            <w:drawing>
              <wp:inline distT="0" distB="0" distL="0" distR="0">
                <wp:extent cx="762000" cy="257175"/>
                <wp:effectExtent t="0" r="0" b="0" l="0"/>
                <wp:docPr id="1" name="hdr-logo" descr="Logo" title="Provecta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57175"/>
                        </a:xfrm>
                        <a:prstGeom prst="rect">
                          <a:avLst/>
                        </a:prstGeom>
                      </pic:spPr>
                    </pic:pic>
                  </a:graphicData>
                </a:graphic>
              </wp:inline>
            </w:drawing>
          </w:r>
        </w:p>
      </w:tc>
      <w:tc>
        <w:tcPr>
          <w:tcW w:type="dxa" w:w="5040"/>
          <w:tcBorders>
            <w:top w:val="none" w:color="FFFFFF" w:sz="0"/>
            <w:left w:val="none" w:color="FFFFFF" w:sz="0"/>
            <w:bottom w:val="single" w:color="0D2147" w:sz="6"/>
            <w:right w:val="none" w:color="FFFFFF" w:sz="0"/>
          </w:tcBorders>
          <w:tcMar>
            <w:top w:type="dxa" w:w="80"/>
            <w:left w:type="dxa" w:w="120"/>
            <w:bottom w:type="dxa" w:w="80"/>
            <w:right w:type="dxa" w:w="120"/>
          </w:tcMar>
          <w:vAlign w:val="top"/>
        </w:tcPr>
        <w:p>
          <w:pPr>
            <w:spacing w:after="40" w:before="40"/>
            <w:jc w:val="right"/>
          </w:pPr>
          <w:r>
            <w:rPr>
              <w:rFonts w:ascii="Arial" w:cs="Arial" w:eastAsia="Arial" w:hAnsi="Arial"/>
              <w:color w:val="0D2147"/>
              <w:sz w:val="18"/>
              <w:szCs w:val="18"/>
            </w:rPr>
            <w:t xml:space="preserve">Premier Realty | RevOps Proposal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47"/>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D214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78820de9ae9c855b6154c5a8d66e1fb4ecd0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978820de9ae9c855b6154c5a8d66e1fb4ecd0f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2026-04-09T16:57:44.195Z</dcterms:created>
  <dcterms:modified xsi:type="dcterms:W3CDTF">2026-04-09T16:57:44.195Z</dcterms:modified>
</cp:coreProperties>
</file>

<file path=docProps/custom.xml><?xml version="1.0" encoding="utf-8"?>
<Properties xmlns="http://schemas.openxmlformats.org/officeDocument/2006/custom-properties" xmlns:vt="http://schemas.openxmlformats.org/officeDocument/2006/docPropsVTypes"/>
</file>