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27</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May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02 June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01 ]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2"/>
      <w:bookmarkEnd w:id="2"/>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Source Code Pro" w:cs="Source Code Pro" w:eastAsia="Source Code Pro" w:hAnsi="Source Code Pro"/>
          <w:color w:val="e31c60"/>
          <w:sz w:val="22"/>
          <w:szCs w:val="22"/>
        </w:rPr>
      </w:pPr>
      <w:bookmarkStart w:colFirst="0" w:colLast="0" w:name="_kwsyc5wl8bzd" w:id="3"/>
      <w:bookmarkEnd w:id="3"/>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Understand the existing codebase and workflow of Atarashi</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Packaging Atarashi</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Publishing to PyPI</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0">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4"/>
      <w:bookmarkEnd w:id="4"/>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sz w:val="20"/>
          <w:szCs w:val="20"/>
          <w:u w:val="none"/>
        </w:rPr>
      </w:pPr>
      <w:r w:rsidDel="00000000" w:rsidR="00000000" w:rsidRPr="00000000">
        <w:rPr>
          <w:b w:val="1"/>
          <w:rtl w:val="0"/>
        </w:rPr>
        <w:t xml:space="preserve">Studied the existing Atarashi codebase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Studied various agents of Atarashi and looked and tried to understand the syntax as well as the working. Implemented and tested 2-3 agents to understand it better. Looked thoroughly the scripts to download the licenses from the SPDX website and how it is processed to actually implement it.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Packaged Atarashi</w:t>
      </w:r>
      <w:r w:rsidDel="00000000" w:rsidR="00000000" w:rsidRPr="00000000">
        <w:rPr>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Studied the documentation for the Publishing of a Python package to PyPI. Watched various tutorials and read some blogs to understand the whole process. The structure of Atarashi was already organized and </w:t>
      </w:r>
      <w:r w:rsidDel="00000000" w:rsidR="00000000" w:rsidRPr="00000000">
        <w:rPr>
          <w:i w:val="1"/>
          <w:rtl w:val="0"/>
        </w:rPr>
        <w:t xml:space="preserve">setup.py</w:t>
      </w:r>
      <w:r w:rsidDel="00000000" w:rsidR="00000000" w:rsidRPr="00000000">
        <w:rPr>
          <w:rtl w:val="0"/>
        </w:rPr>
        <w:t xml:space="preserve"> had every bit of detailed which was needed to publish. This saved me a lot of time and work.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rPr>
      </w:pPr>
      <w:r w:rsidDel="00000000" w:rsidR="00000000" w:rsidRPr="00000000">
        <w:rPr>
          <w:rtl w:val="0"/>
        </w:rPr>
        <w:t xml:space="preserve">   3. </w:t>
      </w:r>
      <w:r w:rsidDel="00000000" w:rsidR="00000000" w:rsidRPr="00000000">
        <w:rPr>
          <w:b w:val="1"/>
          <w:rtl w:val="0"/>
        </w:rPr>
        <w:t xml:space="preserve">Published to TestPyPI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It was recommended to first publish it to TestPyPI so that we can try distribution tools and processes without affecting the real index. So I tried publishing it there first. There were some minor errors like the classifiers in setup.py metadata was a little bit different than actually standardized classifiers provided by PyPI. Changed  </w:t>
      </w:r>
      <w:r w:rsidDel="00000000" w:rsidR="00000000" w:rsidRPr="00000000">
        <w:rPr>
          <w:b w:val="1"/>
          <w:i w:val="1"/>
          <w:rtl w:val="0"/>
        </w:rPr>
        <w:t xml:space="preserve">"Development Status ::  Pre-Alpha" to “Development Status :: 2 - Pre-Alpha”</w:t>
      </w:r>
      <w:r w:rsidDel="00000000" w:rsidR="00000000" w:rsidRPr="00000000">
        <w:rPr>
          <w:rtl w:val="0"/>
        </w:rPr>
        <w:t xml:space="preserve"> and </w:t>
      </w:r>
      <w:r w:rsidDel="00000000" w:rsidR="00000000" w:rsidRPr="00000000">
        <w:rPr>
          <w:b w:val="1"/>
          <w:i w:val="1"/>
          <w:rtl w:val="0"/>
        </w:rPr>
        <w:t xml:space="preserve">"License :: OSI Approved :: GPL v2.0 License" to “License :: OSI Approved :: GNU General Public License v2 (GPLv2)”</w:t>
      </w:r>
      <w:r w:rsidDel="00000000" w:rsidR="00000000" w:rsidRPr="00000000">
        <w:rPr>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One more error occurred while publishing when it was not accepting the </w:t>
      </w:r>
      <w:r w:rsidDel="00000000" w:rsidR="00000000" w:rsidRPr="00000000">
        <w:rPr>
          <w:b w:val="1"/>
          <w:i w:val="1"/>
          <w:rtl w:val="0"/>
        </w:rPr>
        <w:t xml:space="preserve">CodeComment</w:t>
      </w:r>
      <w:r w:rsidDel="00000000" w:rsidR="00000000" w:rsidRPr="00000000">
        <w:rPr>
          <w:rtl w:val="0"/>
        </w:rPr>
        <w:t xml:space="preserve"> as it was external so I had to remove it from </w:t>
      </w:r>
      <w:r w:rsidDel="00000000" w:rsidR="00000000" w:rsidRPr="00000000">
        <w:rPr>
          <w:i w:val="1"/>
          <w:rtl w:val="0"/>
        </w:rPr>
        <w:t xml:space="preserve">setup.py</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w:t>
      </w:r>
      <w:hyperlink r:id="rId11">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tl w:val="0"/>
        </w:rPr>
        <w:t xml:space="preserve"> suggested some improvements and after I implemented it, he tested and approved that the package is working as expected.</w:t>
      </w:r>
    </w:p>
    <w:p w:rsidR="00000000" w:rsidDel="00000000" w:rsidP="00000000" w:rsidRDefault="00000000" w:rsidRPr="00000000" w14:paraId="00000019">
      <w:pPr>
        <w:ind w:left="720" w:firstLine="0"/>
        <w:rPr/>
      </w:pPr>
      <w:r w:rsidDel="00000000" w:rsidR="00000000" w:rsidRPr="00000000">
        <w:rPr>
          <w:rtl w:val="0"/>
        </w:rPr>
        <w:t xml:space="preserve">The Package is live at: </w:t>
      </w:r>
      <w:hyperlink r:id="rId12">
        <w:r w:rsidDel="00000000" w:rsidR="00000000" w:rsidRPr="00000000">
          <w:rPr>
            <w:color w:val="1155cc"/>
            <w:u w:val="single"/>
            <w:rtl w:val="0"/>
          </w:rPr>
          <w:t xml:space="preserve">https://test.pypi.org/project/atarashi/</w:t>
        </w:r>
      </w:hyperlink>
      <w:r w:rsidDel="00000000" w:rsidR="00000000" w:rsidRPr="00000000">
        <w:rPr>
          <w:rtl w:val="0"/>
        </w:rPr>
        <w:t xml:space="preserve"> </w:t>
      </w:r>
    </w:p>
    <w:p w:rsidR="00000000" w:rsidDel="00000000" w:rsidP="00000000" w:rsidRDefault="00000000" w:rsidRPr="00000000" w14:paraId="0000001A">
      <w:pPr>
        <w:ind w:left="0" w:firstLine="0"/>
        <w:rPr>
          <w:b w:val="1"/>
        </w:rPr>
      </w:pPr>
      <w:r w:rsidDel="00000000" w:rsidR="00000000" w:rsidRPr="00000000">
        <w:rPr>
          <w:rtl w:val="0"/>
        </w:rPr>
        <w:t xml:space="preserve">   4. </w:t>
      </w:r>
      <w:r w:rsidDel="00000000" w:rsidR="00000000" w:rsidRPr="00000000">
        <w:rPr>
          <w:b w:val="1"/>
          <w:rtl w:val="0"/>
        </w:rPr>
        <w:t xml:space="preserve">Wrapping around FOSSology</w:t>
      </w:r>
      <w:r w:rsidDel="00000000" w:rsidR="00000000" w:rsidRPr="00000000">
        <w:rPr>
          <w:rtl w:val="0"/>
        </w:rPr>
        <w:t xml:space="preserve"> </w:t>
      </w:r>
      <w:r w:rsidDel="00000000" w:rsidR="00000000" w:rsidRPr="00000000">
        <w:rPr>
          <w:b w:val="1"/>
          <w:rtl w:val="0"/>
        </w:rPr>
        <w:t xml:space="preserve">(Ahead of Schedule)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r>
    </w:p>
    <w:p w:rsidR="00000000" w:rsidDel="00000000" w:rsidP="00000000" w:rsidRDefault="00000000" w:rsidRPr="00000000" w14:paraId="0000001C">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5"/>
      <w:bookmarkEnd w:id="5"/>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b w:val="1"/>
          <w:rtl w:val="0"/>
        </w:rPr>
        <w:t xml:space="preserve">31st May 2019(Friday)     Timings : 4:00 PM to 4:30 PM (IST)</w:t>
      </w:r>
      <w:r w:rsidDel="00000000" w:rsidR="00000000" w:rsidRPr="00000000">
        <w:rPr>
          <w:rFonts w:ascii="Source Code Pro" w:cs="Source Code Pro" w:eastAsia="Source Code Pro" w:hAnsi="Source Code Pro"/>
          <w:color w:val="424242"/>
          <w:sz w:val="20"/>
          <w:szCs w:val="20"/>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0" w:line="360" w:lineRule="auto"/>
        <w:ind w:left="720" w:firstLine="0"/>
        <w:rPr/>
      </w:pPr>
      <w:r w:rsidDel="00000000" w:rsidR="00000000" w:rsidRPr="00000000">
        <w:rPr>
          <w:b w:val="1"/>
          <w:rtl w:val="0"/>
        </w:rPr>
        <w:t xml:space="preserve">Attended By:</w:t>
      </w:r>
      <w:r w:rsidDel="00000000" w:rsidR="00000000" w:rsidRPr="00000000">
        <w:rPr>
          <w:rtl w:val="0"/>
        </w:rPr>
        <w:t xml:space="preserve"> Ayush Bhardwaj, Anupam Ghosh (Mentor), Gaurav Mishra (Mentor), Aman Jain (Mentor)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rtl w:val="0"/>
        </w:rPr>
        <w:t xml:space="preserve">I presented all my deliveries and Anupam tested it on his system. Aman and Anupam suggested me the next step I should do. Anupam told me about Ninka which can be used to wrap Atarashi around FOSSology. The call was short and all three mentors guided and motivated me for my upcoming deliveries.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Mishx" TargetMode="External"/><Relationship Id="rId10" Type="http://schemas.openxmlformats.org/officeDocument/2006/relationships/hyperlink" Target="https://github.com/amanjain97" TargetMode="External"/><Relationship Id="rId12" Type="http://schemas.openxmlformats.org/officeDocument/2006/relationships/hyperlink" Target="https://test.pypi.org/project/atarashi/" TargetMode="Externa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