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sz w:val="22"/>
          <w:szCs w:val="22"/>
        </w:rPr>
      </w:pPr>
      <w:bookmarkStart w:colFirst="0" w:colLast="0" w:name="_4bu4z72jz2rz" w:id="1"/>
      <w:bookmarkEnd w:id="1"/>
      <w:r w:rsidDel="00000000" w:rsidR="00000000" w:rsidRPr="00000000">
        <w:rPr>
          <w:sz w:val="22"/>
          <w:szCs w:val="22"/>
          <w:rtl w:val="0"/>
        </w:rPr>
        <w:t xml:space="preserve">17</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June</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23 June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04 ]</w:t>
      </w:r>
    </w:p>
    <w:p w:rsidR="00000000" w:rsidDel="00000000" w:rsidP="00000000" w:rsidRDefault="00000000" w:rsidRPr="00000000" w14:paraId="00000005">
      <w:pPr>
        <w:pStyle w:val="Subtitle"/>
        <w:rPr>
          <w:color w:val="ff0000"/>
          <w:sz w:val="24"/>
          <w:szCs w:val="24"/>
          <w:u w:val="single"/>
        </w:rPr>
      </w:pPr>
      <w:bookmarkStart w:colFirst="0" w:colLast="0" w:name="_id7s8y1jlwv2" w:id="2"/>
      <w:bookmarkEnd w:id="2"/>
      <w:r w:rsidDel="00000000" w:rsidR="00000000" w:rsidRPr="00000000">
        <w:rPr>
          <w:rtl w:val="0"/>
        </w:rPr>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3"/>
      <w:bookmarkEnd w:id="3"/>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4"/>
      <w:bookmarkEnd w:id="4"/>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Coding Ninka according to Atarashi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Compiling it and solving the errors for Atarashi to work</w:t>
      </w:r>
      <w:r w:rsidDel="00000000" w:rsidR="00000000" w:rsidRPr="00000000">
        <w:rPr>
          <w:rtl w:val="0"/>
        </w:rPr>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5"/>
      <w:bookmarkEnd w:id="5"/>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Coding Ninka according to Atarashi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Coded Ninka according to Atarashi. Changed various classes and functions. Added the command of atarashi to run. Parsed the output format of Atarashi i.e. JSON to the result output format of Ninka.It took me a while to search for a perfect JSON parser for CPP. But after discussing with mentors they told me to use Jsoncpp library that is already used there is FOSSology before. They also gave me an example of PR(#1226) to look for its working.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Compiling it and solving the errors for Atarashi to work.</w:t>
      </w:r>
      <w:r w:rsidDel="00000000" w:rsidR="00000000" w:rsidRPr="00000000">
        <w:rPr>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There were some errors while the compilation which needed some codes to change. As I was not aware of the Makefile Setup, the mentors helped me over the call to solve these errors and after that, I was able to successfully compile it.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I also hadn’t installed FOSSology in my system. This took me a while to install. My postgre database was also corrupt so I had to re-install it again to work for FOSSology database connection.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p w:rsidR="00000000" w:rsidDel="00000000" w:rsidP="00000000" w:rsidRDefault="00000000" w:rsidRPr="00000000" w14:paraId="0000001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6"/>
      <w:bookmarkEnd w:id="6"/>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22nd June 2019(Saturday)     Timings : 6:30 PM onwards</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b w:val="1"/>
          <w:rtl w:val="0"/>
        </w:rPr>
        <w:t xml:space="preserve">Attended By:</w:t>
      </w:r>
      <w:r w:rsidDel="00000000" w:rsidR="00000000" w:rsidRPr="00000000">
        <w:rPr>
          <w:rtl w:val="0"/>
        </w:rPr>
        <w:t xml:space="preserve"> Ayush Bhardwaj, Anupam Ghosh (Mentor), Gaurav Mishra (Mentor)</w:t>
      </w:r>
    </w:p>
    <w:p w:rsidR="00000000" w:rsidDel="00000000" w:rsidP="00000000" w:rsidRDefault="00000000" w:rsidRPr="00000000" w14:paraId="00000019">
      <w:pPr>
        <w:ind w:left="720" w:firstLine="0"/>
        <w:rPr/>
      </w:pPr>
      <w:r w:rsidDel="00000000" w:rsidR="00000000" w:rsidRPr="00000000">
        <w:rPr>
          <w:rtl w:val="0"/>
        </w:rPr>
        <w:t xml:space="preserve">I showed my work of wrapping atarashi according to Ninka to the mentors. Ad there was lots of errors which I was not able to solve, they helped me with each and every command and the changes needed to be done. As I was little bit behind the schedule they told me to fasten the work. Gaurav Sir left the call early and then Anupam sir guided with some of the changes needed to be done. The call then ended with some tasks to install FOSSology in my system which I, unfortunately, haven’t done before. </w:t>
      </w:r>
    </w:p>
    <w:p w:rsidR="00000000" w:rsidDel="00000000" w:rsidP="00000000" w:rsidRDefault="00000000" w:rsidRPr="00000000" w14:paraId="0000001A">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manjain97"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