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line="259" w:lineRule="auto"/>
      </w:pPr>
      <w:r>
        <w:rPr>
          <w:rFonts w:ascii="Aptos" w:hAnsi="Aptos" w:eastAsia="Aptos" w:cs="Aptos"/>
          <w:b/>
          <w:color w:val="17324D"/>
          <w:sz w:val="46"/>
        </w:rPr>
        <w:t>Newsletter Editorial Feedback</w:t>
      </w:r>
    </w:p>
    <w:p>
      <w:pPr>
        <w:spacing w:before="0" w:after="40" w:line="259" w:lineRule="auto"/>
      </w:pPr>
      <w:r>
        <w:rPr>
          <w:rFonts w:ascii="Aptos" w:hAnsi="Aptos" w:eastAsia="Aptos" w:cs="Aptos"/>
          <w:color w:val="2A72A8"/>
          <w:sz w:val="30"/>
        </w:rPr>
        <w:t>Weekly news and event selection model for Italian Primary Care Pediatricians</w:t>
      </w:r>
    </w:p>
    <w:p>
      <w:pPr>
        <w:spacing w:before="0" w:after="240" w:line="259" w:lineRule="auto"/>
      </w:pPr>
      <w:r>
        <w:rPr>
          <w:rFonts w:ascii="Aptos" w:hAnsi="Aptos" w:eastAsia="Aptos" w:cs="Aptos"/>
          <w:b/>
          <w:color w:val="6B7280"/>
          <w:sz w:val="21"/>
        </w:rPr>
        <w:t>Prepared for Ayush</w:t>
      </w:r>
    </w:p>
    <w:tbl>
      <w:tblPr>
        <w:tblW w:type="auto" w:w="0"/>
        <w:jc w:val="center"/>
        <w:tblLayout w:type="fixed"/>
        <w:tblLook w:firstColumn="1" w:firstRow="1" w:lastColumn="0" w:lastRow="0" w:noHBand="0" w:noVBand="1" w:val="04A0"/>
      </w:tblPr>
      <w:tblGrid>
        <w:gridCol w:w="10080"/>
      </w:tblGrid>
      <w:tr>
        <w:trPr>
          <w:cantSplit/>
        </w:trPr>
        <w:tc>
          <w:tcPr>
            <w:tcW w:type="dxa" w:w="10166"/>
            <w:shd w:fill="EAF2F8"/>
            <w:tcMar>
              <w:top w:w="150" w:type="dxa"/>
              <w:start w:w="180" w:type="dxa"/>
              <w:bottom w:w="150" w:type="dxa"/>
              <w:end w:w="180" w:type="dxa"/>
            </w:tcMar>
          </w:tcPr>
          <w:p>
            <w:pPr>
              <w:spacing w:after="100"/>
            </w:pPr>
            <w:r>
              <w:rPr>
                <w:rFonts w:ascii="Aptos" w:hAnsi="Aptos" w:eastAsia="Aptos" w:cs="Aptos"/>
              </w:rPr>
            </w:r>
            <w:r>
              <w:rPr>
                <w:rFonts w:ascii="Aptos" w:hAnsi="Aptos" w:eastAsia="Aptos" w:cs="Aptos"/>
                <w:b/>
                <w:color w:val="173A59"/>
                <w:sz w:val="23"/>
              </w:rPr>
              <w:t>Executive summary</w:t>
            </w:r>
          </w:p>
          <w:p>
            <w:pPr>
              <w:spacing w:after="0" w:line="259" w:lineRule="auto"/>
            </w:pPr>
            <w:r>
              <w:rPr>
                <w:rFonts w:ascii="Aptos" w:hAnsi="Aptos" w:eastAsia="Aptos" w:cs="Aptos"/>
                <w:color w:val="1F2937"/>
                <w:sz w:val="21"/>
              </w:rPr>
              <w:t>The newsletter format is clear. The main issue is upstream, in content selection. The news bot appears to give too much weight to SIP because it is an Italian source, even when an international source is more relevant to the daily work of a PLS. A second issue concerns events: event discovery should not depend on whether an event page was newly published that week. The newsletter should instead show the most relevant upcoming events for PLS within a defined time window.</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166"/>
            <w:shd w:fill="EAF5F0"/>
            <w:tcMar>
              <w:top w:w="150" w:type="dxa"/>
              <w:start w:w="180" w:type="dxa"/>
              <w:bottom w:w="150" w:type="dxa"/>
              <w:end w:w="180" w:type="dxa"/>
            </w:tcMar>
          </w:tcPr>
          <w:p>
            <w:pPr>
              <w:spacing w:after="100"/>
            </w:pPr>
            <w:r>
              <w:rPr>
                <w:rFonts w:ascii="Aptos" w:hAnsi="Aptos" w:eastAsia="Aptos" w:cs="Aptos"/>
              </w:rPr>
            </w:r>
            <w:r>
              <w:rPr>
                <w:rFonts w:ascii="Aptos" w:hAnsi="Aptos" w:eastAsia="Aptos" w:cs="Aptos"/>
                <w:b/>
                <w:color w:val="2C8B68"/>
                <w:sz w:val="23"/>
              </w:rPr>
              <w:t>Core recommendation</w:t>
            </w:r>
          </w:p>
          <w:p>
            <w:pPr>
              <w:spacing w:after="0" w:line="259" w:lineRule="auto"/>
            </w:pPr>
            <w:r>
              <w:rPr>
                <w:rFonts w:ascii="Aptos" w:hAnsi="Aptos" w:eastAsia="Aptos" w:cs="Aptos"/>
                <w:color w:val="1F2937"/>
                <w:sz w:val="21"/>
              </w:rPr>
              <w:t>Use two separate selection pipelines. For scientific and professional news, rank every candidate first by relevance to PLS practice and actionability, then by authority, freshness, and Italian applicability. For events, scan the dedicated source registry and select upcoming events based on event date and PLS audience fit, not publication date.</w:t>
            </w:r>
          </w:p>
        </w:tc>
      </w:tr>
    </w:tbl>
    <w:p>
      <w:pPr>
        <w:spacing w:after="40"/>
      </w:pPr>
    </w:p>
    <w:p>
      <w:pPr>
        <w:keepNext/>
        <w:spacing w:before="200" w:after="80" w:line="259" w:lineRule="auto"/>
      </w:pPr>
      <w:r>
        <w:rPr>
          <w:rFonts w:ascii="Aptos" w:hAnsi="Aptos" w:eastAsia="Aptos" w:cs="Aptos"/>
          <w:b/>
          <w:color w:val="17324D"/>
          <w:sz w:val="30"/>
        </w:rPr>
        <w:t>1. Review of the two selected news items</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096"/>
        <w:gridCol w:w="1224"/>
        <w:gridCol w:w="4608"/>
        <w:gridCol w:w="1584"/>
      </w:tblGrid>
      <w:tr>
        <w:trPr>
          <w:tblHeader w:val="true"/>
          <w:cantSplit/>
        </w:trPr>
        <w:tc>
          <w:tcPr>
            <w:tcW w:type="dxa" w:w="2541"/>
            <w:shd w:fill="17324D"/>
            <w:tcMar>
              <w:top w:w="105" w:type="dxa"/>
              <w:start w:w="105" w:type="dxa"/>
              <w:bottom w:w="105" w:type="dxa"/>
              <w:end w:w="105" w:type="dxa"/>
            </w:tcMar>
            <w:vAlign w:val="center"/>
          </w:tcPr>
          <w:p>
            <w:pPr>
              <w:jc w:val="left"/>
            </w:pPr>
            <w:r>
              <w:rPr>
                <w:rFonts w:ascii="Aptos" w:hAnsi="Aptos" w:eastAsia="Aptos" w:cs="Aptos"/>
                <w:b/>
                <w:color w:val="FFFFFF"/>
                <w:sz w:val="19"/>
              </w:rPr>
              <w:t>News item</w:t>
            </w:r>
          </w:p>
        </w:tc>
        <w:tc>
          <w:tcPr>
            <w:tcW w:type="dxa" w:w="2541"/>
            <w:shd w:fill="17324D"/>
            <w:tcMar>
              <w:top w:w="105" w:type="dxa"/>
              <w:start w:w="105" w:type="dxa"/>
              <w:bottom w:w="105" w:type="dxa"/>
              <w:end w:w="105" w:type="dxa"/>
            </w:tcMar>
            <w:vAlign w:val="center"/>
          </w:tcPr>
          <w:p>
            <w:pPr>
              <w:jc w:val="center"/>
            </w:pPr>
            <w:r>
              <w:rPr>
                <w:rFonts w:ascii="Aptos" w:hAnsi="Aptos" w:eastAsia="Aptos" w:cs="Aptos"/>
                <w:b/>
                <w:color w:val="FFFFFF"/>
                <w:sz w:val="19"/>
              </w:rPr>
              <w:t>Score</w:t>
            </w:r>
          </w:p>
        </w:tc>
        <w:tc>
          <w:tcPr>
            <w:tcW w:type="dxa" w:w="2541"/>
            <w:shd w:fill="17324D"/>
            <w:tcMar>
              <w:top w:w="105" w:type="dxa"/>
              <w:start w:w="105" w:type="dxa"/>
              <w:bottom w:w="105" w:type="dxa"/>
              <w:end w:w="105" w:type="dxa"/>
            </w:tcMar>
            <w:vAlign w:val="center"/>
          </w:tcPr>
          <w:p>
            <w:pPr>
              <w:jc w:val="left"/>
            </w:pPr>
            <w:r>
              <w:rPr>
                <w:rFonts w:ascii="Aptos" w:hAnsi="Aptos" w:eastAsia="Aptos" w:cs="Aptos"/>
                <w:b/>
                <w:color w:val="FFFFFF"/>
                <w:sz w:val="19"/>
              </w:rPr>
              <w:t>Why the score is limited</w:t>
            </w:r>
          </w:p>
        </w:tc>
        <w:tc>
          <w:tcPr>
            <w:tcW w:type="dxa" w:w="2541"/>
            <w:shd w:fill="17324D"/>
            <w:tcMar>
              <w:top w:w="105" w:type="dxa"/>
              <w:start w:w="105" w:type="dxa"/>
              <w:bottom w:w="105" w:type="dxa"/>
              <w:end w:w="105" w:type="dxa"/>
            </w:tcMar>
            <w:vAlign w:val="center"/>
          </w:tcPr>
          <w:p>
            <w:pPr>
              <w:jc w:val="center"/>
            </w:pPr>
            <w:r>
              <w:rPr>
                <w:rFonts w:ascii="Aptos" w:hAnsi="Aptos" w:eastAsia="Aptos" w:cs="Aptos"/>
                <w:b/>
                <w:color w:val="FFFFFF"/>
                <w:sz w:val="19"/>
              </w:rPr>
              <w:t>Decision</w:t>
            </w:r>
          </w:p>
        </w:tc>
      </w:tr>
      <w:tr>
        <w:trPr>
          <w:cantSplit/>
        </w:trPr>
        <w:tc>
          <w:tcPr>
            <w:tcW w:type="dxa" w:w="3096"/>
            <w:shd w:fill="FFFFFF"/>
            <w:tcMar>
              <w:top w:w="115" w:type="dxa"/>
              <w:start w:w="115" w:type="dxa"/>
              <w:bottom w:w="115" w:type="dxa"/>
              <w:end w:w="115" w:type="dxa"/>
            </w:tcMar>
            <w:vAlign w:val="center"/>
          </w:tcPr>
          <w:p>
            <w:pPr>
              <w:spacing w:after="0"/>
              <w:jc w:val="left"/>
            </w:pPr>
            <w:r>
              <w:rPr>
                <w:rFonts w:ascii="Aptos" w:hAnsi="Aptos" w:eastAsia="Aptos" w:cs="Aptos"/>
                <w:b/>
                <w:color w:val="1F2937"/>
                <w:sz w:val="19"/>
              </w:rPr>
              <w:t>Intraosseous access in the critically ill child</w:t>
            </w:r>
          </w:p>
        </w:tc>
        <w:tc>
          <w:tcPr>
            <w:tcW w:type="dxa" w:w="1224"/>
            <w:shd w:fill="FFFFFF"/>
            <w:tcMar>
              <w:top w:w="115" w:type="dxa"/>
              <w:start w:w="115" w:type="dxa"/>
              <w:bottom w:w="115" w:type="dxa"/>
              <w:end w:w="115" w:type="dxa"/>
            </w:tcMar>
            <w:vAlign w:val="center"/>
          </w:tcPr>
          <w:p>
            <w:pPr>
              <w:spacing w:after="0"/>
              <w:jc w:val="center"/>
            </w:pPr>
            <w:r>
              <w:rPr>
                <w:rFonts w:ascii="Aptos" w:hAnsi="Aptos" w:eastAsia="Aptos" w:cs="Aptos"/>
                <w:b/>
                <w:color w:val="1F2937"/>
                <w:sz w:val="19"/>
              </w:rPr>
              <w:t>4 out of 10</w:t>
            </w:r>
          </w:p>
        </w:tc>
        <w:tc>
          <w:tcPr>
            <w:tcW w:type="dxa" w:w="4608"/>
            <w:shd w:fill="FFFFFF"/>
            <w:tcMar>
              <w:top w:w="115" w:type="dxa"/>
              <w:start w:w="115" w:type="dxa"/>
              <w:bottom w:w="115" w:type="dxa"/>
              <w:end w:w="115" w:type="dxa"/>
            </w:tcMar>
            <w:vAlign w:val="center"/>
          </w:tcPr>
          <w:p>
            <w:pPr>
              <w:spacing w:after="0"/>
              <w:jc w:val="left"/>
            </w:pPr>
            <w:r>
              <w:rPr>
                <w:rFonts w:ascii="Aptos" w:hAnsi="Aptos" w:eastAsia="Aptos" w:cs="Aptos"/>
                <w:b w:val="0"/>
                <w:color w:val="1F2937"/>
                <w:sz w:val="19"/>
              </w:rPr>
              <w:t>Clinically valid, but mainly relevant to emergency departments, hospital teams, and acute resuscitation settings. For most PLS activity it has limited direct operational relevance. It also feels more like a clinical reminder than a meaningful change for outpatient practice this week.</w:t>
            </w:r>
          </w:p>
        </w:tc>
        <w:tc>
          <w:tcPr>
            <w:tcW w:type="dxa" w:w="1584"/>
            <w:shd w:fill="FFFFFF"/>
            <w:tcMar>
              <w:top w:w="115" w:type="dxa"/>
              <w:start w:w="115" w:type="dxa"/>
              <w:bottom w:w="115" w:type="dxa"/>
              <w:end w:w="115" w:type="dxa"/>
            </w:tcMar>
            <w:vAlign w:val="center"/>
          </w:tcPr>
          <w:p>
            <w:pPr>
              <w:spacing w:after="0"/>
              <w:jc w:val="center"/>
            </w:pPr>
            <w:r>
              <w:rPr>
                <w:rFonts w:ascii="Aptos" w:hAnsi="Aptos" w:eastAsia="Aptos" w:cs="Aptos"/>
                <w:b/>
                <w:color w:val="1F2937"/>
                <w:sz w:val="19"/>
              </w:rPr>
              <w:t>Do not use as a top story</w:t>
            </w:r>
          </w:p>
        </w:tc>
      </w:tr>
      <w:tr>
        <w:trPr>
          <w:cantSplit/>
        </w:trPr>
        <w:tc>
          <w:tcPr>
            <w:tcW w:type="dxa" w:w="3096"/>
            <w:shd w:fill="F3F5F7"/>
            <w:tcMar>
              <w:top w:w="115" w:type="dxa"/>
              <w:start w:w="115" w:type="dxa"/>
              <w:bottom w:w="115" w:type="dxa"/>
              <w:end w:w="115" w:type="dxa"/>
            </w:tcMar>
            <w:vAlign w:val="center"/>
          </w:tcPr>
          <w:p>
            <w:pPr>
              <w:spacing w:after="0"/>
              <w:jc w:val="left"/>
            </w:pPr>
            <w:r>
              <w:rPr>
                <w:rFonts w:ascii="Aptos" w:hAnsi="Aptos" w:eastAsia="Aptos" w:cs="Aptos"/>
                <w:b/>
                <w:color w:val="1F2937"/>
                <w:sz w:val="19"/>
              </w:rPr>
              <w:t>PCOS in adolescence and multidisciplinary referral</w:t>
            </w:r>
          </w:p>
        </w:tc>
        <w:tc>
          <w:tcPr>
            <w:tcW w:type="dxa" w:w="1224"/>
            <w:shd w:fill="F3F5F7"/>
            <w:tcMar>
              <w:top w:w="115" w:type="dxa"/>
              <w:start w:w="115" w:type="dxa"/>
              <w:bottom w:w="115" w:type="dxa"/>
              <w:end w:w="115" w:type="dxa"/>
            </w:tcMar>
            <w:vAlign w:val="center"/>
          </w:tcPr>
          <w:p>
            <w:pPr>
              <w:spacing w:after="0"/>
              <w:jc w:val="center"/>
            </w:pPr>
            <w:r>
              <w:rPr>
                <w:rFonts w:ascii="Aptos" w:hAnsi="Aptos" w:eastAsia="Aptos" w:cs="Aptos"/>
                <w:b/>
                <w:color w:val="1F2937"/>
                <w:sz w:val="19"/>
              </w:rPr>
              <w:t>7 out of 10 as a topic. 5 out of 10 in the current framing</w:t>
            </w:r>
          </w:p>
        </w:tc>
        <w:tc>
          <w:tcPr>
            <w:tcW w:type="dxa" w:w="4608"/>
            <w:shd w:fill="F3F5F7"/>
            <w:tcMar>
              <w:top w:w="115" w:type="dxa"/>
              <w:start w:w="115" w:type="dxa"/>
              <w:bottom w:w="115" w:type="dxa"/>
              <w:end w:w="115" w:type="dxa"/>
            </w:tcMar>
            <w:vAlign w:val="center"/>
          </w:tcPr>
          <w:p>
            <w:pPr>
              <w:spacing w:after="0"/>
              <w:jc w:val="left"/>
            </w:pPr>
            <w:r>
              <w:rPr>
                <w:rFonts w:ascii="Aptos" w:hAnsi="Aptos" w:eastAsia="Aptos" w:cs="Aptos"/>
                <w:b w:val="0"/>
                <w:color w:val="1F2937"/>
                <w:sz w:val="19"/>
              </w:rPr>
              <w:t>The topic is much more relevant to PLS practice because adolescents with menstrual irregularity, acne, weight issues, and possible endocrine concerns are seen in primary care. The current message, however, is too generic. Saying to refer when multidisciplinary management is needed does not help the PLS identify when referral should be considered. The current category on tests and devices is also not a good fit.</w:t>
            </w:r>
          </w:p>
        </w:tc>
        <w:tc>
          <w:tcPr>
            <w:tcW w:type="dxa" w:w="1584"/>
            <w:shd w:fill="F3F5F7"/>
            <w:tcMar>
              <w:top w:w="115" w:type="dxa"/>
              <w:start w:w="115" w:type="dxa"/>
              <w:bottom w:w="115" w:type="dxa"/>
              <w:end w:w="115" w:type="dxa"/>
            </w:tcMar>
            <w:vAlign w:val="center"/>
          </w:tcPr>
          <w:p>
            <w:pPr>
              <w:spacing w:after="0"/>
              <w:jc w:val="center"/>
            </w:pPr>
            <w:r>
              <w:rPr>
                <w:rFonts w:ascii="Aptos" w:hAnsi="Aptos" w:eastAsia="Aptos" w:cs="Aptos"/>
                <w:b/>
                <w:color w:val="1F2937"/>
                <w:sz w:val="19"/>
              </w:rPr>
              <w:t>Keep only if reframed</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166"/>
            <w:shd w:fill="FFF5E6"/>
            <w:tcMar>
              <w:top w:w="150" w:type="dxa"/>
              <w:start w:w="180" w:type="dxa"/>
              <w:bottom w:w="150" w:type="dxa"/>
              <w:end w:w="180" w:type="dxa"/>
            </w:tcMar>
          </w:tcPr>
          <w:p>
            <w:pPr>
              <w:spacing w:after="80"/>
            </w:pPr>
            <w:r>
              <w:rPr>
                <w:rFonts w:ascii="Aptos" w:hAnsi="Aptos" w:eastAsia="Aptos" w:cs="Aptos"/>
                <w:b/>
                <w:color w:val="A56A16"/>
                <w:sz w:val="23"/>
              </w:rPr>
              <w:t>Editorial interpretation</w:t>
            </w:r>
          </w:p>
          <w:p>
            <w:pPr>
              <w:spacing w:before="0" w:after="0" w:line="259" w:lineRule="auto"/>
            </w:pPr>
            <w:r>
              <w:rPr>
                <w:rFonts w:ascii="Aptos" w:hAnsi="Aptos" w:eastAsia="Aptos" w:cs="Aptos"/>
                <w:b w:val="0"/>
                <w:color w:val="1F2937"/>
                <w:sz w:val="21"/>
              </w:rPr>
              <w:t>The first item is the clearest warning signal. A respected Italian source has produced a story that is clinically sound but not well matched to the target audience. This suggests that the bot is currently rewarding the source before evaluating the setting in which the information is actually useful.</w:t>
            </w:r>
          </w:p>
        </w:tc>
      </w:tr>
    </w:tbl>
    <w:p>
      <w:pPr>
        <w:spacing w:after="40"/>
      </w:pPr>
    </w:p>
    <w:p>
      <w:pPr>
        <w:keepNext/>
        <w:spacing w:before="200" w:after="80" w:line="259" w:lineRule="auto"/>
      </w:pPr>
      <w:r>
        <w:rPr>
          <w:rFonts w:ascii="Aptos" w:hAnsi="Aptos" w:eastAsia="Aptos" w:cs="Aptos"/>
          <w:b/>
          <w:color w:val="17324D"/>
          <w:sz w:val="30"/>
        </w:rPr>
        <w:t>2. The source selection problem</w:t>
      </w:r>
    </w:p>
    <w:p>
      <w:pPr>
        <w:spacing w:before="0" w:after="120" w:line="259" w:lineRule="auto"/>
      </w:pPr>
      <w:r>
        <w:rPr>
          <w:rFonts w:ascii="Aptos" w:hAnsi="Aptos" w:eastAsia="Aptos" w:cs="Aptos"/>
          <w:b w:val="0"/>
          <w:color w:val="1F2937"/>
          <w:sz w:val="22"/>
        </w:rPr>
        <w:t>I think the main weakness is not SIP itself. The weakness is the weighting given to SIP inside the selection model. SIP is extremely valuable when the news concerns Italian recommendations, Italian professional practice, national campaigns, organizational changes, or local epidemiology. It should not automatically beat an international source when the international item is more directly relevant to PLS decisions.</w:t>
      </w:r>
    </w:p>
    <w:p>
      <w:pPr>
        <w:spacing w:before="0" w:after="120" w:line="259" w:lineRule="auto"/>
      </w:pPr>
      <w:r>
        <w:rPr>
          <w:rFonts w:ascii="Aptos" w:hAnsi="Aptos" w:eastAsia="Aptos" w:cs="Aptos"/>
          <w:b w:val="0"/>
          <w:color w:val="1F2937"/>
          <w:sz w:val="22"/>
        </w:rPr>
        <w:t>A source such as Pediatrics or another major pediatric journal can be international and still be more relevant to an Italian PLS than a domestic item aimed mainly at hospital pediatricians. The bot therefore needs to evaluate audience fit before source geography.</w:t>
      </w:r>
    </w:p>
    <w:tbl>
      <w:tblPr>
        <w:tblW w:type="auto" w:w="0"/>
        <w:jc w:val="center"/>
        <w:tblLayout w:type="fixed"/>
        <w:tblLook w:firstColumn="1" w:firstRow="1" w:lastColumn="0" w:lastRow="0" w:noHBand="0" w:noVBand="1" w:val="04A0"/>
      </w:tblPr>
      <w:tblGrid>
        <w:gridCol w:w="10080"/>
      </w:tblGrid>
      <w:tr>
        <w:trPr>
          <w:cantSplit/>
        </w:trPr>
        <w:tc>
          <w:tcPr>
            <w:tcW w:type="dxa" w:w="10166"/>
            <w:shd w:fill="FAECEC"/>
            <w:tcMar>
              <w:top w:w="150" w:type="dxa"/>
              <w:start w:w="180" w:type="dxa"/>
              <w:bottom w:w="150" w:type="dxa"/>
              <w:end w:w="180" w:type="dxa"/>
            </w:tcMar>
          </w:tcPr>
          <w:p>
            <w:pPr>
              <w:spacing w:after="80"/>
            </w:pPr>
            <w:r>
              <w:rPr>
                <w:rFonts w:ascii="Aptos" w:hAnsi="Aptos" w:eastAsia="Aptos" w:cs="Aptos"/>
                <w:b/>
                <w:color w:val="A14646"/>
                <w:sz w:val="23"/>
              </w:rPr>
              <w:t>Simple rule for the bot</w:t>
            </w:r>
          </w:p>
          <w:p>
            <w:pPr>
              <w:spacing w:before="0" w:after="0" w:line="259" w:lineRule="auto"/>
            </w:pPr>
            <w:r>
              <w:rPr>
                <w:rFonts w:ascii="Aptos" w:hAnsi="Aptos" w:eastAsia="Aptos" w:cs="Aptos"/>
                <w:b w:val="0"/>
                <w:color w:val="1F2937"/>
                <w:sz w:val="21"/>
              </w:rPr>
              <w:t>Do not select an article because it comes from SIP. Select it because it is useful to a PLS. SIP should be treated as a high authority source, not as an automatic priority source.</w:t>
            </w:r>
          </w:p>
        </w:tc>
      </w:tr>
    </w:tbl>
    <w:p>
      <w:pPr>
        <w:spacing w:after="40"/>
      </w:pPr>
    </w:p>
    <w:p>
      <w:pPr>
        <w:keepNext/>
        <w:spacing w:before="200" w:after="80" w:line="259" w:lineRule="auto"/>
      </w:pPr>
      <w:r>
        <w:rPr>
          <w:rFonts w:ascii="Aptos" w:hAnsi="Aptos" w:eastAsia="Aptos" w:cs="Aptos"/>
          <w:b/>
          <w:color w:val="17324D"/>
          <w:sz w:val="30"/>
        </w:rPr>
        <w:t>3. Three stronger editorial candidates</w:t>
      </w:r>
    </w:p>
    <w:tbl>
      <w:tblPr>
        <w:tblW w:type="auto" w:w="0"/>
        <w:jc w:val="center"/>
        <w:tblLayout w:type="fixed"/>
        <w:tblLook w:firstColumn="1" w:firstRow="1" w:lastColumn="0" w:lastRow="0" w:noHBand="0" w:noVBand="1" w:val="04A0"/>
      </w:tblPr>
      <w:tblGrid>
        <w:gridCol w:w="10080"/>
      </w:tblGrid>
      <w:tr>
        <w:trPr>
          <w:cantSplit/>
        </w:trPr>
        <w:tc>
          <w:tcPr>
            <w:tcW w:type="dxa" w:w="10166"/>
            <w:shd w:fill="EAF5F0"/>
            <w:tcMar>
              <w:top w:w="140" w:type="dxa"/>
              <w:start w:w="170" w:type="dxa"/>
              <w:bottom w:w="140" w:type="dxa"/>
              <w:end w:w="170" w:type="dxa"/>
            </w:tcMar>
          </w:tcPr>
          <w:p>
            <w:pPr>
              <w:spacing w:after="40"/>
            </w:pPr>
            <w:r>
              <w:rPr>
                <w:rFonts w:ascii="Aptos" w:hAnsi="Aptos" w:eastAsia="Aptos" w:cs="Aptos"/>
                <w:b/>
                <w:color w:val="2F7D61"/>
                <w:sz w:val="24"/>
              </w:rPr>
              <w:t>1. RSV prevention in infants</w:t>
            </w:r>
          </w:p>
          <w:p>
            <w:pPr>
              <w:spacing w:before="0" w:after="100" w:line="259" w:lineRule="auto"/>
            </w:pPr>
            <w:r>
              <w:rPr>
                <w:rFonts w:ascii="Aptos" w:hAnsi="Aptos" w:eastAsia="Aptos" w:cs="Aptos"/>
                <w:b/>
                <w:color w:val="6B7280"/>
                <w:sz w:val="20"/>
              </w:rPr>
              <w:t>9 out of 10</w:t>
            </w:r>
          </w:p>
          <w:p>
            <w:pPr>
              <w:spacing w:before="0" w:after="60" w:line="259" w:lineRule="auto"/>
            </w:pPr>
            <w:r>
              <w:rPr>
                <w:rFonts w:ascii="Aptos" w:hAnsi="Aptos" w:eastAsia="Aptos" w:cs="Aptos"/>
                <w:b/>
                <w:color w:val="1F2937"/>
                <w:sz w:val="20"/>
              </w:rPr>
              <w:t xml:space="preserve">Why it is stronger: </w:t>
            </w:r>
            <w:r>
              <w:rPr>
                <w:rFonts w:ascii="Aptos" w:hAnsi="Aptos" w:eastAsia="Aptos" w:cs="Aptos"/>
                <w:b w:val="0"/>
                <w:color w:val="1F2937"/>
                <w:sz w:val="20"/>
              </w:rPr>
              <w:t>RSV prevention is directly connected to infants followed by PLS, seasonal planning, family counselling, immunization discussions, and coordination around preventive strategies. It affects a recurring decision in primary care and is therefore much closer to the core audience than intraosseous access.</w:t>
            </w:r>
          </w:p>
          <w:p>
            <w:pPr>
              <w:spacing w:before="0" w:after="0" w:line="259" w:lineRule="auto"/>
            </w:pPr>
            <w:r>
              <w:rPr>
                <w:rFonts w:ascii="Aptos" w:hAnsi="Aptos" w:eastAsia="Aptos" w:cs="Aptos"/>
                <w:b/>
                <w:color w:val="1F2937"/>
                <w:sz w:val="20"/>
              </w:rPr>
              <w:t xml:space="preserve">Editorial angle: </w:t>
            </w:r>
            <w:r>
              <w:rPr>
                <w:rFonts w:ascii="Aptos" w:hAnsi="Aptos" w:eastAsia="Aptos" w:cs="Aptos"/>
                <w:b w:val="0"/>
                <w:color w:val="1F2937"/>
                <w:sz w:val="20"/>
              </w:rPr>
              <w:t>Use new evidence to help the PLS understand what should be anticipated before the next RSV season. Any operational recommendation must then be translated into the applicable Italian and regional guidance.</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166"/>
            <w:shd w:fill="EAF2F8"/>
            <w:tcMar>
              <w:top w:w="140" w:type="dxa"/>
              <w:start w:w="170" w:type="dxa"/>
              <w:bottom w:w="140" w:type="dxa"/>
              <w:end w:w="170" w:type="dxa"/>
            </w:tcMar>
          </w:tcPr>
          <w:p>
            <w:pPr>
              <w:spacing w:after="40"/>
            </w:pPr>
            <w:r>
              <w:rPr>
                <w:rFonts w:ascii="Aptos" w:hAnsi="Aptos" w:eastAsia="Aptos" w:cs="Aptos"/>
                <w:b/>
                <w:color w:val="2F6F9F"/>
                <w:sz w:val="24"/>
              </w:rPr>
              <w:t>2. Telemedicine in pediatric primary care</w:t>
            </w:r>
          </w:p>
          <w:p>
            <w:pPr>
              <w:spacing w:before="0" w:after="100" w:line="259" w:lineRule="auto"/>
            </w:pPr>
            <w:r>
              <w:rPr>
                <w:rFonts w:ascii="Aptos" w:hAnsi="Aptos" w:eastAsia="Aptos" w:cs="Aptos"/>
                <w:b/>
                <w:color w:val="6B7280"/>
                <w:sz w:val="20"/>
              </w:rPr>
              <w:t>8 out of 10</w:t>
            </w:r>
          </w:p>
          <w:p>
            <w:pPr>
              <w:spacing w:before="0" w:after="60" w:line="259" w:lineRule="auto"/>
            </w:pPr>
            <w:r>
              <w:rPr>
                <w:rFonts w:ascii="Aptos" w:hAnsi="Aptos" w:eastAsia="Aptos" w:cs="Aptos"/>
                <w:b/>
                <w:color w:val="1F2937"/>
                <w:sz w:val="20"/>
              </w:rPr>
              <w:t xml:space="preserve">Why it is stronger: </w:t>
            </w:r>
            <w:r>
              <w:rPr>
                <w:rFonts w:ascii="Aptos" w:hAnsi="Aptos" w:eastAsia="Aptos" w:cs="Aptos"/>
                <w:b w:val="0"/>
                <w:color w:val="1F2937"/>
                <w:sz w:val="20"/>
              </w:rPr>
              <w:t>This is directly about the organization of primary care. It can help a PLS think about which follow up activities are appropriate remotely and which require physical examination. It is relevant to chronic care, behavioural care, continuity, access, and practice workflow.</w:t>
            </w:r>
          </w:p>
          <w:p>
            <w:pPr>
              <w:spacing w:before="0" w:after="0" w:line="259" w:lineRule="auto"/>
            </w:pPr>
            <w:r>
              <w:rPr>
                <w:rFonts w:ascii="Aptos" w:hAnsi="Aptos" w:eastAsia="Aptos" w:cs="Aptos"/>
                <w:b/>
                <w:color w:val="1F2937"/>
                <w:sz w:val="20"/>
              </w:rPr>
              <w:t xml:space="preserve">Editorial angle: </w:t>
            </w:r>
            <w:r>
              <w:rPr>
                <w:rFonts w:ascii="Aptos" w:hAnsi="Aptos" w:eastAsia="Aptos" w:cs="Aptos"/>
                <w:b w:val="0"/>
                <w:color w:val="1F2937"/>
                <w:sz w:val="20"/>
              </w:rPr>
              <w:t>Focus on where remote care adds value and where it should remain complementary to an in person visit. This gives the reader a practical service decision rather than a generic technology story.</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166"/>
            <w:shd w:fill="FFF5E6"/>
            <w:tcMar>
              <w:top w:w="140" w:type="dxa"/>
              <w:start w:w="170" w:type="dxa"/>
              <w:bottom w:w="140" w:type="dxa"/>
              <w:end w:w="170" w:type="dxa"/>
            </w:tcMar>
          </w:tcPr>
          <w:p>
            <w:pPr>
              <w:spacing w:after="40"/>
            </w:pPr>
            <w:r>
              <w:rPr>
                <w:rFonts w:ascii="Aptos" w:hAnsi="Aptos" w:eastAsia="Aptos" w:cs="Aptos"/>
                <w:b/>
                <w:color w:val="A56A16"/>
                <w:sz w:val="24"/>
              </w:rPr>
              <w:t>3. Breastfeeding support through remote or digital follow up</w:t>
            </w:r>
          </w:p>
          <w:p>
            <w:pPr>
              <w:spacing w:before="0" w:after="100" w:line="259" w:lineRule="auto"/>
            </w:pPr>
            <w:r>
              <w:rPr>
                <w:rFonts w:ascii="Aptos" w:hAnsi="Aptos" w:eastAsia="Aptos" w:cs="Aptos"/>
                <w:b/>
                <w:color w:val="6B7280"/>
                <w:sz w:val="20"/>
              </w:rPr>
              <w:t>7.5 out of 10</w:t>
            </w:r>
          </w:p>
          <w:p>
            <w:pPr>
              <w:spacing w:before="0" w:after="60" w:line="259" w:lineRule="auto"/>
            </w:pPr>
            <w:r>
              <w:rPr>
                <w:rFonts w:ascii="Aptos" w:hAnsi="Aptos" w:eastAsia="Aptos" w:cs="Aptos"/>
                <w:b/>
                <w:color w:val="1F2937"/>
                <w:sz w:val="20"/>
              </w:rPr>
              <w:t xml:space="preserve">Why it is stronger: </w:t>
            </w:r>
            <w:r>
              <w:rPr>
                <w:rFonts w:ascii="Aptos" w:hAnsi="Aptos" w:eastAsia="Aptos" w:cs="Aptos"/>
                <w:b w:val="0"/>
                <w:color w:val="1F2937"/>
                <w:sz w:val="20"/>
              </w:rPr>
              <w:t>Breastfeeding questions are common in routine PLS practice. The timing is also strong because World Breastfeeding Week runs from 1 to 7 August. Recent evidence on remote and digital support creates a practical bridge between a frequent clinical need and continuity after the office visit.</w:t>
            </w:r>
          </w:p>
          <w:p>
            <w:pPr>
              <w:spacing w:before="0" w:after="0" w:line="259" w:lineRule="auto"/>
            </w:pPr>
            <w:r>
              <w:rPr>
                <w:rFonts w:ascii="Aptos" w:hAnsi="Aptos" w:eastAsia="Aptos" w:cs="Aptos"/>
                <w:b/>
                <w:color w:val="1F2937"/>
                <w:sz w:val="20"/>
              </w:rPr>
              <w:t xml:space="preserve">Editorial angle: </w:t>
            </w:r>
            <w:r>
              <w:rPr>
                <w:rFonts w:ascii="Aptos" w:hAnsi="Aptos" w:eastAsia="Aptos" w:cs="Aptos"/>
                <w:b w:val="0"/>
                <w:color w:val="1F2937"/>
                <w:sz w:val="20"/>
              </w:rPr>
              <w:t>The useful message is not simply that breastfeeding is important. The useful message is that selected families may benefit from structured follow up after the visit, while remote support should not replace an in person assessment when clinical examination is necessary.</w:t>
            </w:r>
          </w:p>
        </w:tc>
      </w:tr>
    </w:tbl>
    <w:p>
      <w:pPr>
        <w:spacing w:after="40"/>
      </w:pPr>
    </w:p>
    <w:p>
      <w:pPr>
        <w:keepNext/>
        <w:spacing w:before="200" w:after="80" w:line="259" w:lineRule="auto"/>
      </w:pPr>
      <w:r>
        <w:rPr>
          <w:rFonts w:ascii="Aptos" w:hAnsi="Aptos" w:eastAsia="Aptos" w:cs="Aptos"/>
          <w:b/>
          <w:color w:val="17324D"/>
          <w:sz w:val="30"/>
        </w:rPr>
        <w:t>4. Recommended scoring logic for the bot</w:t>
      </w:r>
    </w:p>
    <w:p>
      <w:pPr>
        <w:spacing w:before="0" w:after="120" w:line="259" w:lineRule="auto"/>
      </w:pPr>
      <w:r>
        <w:rPr>
          <w:rFonts w:ascii="Aptos" w:hAnsi="Aptos" w:eastAsia="Aptos" w:cs="Aptos"/>
          <w:b w:val="0"/>
          <w:color w:val="1F2937"/>
          <w:sz w:val="22"/>
        </w:rPr>
        <w:t>I would make the target audience the first filter and use a weighted score for every candidate. A practical starting model is below.</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4896"/>
        <w:gridCol w:w="1584"/>
        <w:gridCol w:w="3024"/>
      </w:tblGrid>
      <w:tr>
        <w:trPr>
          <w:tblHeader w:val="true"/>
          <w:cantSplit/>
        </w:trPr>
        <w:tc>
          <w:tcPr>
            <w:tcW w:type="dxa" w:w="3389"/>
            <w:shd w:fill="17324D"/>
            <w:tcMar>
              <w:top w:w="95" w:type="dxa"/>
              <w:start w:w="110" w:type="dxa"/>
              <w:bottom w:w="95" w:type="dxa"/>
              <w:end w:w="110" w:type="dxa"/>
            </w:tcMar>
          </w:tcPr>
          <w:p>
            <w:pPr>
              <w:jc w:val="left"/>
            </w:pPr>
            <w:r>
              <w:rPr>
                <w:rFonts w:ascii="Aptos" w:hAnsi="Aptos" w:eastAsia="Aptos" w:cs="Aptos"/>
                <w:b/>
                <w:color w:val="FFFFFF"/>
                <w:sz w:val="19"/>
              </w:rPr>
              <w:t>Criterion</w:t>
            </w:r>
          </w:p>
        </w:tc>
        <w:tc>
          <w:tcPr>
            <w:tcW w:type="dxa" w:w="3389"/>
            <w:shd w:fill="17324D"/>
            <w:tcMar>
              <w:top w:w="95" w:type="dxa"/>
              <w:start w:w="110" w:type="dxa"/>
              <w:bottom w:w="95" w:type="dxa"/>
              <w:end w:w="110" w:type="dxa"/>
            </w:tcMar>
          </w:tcPr>
          <w:p>
            <w:pPr>
              <w:jc w:val="center"/>
            </w:pPr>
            <w:r>
              <w:rPr>
                <w:rFonts w:ascii="Aptos" w:hAnsi="Aptos" w:eastAsia="Aptos" w:cs="Aptos"/>
                <w:b/>
                <w:color w:val="FFFFFF"/>
                <w:sz w:val="19"/>
              </w:rPr>
              <w:t>Weight</w:t>
            </w:r>
          </w:p>
        </w:tc>
        <w:tc>
          <w:tcPr>
            <w:tcW w:type="dxa" w:w="3389"/>
            <w:shd w:fill="17324D"/>
            <w:tcMar>
              <w:top w:w="95" w:type="dxa"/>
              <w:start w:w="110" w:type="dxa"/>
              <w:bottom w:w="95" w:type="dxa"/>
              <w:end w:w="110" w:type="dxa"/>
            </w:tcMar>
          </w:tcPr>
          <w:p>
            <w:pPr>
              <w:jc w:val="left"/>
            </w:pPr>
            <w:r>
              <w:rPr>
                <w:rFonts w:ascii="Aptos" w:hAnsi="Aptos" w:eastAsia="Aptos" w:cs="Aptos"/>
                <w:b/>
                <w:color w:val="FFFFFF"/>
                <w:sz w:val="19"/>
              </w:rPr>
              <w:t>What it means</w:t>
            </w:r>
          </w:p>
        </w:tc>
      </w:tr>
      <w:tr>
        <w:trPr>
          <w:cantSplit/>
        </w:trPr>
        <w:tc>
          <w:tcPr>
            <w:tcW w:type="dxa" w:w="4896"/>
            <w:shd w:fill="FFFFFF"/>
            <w:tcMar>
              <w:top w:w="90" w:type="dxa"/>
              <w:start w:w="110" w:type="dxa"/>
              <w:bottom w:w="90" w:type="dxa"/>
              <w:end w:w="110" w:type="dxa"/>
            </w:tcMar>
          </w:tcPr>
          <w:p>
            <w:pPr>
              <w:spacing w:after="0"/>
              <w:jc w:val="left"/>
            </w:pPr>
            <w:r>
              <w:rPr>
                <w:rFonts w:ascii="Aptos" w:hAnsi="Aptos" w:eastAsia="Aptos" w:cs="Aptos"/>
                <w:b/>
                <w:color w:val="1F2937"/>
                <w:sz w:val="19"/>
              </w:rPr>
              <w:t>Direct relevance to daily PLS practice</w:t>
            </w:r>
          </w:p>
        </w:tc>
        <w:tc>
          <w:tcPr>
            <w:tcW w:type="dxa" w:w="1584"/>
            <w:shd w:fill="FFFFFF"/>
            <w:tcMar>
              <w:top w:w="90" w:type="dxa"/>
              <w:start w:w="110" w:type="dxa"/>
              <w:bottom w:w="90" w:type="dxa"/>
              <w:end w:w="110" w:type="dxa"/>
            </w:tcMar>
          </w:tcPr>
          <w:p>
            <w:pPr>
              <w:spacing w:after="0"/>
              <w:jc w:val="center"/>
            </w:pPr>
            <w:r>
              <w:rPr>
                <w:rFonts w:ascii="Aptos" w:hAnsi="Aptos" w:eastAsia="Aptos" w:cs="Aptos"/>
                <w:b/>
                <w:color w:val="1F2937"/>
                <w:sz w:val="19"/>
              </w:rPr>
              <w:t>35 percent</w:t>
            </w:r>
          </w:p>
        </w:tc>
        <w:tc>
          <w:tcPr>
            <w:tcW w:type="dxa" w:w="3024"/>
            <w:shd w:fill="FFFFFF"/>
            <w:tcMar>
              <w:top w:w="90" w:type="dxa"/>
              <w:start w:w="110" w:type="dxa"/>
              <w:bottom w:w="90" w:type="dxa"/>
              <w:end w:w="110" w:type="dxa"/>
            </w:tcMar>
          </w:tcPr>
          <w:p>
            <w:pPr>
              <w:spacing w:after="0"/>
              <w:jc w:val="left"/>
            </w:pPr>
            <w:r>
              <w:rPr>
                <w:rFonts w:ascii="Aptos" w:hAnsi="Aptos" w:eastAsia="Aptos" w:cs="Aptos"/>
                <w:b w:val="0"/>
                <w:color w:val="1F2937"/>
                <w:sz w:val="19"/>
              </w:rPr>
              <w:t>Does this affect patients, decisions, counselling, follow up, or workflow in primary care?</w:t>
            </w:r>
          </w:p>
        </w:tc>
      </w:tr>
      <w:tr>
        <w:trPr>
          <w:cantSplit/>
        </w:trPr>
        <w:tc>
          <w:tcPr>
            <w:tcW w:type="dxa" w:w="4896"/>
            <w:shd w:fill="F3F5F7"/>
            <w:tcMar>
              <w:top w:w="90" w:type="dxa"/>
              <w:start w:w="110" w:type="dxa"/>
              <w:bottom w:w="90" w:type="dxa"/>
              <w:end w:w="110" w:type="dxa"/>
            </w:tcMar>
          </w:tcPr>
          <w:p>
            <w:pPr>
              <w:spacing w:after="0"/>
              <w:jc w:val="left"/>
            </w:pPr>
            <w:r>
              <w:rPr>
                <w:rFonts w:ascii="Aptos" w:hAnsi="Aptos" w:eastAsia="Aptos" w:cs="Aptos"/>
                <w:b/>
                <w:color w:val="1F2937"/>
                <w:sz w:val="19"/>
              </w:rPr>
              <w:t>Actionability</w:t>
            </w:r>
          </w:p>
        </w:tc>
        <w:tc>
          <w:tcPr>
            <w:tcW w:type="dxa" w:w="1584"/>
            <w:shd w:fill="F3F5F7"/>
            <w:tcMar>
              <w:top w:w="90" w:type="dxa"/>
              <w:start w:w="110" w:type="dxa"/>
              <w:bottom w:w="90" w:type="dxa"/>
              <w:end w:w="110" w:type="dxa"/>
            </w:tcMar>
          </w:tcPr>
          <w:p>
            <w:pPr>
              <w:spacing w:after="0"/>
              <w:jc w:val="center"/>
            </w:pPr>
            <w:r>
              <w:rPr>
                <w:rFonts w:ascii="Aptos" w:hAnsi="Aptos" w:eastAsia="Aptos" w:cs="Aptos"/>
                <w:b/>
                <w:color w:val="1F2937"/>
                <w:sz w:val="19"/>
              </w:rPr>
              <w:t>25 percent</w:t>
            </w:r>
          </w:p>
        </w:tc>
        <w:tc>
          <w:tcPr>
            <w:tcW w:type="dxa" w:w="3024"/>
            <w:shd w:fill="F3F5F7"/>
            <w:tcMar>
              <w:top w:w="90" w:type="dxa"/>
              <w:start w:w="110" w:type="dxa"/>
              <w:bottom w:w="90" w:type="dxa"/>
              <w:end w:w="110" w:type="dxa"/>
            </w:tcMar>
          </w:tcPr>
          <w:p>
            <w:pPr>
              <w:spacing w:after="0"/>
              <w:jc w:val="left"/>
            </w:pPr>
            <w:r>
              <w:rPr>
                <w:rFonts w:ascii="Aptos" w:hAnsi="Aptos" w:eastAsia="Aptos" w:cs="Aptos"/>
                <w:b w:val="0"/>
                <w:color w:val="1F2937"/>
                <w:sz w:val="19"/>
              </w:rPr>
              <w:t>Can the reader understand what to consider or do differently?</w:t>
            </w:r>
          </w:p>
        </w:tc>
      </w:tr>
      <w:tr>
        <w:trPr>
          <w:cantSplit/>
        </w:trPr>
        <w:tc>
          <w:tcPr>
            <w:tcW w:type="dxa" w:w="4896"/>
            <w:shd w:fill="FFFFFF"/>
            <w:tcMar>
              <w:top w:w="90" w:type="dxa"/>
              <w:start w:w="110" w:type="dxa"/>
              <w:bottom w:w="90" w:type="dxa"/>
              <w:end w:w="110" w:type="dxa"/>
            </w:tcMar>
          </w:tcPr>
          <w:p>
            <w:pPr>
              <w:spacing w:after="0"/>
              <w:jc w:val="left"/>
            </w:pPr>
            <w:r>
              <w:rPr>
                <w:rFonts w:ascii="Aptos" w:hAnsi="Aptos" w:eastAsia="Aptos" w:cs="Aptos"/>
                <w:b/>
                <w:color w:val="1F2937"/>
                <w:sz w:val="19"/>
              </w:rPr>
              <w:t>Source authority</w:t>
            </w:r>
          </w:p>
        </w:tc>
        <w:tc>
          <w:tcPr>
            <w:tcW w:type="dxa" w:w="1584"/>
            <w:shd w:fill="FFFFFF"/>
            <w:tcMar>
              <w:top w:w="90" w:type="dxa"/>
              <w:start w:w="110" w:type="dxa"/>
              <w:bottom w:w="90" w:type="dxa"/>
              <w:end w:w="110" w:type="dxa"/>
            </w:tcMar>
          </w:tcPr>
          <w:p>
            <w:pPr>
              <w:spacing w:after="0"/>
              <w:jc w:val="center"/>
            </w:pPr>
            <w:r>
              <w:rPr>
                <w:rFonts w:ascii="Aptos" w:hAnsi="Aptos" w:eastAsia="Aptos" w:cs="Aptos"/>
                <w:b/>
                <w:color w:val="1F2937"/>
                <w:sz w:val="19"/>
              </w:rPr>
              <w:t>15 percent</w:t>
            </w:r>
          </w:p>
        </w:tc>
        <w:tc>
          <w:tcPr>
            <w:tcW w:type="dxa" w:w="3024"/>
            <w:shd w:fill="FFFFFF"/>
            <w:tcMar>
              <w:top w:w="90" w:type="dxa"/>
              <w:start w:w="110" w:type="dxa"/>
              <w:bottom w:w="90" w:type="dxa"/>
              <w:end w:w="110" w:type="dxa"/>
            </w:tcMar>
          </w:tcPr>
          <w:p>
            <w:pPr>
              <w:spacing w:after="0"/>
              <w:jc w:val="left"/>
            </w:pPr>
            <w:r>
              <w:rPr>
                <w:rFonts w:ascii="Aptos" w:hAnsi="Aptos" w:eastAsia="Aptos" w:cs="Aptos"/>
                <w:b w:val="0"/>
                <w:color w:val="1F2937"/>
                <w:sz w:val="19"/>
              </w:rPr>
              <w:t>Is the source scientifically or institutionally strong?</w:t>
            </w:r>
          </w:p>
        </w:tc>
      </w:tr>
      <w:tr>
        <w:trPr>
          <w:cantSplit/>
        </w:trPr>
        <w:tc>
          <w:tcPr>
            <w:tcW w:type="dxa" w:w="4896"/>
            <w:shd w:fill="F3F5F7"/>
            <w:tcMar>
              <w:top w:w="90" w:type="dxa"/>
              <w:start w:w="110" w:type="dxa"/>
              <w:bottom w:w="90" w:type="dxa"/>
              <w:end w:w="110" w:type="dxa"/>
            </w:tcMar>
          </w:tcPr>
          <w:p>
            <w:pPr>
              <w:spacing w:after="0"/>
              <w:jc w:val="left"/>
            </w:pPr>
            <w:r>
              <w:rPr>
                <w:rFonts w:ascii="Aptos" w:hAnsi="Aptos" w:eastAsia="Aptos" w:cs="Aptos"/>
                <w:b/>
                <w:color w:val="1F2937"/>
                <w:sz w:val="19"/>
              </w:rPr>
              <w:t>Freshness</w:t>
            </w:r>
          </w:p>
        </w:tc>
        <w:tc>
          <w:tcPr>
            <w:tcW w:type="dxa" w:w="1584"/>
            <w:shd w:fill="F3F5F7"/>
            <w:tcMar>
              <w:top w:w="90" w:type="dxa"/>
              <w:start w:w="110" w:type="dxa"/>
              <w:bottom w:w="90" w:type="dxa"/>
              <w:end w:w="110" w:type="dxa"/>
            </w:tcMar>
          </w:tcPr>
          <w:p>
            <w:pPr>
              <w:spacing w:after="0"/>
              <w:jc w:val="center"/>
            </w:pPr>
            <w:r>
              <w:rPr>
                <w:rFonts w:ascii="Aptos" w:hAnsi="Aptos" w:eastAsia="Aptos" w:cs="Aptos"/>
                <w:b/>
                <w:color w:val="1F2937"/>
                <w:sz w:val="19"/>
              </w:rPr>
              <w:t>15 percent</w:t>
            </w:r>
          </w:p>
        </w:tc>
        <w:tc>
          <w:tcPr>
            <w:tcW w:type="dxa" w:w="3024"/>
            <w:shd w:fill="F3F5F7"/>
            <w:tcMar>
              <w:top w:w="90" w:type="dxa"/>
              <w:start w:w="110" w:type="dxa"/>
              <w:bottom w:w="90" w:type="dxa"/>
              <w:end w:w="110" w:type="dxa"/>
            </w:tcMar>
          </w:tcPr>
          <w:p>
            <w:pPr>
              <w:spacing w:after="0"/>
              <w:jc w:val="left"/>
            </w:pPr>
            <w:r>
              <w:rPr>
                <w:rFonts w:ascii="Aptos" w:hAnsi="Aptos" w:eastAsia="Aptos" w:cs="Aptos"/>
                <w:b w:val="0"/>
                <w:color w:val="1F2937"/>
                <w:sz w:val="19"/>
              </w:rPr>
              <w:t>Is it genuinely new enough for a weekly newsletter?</w:t>
            </w:r>
          </w:p>
        </w:tc>
      </w:tr>
      <w:tr>
        <w:trPr>
          <w:cantSplit/>
        </w:trPr>
        <w:tc>
          <w:tcPr>
            <w:tcW w:type="dxa" w:w="4896"/>
            <w:shd w:fill="FFFFFF"/>
            <w:tcMar>
              <w:top w:w="90" w:type="dxa"/>
              <w:start w:w="110" w:type="dxa"/>
              <w:bottom w:w="90" w:type="dxa"/>
              <w:end w:w="110" w:type="dxa"/>
            </w:tcMar>
          </w:tcPr>
          <w:p>
            <w:pPr>
              <w:spacing w:after="0"/>
              <w:jc w:val="left"/>
            </w:pPr>
            <w:r>
              <w:rPr>
                <w:rFonts w:ascii="Aptos" w:hAnsi="Aptos" w:eastAsia="Aptos" w:cs="Aptos"/>
                <w:b/>
                <w:color w:val="1F2937"/>
                <w:sz w:val="19"/>
              </w:rPr>
              <w:t>Italian applicability</w:t>
            </w:r>
          </w:p>
        </w:tc>
        <w:tc>
          <w:tcPr>
            <w:tcW w:type="dxa" w:w="1584"/>
            <w:shd w:fill="FFFFFF"/>
            <w:tcMar>
              <w:top w:w="90" w:type="dxa"/>
              <w:start w:w="110" w:type="dxa"/>
              <w:bottom w:w="90" w:type="dxa"/>
              <w:end w:w="110" w:type="dxa"/>
            </w:tcMar>
          </w:tcPr>
          <w:p>
            <w:pPr>
              <w:spacing w:after="0"/>
              <w:jc w:val="center"/>
            </w:pPr>
            <w:r>
              <w:rPr>
                <w:rFonts w:ascii="Aptos" w:hAnsi="Aptos" w:eastAsia="Aptos" w:cs="Aptos"/>
                <w:b/>
                <w:color w:val="1F2937"/>
                <w:sz w:val="19"/>
              </w:rPr>
              <w:t>10 percent</w:t>
            </w:r>
          </w:p>
        </w:tc>
        <w:tc>
          <w:tcPr>
            <w:tcW w:type="dxa" w:w="3024"/>
            <w:shd w:fill="FFFFFF"/>
            <w:tcMar>
              <w:top w:w="90" w:type="dxa"/>
              <w:start w:w="110" w:type="dxa"/>
              <w:bottom w:w="90" w:type="dxa"/>
              <w:end w:w="110" w:type="dxa"/>
            </w:tcMar>
          </w:tcPr>
          <w:p>
            <w:pPr>
              <w:spacing w:after="0"/>
              <w:jc w:val="left"/>
            </w:pPr>
            <w:r>
              <w:rPr>
                <w:rFonts w:ascii="Aptos" w:hAnsi="Aptos" w:eastAsia="Aptos" w:cs="Aptos"/>
                <w:b w:val="0"/>
                <w:color w:val="1F2937"/>
                <w:sz w:val="19"/>
              </w:rPr>
              <w:t>Can the evidence reasonably be translated to the Italian PLS context?</w:t>
            </w:r>
          </w:p>
        </w:tc>
      </w:tr>
    </w:tbl>
    <w:p>
      <w:pPr>
        <w:spacing w:before="0" w:after="100" w:line="259" w:lineRule="auto"/>
      </w:pPr>
      <w:r>
        <w:rPr>
          <w:rFonts w:ascii="Aptos" w:hAnsi="Aptos" w:eastAsia="Aptos" w:cs="Aptos"/>
          <w:b w:val="0"/>
          <w:color w:val="1F2937"/>
          <w:sz w:val="22"/>
        </w:rPr>
        <w:t>I would also apply negative penalties. A story that is mainly hospital only should lose significant points unless there is a clear and realistic PLS use case. A case report without a new practice implication should also be penalized. Generic educational reminders should rank below genuinely new evidence or guidance.</w:t>
      </w:r>
    </w:p>
    <w:p>
      <w:pPr>
        <w:spacing w:before="0" w:after="160" w:line="259" w:lineRule="auto"/>
      </w:pPr>
      <w:r>
        <w:rPr>
          <w:rFonts w:ascii="Aptos" w:hAnsi="Aptos" w:eastAsia="Aptos" w:cs="Aptos"/>
          <w:b w:val="0"/>
          <w:color w:val="1F2937"/>
          <w:sz w:val="22"/>
        </w:rPr>
        <w:t>Finally, the bot should not be forced to publish three items every week. Two strong stories are better than three average ones. The promise of “what really changes this week” becomes credible only if the system is willing to discard weak content.</w:t>
      </w:r>
    </w:p>
    <w:p>
      <w:pPr>
        <w:keepNext/>
        <w:spacing w:before="200" w:after="80" w:line="259" w:lineRule="auto"/>
      </w:pPr>
      <w:r>
        <w:rPr>
          <w:rFonts w:ascii="Aptos" w:hAnsi="Aptos" w:eastAsia="Aptos" w:cs="Aptos"/>
          <w:b/>
          <w:color w:val="17324D"/>
          <w:sz w:val="30"/>
        </w:rPr>
        <w:t>5. Sources the bot should monitor in parallel</w:t>
      </w:r>
    </w:p>
    <w:p>
      <w:pPr>
        <w:spacing w:before="0" w:after="120" w:line="259" w:lineRule="auto"/>
      </w:pPr>
      <w:r>
        <w:rPr>
          <w:rFonts w:ascii="Aptos" w:hAnsi="Aptos" w:eastAsia="Aptos" w:cs="Aptos"/>
          <w:b w:val="0"/>
          <w:color w:val="1F2937"/>
          <w:sz w:val="22"/>
        </w:rPr>
        <w:t>The source pool should combine Italian institutional relevance with international pediatric evidence. SIP should remain in the pool, together with Italian institutional sources such as ISS, the Ministry of Health, AIFA, and other relevant national sources. In parallel, the bot should actively monitor major international pediatric and public health sources such as Pediatrics and the American Academy of Pediatrics, JAMA Pediatrics, The Lancet Child and Adolescent Health, WHO, ECDC, and EMA.</w:t>
      </w:r>
    </w:p>
    <w:p>
      <w:pPr>
        <w:spacing w:before="0" w:after="120" w:line="259" w:lineRule="auto"/>
      </w:pPr>
      <w:r>
        <w:rPr>
          <w:rFonts w:ascii="Aptos" w:hAnsi="Aptos" w:eastAsia="Aptos" w:cs="Aptos"/>
          <w:b w:val="0"/>
          <w:color w:val="1F2937"/>
          <w:sz w:val="22"/>
        </w:rPr>
        <w:t>The key change is that no source should win by default. Every individual news item should compete on relevance to the PLS audience.</w:t>
      </w:r>
    </w:p>
    <w:p>
      <w:pPr>
        <w:pStyle w:val="Heading1"/>
      </w:pPr>
      <w:r>
        <w:rPr>
          <w:rFonts w:ascii="Aptos" w:hAnsi="Aptos" w:eastAsia="Aptos" w:cs="Aptos"/>
        </w:rPr>
        <w:t>6. Add a dedicated section: “Upcoming events for PLS”</w:t>
      </w:r>
    </w:p>
    <w:p>
      <w:pPr>
        <w:spacing w:after="160" w:line="259" w:lineRule="auto"/>
      </w:pPr>
      <w:r>
        <w:rPr>
          <w:rFonts w:ascii="Aptos" w:hAnsi="Aptos" w:eastAsia="Aptos" w:cs="Aptos"/>
          <w:sz w:val="22"/>
        </w:rPr>
        <w:t>For events and congresses, I would change the logic completely. A PLS does not care when an event page was published. The useful question is which relevant events are coming soon and should be put on the calendar.</w:t>
      </w:r>
    </w:p>
    <w:tbl>
      <w:tblPr>
        <w:tblW w:type="auto" w:w="0"/>
        <w:jc w:val="center"/>
        <w:tblLayout w:type="fixed"/>
        <w:tblLook w:firstColumn="1" w:firstRow="1" w:lastColumn="0" w:lastRow="0" w:noHBand="0" w:noVBand="1" w:val="04A0"/>
        <w:tblBorders>
          <w:top w:val="single" w:sz="0" w:space="0" w:color="EAF5EF"/>
          <w:left w:val="single" w:sz="0" w:space="0" w:color="EAF5EF"/>
          <w:bottom w:val="single" w:sz="0" w:space="0" w:color="EAF5EF"/>
          <w:right w:val="single" w:sz="0" w:space="0" w:color="EAF5EF"/>
          <w:insideH w:val="single" w:sz="0" w:space="0" w:color="EAF5EF"/>
          <w:insideV w:val="single" w:sz="0" w:space="0" w:color="EAF5EF"/>
        </w:tblBorders>
      </w:tblPr>
      <w:tblGrid>
        <w:gridCol w:w="9936"/>
      </w:tblGrid>
      <w:tr>
        <w:trPr>
          <w:cantSplit/>
        </w:trPr>
        <w:tc>
          <w:tcPr>
            <w:tcW w:type="dxa" w:w="10166"/>
            <w:shd w:fill="EAF5EF"/>
            <w:tcMar>
              <w:top w:w="180" w:type="dxa"/>
              <w:start w:w="180" w:type="dxa"/>
              <w:bottom w:w="180" w:type="dxa"/>
              <w:end w:w="180" w:type="dxa"/>
            </w:tcMar>
          </w:tcPr>
          <w:p>
            <w:pPr>
              <w:spacing w:after="100"/>
            </w:pPr>
            <w:r>
              <w:rPr>
                <w:rFonts w:ascii="Aptos" w:hAnsi="Aptos" w:eastAsia="Aptos" w:cs="Aptos"/>
              </w:rPr>
            </w:r>
            <w:r>
              <w:rPr>
                <w:rFonts w:ascii="Aptos" w:hAnsi="Aptos" w:eastAsia="Aptos" w:cs="Aptos"/>
                <w:b/>
                <w:color w:val="2C8B68"/>
                <w:sz w:val="23"/>
              </w:rPr>
              <w:t>Recommended newsletter section</w:t>
            </w:r>
          </w:p>
          <w:p>
            <w:pPr>
              <w:spacing w:after="0" w:line="259" w:lineRule="auto"/>
            </w:pPr>
            <w:r>
              <w:rPr>
                <w:rFonts w:ascii="Aptos" w:hAnsi="Aptos" w:eastAsia="Aptos" w:cs="Aptos"/>
                <w:color w:val="1F2937"/>
                <w:sz w:val="21"/>
              </w:rPr>
              <w:t>Create a recurring section called “Upcoming events for PLS”. Each weekly issue should show the best events scheduled in the next 30 days. The section should contain only events that are explicitly aimed at PLS, family pediatricians, pediatric primary care, or are clearly relevant to their outpatient practice.</w:t>
            </w:r>
          </w:p>
        </w:tc>
      </w:tr>
    </w:tbl>
    <w:p>
      <w:pPr>
        <w:pStyle w:val="Heading2"/>
      </w:pPr>
      <w:r>
        <w:rPr>
          <w:rFonts w:ascii="Aptos" w:hAnsi="Aptos" w:eastAsia="Aptos" w:cs="Aptos"/>
        </w:rPr>
        <w:t>6.1 Use the uploaded file as the event source registry</w:t>
      </w:r>
    </w:p>
    <w:p>
      <w:pPr>
        <w:spacing w:after="140" w:line="259" w:lineRule="auto"/>
      </w:pPr>
      <w:r>
        <w:rPr>
          <w:rFonts w:ascii="Aptos" w:hAnsi="Aptos" w:eastAsia="Aptos" w:cs="Aptos"/>
          <w:sz w:val="21"/>
        </w:rPr>
        <w:t>Please use the attached file 260807_Fonti_monitoraggio_eventi_PLS_newsletter.xlsx as the source registry for this part of the bot. It contains 81 monitored sources, including scientific societies, PLS organizations, pediatric portals, PCO agencies, and ECM providers. The bot should use the fields already provided in the file, especially Nome_fonte, URL_da_monitorare, URL_secondario, Rilevanza_PLS, Priorita_bot, Frequenza_check, Keyword_filtro, Metodo_estrazione_consigliato, and Note_operative.</w:t>
      </w:r>
    </w:p>
    <w:p>
      <w:pPr>
        <w:spacing w:after="160" w:line="259" w:lineRule="auto"/>
      </w:pPr>
      <w:r>
        <w:rPr>
          <w:rFonts w:ascii="Aptos" w:hAnsi="Aptos" w:eastAsia="Aptos" w:cs="Aptos"/>
          <w:sz w:val="21"/>
        </w:rPr>
        <w:t>The spreadsheet is the monitoring map, not the content source itself. Each weekly run should open or scrape the live pages listed in the registry and extract the current event details from those pages.</w:t>
      </w:r>
    </w:p>
    <w:tbl>
      <w:tblPr>
        <w:tblW w:type="auto" w:w="0"/>
        <w:jc w:val="center"/>
        <w:tblLayout w:type="fixed"/>
        <w:tblLook w:firstColumn="1" w:firstRow="1" w:lastColumn="0" w:lastRow="0" w:noHBand="0" w:noVBand="1" w:val="04A0"/>
        <w:tblBorders>
          <w:top w:val="single" w:sz="6" w:space="0" w:color="CBD6DF"/>
          <w:left w:val="single" w:sz="6" w:space="0" w:color="CBD6DF"/>
          <w:bottom w:val="single" w:sz="6" w:space="0" w:color="CBD6DF"/>
          <w:right w:val="single" w:sz="6" w:space="0" w:color="CBD6DF"/>
          <w:insideH w:val="single" w:sz="6" w:space="0" w:color="CBD6DF"/>
          <w:insideV w:val="single" w:sz="6" w:space="0" w:color="CBD6DF"/>
        </w:tblBorders>
      </w:tblPr>
      <w:tblGrid>
        <w:gridCol w:w="2448"/>
        <w:gridCol w:w="7488"/>
      </w:tblGrid>
      <w:tr>
        <w:tc>
          <w:tcPr>
            <w:tcW w:type="dxa" w:w="5083"/>
            <w:shd w:fill="173A59"/>
            <w:tcMar>
              <w:top w:w="120" w:type="dxa"/>
              <w:start w:w="130" w:type="dxa"/>
              <w:bottom w:w="120" w:type="dxa"/>
              <w:end w:w="130" w:type="dxa"/>
            </w:tcMar>
          </w:tcPr>
          <w:p>
            <w:pPr>
              <w:spacing w:after="0" w:line="259" w:lineRule="auto"/>
            </w:pPr>
            <w:r>
              <w:rPr>
                <w:rFonts w:ascii="Aptos" w:hAnsi="Aptos" w:eastAsia="Aptos" w:cs="Aptos"/>
              </w:rPr>
            </w:r>
            <w:r>
              <w:rPr>
                <w:rFonts w:ascii="Aptos" w:hAnsi="Aptos" w:eastAsia="Aptos" w:cs="Aptos"/>
                <w:b/>
                <w:color w:val="FFFFFF"/>
                <w:sz w:val="21"/>
              </w:rPr>
              <w:t>Rule</w:t>
            </w:r>
          </w:p>
        </w:tc>
        <w:tc>
          <w:tcPr>
            <w:tcW w:type="dxa" w:w="5083"/>
            <w:shd w:fill="173A59"/>
            <w:tcMar>
              <w:top w:w="120" w:type="dxa"/>
              <w:start w:w="130" w:type="dxa"/>
              <w:bottom w:w="120" w:type="dxa"/>
              <w:end w:w="130" w:type="dxa"/>
            </w:tcMar>
          </w:tcPr>
          <w:p>
            <w:pPr>
              <w:spacing w:after="0" w:line="259" w:lineRule="auto"/>
            </w:pPr>
            <w:r>
              <w:rPr>
                <w:rFonts w:ascii="Aptos" w:hAnsi="Aptos" w:eastAsia="Aptos" w:cs="Aptos"/>
              </w:rPr>
            </w:r>
            <w:r>
              <w:rPr>
                <w:rFonts w:ascii="Aptos" w:hAnsi="Aptos" w:eastAsia="Aptos" w:cs="Aptos"/>
                <w:b/>
                <w:color w:val="FFFFFF"/>
                <w:sz w:val="21"/>
              </w:rPr>
              <w:t>Implementation</w:t>
            </w:r>
          </w:p>
        </w:tc>
      </w:tr>
      <w:tr>
        <w:tc>
          <w:tcPr>
            <w:tcW w:type="dxa" w:w="2448"/>
            <w:shd w:fill="FFFFFF"/>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color w:val="1F2937"/>
                <w:sz w:val="19"/>
              </w:rPr>
              <w:t>Time window</w:t>
            </w:r>
          </w:p>
        </w:tc>
        <w:tc>
          <w:tcPr>
            <w:tcW w:type="dxa" w:w="7488"/>
            <w:shd w:fill="FFFFFF"/>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val="0"/>
                <w:color w:val="1F2937"/>
                <w:sz w:val="19"/>
              </w:rPr>
              <w:t>Include events whose start date falls between the newsletter date and the following 30 days.</w:t>
            </w:r>
          </w:p>
        </w:tc>
      </w:tr>
      <w:tr>
        <w:tc>
          <w:tcPr>
            <w:tcW w:type="dxa" w:w="2448"/>
            <w:shd w:fill="F2F4F6"/>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color w:val="1F2937"/>
                <w:sz w:val="19"/>
              </w:rPr>
              <w:t>PLS audience filter</w:t>
            </w:r>
          </w:p>
        </w:tc>
        <w:tc>
          <w:tcPr>
            <w:tcW w:type="dxa" w:w="7488"/>
            <w:shd w:fill="F2F4F6"/>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val="0"/>
                <w:color w:val="1F2937"/>
                <w:sz w:val="19"/>
              </w:rPr>
              <w:t>Include only events explicitly aimed at PLS, pediatricians of family, pediatric primary care, or events with a clearly demonstrated outpatient PLS use case. Generic pediatric relevance is not enough.</w:t>
            </w:r>
          </w:p>
        </w:tc>
      </w:tr>
      <w:tr>
        <w:tc>
          <w:tcPr>
            <w:tcW w:type="dxa" w:w="2448"/>
            <w:shd w:fill="FFFFFF"/>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color w:val="1F2937"/>
                <w:sz w:val="19"/>
              </w:rPr>
              <w:t>Exclusions</w:t>
            </w:r>
          </w:p>
        </w:tc>
        <w:tc>
          <w:tcPr>
            <w:tcW w:type="dxa" w:w="7488"/>
            <w:shd w:fill="FFFFFF"/>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val="0"/>
                <w:color w:val="1F2937"/>
                <w:sz w:val="19"/>
              </w:rPr>
              <w:t>Exclude events dedicated mainly to hospital subspecialists, adult medicine, general practitioners, or other professional groups unless the PLS audience is explicitly included and the content is directly useful.</w:t>
            </w:r>
          </w:p>
        </w:tc>
      </w:tr>
      <w:tr>
        <w:tc>
          <w:tcPr>
            <w:tcW w:type="dxa" w:w="2448"/>
            <w:shd w:fill="F2F4F6"/>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color w:val="1F2937"/>
                <w:sz w:val="19"/>
              </w:rPr>
              <w:t>Maximum number</w:t>
            </w:r>
          </w:p>
        </w:tc>
        <w:tc>
          <w:tcPr>
            <w:tcW w:type="dxa" w:w="7488"/>
            <w:shd w:fill="F2F4F6"/>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val="0"/>
                <w:color w:val="1F2937"/>
                <w:sz w:val="19"/>
              </w:rPr>
              <w:t>Show a maximum of 3 or 4 events. If there are no strong matches, omit the section rather than filling it with weak events.</w:t>
            </w:r>
          </w:p>
        </w:tc>
      </w:tr>
      <w:tr>
        <w:tc>
          <w:tcPr>
            <w:tcW w:type="dxa" w:w="2448"/>
            <w:shd w:fill="FFFFFF"/>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color w:val="1F2937"/>
                <w:sz w:val="19"/>
              </w:rPr>
              <w:t>Priority exception</w:t>
            </w:r>
          </w:p>
        </w:tc>
        <w:tc>
          <w:tcPr>
            <w:tcW w:type="dxa" w:w="7488"/>
            <w:shd w:fill="FFFFFF"/>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val="0"/>
                <w:color w:val="1F2937"/>
                <w:sz w:val="19"/>
              </w:rPr>
              <w:t>A major national PLS congress may appear 60 to 90 days in advance when early registration, travel, or accommodation planning is useful.</w:t>
            </w:r>
          </w:p>
        </w:tc>
      </w:tr>
      <w:tr>
        <w:tc>
          <w:tcPr>
            <w:tcW w:type="dxa" w:w="2448"/>
            <w:shd w:fill="F2F4F6"/>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color w:val="1F2937"/>
                <w:sz w:val="19"/>
              </w:rPr>
              <w:t>Ordering</w:t>
            </w:r>
          </w:p>
        </w:tc>
        <w:tc>
          <w:tcPr>
            <w:tcW w:type="dxa" w:w="7488"/>
            <w:shd w:fill="F2F4F6"/>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val="0"/>
                <w:color w:val="1F2937"/>
                <w:sz w:val="19"/>
              </w:rPr>
              <w:t>Rank first by relevance to PLS, then by timing, organizer authority, and practical value.</w:t>
            </w:r>
          </w:p>
        </w:tc>
      </w:tr>
      <w:tr>
        <w:tc>
          <w:tcPr>
            <w:tcW w:type="dxa" w:w="2448"/>
            <w:shd w:fill="FFFFFF"/>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color w:val="1F2937"/>
                <w:sz w:val="19"/>
              </w:rPr>
              <w:t>Deduplication</w:t>
            </w:r>
          </w:p>
        </w:tc>
        <w:tc>
          <w:tcPr>
            <w:tcW w:type="dxa" w:w="7488"/>
            <w:shd w:fill="FFFFFF"/>
            <w:tcMar>
              <w:top w:w="110" w:type="dxa"/>
              <w:start w:w="130" w:type="dxa"/>
              <w:bottom w:w="110" w:type="dxa"/>
              <w:end w:w="130" w:type="dxa"/>
            </w:tcMar>
            <w:vAlign w:val="center"/>
          </w:tcPr>
          <w:p>
            <w:pPr>
              <w:spacing w:after="0" w:line="259" w:lineRule="auto"/>
            </w:pPr>
            <w:r>
              <w:rPr>
                <w:rFonts w:ascii="Aptos" w:hAnsi="Aptos" w:eastAsia="Aptos" w:cs="Aptos"/>
              </w:rPr>
            </w:r>
            <w:r>
              <w:rPr>
                <w:rFonts w:ascii="Aptos" w:hAnsi="Aptos" w:eastAsia="Aptos" w:cs="Aptos"/>
                <w:b w:val="0"/>
                <w:color w:val="1F2937"/>
                <w:sz w:val="19"/>
              </w:rPr>
              <w:t>If the same event appears on more than one source in the registry, merge it into a single item using title, date, location, and organizer.</w:t>
            </w:r>
          </w:p>
        </w:tc>
      </w:tr>
      <w:tr>
        <w:trPr>
          <w:cantSplit/>
        </w:trPr>
        <w:tc>
          <w:tcPr>
            <w:tcW w:type="dxa" w:w="2448"/>
            <w:shd w:fill="F2F4F6"/>
            <w:tcMar>
              <w:top w:w="110" w:type="dxa"/>
              <w:start w:w="130" w:type="dxa"/>
              <w:bottom w:w="110" w:type="dxa"/>
              <w:end w:w="130" w:type="dxa"/>
            </w:tcMar>
            <w:vAlign w:val="center"/>
          </w:tcPr>
          <w:p>
            <w:pPr>
              <w:spacing w:after="0" w:line="252" w:lineRule="auto"/>
            </w:pPr>
            <w:r>
              <w:rPr>
                <w:rFonts w:ascii="Aptos" w:hAnsi="Aptos" w:eastAsia="Aptos" w:cs="Aptos"/>
              </w:rPr>
            </w:r>
            <w:r>
              <w:rPr>
                <w:rFonts w:ascii="Aptos" w:hAnsi="Aptos" w:eastAsia="Aptos" w:cs="Aptos"/>
                <w:b/>
                <w:color w:val="1F2937"/>
                <w:sz w:val="19"/>
              </w:rPr>
              <w:t>Repeat across editions</w:t>
            </w:r>
          </w:p>
        </w:tc>
        <w:tc>
          <w:tcPr>
            <w:tcW w:type="dxa" w:w="7488"/>
            <w:shd w:fill="F2F4F6"/>
            <w:tcMar>
              <w:top w:w="110" w:type="dxa"/>
              <w:start w:w="130" w:type="dxa"/>
              <w:bottom w:w="110" w:type="dxa"/>
              <w:end w:w="130" w:type="dxa"/>
            </w:tcMar>
            <w:vAlign w:val="center"/>
          </w:tcPr>
          <w:p>
            <w:pPr>
              <w:spacing w:after="0" w:line="252" w:lineRule="auto"/>
            </w:pPr>
            <w:r>
              <w:rPr>
                <w:rFonts w:ascii="Aptos" w:hAnsi="Aptos" w:eastAsia="Aptos" w:cs="Aptos"/>
              </w:rPr>
            </w:r>
            <w:r>
              <w:rPr>
                <w:rFonts w:ascii="Aptos" w:hAnsi="Aptos" w:eastAsia="Aptos" w:cs="Aptos"/>
                <w:b w:val="0"/>
                <w:color w:val="1F2937"/>
                <w:sz w:val="19"/>
              </w:rPr>
              <w:t>The same event may appear in more than one weekly edition while it remains inside the 30 day window and still ranks among the best options. Deduplication prevents duplicate records in the same issue, but previous appearance alone is not a reason to suppress an upcoming event.</w:t>
            </w:r>
          </w:p>
        </w:tc>
      </w:tr>
    </w:tbl>
    <w:p>
      <w:pPr>
        <w:spacing w:after="160" w:line="259" w:lineRule="auto"/>
      </w:pPr>
      <w:r>
        <w:rPr>
          <w:rFonts w:ascii="Aptos" w:hAnsi="Aptos" w:eastAsia="Aptos" w:cs="Aptos"/>
          <w:sz w:val="21"/>
        </w:rPr>
        <w:t>At present, 67 of the 81 rows are marked as a homepage where the event page still has to be identified. The crawler therefore needs a discovery stage before extraction rather than assuming that every URL_da_monitorare already points to a usable event listing.</w:t>
      </w:r>
    </w:p>
    <w:p>
      <w:pPr>
        <w:pStyle w:val="Heading2"/>
      </w:pPr>
      <w:r>
        <w:rPr>
          <w:rFonts w:ascii="Aptos" w:hAnsi="Aptos" w:eastAsia="Aptos" w:cs="Aptos"/>
        </w:rPr>
        <w:t>6.2 Recommended crawler workflow for event sources</w:t>
      </w:r>
    </w:p>
    <w:p>
      <w:pPr>
        <w:spacing w:after="140" w:line="259" w:lineRule="auto"/>
      </w:pPr>
      <w:r>
        <w:rPr>
          <w:rFonts w:ascii="Aptos" w:hAnsi="Aptos" w:eastAsia="Aptos" w:cs="Aptos"/>
          <w:sz w:val="21"/>
        </w:rPr>
        <w:t>Use the spreadsheet as the crawler configuration registry. Each row is a crawl target. The crawler should use Tipo_pagina, Frequenza_check, Priorita_bot, Keyword_filtro, Metodo_estrazione_consigliato, Dominio, URL_da_monitorare, and URL_secondario to decide how and when to process that source.</w:t>
      </w:r>
    </w:p>
    <w:tbl>
      <w:tblPr>
        <w:tblW w:type="auto" w:w="0"/>
        <w:jc w:val="center"/>
        <w:tblLayout w:type="fixed"/>
        <w:tblLook w:firstColumn="1" w:firstRow="1" w:lastColumn="0" w:lastRow="0" w:noHBand="0" w:noVBand="1" w:val="04A0"/>
        <w:tblBorders>
          <w:top w:val="single" w:sz="6" w:space="0" w:color="CBD6DF"/>
          <w:left w:val="single" w:sz="6" w:space="0" w:color="CBD6DF"/>
          <w:bottom w:val="single" w:sz="6" w:space="0" w:color="CBD6DF"/>
          <w:right w:val="single" w:sz="6" w:space="0" w:color="CBD6DF"/>
          <w:insideH w:val="single" w:sz="6" w:space="0" w:color="CBD6DF"/>
          <w:insideV w:val="single" w:sz="6" w:space="0" w:color="CBD6DF"/>
        </w:tblBorders>
      </w:tblPr>
      <w:tblGrid>
        <w:gridCol w:w="2520"/>
        <w:gridCol w:w="7416"/>
      </w:tblGrid>
      <w:tr>
        <w:trPr>
          <w:tblHeader w:val="true"/>
          <w:cantSplit/>
        </w:trPr>
        <w:tc>
          <w:tcPr>
            <w:tcW w:type="dxa" w:w="5083"/>
            <w:shd w:fill="173A59"/>
            <w:tcMar>
              <w:top w:w="120" w:type="dxa"/>
              <w:start w:w="130" w:type="dxa"/>
              <w:bottom w:w="120" w:type="dxa"/>
              <w:end w:w="130" w:type="dxa"/>
            </w:tcMar>
          </w:tcPr>
          <w:p>
            <w:pPr>
              <w:spacing w:after="0" w:line="252" w:lineRule="auto"/>
            </w:pPr>
            <w:r>
              <w:rPr>
                <w:rFonts w:ascii="Aptos" w:hAnsi="Aptos" w:eastAsia="Aptos" w:cs="Aptos"/>
              </w:rPr>
            </w:r>
            <w:r>
              <w:rPr>
                <w:rFonts w:ascii="Aptos" w:hAnsi="Aptos" w:eastAsia="Aptos" w:cs="Aptos"/>
                <w:b/>
                <w:color w:val="FFFFFF"/>
                <w:sz w:val="20"/>
              </w:rPr>
              <w:t>Crawler step</w:t>
            </w:r>
          </w:p>
        </w:tc>
        <w:tc>
          <w:tcPr>
            <w:tcW w:type="dxa" w:w="5083"/>
            <w:shd w:fill="173A59"/>
            <w:tcMar>
              <w:top w:w="120" w:type="dxa"/>
              <w:start w:w="130" w:type="dxa"/>
              <w:bottom w:w="120" w:type="dxa"/>
              <w:end w:w="130" w:type="dxa"/>
            </w:tcMar>
          </w:tcPr>
          <w:p>
            <w:pPr>
              <w:spacing w:after="0" w:line="252" w:lineRule="auto"/>
            </w:pPr>
            <w:r>
              <w:rPr>
                <w:rFonts w:ascii="Aptos" w:hAnsi="Aptos" w:eastAsia="Aptos" w:cs="Aptos"/>
              </w:rPr>
            </w:r>
            <w:r>
              <w:rPr>
                <w:rFonts w:ascii="Aptos" w:hAnsi="Aptos" w:eastAsia="Aptos" w:cs="Aptos"/>
                <w:b/>
                <w:color w:val="FFFFFF"/>
                <w:sz w:val="20"/>
              </w:rPr>
              <w:t>Recommended behaviour</w:t>
            </w:r>
          </w:p>
        </w:tc>
      </w:tr>
      <w:tr>
        <w:trPr>
          <w:cantSplit/>
        </w:trPr>
        <w:tc>
          <w:tcPr>
            <w:tcW w:type="dxa" w:w="2520"/>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Schedule from the registry</w:t>
            </w:r>
          </w:p>
        </w:tc>
        <w:tc>
          <w:tcPr>
            <w:tcW w:type="dxa" w:w="7416"/>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Run sources according to Frequenza_check, while always including the highest priority PLS sources on the weekly run. Do not crawl all 81 rows unnecessarily every week.</w:t>
            </w:r>
          </w:p>
        </w:tc>
      </w:tr>
      <w:tr>
        <w:trPr>
          <w:cantSplit/>
        </w:trPr>
        <w:tc>
          <w:tcPr>
            <w:tcW w:type="dxa" w:w="2520"/>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Discover real event pages</w:t>
            </w:r>
          </w:p>
        </w:tc>
        <w:tc>
          <w:tcPr>
            <w:tcW w:type="dxa" w:w="7416"/>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For rows marked as homepage, inspect sitemap.xml and internal links for pages such as eventi, congressi, corsi, formazione, ECM, appuntamenti, or agenda. Prefer a page containing multiple dated events. Persist the resolved listing URL and the verification date in a versioned registry. After repeated discovery failure, send the source to manual review.</w:t>
            </w:r>
          </w:p>
        </w:tc>
      </w:tr>
      <w:tr>
        <w:trPr>
          <w:cantSplit/>
        </w:trPr>
        <w:tc>
          <w:tcPr>
            <w:tcW w:type="dxa" w:w="2520"/>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Fetch politely and robustly</w:t>
            </w:r>
          </w:p>
        </w:tc>
        <w:tc>
          <w:tcPr>
            <w:tcW w:type="dxa" w:w="7416"/>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Respect robots.txt, group requests by domain, avoid parallel pressure on the same host, use a short delay between requests, use ETag or Last Modified when available, and retry transient failures with a small backoff.</w:t>
            </w:r>
          </w:p>
        </w:tc>
      </w:tr>
      <w:tr>
        <w:trPr>
          <w:cantSplit/>
        </w:trPr>
        <w:tc>
          <w:tcPr>
            <w:tcW w:type="dxa" w:w="2520"/>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Use the best extraction path</w:t>
            </w:r>
          </w:p>
        </w:tc>
        <w:tc>
          <w:tcPr>
            <w:tcW w:type="dxa" w:w="7416"/>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Where Metodo_estrazione_consigliato indicates RSS, test and cache the feed first. Otherwise parse the event listing HTML. Use snapshots and per event hashes to detect changes and reduce unnecessary reprocessing.</w:t>
            </w:r>
          </w:p>
        </w:tc>
      </w:tr>
      <w:tr>
        <w:trPr>
          <w:cantSplit/>
        </w:trPr>
        <w:tc>
          <w:tcPr>
            <w:tcW w:type="dxa" w:w="2520"/>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Do not use snapshot age as a filter</w:t>
            </w:r>
          </w:p>
        </w:tc>
        <w:tc>
          <w:tcPr>
            <w:tcW w:type="dxa" w:w="7416"/>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Snapshots, first seen dates, and hashes are crawler metadata only. They must not decide whether an event enters the newsletter. Selection is based on the event date, the 30 day window, and PLS relevance.</w:t>
            </w:r>
          </w:p>
        </w:tc>
      </w:tr>
      <w:tr>
        <w:trPr>
          <w:cantSplit/>
        </w:trPr>
        <w:tc>
          <w:tcPr>
            <w:tcW w:type="dxa" w:w="2520"/>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Follow programme documents</w:t>
            </w:r>
          </w:p>
        </w:tc>
        <w:tc>
          <w:tcPr>
            <w:tcW w:type="dxa" w:w="7416"/>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When the event page links a programme or brochure PDF, parse it as a secondary source because target professions, ECM credits, registration details, and deadlines are often stated there rather than on the listing page.</w:t>
            </w:r>
          </w:p>
        </w:tc>
      </w:tr>
      <w:tr>
        <w:trPr>
          <w:cantSplit/>
        </w:trPr>
        <w:tc>
          <w:tcPr>
            <w:tcW w:type="dxa" w:w="2520"/>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Deduplicate across sources</w:t>
            </w:r>
          </w:p>
        </w:tc>
        <w:tc>
          <w:tcPr>
            <w:tcW w:type="dxa" w:w="7416"/>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Match on normalised title, start date, city, and promoter. Merge duplicate records, retain all source URLs for traceability, and prefer the official society or promoter page as the newsletter link when available.</w:t>
            </w:r>
          </w:p>
        </w:tc>
      </w:tr>
      <w:tr>
        <w:trPr>
          <w:cantSplit/>
        </w:trPr>
        <w:tc>
          <w:tcPr>
            <w:tcW w:type="dxa" w:w="2520"/>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Monitor crawler health</w:t>
            </w:r>
          </w:p>
        </w:tc>
        <w:tc>
          <w:tcPr>
            <w:tcW w:type="dxa" w:w="7416"/>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Log scheduled sources, successful fetches, HTTP failures, newly discovered listing URLs, candidates extracted, duplicates merged, and candidates rejected with reasons. Repeated failure or an unexpectedly empty high priority source should trigger manual review.</w:t>
            </w:r>
          </w:p>
        </w:tc>
      </w:tr>
    </w:tbl>
    <w:p>
      <w:pPr>
        <w:pStyle w:val="Heading2"/>
      </w:pPr>
      <w:r>
        <w:rPr>
          <w:rFonts w:ascii="Aptos" w:hAnsi="Aptos" w:eastAsia="Aptos" w:cs="Aptos"/>
        </w:rPr>
        <w:t>6.3 Minimum event record and data quality rules</w:t>
      </w:r>
    </w:p>
    <w:p>
      <w:pPr>
        <w:spacing w:after="140" w:line="259" w:lineRule="auto"/>
      </w:pPr>
      <w:r>
        <w:rPr>
          <w:rFonts w:ascii="Aptos" w:hAnsi="Aptos" w:eastAsia="Aptos" w:cs="Aptos"/>
          <w:sz w:val="21"/>
        </w:rPr>
        <w:t>The crawler should extract a consistent event record before the editorial ranking stage. The objective is not to infer missing information but to provide enough verified data to decide whether a PLS can realistically attend and benefit from the event.</w:t>
      </w:r>
    </w:p>
    <w:tbl>
      <w:tblPr>
        <w:tblW w:type="auto" w:w="0"/>
        <w:jc w:val="center"/>
        <w:tblLayout w:type="fixed"/>
        <w:tblLook w:firstColumn="1" w:firstRow="1" w:lastColumn="0" w:lastRow="0" w:noHBand="0" w:noVBand="1" w:val="04A0"/>
        <w:tblBorders>
          <w:top w:val="single" w:sz="6" w:space="0" w:color="CBD6DF"/>
          <w:left w:val="single" w:sz="6" w:space="0" w:color="CBD6DF"/>
          <w:bottom w:val="single" w:sz="6" w:space="0" w:color="CBD6DF"/>
          <w:right w:val="single" w:sz="6" w:space="0" w:color="CBD6DF"/>
          <w:insideH w:val="single" w:sz="6" w:space="0" w:color="CBD6DF"/>
          <w:insideV w:val="single" w:sz="6" w:space="0" w:color="CBD6DF"/>
        </w:tblBorders>
      </w:tblPr>
      <w:tblGrid>
        <w:gridCol w:w="2520"/>
        <w:gridCol w:w="7416"/>
      </w:tblGrid>
      <w:tr>
        <w:trPr>
          <w:tblHeader w:val="true"/>
          <w:cantSplit/>
        </w:trPr>
        <w:tc>
          <w:tcPr>
            <w:tcW w:type="dxa" w:w="5083"/>
            <w:shd w:fill="173A59"/>
            <w:tcMar>
              <w:top w:w="120" w:type="dxa"/>
              <w:start w:w="130" w:type="dxa"/>
              <w:bottom w:w="120" w:type="dxa"/>
              <w:end w:w="130" w:type="dxa"/>
            </w:tcMar>
          </w:tcPr>
          <w:p>
            <w:pPr>
              <w:spacing w:after="0" w:line="252" w:lineRule="auto"/>
            </w:pPr>
            <w:r>
              <w:rPr>
                <w:rFonts w:ascii="Aptos" w:hAnsi="Aptos" w:eastAsia="Aptos" w:cs="Aptos"/>
              </w:rPr>
            </w:r>
            <w:r>
              <w:rPr>
                <w:rFonts w:ascii="Aptos" w:hAnsi="Aptos" w:eastAsia="Aptos" w:cs="Aptos"/>
                <w:b/>
                <w:color w:val="FFFFFF"/>
                <w:sz w:val="20"/>
              </w:rPr>
              <w:t>Field group</w:t>
            </w:r>
          </w:p>
        </w:tc>
        <w:tc>
          <w:tcPr>
            <w:tcW w:type="dxa" w:w="5083"/>
            <w:shd w:fill="173A59"/>
            <w:tcMar>
              <w:top w:w="120" w:type="dxa"/>
              <w:start w:w="130" w:type="dxa"/>
              <w:bottom w:w="120" w:type="dxa"/>
              <w:end w:w="130" w:type="dxa"/>
            </w:tcMar>
          </w:tcPr>
          <w:p>
            <w:pPr>
              <w:spacing w:after="0" w:line="252" w:lineRule="auto"/>
            </w:pPr>
            <w:r>
              <w:rPr>
                <w:rFonts w:ascii="Aptos" w:hAnsi="Aptos" w:eastAsia="Aptos" w:cs="Aptos"/>
              </w:rPr>
            </w:r>
            <w:r>
              <w:rPr>
                <w:rFonts w:ascii="Aptos" w:hAnsi="Aptos" w:eastAsia="Aptos" w:cs="Aptos"/>
                <w:b/>
                <w:color w:val="FFFFFF"/>
                <w:sz w:val="20"/>
              </w:rPr>
              <w:t>Rule</w:t>
            </w:r>
          </w:p>
        </w:tc>
      </w:tr>
      <w:tr>
        <w:trPr>
          <w:cantSplit/>
        </w:trPr>
        <w:tc>
          <w:tcPr>
            <w:tcW w:type="dxa" w:w="2520"/>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Identity and traceability</w:t>
            </w:r>
          </w:p>
        </w:tc>
        <w:tc>
          <w:tcPr>
            <w:tcW w:type="dxa" w:w="7416"/>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source_id from ID_fonte, original event title, promoter or scientific society, organiser or PCO when stated, official detail URL, and programme PDF URL when available.</w:t>
            </w:r>
          </w:p>
        </w:tc>
      </w:tr>
      <w:tr>
        <w:trPr>
          <w:cantSplit/>
        </w:trPr>
        <w:tc>
          <w:tcPr>
            <w:tcW w:type="dxa" w:w="2520"/>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Dates and logistics</w:t>
            </w:r>
          </w:p>
        </w:tc>
        <w:tc>
          <w:tcPr>
            <w:tcW w:type="dxa" w:w="7416"/>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Start date is mandatory. Also capture end date, city, region, venue, and format as onsite, online, or hybrid when stated.</w:t>
            </w:r>
          </w:p>
        </w:tc>
      </w:tr>
      <w:tr>
        <w:trPr>
          <w:cantSplit/>
        </w:trPr>
        <w:tc>
          <w:tcPr>
            <w:tcW w:type="dxa" w:w="2520"/>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PLS evidence</w:t>
            </w:r>
          </w:p>
        </w:tc>
        <w:tc>
          <w:tcPr>
            <w:tcW w:type="dxa" w:w="7416"/>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Capture the stated audience exactly as written and the programme elements that support outpatient pediatric relevance. Do not assume PLS relevance merely from the name of the promoting society.</w:t>
            </w:r>
          </w:p>
        </w:tc>
      </w:tr>
      <w:tr>
        <w:trPr>
          <w:cantSplit/>
        </w:trPr>
        <w:tc>
          <w:tcPr>
            <w:tcW w:type="dxa" w:w="2520"/>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ECM and registration</w:t>
            </w:r>
          </w:p>
        </w:tc>
        <w:tc>
          <w:tcPr>
            <w:tcW w:type="dxa" w:w="7416"/>
            <w:shd w:fill="F2F4F6"/>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Capture ECM accreditation, credits, accredited professions, registration status, registration deadline, early registration deadline, and fee only when explicitly stated.</w:t>
            </w:r>
          </w:p>
        </w:tc>
      </w:tr>
      <w:tr>
        <w:trPr>
          <w:cantSplit/>
        </w:trPr>
        <w:tc>
          <w:tcPr>
            <w:tcW w:type="dxa" w:w="2520"/>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color w:val="1F2937"/>
                <w:sz w:val="18"/>
              </w:rPr>
              <w:t>Crawler metadata</w:t>
            </w:r>
          </w:p>
        </w:tc>
        <w:tc>
          <w:tcPr>
            <w:tcW w:type="dxa" w:w="7416"/>
            <w:shd w:fill="FFFFFF"/>
            <w:tcMar>
              <w:top w:w="105" w:type="dxa"/>
              <w:start w:w="125" w:type="dxa"/>
              <w:bottom w:w="105" w:type="dxa"/>
              <w:end w:w="125" w:type="dxa"/>
            </w:tcMar>
            <w:vAlign w:val="center"/>
          </w:tcPr>
          <w:p>
            <w:pPr>
              <w:spacing w:after="0" w:line="252" w:lineRule="auto"/>
            </w:pPr>
            <w:r>
              <w:rPr>
                <w:rFonts w:ascii="Aptos" w:hAnsi="Aptos" w:eastAsia="Aptos" w:cs="Aptos"/>
              </w:rPr>
            </w:r>
            <w:r>
              <w:rPr>
                <w:rFonts w:ascii="Aptos" w:hAnsi="Aptos" w:eastAsia="Aptos" w:cs="Aptos"/>
                <w:b w:val="0"/>
                <w:color w:val="1F2937"/>
                <w:sz w:val="18"/>
              </w:rPr>
              <w:t>Store first_seen_at, last_seen_at, all source URLs, and extraction_confidence. These fields support monitoring and change detection but do not replace the event date selection rule.</w:t>
            </w:r>
          </w:p>
        </w:tc>
      </w:tr>
    </w:tbl>
    <w:tbl>
      <w:tblPr>
        <w:tblW w:type="auto" w:w="0"/>
        <w:jc w:val="center"/>
        <w:tblLayout w:type="fixed"/>
        <w:tblLook w:firstColumn="1" w:firstRow="1" w:lastColumn="0" w:lastRow="0" w:noHBand="0" w:noVBand="1" w:val="04A0"/>
        <w:tblBorders>
          <w:top w:val="single" w:sz="0" w:space="0" w:color="FFF4E3"/>
          <w:left w:val="single" w:sz="0" w:space="0" w:color="FFF4E3"/>
          <w:bottom w:val="single" w:sz="0" w:space="0" w:color="FFF4E3"/>
          <w:right w:val="single" w:sz="0" w:space="0" w:color="FFF4E3"/>
          <w:insideH w:val="single" w:sz="0" w:space="0" w:color="FFF4E3"/>
          <w:insideV w:val="single" w:sz="0" w:space="0" w:color="FFF4E3"/>
        </w:tblBorders>
      </w:tblPr>
      <w:tblGrid>
        <w:gridCol w:w="9936"/>
      </w:tblGrid>
      <w:tr>
        <w:tc>
          <w:tcPr>
            <w:tcW w:type="dxa" w:w="10166"/>
            <w:shd w:fill="FFF4E3"/>
            <w:tcMar>
              <w:top w:w="160" w:type="dxa"/>
              <w:start w:w="170" w:type="dxa"/>
              <w:bottom w:w="160" w:type="dxa"/>
              <w:end w:w="170" w:type="dxa"/>
            </w:tcMar>
          </w:tcPr>
          <w:p>
            <w:pPr>
              <w:spacing w:after="80"/>
            </w:pPr>
            <w:r>
              <w:rPr>
                <w:rFonts w:ascii="Aptos" w:hAnsi="Aptos" w:eastAsia="Aptos" w:cs="Aptos"/>
              </w:rPr>
            </w:r>
            <w:r>
              <w:rPr>
                <w:rFonts w:ascii="Aptos" w:hAnsi="Aptos" w:eastAsia="Aptos" w:cs="Aptos"/>
                <w:b/>
                <w:color w:val="A96606"/>
                <w:sz w:val="22"/>
              </w:rPr>
              <w:t>Hard data quality rule</w:t>
            </w:r>
          </w:p>
          <w:p>
            <w:pPr>
              <w:spacing w:after="0" w:line="259" w:lineRule="auto"/>
            </w:pPr>
            <w:r>
              <w:rPr>
                <w:rFonts w:ascii="Aptos" w:hAnsi="Aptos" w:eastAsia="Aptos" w:cs="Aptos"/>
                <w:color w:val="1F2937"/>
                <w:sz w:val="20"/>
              </w:rPr>
              <w:t>An event without a verified start date or official detail URL must not be published automatically. Never invent ECM credits, registration deadlines, accredited professions, or audience. If PLS relevance cannot be supported by the stated audience or by concrete programme content, reject the event or send it to human review.</w:t>
            </w:r>
          </w:p>
        </w:tc>
      </w:tr>
    </w:tbl>
    <w:p>
      <w:pPr>
        <w:pStyle w:val="Heading2"/>
        <w:keepNext/>
      </w:pPr>
      <w:r>
        <w:rPr>
          <w:rFonts w:ascii="Aptos" w:hAnsi="Aptos" w:eastAsia="Aptos" w:cs="Aptos"/>
        </w:rPr>
        <w:t>6.4 Recommended output in the newsletter</w:t>
      </w:r>
    </w:p>
    <w:p>
      <w:pPr>
        <w:keepNext/>
        <w:spacing w:after="160" w:line="259" w:lineRule="auto"/>
      </w:pPr>
      <w:r>
        <w:rPr>
          <w:rFonts w:ascii="Aptos" w:hAnsi="Aptos" w:eastAsia="Aptos" w:cs="Aptos"/>
          <w:sz w:val="21"/>
        </w:rPr>
        <w:t>For each selected event, show only the information that helps the PLS decide whether to act: event title, date, city or online format, organizer, one short sentence explaining why it is relevant to PLS, and the official program or registration link.</w:t>
      </w:r>
    </w:p>
    <w:tbl>
      <w:tblPr>
        <w:tblW w:type="auto" w:w="0"/>
        <w:jc w:val="center"/>
        <w:tblLayout w:type="fixed"/>
        <w:tblLook w:firstColumn="1" w:firstRow="1" w:lastColumn="0" w:lastRow="0" w:noHBand="0" w:noVBand="1" w:val="04A0"/>
        <w:tblBorders>
          <w:top w:val="single" w:sz="0" w:space="0" w:color="EAF3F9"/>
          <w:left w:val="single" w:sz="0" w:space="0" w:color="EAF3F9"/>
          <w:bottom w:val="single" w:sz="0" w:space="0" w:color="EAF3F9"/>
          <w:right w:val="single" w:sz="0" w:space="0" w:color="EAF3F9"/>
          <w:insideH w:val="single" w:sz="0" w:space="0" w:color="EAF3F9"/>
          <w:insideV w:val="single" w:sz="0" w:space="0" w:color="EAF3F9"/>
        </w:tblBorders>
      </w:tblPr>
      <w:tblGrid>
        <w:gridCol w:w="9936"/>
      </w:tblGrid>
      <w:tr>
        <w:trPr>
          <w:cantSplit/>
        </w:trPr>
        <w:tc>
          <w:tcPr>
            <w:tcW w:type="dxa" w:w="10166"/>
            <w:shd w:fill="EAF3F9"/>
            <w:tcMar>
              <w:top w:w="180" w:type="dxa"/>
              <w:start w:w="180" w:type="dxa"/>
              <w:bottom w:w="180" w:type="dxa"/>
              <w:end w:w="180" w:type="dxa"/>
            </w:tcMar>
          </w:tcPr>
          <w:p>
            <w:pPr>
              <w:spacing w:after="100"/>
            </w:pPr>
            <w:r>
              <w:rPr>
                <w:rFonts w:ascii="Aptos" w:hAnsi="Aptos" w:eastAsia="Aptos" w:cs="Aptos"/>
              </w:rPr>
            </w:r>
            <w:r>
              <w:rPr>
                <w:rFonts w:ascii="Aptos" w:hAnsi="Aptos" w:eastAsia="Aptos" w:cs="Aptos"/>
                <w:b/>
                <w:color w:val="2A72A8"/>
                <w:sz w:val="23"/>
              </w:rPr>
              <w:t>Current example for the 7 August 2026 issue</w:t>
            </w:r>
          </w:p>
          <w:p>
            <w:pPr>
              <w:spacing w:after="0" w:line="259" w:lineRule="auto"/>
            </w:pPr>
            <w:r>
              <w:rPr>
                <w:rFonts w:ascii="Aptos" w:hAnsi="Aptos" w:eastAsia="Aptos" w:cs="Aptos"/>
                <w:color w:val="1F2937"/>
                <w:sz w:val="21"/>
              </w:rPr>
              <w:t>The registry currently leads to Children 2026, organized by FIMP in Bari on 4 and 5 September 2026. This event falls inside the next 30 days and is a national FIMP event, so it should appear in “Upcoming events for PLS”. SIMPE also lists Allerg Hub Pediatrico in Naples on 12 September 2026 and explicitly describes the topic as a challenge for the Pediatra di Libera Scelta. It is highly relevant, but it falls outside the standard 30 day window for the 7 August issue, so it should normally wait until the following issue unless an early notice exception is deliberately applied.</w:t>
            </w:r>
          </w:p>
        </w:tc>
      </w:tr>
    </w:tbl>
    <w:p>
      <w:pPr>
        <w:pStyle w:val="Heading2"/>
      </w:pPr>
      <w:r>
        <w:rPr>
          <w:rFonts w:ascii="Aptos" w:hAnsi="Aptos" w:eastAsia="Aptos" w:cs="Aptos"/>
        </w:rPr>
        <w:t>6.5 Important implementation distinction</w:t>
      </w:r>
    </w:p>
    <w:p>
      <w:pPr>
        <w:spacing w:after="160" w:line="259" w:lineRule="auto"/>
      </w:pPr>
      <w:r>
        <w:rPr>
          <w:rFonts w:ascii="Aptos" w:hAnsi="Aptos" w:eastAsia="Aptos" w:cs="Aptos"/>
          <w:sz w:val="21"/>
        </w:rPr>
        <w:t>News and events should therefore use different freshness rules. For news, freshness means publication date. For events, freshness means proximity to the event date. Do not require an event to have been newly published in the previous seven days. The crawler may still keep first seen dates and page snapshots for monitoring, but these are operational metadata rather than editorial eligibility criteria.</w:t>
      </w:r>
    </w:p>
    <w:tbl>
      <w:tblPr>
        <w:tblW w:type="auto" w:w="0"/>
        <w:jc w:val="center"/>
        <w:tblLayout w:type="fixed"/>
        <w:tblLook w:firstColumn="1" w:firstRow="1" w:lastColumn="0" w:lastRow="0" w:noHBand="0" w:noVBand="1" w:val="04A0"/>
        <w:tblBorders>
          <w:top w:val="single" w:sz="0" w:space="0" w:color="FFF4E3"/>
          <w:left w:val="single" w:sz="0" w:space="0" w:color="FFF4E3"/>
          <w:bottom w:val="single" w:sz="0" w:space="0" w:color="FFF4E3"/>
          <w:right w:val="single" w:sz="0" w:space="0" w:color="FFF4E3"/>
          <w:insideH w:val="single" w:sz="0" w:space="0" w:color="FFF4E3"/>
          <w:insideV w:val="single" w:sz="0" w:space="0" w:color="FFF4E3"/>
        </w:tblBorders>
      </w:tblPr>
      <w:tblGrid>
        <w:gridCol w:w="9936"/>
      </w:tblGrid>
      <w:tr>
        <w:trPr>
          <w:cantSplit/>
        </w:trPr>
        <w:tc>
          <w:tcPr>
            <w:tcW w:type="dxa" w:w="10166"/>
            <w:shd w:fill="FFF4E3"/>
            <w:tcMar>
              <w:top w:w="180" w:type="dxa"/>
              <w:start w:w="180" w:type="dxa"/>
              <w:bottom w:w="180" w:type="dxa"/>
              <w:end w:w="180" w:type="dxa"/>
            </w:tcMar>
          </w:tcPr>
          <w:p>
            <w:pPr>
              <w:spacing w:after="100"/>
            </w:pPr>
            <w:r>
              <w:rPr>
                <w:rFonts w:ascii="Aptos" w:hAnsi="Aptos" w:eastAsia="Aptos" w:cs="Aptos"/>
              </w:rPr>
            </w:r>
            <w:r>
              <w:rPr>
                <w:rFonts w:ascii="Aptos" w:hAnsi="Aptos" w:eastAsia="Aptos" w:cs="Aptos"/>
                <w:b/>
                <w:color w:val="A96606"/>
                <w:sz w:val="23"/>
              </w:rPr>
              <w:t>Simple rule for the event bot</w:t>
            </w:r>
          </w:p>
          <w:p>
            <w:pPr>
              <w:spacing w:after="0" w:line="259" w:lineRule="auto"/>
            </w:pPr>
            <w:r>
              <w:rPr>
                <w:rFonts w:ascii="Aptos" w:hAnsi="Aptos" w:eastAsia="Aptos" w:cs="Aptos"/>
                <w:color w:val="1F2937"/>
                <w:sz w:val="21"/>
              </w:rPr>
              <w:t>Do not ask “Was this event published this week?” Ask “Is this a high relevance PLS event happening soon enough that the reader should put it on the calendar now?”</w:t>
            </w:r>
          </w:p>
        </w:tc>
      </w:tr>
    </w:tbl>
    <w:p>
      <w:pPr>
        <w:pStyle w:val="Heading1"/>
        <w:keepNext/>
        <w:spacing w:before="200" w:after="80" w:line="259" w:lineRule="auto"/>
      </w:pPr>
      <w:r>
        <w:rPr>
          <w:rFonts w:ascii="Aptos" w:hAnsi="Aptos" w:eastAsia="Aptos" w:cs="Aptos"/>
        </w:rPr>
        <w:t>7. Examples of authoritative sources behind the alternative topics</w:t>
      </w:r>
    </w:p>
    <w:p>
      <w:pPr>
        <w:spacing w:before="0" w:after="60" w:line="259" w:lineRule="auto"/>
      </w:pPr>
      <w:r>
        <w:rPr>
          <w:rFonts w:ascii="Aptos" w:hAnsi="Aptos" w:eastAsia="Aptos" w:cs="Aptos"/>
          <w:b/>
          <w:color w:val="6B7280"/>
          <w:sz w:val="19"/>
        </w:rPr>
        <w:t xml:space="preserve">1. </w:t>
      </w:r>
      <w:hyperlink r:id="rId11">
        <w:r>
          <w:rPr>
            <w:rFonts w:ascii="Lato" w:hAnsi="Lato"/>
            <w:color w:val="2F6F9F"/>
            <w:sz w:val="20"/>
            <w:u w:val="single"/>
          </w:rPr>
          <w:t>Pediatrics, American Academy of Pediatrics: Maternal RSV Vaccination, Infant Nirsevimab, or Both, 4 May 2026</w:t>
        </w:r>
      </w:hyperlink>
    </w:p>
    <w:p>
      <w:pPr>
        <w:spacing w:before="0" w:after="60" w:line="259" w:lineRule="auto"/>
      </w:pPr>
      <w:r>
        <w:rPr>
          <w:rFonts w:ascii="Aptos" w:hAnsi="Aptos" w:eastAsia="Aptos" w:cs="Aptos"/>
          <w:b/>
          <w:color w:val="6B7280"/>
          <w:sz w:val="19"/>
        </w:rPr>
        <w:t xml:space="preserve">2. </w:t>
      </w:r>
      <w:hyperlink r:id="rId12">
        <w:r>
          <w:rPr>
            <w:rFonts w:ascii="Lato" w:hAnsi="Lato"/>
            <w:color w:val="2F6F9F"/>
            <w:sz w:val="20"/>
            <w:u w:val="single"/>
          </w:rPr>
          <w:t>American Academy of Pediatrics: Section on Telehealth Care and pediatric telehealth evidence</w:t>
        </w:r>
      </w:hyperlink>
    </w:p>
    <w:p>
      <w:pPr>
        <w:spacing w:before="0" w:after="60" w:line="259" w:lineRule="auto"/>
      </w:pPr>
      <w:r>
        <w:rPr>
          <w:rFonts w:ascii="Aptos" w:hAnsi="Aptos" w:eastAsia="Aptos" w:cs="Aptos"/>
          <w:b/>
          <w:color w:val="6B7280"/>
          <w:sz w:val="19"/>
        </w:rPr>
        <w:t xml:space="preserve">3. </w:t>
      </w:r>
      <w:hyperlink r:id="rId13">
        <w:r>
          <w:rPr>
            <w:rFonts w:ascii="Lato" w:hAnsi="Lato"/>
            <w:color w:val="2F6F9F"/>
            <w:sz w:val="20"/>
            <w:u w:val="single"/>
          </w:rPr>
          <w:t>WHO: World Breastfeeding Week 2026, 1 to 7 August</w:t>
        </w:r>
      </w:hyperlink>
    </w:p>
    <w:p>
      <w:pPr>
        <w:spacing w:before="0" w:after="60" w:line="259" w:lineRule="auto"/>
      </w:pPr>
      <w:r>
        <w:rPr>
          <w:rFonts w:ascii="Aptos" w:hAnsi="Aptos" w:eastAsia="Aptos" w:cs="Aptos"/>
          <w:b/>
          <w:color w:val="6B7280"/>
          <w:sz w:val="19"/>
        </w:rPr>
        <w:t xml:space="preserve">4. </w:t>
      </w:r>
      <w:hyperlink r:id="rId14">
        <w:r>
          <w:rPr>
            <w:rFonts w:ascii="Lato" w:hAnsi="Lato"/>
            <w:color w:val="2F6F9F"/>
            <w:sz w:val="20"/>
            <w:u w:val="single"/>
          </w:rPr>
          <w:t>PubMed: Effects of remote breastfeeding guidance on breastfeeding rates and neonatal health, 2026</w:t>
        </w:r>
      </w:hyperlink>
    </w:p>
    <w:p>
      <w:pPr>
        <w:spacing w:before="140" w:after="0" w:line="259" w:lineRule="auto"/>
      </w:pPr>
      <w:r>
        <w:rPr>
          <w:rFonts w:ascii="Aptos" w:hAnsi="Aptos" w:eastAsia="Aptos" w:cs="Aptos"/>
          <w:b/>
        </w:rPr>
        <w:t>Expected outcome:</w:t>
      </w:r>
      <w:r>
        <w:rPr>
          <w:rFonts w:ascii="Aptos" w:hAnsi="Aptos" w:eastAsia="Aptos" w:cs="Aptos"/>
        </w:rPr>
        <w:t xml:space="preserve"> The bot should consistently prefer a highly relevant international article for outpatient pediatrics over a less relevant Italian article aimed at a hospital setting. In parallel, it should produce a short “Upcoming events for PLS” section from the attached event source registry, based on the next 30 days and strict PLS audience relevance. The goal is not to make the newsletter more international or more crowded. The goal is to make every item more useful to the Italian PLS.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eastAsia="Lato" w:cs="Lato"/>
        <w:b w:val="0"/>
        <w:color w:val="6B7280"/>
        <w:sz w:val="17"/>
      </w:rPr>
      <w:t>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ato" w:hAnsi="Lato" w:eastAsia="Lato" w:cs="Lato"/>
        <w:b/>
        <w:color w:val="6B7280"/>
        <w:sz w:val="17"/>
      </w:rPr>
      <w:t>OYKOMED   NEWSLETTER EDITORIAL FEEDBACK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lications.aap.org/pediatrics/article/157/6/e2025075223/207445/Maternal-RSV-Vaccination-Infant-Nirsevimab-or-Both" TargetMode="External"/><Relationship Id="rId12" Type="http://schemas.openxmlformats.org/officeDocument/2006/relationships/hyperlink" Target="https://publications.aap.org/collection/603/Section-on-Telehealth-Care" TargetMode="External"/><Relationship Id="rId13" Type="http://schemas.openxmlformats.org/officeDocument/2006/relationships/hyperlink" Target="https://www.who.int/campaigns/world-breastfeeding-week/2026" TargetMode="External"/><Relationship Id="rId14" Type="http://schemas.openxmlformats.org/officeDocument/2006/relationships/hyperlink" Target="https://pubmed.ncbi.nlm.nih.gov/42145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Newsletter Editorial Feedback</dc:title>
  <dc:subject>Weekly news selection model for Italian Primary Care Pediatricians</dc:subject>
  <dc:creator>Oykomed</dc:creator>
  <cp:keywords>Oykomed, newsletter, PLS, pediatrics, editorial feedback</cp:keywords>
  <dc:description>generated by python-docx</dc:description>
  <cp:lastModifiedBy/>
  <cp:revision>1</cp:revision>
  <dcterms:created xsi:type="dcterms:W3CDTF">2013-12-23T23:15:00Z</dcterms:created>
  <dcterms:modified xsi:type="dcterms:W3CDTF">2013-12-23T23:15:00Z</dcterms:modified>
  <cp:category/>
</cp:coreProperties>
</file>