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ptos Display" w:hAnsi="Aptos Display"/>
          <w:b/>
          <w:color w:val="1F4E79"/>
          <w:sz w:val="44"/>
        </w:rPr>
        <w:t>LINEE GUIDA EDITORIALI</w:t>
      </w:r>
    </w:p>
    <w:p>
      <w:pPr>
        <w:jc w:val="center"/>
      </w:pPr>
      <w:r>
        <w:rPr>
          <w:b/>
          <w:color w:val="373737"/>
          <w:sz w:val="26"/>
        </w:rPr>
        <w:t>Come scrivere L'Essenziale in Pediatria</w:t>
      </w:r>
    </w:p>
    <w:p>
      <w:pPr>
        <w:jc w:val="center"/>
      </w:pPr>
      <w:r>
        <w:rPr>
          <w:color w:val="5A5A5A"/>
          <w:sz w:val="21"/>
        </w:rPr>
        <w:t>Tono di voce, struttura e standard operativi per la newsletter settimanale di Oykos</w:t>
      </w:r>
    </w:p>
    <w:p>
      <w:pPr>
        <w:jc w:val="center"/>
      </w:pPr>
      <w:r>
        <w:rPr>
          <w:color w:val="6E6E6E"/>
          <w:sz w:val="19"/>
        </w:rPr>
        <w:t>Versione 2.0   |   7 agosto 2026   |   Destinatari: team editoriale Oykos</w:t>
      </w:r>
    </w:p>
    <w:p>
      <w:pPr>
        <w:pStyle w:val="Heading1"/>
        <w:keepNext/>
      </w:pPr>
      <w:r>
        <w:t>1. Scopo della newsletter</w:t>
      </w:r>
    </w:p>
    <w:p>
      <w:r>
        <w:t>L'Essenziale in Pediatria seleziona le novità che meritano l'attenzione del Pediatra di Libera Scelta e ne chiarisce rapidamente la rilevanza per la pratica.</w:t>
      </w:r>
    </w:p>
    <w:p>
      <w:r>
        <w:t>Non ogni novità richiede un cambiamento.</w:t>
      </w:r>
    </w:p>
    <w:p>
      <w:r>
        <w:t>Per ogni contenuto la newsletter deve permettere di capire se:</w:t>
      </w:r>
    </w:p>
    <w:p>
      <w:pPr>
        <w:spacing w:after="40"/>
        <w:ind w:left="317" w:hanging="317"/>
      </w:pPr>
      <w:r>
        <w:t>1.  cambia concretamente qualcosa nella pratica;</w:t>
      </w:r>
    </w:p>
    <w:p>
      <w:pPr>
        <w:spacing w:after="40"/>
        <w:ind w:left="317" w:hanging="317"/>
      </w:pPr>
      <w:r>
        <w:t>2.  aggiunge un elemento utile al ragionamento clinico;</w:t>
      </w:r>
    </w:p>
    <w:p>
      <w:pPr>
        <w:spacing w:after="40"/>
        <w:ind w:left="317" w:hanging="317"/>
      </w:pPr>
      <w:r>
        <w:t>3.  suggerisce particolare attenzione in alcune situazioni;</w:t>
      </w:r>
    </w:p>
    <w:p>
      <w:pPr>
        <w:spacing w:after="40"/>
        <w:ind w:left="317" w:hanging="317"/>
      </w:pPr>
      <w:r>
        <w:t>4.  non modifica al momento la pratica;</w:t>
      </w:r>
    </w:p>
    <w:p>
      <w:pPr>
        <w:spacing w:after="40"/>
        <w:ind w:left="317" w:hanging="317"/>
      </w:pPr>
      <w:r>
        <w:t>5.  non consente ancora conclusioni sufficientemente solide.</w:t>
      </w:r>
    </w:p>
    <w:p>
      <w:r>
        <w:t>La proposta di valore è la selezione, lettura, verifica e contestualizzazione delle fonti. Oykos aiuta il pediatra a capire cosa merita attenzione. Non sostituisce il giudizio clinico e non trasforma automaticamente una nuova evidenza in una raccomandazione.</w:t>
      </w:r>
    </w:p>
    <w:p>
      <w:pPr>
        <w:pStyle w:val="Heading1"/>
        <w:keepNext/>
      </w:pPr>
      <w:r>
        <w:t>2. Tono di voce</w:t>
      </w:r>
    </w:p>
    <w:p>
      <w:r>
        <w:t>La newsletter deve essere competente, naturale e clinicamente credibile. Non deve imitare un medico né assumere un’autorità superiore a quella consentita dalla fonte.</w:t>
      </w:r>
    </w:p>
    <w:p>
      <w:r>
        <w:rPr>
          <w:b/>
        </w:rPr>
        <w:t xml:space="preserve">Competente. </w:t>
      </w:r>
      <w:r>
        <w:t>Usa terminologia clinica precisa e distingue evidenza, associazione, raccomandazione e decisione clinica.</w:t>
      </w:r>
    </w:p>
    <w:p>
      <w:r>
        <w:rPr>
          <w:b/>
        </w:rPr>
        <w:t xml:space="preserve">Collegiale. </w:t>
      </w:r>
      <w:r>
        <w:t>Si rivolge a professionisti esperti senza insegnare loro il mestiere.</w:t>
      </w:r>
    </w:p>
    <w:p>
      <w:r>
        <w:rPr>
          <w:b/>
        </w:rPr>
        <w:t xml:space="preserve">Contestuale. </w:t>
      </w:r>
      <w:r>
        <w:t>Spiega dove una novità può essere rilevante nella pratica del PLS.</w:t>
      </w:r>
    </w:p>
    <w:p>
      <w:r>
        <w:rPr>
          <w:b/>
        </w:rPr>
        <w:t xml:space="preserve">Sintetica. </w:t>
      </w:r>
      <w:r>
        <w:t>Porta subito in evidenza il messaggio che merita attenzione.</w:t>
      </w:r>
    </w:p>
    <w:p>
      <w:r>
        <w:rPr>
          <w:b/>
        </w:rPr>
        <w:t xml:space="preserve">Proporzionata. </w:t>
      </w:r>
      <w:r>
        <w:t>Il grado di certezza del linguaggio deve riflettere la solidità della fonte.</w:t>
      </w:r>
    </w:p>
    <w:p>
      <w:r>
        <w:rPr>
          <w:b/>
        </w:rPr>
        <w:t xml:space="preserve">Trasparente. </w:t>
      </w:r>
      <w:r>
        <w:t>Distingue ciò che afferma la fonte da ciò che rappresenta una lettura editoriale.</w:t>
      </w:r>
    </w:p>
    <w:p>
      <w:r>
        <w:rPr>
          <w:b/>
        </w:rPr>
        <w:t xml:space="preserve">Sobria. </w:t>
      </w:r>
      <w:r>
        <w:t>Non crea urgenza artificiale e non forza una conseguenza pratica quando non esiste.</w:t>
      </w:r>
    </w:p>
    <w:p>
      <w:pPr>
        <w:pStyle w:val="Heading1"/>
        <w:keepNext/>
      </w:pPr>
      <w:r>
        <w:t>3. Principio editoriale fondamentale</w:t>
      </w:r>
    </w:p>
    <w:p>
      <w:r>
        <w:t>La sequenza corretta non è:</w:t>
      </w:r>
    </w:p>
    <w:p>
      <w:pPr>
        <w:pStyle w:val="Callout"/>
      </w:pPr>
      <w:r>
        <w:rPr>
          <w:b/>
        </w:rPr>
        <w:t>Nuova evidenza. Quindi il pediatra deve fare qualcosa.</w:t>
      </w:r>
    </w:p>
    <w:p>
      <w:r>
        <w:t>La sequenza corretta è:</w:t>
      </w:r>
    </w:p>
    <w:p>
      <w:pPr>
        <w:pStyle w:val="Callout"/>
      </w:pPr>
      <w:r>
        <w:rPr>
          <w:b/>
        </w:rPr>
        <w:t>Nuova evidenza. Quanto è rilevante per il PLS. Che cosa cambia realmente, se cambia qualcosa.</w:t>
      </w:r>
    </w:p>
    <w:p>
      <w:r>
        <w:t>Prima di proporre qualsiasi azione, la redazione deve stabilire se la fonte la giustifica. L’assenza di un’azione immediata è una conclusione editoriale perfettamente valida.</w:t>
      </w:r>
    </w:p>
    <w:p>
      <w:pPr>
        <w:pStyle w:val="Heading1"/>
        <w:keepNext/>
      </w:pPr>
      <w:r>
        <w:t>4. Architettura della newsletter</w:t>
      </w:r>
    </w:p>
    <w:p>
      <w:r>
        <w:t>La newsletter deve funzionare su due livelli di lettura. Il primo consente di comprendere rapidamente che cosa merita attenzione. Il secondo permette di approfondire attraverso la sintesi estesa e la fonte originale.</w:t>
      </w:r>
    </w:p>
    <w:p>
      <w:r>
        <w:t>Struttura raccomandata:</w:t>
      </w:r>
    </w:p>
    <w:p>
      <w:pPr>
        <w:spacing w:after="40"/>
        <w:ind w:left="317" w:hanging="317"/>
      </w:pPr>
      <w:r>
        <w:t>1.  Oggetto chiaro e clinicamente rilevante.</w:t>
      </w:r>
    </w:p>
    <w:p>
      <w:pPr>
        <w:spacing w:after="40"/>
        <w:ind w:left="317" w:hanging="317"/>
      </w:pPr>
      <w:r>
        <w:t>2.  Testo di anteprima utile.</w:t>
      </w:r>
    </w:p>
    <w:p>
      <w:pPr>
        <w:spacing w:after="40"/>
        <w:ind w:left="317" w:hanging="317"/>
      </w:pPr>
      <w:r>
        <w:t>3.  Apertura con le principali conclusioni della settimana.</w:t>
      </w:r>
    </w:p>
    <w:p>
      <w:pPr>
        <w:spacing w:after="40"/>
        <w:ind w:left="317" w:hanging="317"/>
      </w:pPr>
      <w:r>
        <w:t>4.  Una priorità sviluppata maggiormente.</w:t>
      </w:r>
    </w:p>
    <w:p>
      <w:pPr>
        <w:spacing w:after="40"/>
        <w:ind w:left="317" w:hanging="317"/>
      </w:pPr>
      <w:r>
        <w:t>5.  Uno o due aggiornamenti secondari.</w:t>
      </w:r>
    </w:p>
    <w:p>
      <w:pPr>
        <w:spacing w:after="40"/>
        <w:ind w:left="317" w:hanging="317"/>
      </w:pPr>
      <w:r>
        <w:t>6.  Implicazione pratica solo quando realmente sostenuta.</w:t>
      </w:r>
    </w:p>
    <w:p>
      <w:pPr>
        <w:spacing w:after="40"/>
        <w:ind w:left="317" w:hanging="317"/>
      </w:pPr>
      <w:r>
        <w:t>7.  Fonte primaria e limiti dell’evidenza chiaramente indicati.</w:t>
      </w:r>
    </w:p>
    <w:p>
      <w:pPr>
        <w:spacing w:after="40"/>
        <w:ind w:left="317" w:hanging="317"/>
      </w:pPr>
      <w:r>
        <w:t>8.  Invito a scoprire Oykos dopo avere già fornito valore.</w:t>
      </w:r>
    </w:p>
    <w:p>
      <w:r>
        <w:t>Non tutti gli articoli devono avere la stessa struttura o necessariamente concludersi con un’azione.</w:t>
      </w:r>
    </w:p>
    <w:p>
      <w:pPr>
        <w:pStyle w:val="Heading1"/>
        <w:keepNext/>
      </w:pPr>
      <w:r>
        <w:t>5. Struttura di ogni contenuto</w:t>
      </w:r>
    </w:p>
    <w:p>
      <w:pPr>
        <w:pStyle w:val="Heading2"/>
        <w:keepNext/>
      </w:pPr>
      <w:r>
        <w:t>Titolo</w:t>
      </w:r>
    </w:p>
    <w:p>
      <w:r>
        <w:t>Deve comunicare la novità e, quando possibile, la sua reale rilevanza. Evitare di trasformare un’interpretazione editoriale in una certezza clinica.</w:t>
      </w:r>
    </w:p>
    <w:p>
      <w:pPr>
        <w:pStyle w:val="Heading2"/>
        <w:keepNext/>
      </w:pPr>
      <w:r>
        <w:t>Cosa emerge</w:t>
      </w:r>
    </w:p>
    <w:p>
      <w:r>
        <w:t>Riassumere in una o due frasi ciò che la fonte aggiunge realmente.</w:t>
      </w:r>
    </w:p>
    <w:p>
      <w:pPr>
        <w:pStyle w:val="Heading2"/>
        <w:keepNext/>
      </w:pPr>
      <w:r>
        <w:t>Perché può contare per il PLS</w:t>
      </w:r>
    </w:p>
    <w:p>
      <w:r>
        <w:t>Contestualizzare il dato nella pediatria di famiglia. Non dedurre conseguenze che la fonte non supporta.</w:t>
      </w:r>
    </w:p>
    <w:p>
      <w:pPr>
        <w:pStyle w:val="Heading2"/>
        <w:keepNext/>
      </w:pPr>
      <w:r>
        <w:t>Implicazione pratica</w:t>
      </w:r>
    </w:p>
    <w:p>
      <w:r>
        <w:t>Inserirla soltanto quando esiste. Può assumere forme differenti:</w:t>
      </w:r>
    </w:p>
    <w:p>
      <w:pPr>
        <w:pStyle w:val="ListBullet"/>
        <w:spacing w:after="40"/>
      </w:pPr>
      <w:r>
        <w:t>Cambia la pratica.</w:t>
      </w:r>
    </w:p>
    <w:p>
      <w:pPr>
        <w:pStyle w:val="ListBullet"/>
        <w:spacing w:after="40"/>
      </w:pPr>
      <w:r>
        <w:t>Merita attenzione.</w:t>
      </w:r>
    </w:p>
    <w:p>
      <w:pPr>
        <w:pStyle w:val="ListBullet"/>
        <w:spacing w:after="40"/>
      </w:pPr>
      <w:r>
        <w:t>Può essere utile considerare.</w:t>
      </w:r>
    </w:p>
    <w:p>
      <w:pPr>
        <w:pStyle w:val="ListBullet"/>
        <w:spacing w:after="40"/>
      </w:pPr>
      <w:r>
        <w:t>Non cambia al momento la pratica.</w:t>
      </w:r>
    </w:p>
    <w:p>
      <w:pPr>
        <w:pStyle w:val="ListBullet"/>
        <w:spacing w:after="40"/>
      </w:pPr>
      <w:r>
        <w:t>Le evidenze non consentono ancora indicazioni operative.</w:t>
      </w:r>
    </w:p>
    <w:p>
      <w:r>
        <w:t>La sezione non deve necessariamente chiamarsi sempre “Cosa fare ora”.</w:t>
      </w:r>
    </w:p>
    <w:p>
      <w:pPr>
        <w:pStyle w:val="Heading2"/>
        <w:keepNext/>
      </w:pPr>
      <w:r>
        <w:t>Fonte e limiti</w:t>
      </w:r>
    </w:p>
    <w:p>
      <w:r>
        <w:t>Indicare tipo di fonte, forza dell’evidenza e principali limiti interpretativi rilevanti.</w:t>
      </w:r>
    </w:p>
    <w:p>
      <w:pPr>
        <w:pStyle w:val="Heading1"/>
        <w:keepNext/>
      </w:pPr>
      <w:r>
        <w:t>6. Regole di scrittura</w:t>
      </w:r>
    </w:p>
    <w:p>
      <w:pPr>
        <w:pStyle w:val="ListBullet"/>
        <w:spacing w:after="40"/>
      </w:pPr>
      <w:r>
        <w:t>Aprire con il messaggio importante, non con il contesto bibliografico.</w:t>
      </w:r>
    </w:p>
    <w:p>
      <w:pPr>
        <w:pStyle w:val="ListBullet"/>
        <w:spacing w:after="40"/>
      </w:pPr>
      <w:r>
        <w:t>Comunicare un solo concetto principale per contenuto.</w:t>
      </w:r>
    </w:p>
    <w:p>
      <w:pPr>
        <w:pStyle w:val="ListBullet"/>
        <w:spacing w:after="40"/>
      </w:pPr>
      <w:r>
        <w:t>Non creare obbligatoriamente una raccomandazione.</w:t>
      </w:r>
    </w:p>
    <w:p>
      <w:pPr>
        <w:pStyle w:val="ListBullet"/>
        <w:spacing w:after="40"/>
      </w:pPr>
      <w:r>
        <w:t>Usare il tu soltanto quando naturale e appropriato.</w:t>
      </w:r>
    </w:p>
    <w:p>
      <w:pPr>
        <w:pStyle w:val="ListBullet"/>
        <w:spacing w:after="40"/>
      </w:pPr>
      <w:r>
        <w:t>Evitare imperativi clinici non direttamente sostenuti dalla fonte.</w:t>
      </w:r>
    </w:p>
    <w:p>
      <w:pPr>
        <w:pStyle w:val="ListBullet"/>
        <w:spacing w:after="40"/>
      </w:pPr>
      <w:r>
        <w:t>Verbi come “ricontrolla”, “invia”, “modifica”, “mantieni”, “monitora” e “prescrivi” richiedono particolare cautela.</w:t>
      </w:r>
    </w:p>
    <w:p>
      <w:pPr>
        <w:pStyle w:val="ListBullet"/>
        <w:spacing w:after="40"/>
      </w:pPr>
      <w:r>
        <w:t>Con studi osservazionali, evidenze preliminari o associazioni, preferire formulazioni che mantengano l’incertezza.</w:t>
      </w:r>
    </w:p>
    <w:p>
      <w:pPr>
        <w:pStyle w:val="ListBullet"/>
        <w:spacing w:after="40"/>
      </w:pPr>
      <w:r>
        <w:t>Evitare formule automatiche come “In pratica, questo significa” quando ciò che segue rappresenta una deduzione editoriale.</w:t>
      </w:r>
    </w:p>
    <w:p>
      <w:pPr>
        <w:pStyle w:val="ListBullet"/>
        <w:spacing w:after="40"/>
      </w:pPr>
      <w:r>
        <w:t>Separare sempre ciò che mostra la fonte, ciò che può essere rilevante per il PLS e ciò che eventualmente ne consegue nella pratica.</w:t>
      </w:r>
    </w:p>
    <w:p>
      <w:pPr>
        <w:pStyle w:val="ListBullet"/>
        <w:spacing w:after="40"/>
      </w:pPr>
      <w:r>
        <w:t>Non utilizzare un tono più sicuro della fonte originale.</w:t>
      </w:r>
    </w:p>
    <w:p>
      <w:pPr>
        <w:pStyle w:val="Heading1"/>
        <w:keepNext/>
      </w:pPr>
      <w:r>
        <w:t>7. Gerarchia delle evidenze e del linguaggio</w:t>
      </w:r>
    </w:p>
    <w:p>
      <w:r>
        <w:rPr>
          <w:b/>
        </w:rPr>
        <w:t xml:space="preserve">Linea guida o indicazione istituzionale chiara. </w:t>
      </w:r>
      <w:r>
        <w:t>Può giustificare una formulazione operativa diretta.</w:t>
      </w:r>
    </w:p>
    <w:p>
      <w:r>
        <w:rPr>
          <w:b/>
        </w:rPr>
        <w:t xml:space="preserve">Revisione sistematica o evidenza consolidata. </w:t>
      </w:r>
      <w:r>
        <w:t>Può giustificare implicazioni cliniche, rispettandone limiti e popolazione.</w:t>
      </w:r>
    </w:p>
    <w:p>
      <w:r>
        <w:rPr>
          <w:b/>
        </w:rPr>
        <w:t xml:space="preserve">Studio osservazionale. </w:t>
      </w:r>
      <w:r>
        <w:t>Descrivere associazioni e possibile rilevanza. Non trasformarle automaticamente in indicazioni cliniche.</w:t>
      </w:r>
    </w:p>
    <w:p>
      <w:r>
        <w:rPr>
          <w:b/>
        </w:rPr>
        <w:t xml:space="preserve">Studio preliminare o singolo lavoro. </w:t>
      </w:r>
      <w:r>
        <w:t>Presentarlo soprattutto come informazione da conoscere o seguire.</w:t>
      </w:r>
    </w:p>
    <w:p>
      <w:r>
        <w:rPr>
          <w:b/>
        </w:rPr>
        <w:t xml:space="preserve">Documento incompleto o non accessibile integralmente. </w:t>
      </w:r>
      <w:r>
        <w:t>Non formulare raccomandazioni sulla base di contenuti non verificati.</w:t>
      </w:r>
    </w:p>
    <w:p>
      <w:pPr>
        <w:pStyle w:val="Heading1"/>
        <w:keepNext/>
      </w:pPr>
      <w:r>
        <w:t>8. Gerarchia editoriale e spazio</w:t>
      </w:r>
    </w:p>
    <w:p>
      <w:r>
        <w:t>Non tutti gli aggiornamenti meritano la stessa evidenza. La priorità dipende da rilevanza per la pediatria di famiglia, impatto potenziale sulla pratica, qualità della fonte, novità reale e necessità temporale di conoscere l’informazione.</w:t>
      </w:r>
    </w:p>
    <w:p>
      <w:r>
        <w:rPr>
          <w:b/>
        </w:rPr>
        <w:t xml:space="preserve">Priorità della settimana. </w:t>
      </w:r>
      <w:r>
        <w:t>Messaggio principale, contesto clinico e reale implicazione.</w:t>
      </w:r>
    </w:p>
    <w:p>
      <w:r>
        <w:rPr>
          <w:b/>
        </w:rPr>
        <w:t xml:space="preserve">Clinica del territorio. </w:t>
      </w:r>
      <w:r>
        <w:t>Evidenza utile alla valutazione clinica quotidiana, senza forzare cambiamenti.</w:t>
      </w:r>
    </w:p>
    <w:p>
      <w:r>
        <w:rPr>
          <w:b/>
        </w:rPr>
        <w:t xml:space="preserve">Normativa e organizzazione. </w:t>
      </w:r>
      <w:r>
        <w:t>Cambiamenti concreti che incidono sull’attività del PLS.</w:t>
      </w:r>
    </w:p>
    <w:p>
      <w:r>
        <w:rPr>
          <w:b/>
        </w:rPr>
        <w:t xml:space="preserve">Segnalazione. </w:t>
      </w:r>
      <w:r>
        <w:t>Informazione interessante ma non ancora tale da modificare la pratica.</w:t>
      </w:r>
    </w:p>
    <w:p>
      <w:r>
        <w:t>Nessun contenuto deve essere allungato per riempire una struttura grafica.</w:t>
      </w:r>
    </w:p>
    <w:p>
      <w:pPr>
        <w:pStyle w:val="Heading1"/>
        <w:keepNext/>
      </w:pPr>
      <w:r>
        <w:t>9. Titoli, oggetto e anteprima</w:t>
      </w:r>
    </w:p>
    <w:p>
      <w:r>
        <w:t>I titoli devono essere informativi prima che accattivanti. Evitare titoli che incorporano una raccomandazione non contenuta nella fonte.</w:t>
      </w:r>
    </w:p>
    <w:p>
      <w:r>
        <w:t>Da evitare:</w:t>
      </w:r>
    </w:p>
    <w:p>
      <w:pPr>
        <w:pStyle w:val="Callout"/>
      </w:pPr>
      <w:r>
        <w:t>“Ex very preterm: spirometria da considerare se sintomatici.”</w:t>
      </w:r>
    </w:p>
    <w:p>
      <w:r>
        <w:t>Se lo studio dimostra soltanto un’associazione, preferire per esempio:</w:t>
      </w:r>
    </w:p>
    <w:p>
      <w:pPr>
        <w:pStyle w:val="ListBullet"/>
        <w:spacing w:after="40"/>
      </w:pPr>
      <w:r>
        <w:t>“Ex very preterm: frequenti alterazioni spirometriche in età prescolare.”</w:t>
      </w:r>
    </w:p>
    <w:p>
      <w:pPr>
        <w:pStyle w:val="ListBullet"/>
        <w:spacing w:after="40"/>
      </w:pPr>
      <w:r>
        <w:t>“Ex very preterm e sintomi respiratori: nuovi dati sulla funzione polmonare.”</w:t>
      </w:r>
    </w:p>
    <w:p>
      <w:r>
        <w:t>L’oggetto deve creare interesse attraverso la rilevanza, non attraverso allarmismo o curiosità artificiale.</w:t>
      </w:r>
    </w:p>
    <w:p>
      <w:pPr>
        <w:pStyle w:val="Heading1"/>
        <w:keepNext/>
      </w:pPr>
      <w:r>
        <w:t>10. Formule editoriali</w:t>
      </w:r>
    </w:p>
    <w:p>
      <w:pPr>
        <w:pStyle w:val="Heading2"/>
        <w:keepNext/>
      </w:pPr>
      <w:r>
        <w:t>Da evitare come schema automatico</w:t>
      </w:r>
    </w:p>
    <w:p>
      <w:pPr>
        <w:pStyle w:val="Callout"/>
      </w:pPr>
      <w:r>
        <w:rPr>
          <w:b/>
        </w:rPr>
        <w:t>Cosa cambia. Perché conta. Cosa fare adesso.</w:t>
      </w:r>
    </w:p>
    <w:p>
      <w:r>
        <w:t>Questo schema induce a trovare necessariamente un comportamento da proporre.</w:t>
      </w:r>
    </w:p>
    <w:p>
      <w:pPr>
        <w:pStyle w:val="Heading2"/>
        <w:keepNext/>
      </w:pPr>
      <w:r>
        <w:t>Formula raccomandata</w:t>
      </w:r>
    </w:p>
    <w:p>
      <w:pPr>
        <w:pStyle w:val="Callout"/>
      </w:pPr>
      <w:r>
        <w:rPr>
          <w:b/>
        </w:rPr>
        <w:t>Cosa emerge. Quanto conta per il PLS. Che cosa cambia, se cambia qualcosa.</w:t>
      </w:r>
    </w:p>
    <w:p>
      <w:r>
        <w:t>Possibili conclusioni:</w:t>
      </w:r>
    </w:p>
    <w:p>
      <w:pPr>
        <w:pStyle w:val="ListBullet"/>
        <w:spacing w:after="40"/>
      </w:pPr>
      <w:r>
        <w:t>“Questo aggiornamento modifica...”</w:t>
      </w:r>
    </w:p>
    <w:p>
      <w:pPr>
        <w:pStyle w:val="ListBullet"/>
        <w:spacing w:after="40"/>
      </w:pPr>
      <w:r>
        <w:t>“Il dato rafforza l’attenzione verso...”</w:t>
      </w:r>
    </w:p>
    <w:p>
      <w:pPr>
        <w:pStyle w:val="ListBullet"/>
        <w:spacing w:after="40"/>
      </w:pPr>
      <w:r>
        <w:t>“Può essere utile tenerne conto quando...”</w:t>
      </w:r>
    </w:p>
    <w:p>
      <w:pPr>
        <w:pStyle w:val="ListBullet"/>
        <w:spacing w:after="40"/>
      </w:pPr>
      <w:r>
        <w:t>“È un elemento da considerare soprattutto in...”</w:t>
      </w:r>
    </w:p>
    <w:p>
      <w:pPr>
        <w:pStyle w:val="ListBullet"/>
        <w:spacing w:after="40"/>
      </w:pPr>
      <w:r>
        <w:t>“Il dato è interessante, ma non modifica da solo la pratica.”</w:t>
      </w:r>
    </w:p>
    <w:p>
      <w:pPr>
        <w:pStyle w:val="ListBullet"/>
        <w:spacing w:after="40"/>
      </w:pPr>
      <w:r>
        <w:t>“Al momento non emergono indicazioni operative.”</w:t>
      </w:r>
    </w:p>
    <w:p>
      <w:pPr>
        <w:pStyle w:val="ListBullet"/>
        <w:spacing w:after="40"/>
      </w:pPr>
      <w:r>
        <w:t>“L’evidenza non è sufficiente per modificare la gestione.”</w:t>
      </w:r>
    </w:p>
    <w:p>
      <w:r>
        <w:t>La conclusione deve nascere dalla fonte, non dalla necessità editoriale di riempire una sezione.</w:t>
      </w:r>
    </w:p>
    <w:p>
      <w:pPr>
        <w:pStyle w:val="Heading1"/>
        <w:keepNext/>
      </w:pPr>
      <w:r>
        <w:t>11. Affidabilità delle fonti</w:t>
      </w:r>
    </w:p>
    <w:p>
      <w:pPr>
        <w:pStyle w:val="ListBullet"/>
        <w:spacing w:after="40"/>
      </w:pPr>
      <w:r>
        <w:t>L’interesse editoriale non deve mai superare la qualità dell’evidenza.</w:t>
      </w:r>
    </w:p>
    <w:p>
      <w:pPr>
        <w:pStyle w:val="ListBullet"/>
        <w:spacing w:after="40"/>
      </w:pPr>
      <w:r>
        <w:t>Specificare quando necessario se la fonte è istituzionale, primaria, secondaria o associativa.</w:t>
      </w:r>
    </w:p>
    <w:p>
      <w:pPr>
        <w:pStyle w:val="ListBullet"/>
        <w:spacing w:after="40"/>
      </w:pPr>
      <w:r>
        <w:t>Dichiarare quando il testo completo non è disponibile.</w:t>
      </w:r>
    </w:p>
    <w:p>
      <w:pPr>
        <w:pStyle w:val="ListBullet"/>
        <w:spacing w:after="40"/>
      </w:pPr>
      <w:r>
        <w:t>Non attribuire alla fonte raccomandazioni che non contiene.</w:t>
      </w:r>
    </w:p>
    <w:p>
      <w:pPr>
        <w:pStyle w:val="ListBullet"/>
        <w:spacing w:after="40"/>
      </w:pPr>
      <w:r>
        <w:t>Non trasformare associazioni in causalità.</w:t>
      </w:r>
    </w:p>
    <w:p>
      <w:pPr>
        <w:pStyle w:val="ListBullet"/>
        <w:spacing w:after="40"/>
      </w:pPr>
      <w:r>
        <w:t>Non trasformare una pubblicazione in una modifica della pratica.</w:t>
      </w:r>
    </w:p>
    <w:p>
      <w:pPr>
        <w:pStyle w:val="ListBullet"/>
        <w:spacing w:after="40"/>
      </w:pPr>
      <w:r>
        <w:t>Non trasformare una prudenza editoriale di Oykos in una raccomandazione clinica.</w:t>
      </w:r>
    </w:p>
    <w:p>
      <w:pPr>
        <w:pStyle w:val="Heading1"/>
        <w:keepNext/>
      </w:pPr>
      <w:r>
        <w:t>12. Checklist prima dell’invio</w:t>
      </w:r>
    </w:p>
    <w:p>
      <w:pPr>
        <w:pStyle w:val="ListBullet"/>
        <w:spacing w:after="40"/>
      </w:pPr>
      <w:r>
        <w:t>Il tema è realmente rilevante per un PLS?</w:t>
      </w:r>
    </w:p>
    <w:p>
      <w:pPr>
        <w:pStyle w:val="ListBullet"/>
        <w:spacing w:after="40"/>
      </w:pPr>
      <w:r>
        <w:t>Il titolo descrive correttamente ciò che sappiamo?</w:t>
      </w:r>
    </w:p>
    <w:p>
      <w:pPr>
        <w:pStyle w:val="ListBullet"/>
        <w:spacing w:after="40"/>
      </w:pPr>
      <w:r>
        <w:t>La conclusione è sostenuta dalla fonte?</w:t>
      </w:r>
    </w:p>
    <w:p>
      <w:pPr>
        <w:pStyle w:val="ListBullet"/>
        <w:spacing w:after="40"/>
      </w:pPr>
      <w:r>
        <w:t>Stiamo proponendo un’azione solo perché la struttura della newsletter la richiede?</w:t>
      </w:r>
    </w:p>
    <w:p>
      <w:pPr>
        <w:pStyle w:val="ListBullet"/>
        <w:spacing w:after="40"/>
      </w:pPr>
      <w:r>
        <w:t>Il linguaggio è più assertivo dell’evidenza?</w:t>
      </w:r>
    </w:p>
    <w:p>
      <w:pPr>
        <w:pStyle w:val="ListBullet"/>
        <w:spacing w:after="40"/>
      </w:pPr>
      <w:r>
        <w:t>Un pediatra riconoscerebbe il ragionamento clinico come naturale?</w:t>
      </w:r>
    </w:p>
    <w:p>
      <w:pPr>
        <w:pStyle w:val="ListBullet"/>
        <w:spacing w:after="40"/>
      </w:pPr>
      <w:r>
        <w:t>Il testo distingue evidenza, interpretazione e possibile conseguenza?</w:t>
      </w:r>
    </w:p>
    <w:p>
      <w:pPr>
        <w:pStyle w:val="ListBullet"/>
        <w:spacing w:after="40"/>
      </w:pPr>
      <w:r>
        <w:t>Abbiamo evitato imperativi non necessari?</w:t>
      </w:r>
    </w:p>
    <w:p>
      <w:pPr>
        <w:pStyle w:val="ListBullet"/>
        <w:spacing w:after="40"/>
      </w:pPr>
      <w:r>
        <w:t>È chiaro quando nulla cambia nella pratica?</w:t>
      </w:r>
    </w:p>
    <w:p>
      <w:pPr>
        <w:pStyle w:val="ListBullet"/>
        <w:spacing w:after="40"/>
      </w:pPr>
      <w:r>
        <w:t>Il contenuto offre valore anche senza aprire il link?</w:t>
      </w:r>
    </w:p>
    <w:p>
      <w:pPr>
        <w:pStyle w:val="ListBullet"/>
        <w:spacing w:after="40"/>
      </w:pPr>
      <w:r>
        <w:t>La validazione clinica finale è stata completata?</w:t>
      </w:r>
    </w:p>
    <w:p>
      <w:pPr>
        <w:pStyle w:val="Heading1"/>
        <w:keepNext/>
      </w:pPr>
      <w:r>
        <w:t>DECISIONE EDITORIALE</w:t>
      </w:r>
    </w:p>
    <w:p>
      <w:r>
        <w:t>Adottare una voce da curatore affidabile dell’informazione clinica, non da medico che impartisce indicazioni. La newsletter deve aiutare il pediatra a orientarsi tra le novità, non dirgli sistematicamente che cosa deve fare.</w:t>
      </w:r>
    </w:p>
    <w:p>
      <w:pPr>
        <w:pStyle w:val="Heading1"/>
        <w:keepNext/>
      </w:pPr>
      <w:r>
        <w:t>PROMESSA AL LETTORE</w:t>
      </w:r>
    </w:p>
    <w:p>
      <w:pPr>
        <w:pStyle w:val="Callout"/>
      </w:pPr>
      <w:r>
        <w:rPr>
          <w:b/>
        </w:rPr>
        <w:t>Abbiamo selezionato, letto e verificato ciò che è emerso questa settimana. In pochi minuti puoi capire che cosa merita davvero la tua attenzione e se cambia qualcosa nella pratica.</w:t>
      </w:r>
    </w:p>
    <w:p>
      <w:pPr>
        <w:pStyle w:val="Heading1"/>
        <w:keepNext/>
      </w:pPr>
      <w:r>
        <w:t>PRINCIPIO FINALE</w:t>
      </w:r>
    </w:p>
    <w:p>
      <w:pPr>
        <w:pStyle w:val="Callout"/>
      </w:pPr>
      <w:r>
        <w:rPr>
          <w:b/>
        </w:rPr>
        <w:t>Una buona newsletter clinica non trasforma ogni novità in un’azione. Distingue ciò che cambia la pratica da ciò che semplicemente merita di essere conosciuto.</w:t>
      </w:r>
    </w:p>
    <w:sectPr w:rsidR="00FC693F" w:rsidRPr="0006063C" w:rsidSect="00034616">
      <w:footerReference w:type="default" r:id="rId9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Oykos   |   Linee guida editoriali   |   Versione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37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20"/>
      <w:ind w:left="259" w:right="259"/>
    </w:pPr>
    <w:rPr>
      <w:rFonts w:ascii="Aptos" w:hAnsi="Aptos"/>
      <w:i/>
      <w:color w:val="2D2D2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Linee guida editoriali Oykos v2</dc:title>
  <dc:subject>Newsletter L'Essenziale in Pediatria</dc:subject>
  <dc:creator>Oykomed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