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SHINE Relief Trust</w:t>
      </w:r>
    </w:p>
    <w:p>
      <w:pPr>
        <w:pStyle w:val="Heading1"/>
        <w:jc w:val="center"/>
      </w:pPr>
      <w:r>
        <w:t xml:space="preserve">SHINE Village Progress Report - July to September 2026</w:t>
      </w:r>
    </w:p>
    <w:p>
      <w:r>
        <w:rPr>
          <w:b/>
          <w:bCs/>
        </w:rPr>
        <w:t xml:space="preserve">Reporting Period: </w:t>
      </w:r>
      <w:r>
        <w:t xml:space="preserve">July to September 2026 (Third Quarter 2026)</w:t>
      </w:r>
    </w:p>
    <w:p>
      <w:r>
        <w:rPr>
          <w:b/>
          <w:bCs/>
        </w:rPr>
        <w:t xml:space="preserve">Location: </w:t>
      </w:r>
      <w:r>
        <w:t xml:space="preserve">Shine Village, Malawi</w:t>
      </w:r>
    </w:p>
    <w:p>
      <w:r>
        <w:rPr>
          <w:b/>
          <w:bCs/>
        </w:rPr>
        <w:t xml:space="preserve">Author: </w:t>
      </w:r>
      <w:r>
        <w:t xml:space="preserve">Suzen Zidana</w:t>
      </w:r>
    </w:p>
    <w:p>
      <w:r>
        <w:t xml:space="preserve">--------------------------------------------------</w:t>
      </w:r>
    </w:p>
    <w:p>
      <w:pPr>
        <w:pStyle w:val="Heading2"/>
      </w:pPr>
      <w:r>
        <w:t xml:space="preserve">1. Executive Summary &amp; Programme Overview</w:t>
      </w:r>
    </w:p>
    <w:p>
      <w:r>
        <w:t xml:space="preserve">During the third quarter covering July to September 2026, SHINE Relief Trust continued its comprehensive residential care, education, and community outreach operations at Shine Village in Malawi. This progress report outlines beneficiary educational transitions, communal household life skills, Early Childhood Development (Early Years) progress, and key priorities for the upcoming programme year.</w:t>
      </w:r>
    </w:p>
    <w:p>
      <w:pPr>
        <w:pStyle w:val="Heading2"/>
      </w:pPr>
      <w:r>
        <w:t xml:space="preserve">2. Education and Beneficiary Academic Transitions</w:t>
      </w:r>
    </w:p>
    <w:p>
      <w:r>
        <w:t xml:space="preserve">Beneficiaries have demonstrated substantial dedication to their academic and vocational milestones throughout the term:</w:t>
      </w:r>
    </w:p>
    <w:p>
      <w:pPr>
        <w:pStyle w:val="ListParagraph"/>
        <w:numPr>
          <w:ilvl w:val="0"/>
          <w:numId w:val="1"/>
        </w:numPr>
      </w:pPr>
      <w:r>
        <w:t xml:space="preserve">• Margaret returned to Lilongwe Girls Secondary School to resume her advanced academic studies.</w:t>
      </w:r>
    </w:p>
    <w:p>
      <w:pPr>
        <w:pStyle w:val="ListParagraph"/>
        <w:numPr>
          <w:ilvl w:val="0"/>
          <w:numId w:val="1"/>
        </w:numPr>
      </w:pPr>
      <w:r>
        <w:t xml:space="preserve">• Bridget advanced to Form 3 following commendable examination performances.</w:t>
      </w:r>
    </w:p>
    <w:p>
      <w:pPr>
        <w:pStyle w:val="ListParagraph"/>
        <w:numPr>
          <w:ilvl w:val="0"/>
          <w:numId w:val="1"/>
        </w:numPr>
      </w:pPr>
      <w:r>
        <w:t xml:space="preserve">• Emily advanced to Standard 8 with focused preparation for primary school leaving examinations.</w:t>
      </w:r>
    </w:p>
    <w:p>
      <w:pPr>
        <w:pStyle w:val="ListParagraph"/>
        <w:numPr>
          <w:ilvl w:val="0"/>
          <w:numId w:val="1"/>
        </w:numPr>
      </w:pPr>
      <w:r>
        <w:t xml:space="preserve">• Monica advanced to Grade 7 showing notable progress in literacy and mathematics.</w:t>
      </w:r>
    </w:p>
    <w:p>
      <w:pPr>
        <w:pStyle w:val="ListParagraph"/>
        <w:numPr>
          <w:ilvl w:val="0"/>
          <w:numId w:val="1"/>
        </w:numPr>
      </w:pPr>
      <w:r>
        <w:t xml:space="preserve">• Memory resumed vocational training in tailoring and dressmaking modules.</w:t>
      </w:r>
    </w:p>
    <w:p>
      <w:pPr>
        <w:pStyle w:val="ListParagraph"/>
        <w:numPr>
          <w:ilvl w:val="0"/>
          <w:numId w:val="1"/>
        </w:numPr>
      </w:pPr>
      <w:r>
        <w:t xml:space="preserve">• Aisha resumed vocational training with specialized practical coursework in catering.</w:t>
      </w:r>
    </w:p>
    <w:p>
      <w:pPr>
        <w:pStyle w:val="Heading2"/>
      </w:pPr>
      <w:r>
        <w:t xml:space="preserve">3. Group and Programme Activities</w:t>
      </w:r>
    </w:p>
    <w:p>
      <w:r>
        <w:t xml:space="preserve">Church celebrations were held with enthusiastic participation from all residential houses, strengthening spiritual fellowship and communal song.</w:t>
      </w:r>
    </w:p>
    <w:p>
      <w:r>
        <w:t xml:space="preserve">Counselling sessions were conducted bi-weekly addressing emotional well-being, peer support, and confidence building for 18 girls.</w:t>
      </w:r>
    </w:p>
    <w:p>
      <w:r>
        <w:t xml:space="preserve">Retreats and camps provided life skills education, self-esteem workshops, and outdoor recreational challenges.</w:t>
      </w:r>
    </w:p>
    <w:p>
      <w:r>
        <w:t xml:space="preserve">Mentorship and public speaking workshops helped senior girls develop vocal articulation and team leadership skills.</w:t>
      </w:r>
    </w:p>
    <w:p>
      <w:r>
        <w:t xml:space="preserve">Instrument training and musical expression enabled participants to master basic keyboard and acoustic guitar fundamentals.</w:t>
      </w:r>
    </w:p>
    <w:p>
      <w:r>
        <w:t xml:space="preserve">Drama and skits focusing on child protection and social responsibility were rehearsed and staged for community visitors.</w:t>
      </w:r>
    </w:p>
    <w:p>
      <w:r>
        <w:t xml:space="preserve">Community outreach and church cleaning initiatives engaged the youth in selfless civic responsibility across neighboring villages.</w:t>
      </w:r>
    </w:p>
    <w:p>
      <w:r>
        <w:t xml:space="preserve">Charity drives and visiting the sick in local clinics fostered deep empathy and altruistic service.</w:t>
      </w:r>
    </w:p>
    <w:p>
      <w:r>
        <w:t xml:space="preserve">Bible study and faith development sessions took place each Wednesday evening with interactive group discussions.</w:t>
      </w:r>
    </w:p>
    <w:p>
      <w:r>
        <w:t xml:space="preserve">Business competitions and cooperative learning projects stimulated practical entrepreneurial thinking among secondary students.</w:t>
      </w:r>
    </w:p>
    <w:p>
      <w:r>
        <w:t xml:space="preserve">Field visits and guest speakers introduced the girls to diverse professional mentors in healthcare and education.</w:t>
      </w:r>
    </w:p>
    <w:p>
      <w:r>
        <w:t xml:space="preserve">Digital literacy sessions introduced basic word processing and computer hardware fundamentals in the library.</w:t>
      </w:r>
    </w:p>
    <w:p>
      <w:r>
        <w:t xml:space="preserve">Sports, arts and crafts, and cooking and nutrition workshops reinforced healthy lifestyle habits and culinary hygiene.</w:t>
      </w:r>
    </w:p>
    <w:p>
      <w:pPr>
        <w:pStyle w:val="Heading2"/>
      </w:pPr>
      <w:r>
        <w:t xml:space="preserve">4. Early Years Programme (Early Childhood Development)</w:t>
      </w:r>
    </w:p>
    <w:p>
      <w:r>
        <w:t xml:space="preserve">The Early Years nursery and pre-school at Shine Village concluded a productive preparatory phase. Previous enrolment was 85 children, and 24 learners graduated successfully to primary school education. Target enrolment for the upcoming intake is at least 100 learners. The team is maintaining a 1:25 teacher/caregiver ratio, with 4 qualified caregivers required alongside 6 dedicated community volunteers. Programme start date is scheduled for 5 October 2026, and the nourishing daily feeding programme start date is set for 12 October 2026.</w:t>
      </w:r>
    </w:p>
    <w:p>
      <w:pPr>
        <w:pStyle w:val="Heading2"/>
      </w:pPr>
      <w:r>
        <w:t xml:space="preserve">5. Agriculture and Practical Skills</w:t>
      </w:r>
    </w:p>
    <w:p>
      <w:r>
        <w:t xml:space="preserve">Gardening and sustainable food production continued actively. Solar irrigation systems operated at peak capacity, powering water distribution across vegetable beds of mustard greens, tomatoes, and sweet potatoes, contributing directly to fresh household nutrition.</w:t>
      </w:r>
    </w:p>
    <w:p>
      <w:pPr>
        <w:pStyle w:val="Heading2"/>
      </w:pPr>
      <w:r>
        <w:t xml:space="preserve">6. Priorities for the New Programme Year</w:t>
      </w:r>
    </w:p>
    <w:p>
      <w:r>
        <w:t xml:space="preserve">1. Support girls returning to school with full tuition, uniforms, and learning materials.</w:t>
      </w:r>
    </w:p>
    <w:p>
      <w:r>
        <w:t xml:space="preserve">2. Monitor educational and vocational progress through systematic term assessments and caregiver check-ins.</w:t>
      </w:r>
    </w:p>
    <w:p>
      <w:r>
        <w:t xml:space="preserve">3. Enrol at least 100 Early Years learners to expand early childhood foundation skills.</w:t>
      </w:r>
    </w:p>
    <w:p>
      <w:r>
        <w:t xml:space="preserve">4. Work toward 1:25 teacher/caregiver ratio across all nursery classrooms.</w:t>
      </w:r>
    </w:p>
    <w:p>
      <w:r>
        <w:t xml:space="preserve">5. Engage community volunteers to assist with early childhood literacy and nutrition preparation.</w:t>
      </w:r>
    </w:p>
    <w:p>
      <w:r>
        <w:t xml:space="preserve">6. Continue agriculture and gardening to enhance Village food security.</w:t>
      </w:r>
    </w:p>
    <w:p>
      <w:r>
        <w:t xml:space="preserve">7. Maximise solar irrigation infrastructure to expand dry-season vegetable cultivation.</w:t>
      </w:r>
    </w:p>
    <w:p>
      <w:r>
        <w:t xml:space="preserve">8. Strengthen education, nutrition, practical skills and community participation across all operational departments.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2026-09-23T11:15:22.252Z</dcterms:created>
  <dcterms:modified xsi:type="dcterms:W3CDTF">2026-09-23T11:15:22.252Z</dcterms:modified>
</cp:coreProperties>
</file>

<file path=docProps/custom.xml><?xml version="1.0" encoding="utf-8"?>
<Properties xmlns="http://schemas.openxmlformats.org/officeDocument/2006/custom-properties" xmlns:vt="http://schemas.openxmlformats.org/officeDocument/2006/docPropsVTypes"/>
</file>