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2.xml" ContentType="application/vnd.openxmlformats-officedocument.wordprocessingml.header+xml"/>
  <Override PartName="/word/header2001.xml" ContentType="application/vnd.openxmlformats-officedocument.wordprocessingml.header+xml"/>
  <Override PartName="/word/header2002.xml" ContentType="application/vnd.openxmlformats-officedocument.wordprocessingml.header+xml"/>
  <Override PartName="/word/header2003.xml" ContentType="application/vnd.openxmlformats-officedocument.wordprocessingml.header+xml"/>
  <Override PartName="/word/header2004.xml" ContentType="application/vnd.openxmlformats-officedocument.wordprocessingml.header+xml"/>
  <Override PartName="/word/header2005.xml" ContentType="application/vnd.openxmlformats-officedocument.wordprocessingml.header+xml"/>
  <Override PartName="/word/header2006.xml" ContentType="application/vnd.openxmlformats-officedocument.wordprocessingml.header+xml"/>
  <Override PartName="/word/header2007.xml" ContentType="application/vnd.openxmlformats-officedocument.wordprocessingml.header+xml"/>
  <Override PartName="/word/header200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v="urn:schemas-microsoft-com:vml" xmlns:o="urn:schemas-microsoft-com:office:office" xmlns:a="http://schemas.openxmlformats.org/drawingml/2006/main" xmlns:pic="http://schemas.openxmlformats.org/drawingml/2006/picture" xmlns:wpg="http://schemas.microsoft.com/office/word/2010/wordprocessingGroup" xmlns:a14="http://schemas.microsoft.com/office/drawing/2010/main">
  <w:body>
    <w:p xmlns:w14="http://schemas.microsoft.com/office/word/2010/wordml" w14:paraId="142344E5">
      <w:pPr>
        <w:adjustRightInd w:val="0"/>
        <w:snapToGrid w:val="0"/>
        <w:rPr>
          <w:rFonts w:hint="eastAsia"/>
          <w:color w:val="000000"/>
        </w:rPr>
      </w:pPr>
    </w:p>
    <w:p xmlns:w14="http://schemas.microsoft.com/office/word/2010/wordml" w14:paraId="67E8053C">
      <w:pPr>
        <w:adjustRightInd w:val="0"/>
        <w:snapToGrid w:val="0"/>
        <w:jc w:val="center"/>
        <w:rPr>
          <w:rFonts w:hint="eastAsia"/>
          <w:color w:val="000000"/>
          <w:sz w:val="48"/>
          <w:szCs w:val="48"/>
        </w:rPr>
      </w:pPr>
      <w:r>
        <w:rPr>
          <w:rFonts w:hint="eastAsia"/>
          <w:b/>
          <w:color w:val="000000"/>
          <w:sz w:val="48"/>
          <w:szCs w:val="48"/>
          <w:lang w:val="en-US" w:eastAsia="zh-CN"/>
        </w:rPr>
        <w:t>硕士</w:t>
      </w:r>
      <w:r>
        <w:rPr>
          <w:rFonts w:hint="eastAsia"/>
          <w:b/>
          <w:color w:val="000000"/>
          <w:sz w:val="48"/>
          <w:szCs w:val="48"/>
        </w:rPr>
        <w:t>学位论文</w:t>
      </w:r>
    </w:p>
    <w:p xmlns:w14="http://schemas.microsoft.com/office/word/2010/wordml" w14:paraId="03E5BC49">
      <w:pPr>
        <w:adjustRightInd w:val="0"/>
        <w:snapToGrid w:val="0"/>
        <w:jc w:val="center"/>
        <w:rPr>
          <w:rFonts w:hint="eastAsia"/>
          <w:color w:val="000000"/>
        </w:rPr>
      </w:pPr>
    </w:p>
    <w:p xmlns:w14="http://schemas.microsoft.com/office/word/2010/wordml" w14:paraId="0A4EB20D">
      <w:pPr>
        <w:adjustRightInd w:val="0"/>
        <w:snapToGrid w:val="0"/>
        <w:jc w:val="center"/>
        <w:rPr>
          <w:rFonts w:hint="eastAsia"/>
          <w:color w:val="000000"/>
        </w:rPr>
      </w:pPr>
    </w:p>
    <w:p xmlns:w14="http://schemas.microsoft.com/office/word/2010/wordml" w14:paraId="0274A566">
      <w:pPr>
        <w:adjustRightInd w:val="0"/>
        <w:snapToGrid w:val="0"/>
        <w:jc w:val="center"/>
        <w:rPr>
          <w:rFonts w:hint="eastAsia" w:ascii="黑体" w:hAnsi="黑体" w:eastAsia="黑体"/>
          <w:bCs/>
          <w:color w:val="000000"/>
          <w:sz w:val="44"/>
          <w:szCs w:val="44"/>
        </w:rPr>
      </w:pPr>
      <w:r>
        <w:rPr>
          <w:rFonts w:hint="eastAsia" w:ascii="黑体" w:hAnsi="黑体" w:eastAsia="黑体"/>
          <w:bCs/>
          <w:color w:val="000000"/>
          <w:sz w:val="44"/>
          <w:szCs w:val="44"/>
        </w:rPr>
        <w:t>（学术学位论文）</w:t>
      </w:r>
    </w:p>
    <w:p xmlns:w14="http://schemas.microsoft.com/office/word/2010/wordml" w14:paraId="1D942E15">
      <w:pPr>
        <w:adjustRightInd w:val="0"/>
        <w:snapToGrid w:val="0"/>
        <w:jc w:val="center"/>
        <w:rPr>
          <w:rFonts w:hint="eastAsia"/>
          <w:color w:val="FFFFFF" w:themeColor="background1"/>
          <w14:textFill>
            <w14:solidFill>
              <w14:schemeClr w14:val="bg1"/>
            </w14:solidFill>
          </w14:textFill>
        </w:rPr>
      </w:pPr>
      <w:r>
        <w:rPr>
          <w:rFonts w:hint="eastAsia"/>
          <w:color w:val="FFFFFF" w:themeColor="background1"/>
          <w14:textFill>
            <w14:solidFill>
              <w14:schemeClr w14:val="bg1"/>
            </w14:solidFill>
          </w14:textFill>
        </w:rPr>
        <w:t>↑</w:t>
      </w:r>
    </w:p>
    <w:p xmlns:w14="http://schemas.microsoft.com/office/word/2010/wordml" w14:paraId="48CB53FE">
      <w:pPr>
        <w:adjustRightInd w:val="0"/>
        <w:snapToGrid w:val="0"/>
        <w:jc w:val="center"/>
        <w:rPr>
          <w:rFonts w:hint="eastAsia" w:ascii="黑体" w:eastAsia="黑体"/>
          <w:color w:val="000000"/>
          <w:sz w:val="44"/>
        </w:rPr>
      </w:pPr>
    </w:p>
    <w:p xmlns:w14="http://schemas.microsoft.com/office/word/2010/wordml" w14:paraId="2E030DD1">
      <w:pPr>
        <w:adjustRightInd w:val="0"/>
        <w:spacing w:before="240"/>
        <w:jc w:val="center"/>
        <w:rPr>
          <w:rFonts w:hint="eastAsia" w:ascii="黑体" w:eastAsia="黑体"/>
          <w:color w:val="000000"/>
          <w:sz w:val="44"/>
          <w:szCs w:val="44"/>
        </w:rPr>
      </w:pPr>
      <w:r>
        <w:rPr>
          <w:rFonts w:hint="eastAsia" w:ascii="黑体" w:hAnsi="黑体" w:eastAsia="黑体"/>
          <w:color w:val="000000"/>
          <w:spacing w:val="-28"/>
          <w:sz w:val="44"/>
          <w:szCs w:val="44"/>
        </w:rPr>
        <w:t>平台反垄断监管对数字平台企业研发投入的影响研究</w:t>
      </w:r>
    </w:p>
    <w:p xmlns:w14="http://schemas.microsoft.com/office/word/2010/wordml" w14:paraId="21D0CEA2">
      <w:pPr>
        <w:adjustRightInd w:val="0"/>
        <w:spacing w:before="240"/>
        <w:ind w:firstLine="4161" w:firstLineChars="1900"/>
        <w:rPr>
          <w:rFonts w:hint="eastAsia"/>
          <w:color w:val="FFFFFF" w:themeColor="background1"/>
          <w14:textFill>
            <w14:solidFill>
              <w14:schemeClr w14:val="bg1"/>
            </w14:solidFill>
          </w14:textFill>
        </w:rPr>
      </w:pPr>
      <w:r>
        <w:rPr>
          <w:rFonts w:hint="eastAsia"/>
          <w:color w:val="FFFFFF" w:themeColor="background1"/>
          <w14:textFill>
            <w14:solidFill>
              <w14:schemeClr w14:val="bg1"/>
            </w14:solidFill>
          </w14:textFill>
        </w:rPr>
        <w:t>↑</w:t>
      </w:r>
    </w:p>
    <w:p xmlns:w14="http://schemas.microsoft.com/office/word/2010/wordml" w14:paraId="3AC666D2">
      <w:pPr>
        <w:adjustRightInd w:val="0"/>
        <w:snapToGrid w:val="0"/>
        <w:jc w:val="center"/>
        <w:rPr>
          <w:rFonts w:hint="eastAsia" w:ascii="黑体" w:eastAsia="黑体"/>
          <w:color w:val="FFFFFF" w:themeColor="background1"/>
          <w:sz w:val="44"/>
          <w14:textFill>
            <w14:solidFill>
              <w14:schemeClr w14:val="bg1"/>
            </w14:solidFill>
          </w14:textFill>
        </w:rPr>
      </w:pPr>
      <w:r>
        <w:rPr>
          <w:rFonts w:hint="eastAsia"/>
          <w:color w:val="FFFFFF" w:themeColor="background1"/>
          <w14:textFill>
            <w14:solidFill>
              <w14:schemeClr w14:val="bg1"/>
            </w14:solidFill>
          </w14:textFill>
        </w:rPr>
        <w:t>（黑体2号字）</w:t>
      </w:r>
    </w:p>
    <w:p xmlns:w14="http://schemas.microsoft.com/office/word/2010/wordml" w14:paraId="238346BD">
      <w:pPr>
        <w:adjustRightInd w:val="0"/>
        <w:snapToGrid w:val="0"/>
        <w:jc w:val="center"/>
        <w:rPr>
          <w:rFonts w:hint="eastAsia" w:eastAsia="黑体"/>
          <w:b/>
          <w:color w:val="000000"/>
          <w:sz w:val="36"/>
          <w:szCs w:val="36"/>
        </w:rPr>
      </w:pPr>
      <w:r>
        <w:rPr>
          <w:rFonts w:hint="eastAsia" w:eastAsia="黑体"/>
          <w:b/>
          <w:color w:val="000000"/>
          <w:sz w:val="36"/>
          <w:szCs w:val="36"/>
        </w:rPr>
        <w:t>Research on the Impact of Platform Anti-monopoly</w:t>
      </w:r>
    </w:p>
    <w:p xmlns:w14="http://schemas.microsoft.com/office/word/2010/wordml" w14:paraId="306EAE82">
      <w:pPr>
        <w:adjustRightInd w:val="0"/>
        <w:snapToGrid w:val="0"/>
        <w:jc w:val="center"/>
        <w:rPr>
          <w:rFonts w:hint="eastAsia"/>
          <w:color w:val="FFFFFF" w:themeColor="background1"/>
          <w14:textFill>
            <w14:solidFill>
              <w14:schemeClr w14:val="bg1"/>
            </w14:solidFill>
          </w14:textFill>
        </w:rPr>
      </w:pPr>
      <w:r>
        <w:rPr>
          <w:rFonts w:hint="eastAsia" w:eastAsia="黑体"/>
          <w:b/>
          <w:color w:val="000000"/>
          <w:sz w:val="36"/>
          <w:szCs w:val="36"/>
        </w:rPr>
        <w:t>Regulation on R&amp;D Investment of Digital Platform Enterprises</w:t>
      </w:r>
      <w:r>
        <w:rPr>
          <w:rFonts w:eastAsia="黑体"/>
          <w:b/>
          <w:color w:val="000000"/>
          <w:sz w:val="36"/>
          <w:szCs w:val="36"/>
        </w:rPr>
      </w:r>
      <w:r>
        <w:rPr>
          <w:rFonts w:hint="eastAsia"/>
          <w:color w:val="FFFFFF" w:themeColor="background1"/>
          <w14:textFill>
            <w14:solidFill>
              <w14:schemeClr w14:val="bg1"/>
            </w14:solidFill>
          </w14:textFill>
        </w:rPr>
        <w:t>↑</w:t>
      </w:r>
    </w:p>
    <w:p xmlns:w14="http://schemas.microsoft.com/office/word/2010/wordml" w14:paraId="59A9F646">
      <w:pPr>
        <w:adjustRightInd w:val="0"/>
        <w:snapToGrid w:val="0"/>
        <w:jc w:val="center"/>
        <w:rPr>
          <w:rFonts w:hint="eastAsia" w:ascii="黑体" w:eastAsia="黑体"/>
          <w:color w:val="000000"/>
          <w:sz w:val="44"/>
        </w:rPr>
      </w:pPr>
      <w:r>
        <w:rPr>
          <w:rFonts w:hint="eastAsia"/>
          <w:color w:val="FFFFFF" w:themeColor="background1"/>
          <w14:textFill>
            <w14:solidFill>
              <w14:schemeClr w14:val="bg1"/>
            </w14:solidFill>
          </w14:textFill>
        </w:rPr>
        <w:t>（</w:t>
      </w:r>
      <w:r>
        <w:rPr>
          <w:color w:val="FFFFFF" w:themeColor="background1"/>
          <w14:textFill>
            <w14:solidFill>
              <w14:schemeClr w14:val="bg1"/>
            </w14:solidFill>
          </w14:textFill>
        </w:rPr>
        <w:t xml:space="preserve">Times New Roman </w:t>
      </w:r>
      <w:r>
        <w:rPr>
          <w:rFonts w:hint="eastAsia"/>
          <w:color w:val="FFFFFF" w:themeColor="background1"/>
          <w14:textFill>
            <w14:solidFill>
              <w14:schemeClr w14:val="bg1"/>
            </w14:solidFill>
          </w14:textFill>
        </w:rPr>
        <w:t>2号字加粗，题目太长时可用小2号字）</w:t>
      </w:r>
    </w:p>
    <w:p xmlns:w14="http://schemas.microsoft.com/office/word/2010/wordml" w14:paraId="1E233462">
      <w:pPr>
        <w:adjustRightInd w:val="0"/>
        <w:snapToGrid w:val="0"/>
        <w:spacing w:line="300" w:lineRule="auto"/>
        <w:jc w:val="center"/>
        <w:rPr>
          <w:rFonts w:hint="eastAsia" w:ascii="宋体" w:hAnsi="宋体"/>
          <w:b/>
          <w:color w:val="000000"/>
          <w:sz w:val="44"/>
          <w:szCs w:val="44"/>
        </w:rPr>
      </w:pPr>
    </w:p>
    <w:p xmlns:w14="http://schemas.microsoft.com/office/word/2010/wordml" w14:paraId="25E28C7F">
      <w:pPr>
        <w:adjustRightInd w:val="0"/>
        <w:snapToGrid w:val="0"/>
        <w:jc w:val="center"/>
        <w:rPr>
          <w:rFonts w:hint="eastAsia" w:eastAsia="宋体"/>
          <w:b/>
          <w:bCs/>
          <w:color w:val="000000"/>
          <w:sz w:val="36"/>
          <w:szCs w:val="36"/>
          <w:lang w:val="en-US" w:eastAsia="zh-CN"/>
        </w:rPr>
      </w:pPr>
      <w:r>
        <w:rPr>
          <w:rFonts w:hint="eastAsia" w:ascii="宋体" w:hAnsi="宋体"/>
          <w:b/>
          <w:bCs/>
          <w:color w:val="000000"/>
          <w:sz w:val="36"/>
          <w:szCs w:val="36"/>
          <w:lang w:val="en-US" w:eastAsia="zh-CN"/>
        </w:rPr>
        <w:t>姓名</w:t>
      </w:r>
    </w:p>
    <w:p xmlns:w14="http://schemas.microsoft.com/office/word/2010/wordml" w14:paraId="10E4DC68">
      <w:pPr>
        <w:adjustRightInd w:val="0"/>
        <w:snapToGrid w:val="0"/>
        <w:jc w:val="center"/>
        <w:rPr>
          <w:rFonts w:hint="eastAsia"/>
          <w:color w:val="FFFFFF" w:themeColor="background1"/>
          <w14:textFill>
            <w14:solidFill>
              <w14:schemeClr w14:val="bg1"/>
            </w14:solidFill>
          </w14:textFill>
        </w:rPr>
      </w:pPr>
      <w:r>
        <w:rPr>
          <w:rFonts w:hint="eastAsia"/>
          <w:color w:val="FFFFFF" w:themeColor="background1"/>
          <w14:textFill>
            <w14:solidFill>
              <w14:schemeClr w14:val="bg1"/>
            </w14:solidFill>
          </w14:textFill>
        </w:rPr>
        <w:t>↑</w:t>
      </w:r>
    </w:p>
    <w:p xmlns:w14="http://schemas.microsoft.com/office/word/2010/wordml" w14:paraId="3D80EBFB">
      <w:pPr>
        <w:adjustRightInd w:val="0"/>
        <w:snapToGrid w:val="0"/>
        <w:jc w:val="center"/>
        <w:rPr>
          <w:rFonts w:hint="eastAsia" w:ascii="黑体" w:eastAsia="黑体"/>
          <w:color w:val="FFFFFF" w:themeColor="background1"/>
          <w:sz w:val="44"/>
          <w14:textFill>
            <w14:solidFill>
              <w14:schemeClr w14:val="bg1"/>
            </w14:solidFill>
          </w14:textFill>
        </w:rPr>
      </w:pPr>
      <w:r>
        <w:rPr>
          <w:rFonts w:hint="eastAsia"/>
          <w:color w:val="FFFFFF" w:themeColor="background1"/>
          <w14:textFill>
            <w14:solidFill>
              <w14:schemeClr w14:val="bg1"/>
            </w14:solidFill>
          </w14:textFill>
        </w:rPr>
        <w:t>（宋体小2号字加粗）</w:t>
      </w:r>
    </w:p>
    <w:p xmlns:w14="http://schemas.microsoft.com/office/word/2010/wordml" w14:paraId="60D024E0">
      <w:pPr>
        <w:adjustRightInd w:val="0"/>
        <w:snapToGrid w:val="0"/>
        <w:spacing w:line="300" w:lineRule="auto"/>
        <w:rPr>
          <w:rFonts w:hint="eastAsia" w:eastAsia="黑体"/>
          <w:b/>
          <w:color w:val="000000"/>
          <w:sz w:val="36"/>
          <w:szCs w:val="36"/>
        </w:rPr>
      </w:pPr>
    </w:p>
    <w:p xmlns:w14="http://schemas.microsoft.com/office/word/2010/wordml" w14:paraId="289B5681">
      <w:pPr>
        <w:adjustRightInd w:val="0"/>
        <w:snapToGrid w:val="0"/>
        <w:rPr>
          <w:rFonts w:hint="eastAsia"/>
          <w:color w:val="000000"/>
        </w:rPr>
      </w:pPr>
    </w:p>
    <w:p xmlns:w14="http://schemas.microsoft.com/office/word/2010/wordml" w14:paraId="745A81BF">
      <w:pPr>
        <w:adjustRightInd w:val="0"/>
        <w:snapToGrid w:val="0"/>
        <w:rPr>
          <w:rFonts w:hint="eastAsia"/>
          <w:color w:val="000000"/>
        </w:rPr>
      </w:pPr>
    </w:p>
    <w:p xmlns:w14="http://schemas.microsoft.com/office/word/2010/wordml" w14:paraId="39D04C80">
      <w:pPr>
        <w:adjustRightInd w:val="0"/>
        <w:snapToGrid w:val="0"/>
        <w:rPr>
          <w:rFonts w:hint="eastAsia"/>
          <w:color w:val="000000"/>
        </w:rPr>
      </w:pPr>
    </w:p>
    <w:p xmlns:w14="http://schemas.microsoft.com/office/word/2010/wordml" w14:paraId="69315692">
      <w:pPr>
        <w:adjustRightInd w:val="0"/>
        <w:snapToGrid w:val="0"/>
        <w:rPr>
          <w:rFonts w:hint="eastAsia"/>
          <w:color w:val="000000"/>
        </w:rPr>
      </w:pPr>
    </w:p>
    <w:p xmlns:w14="http://schemas.microsoft.com/office/word/2010/wordml" w14:paraId="1E4EC293">
      <w:pPr>
        <w:adjustRightInd w:val="0"/>
        <w:snapToGrid w:val="0"/>
        <w:rPr>
          <w:rFonts w:hint="eastAsia"/>
          <w:color w:val="000000"/>
        </w:rPr>
      </w:pPr>
    </w:p>
    <w:p xmlns:w14="http://schemas.microsoft.com/office/word/2010/wordml" w14:paraId="71B26DDD">
      <w:pPr>
        <w:adjustRightInd w:val="0"/>
        <w:snapToGrid w:val="0"/>
        <w:rPr>
          <w:rFonts w:hint="eastAsia"/>
          <w:color w:val="000000"/>
        </w:rPr>
      </w:pPr>
    </w:p>
    <w:p xmlns:w14="http://schemas.microsoft.com/office/word/2010/wordml" w14:paraId="05EA13AA">
      <w:pPr>
        <w:adjustRightInd w:val="0"/>
        <w:snapToGrid w:val="0"/>
        <w:rPr>
          <w:rFonts w:hint="eastAsia"/>
          <w:color w:val="000000"/>
        </w:rPr>
      </w:pPr>
    </w:p>
    <w:p xmlns:w14="http://schemas.microsoft.com/office/word/2010/wordml" w14:paraId="5F34C237">
      <w:pPr>
        <w:adjustRightInd w:val="0"/>
        <w:snapToGrid w:val="0"/>
        <w:rPr>
          <w:rFonts w:hint="eastAsia"/>
          <w:color w:val="000000"/>
        </w:rPr>
      </w:pPr>
    </w:p>
    <w:p xmlns:w14="http://schemas.microsoft.com/office/word/2010/wordml" w14:paraId="55CE674A">
      <w:pPr>
        <w:adjustRightInd w:val="0"/>
        <w:snapToGrid w:val="0"/>
        <w:rPr>
          <w:rFonts w:hint="eastAsia"/>
          <w:color w:val="000000"/>
        </w:rPr>
      </w:pPr>
    </w:p>
    <w:p xmlns:w14="http://schemas.microsoft.com/office/word/2010/wordml" w14:paraId="1BFD304A">
      <w:pPr>
        <w:adjustRightInd w:val="0"/>
        <w:snapToGrid w:val="0"/>
        <w:rPr>
          <w:rFonts w:hint="eastAsia"/>
          <w:color w:val="000000"/>
        </w:rPr>
      </w:pPr>
    </w:p>
    <w:p xmlns:w14="http://schemas.microsoft.com/office/word/2010/wordml" w14:paraId="66F69E11">
      <w:pPr>
        <w:adjustRightInd w:val="0"/>
        <w:snapToGrid w:val="0"/>
        <w:rPr>
          <w:rFonts w:hint="eastAsia"/>
          <w:color w:val="000000"/>
        </w:rPr>
      </w:pPr>
    </w:p>
    <w:p xmlns:w14="http://schemas.microsoft.com/office/word/2010/wordml" w14:paraId="0356C136">
      <w:pPr>
        <w:adjustRightInd w:val="0"/>
        <w:snapToGrid w:val="0"/>
        <w:rPr>
          <w:rFonts w:hint="eastAsia"/>
          <w:color w:val="000000"/>
        </w:rPr>
      </w:pPr>
    </w:p>
    <w:p xmlns:w14="http://schemas.microsoft.com/office/word/2010/wordml" w14:paraId="1497BB1C">
      <w:pPr>
        <w:adjustRightInd w:val="0"/>
        <w:snapToGrid w:val="0"/>
        <w:rPr>
          <w:rFonts w:hint="eastAsia"/>
          <w:color w:val="000000"/>
        </w:rPr>
      </w:pPr>
    </w:p>
    <w:p xmlns:w14="http://schemas.microsoft.com/office/word/2010/wordml" w14:paraId="66B6DECB">
      <w:pPr>
        <w:adjustRightInd w:val="0"/>
        <w:snapToGrid w:val="0"/>
        <w:rPr>
          <w:rFonts w:hint="eastAsia"/>
          <w:color w:val="000000"/>
        </w:rPr>
      </w:pPr>
    </w:p>
    <w:p xmlns:w14="http://schemas.microsoft.com/office/word/2010/wordml" w14:paraId="66037042">
      <w:pPr>
        <w:adjustRightInd w:val="0"/>
        <w:snapToGrid w:val="0"/>
        <w:spacing w:line="324" w:lineRule="auto"/>
        <w:jc w:val="center"/>
        <w:rPr>
          <w:rFonts w:hint="eastAsia"/>
          <w:color w:val="000000"/>
        </w:rPr>
      </w:pPr>
      <w:r>
        <w:rPr>
          <w:rFonts w:hint="eastAsia" w:ascii="楷体_GB2312" w:eastAsia="楷体_GB2312"/>
          <w:b/>
          <w:color w:val="000000"/>
          <w:sz w:val="36"/>
          <w:szCs w:val="36"/>
        </w:rPr>
        <w:t xml:space="preserve">               </w:t>
      </w:r>
      <w:r>
        <w:rPr>
          <w:rFonts w:hint="eastAsia" w:ascii="楷体" w:hAnsi="楷体" w:eastAsia="楷体"/>
          <w:b/>
          <w:color w:val="000000"/>
          <w:sz w:val="36"/>
          <w:szCs w:val="36"/>
          <w:lang w:eastAsia="zh-Hans"/>
        </w:rPr>
        <w:t>哈尔滨工业</w:t>
      </w:r>
      <w:r>
        <w:rPr>
          <w:rFonts w:hint="eastAsia" w:ascii="楷体" w:hAnsi="楷体" w:eastAsia="楷体"/>
          <w:b/>
          <w:color w:val="000000"/>
          <w:sz w:val="36"/>
          <w:szCs w:val="36"/>
        </w:rPr>
        <w:t>大学</w:t>
      </w:r>
      <w:r>
        <w:rPr>
          <w:rFonts w:hint="eastAsia"/>
          <w:color w:val="FFFFFF" w:themeColor="background1"/>
          <w14:textFill>
            <w14:solidFill>
              <w14:schemeClr w14:val="bg1"/>
            </w14:solidFill>
          </w14:textFill>
        </w:rPr>
        <w:t>←（楷体小2号字加粗）</w:t>
      </w:r>
    </w:p>
    <w:p xmlns:w14="http://schemas.microsoft.com/office/word/2010/wordml" w14:paraId="51B318A6">
      <w:pPr>
        <w:adjustRightInd w:val="0"/>
        <w:snapToGrid w:val="0"/>
        <w:jc w:val="center"/>
        <w:rPr>
          <w:rFonts w:hint="eastAsia"/>
          <w:color w:val="000000"/>
        </w:rPr>
      </w:pPr>
      <w:r>
        <w:rPr>
          <w:rFonts w:hint="eastAsia"/>
          <w:b/>
          <w:color w:val="000000"/>
          <w:sz w:val="36"/>
          <w:szCs w:val="36"/>
        </w:rPr>
        <w:t xml:space="preserve">                </w:t>
      </w:r>
      <w:r>
        <w:rPr>
          <w:b/>
          <w:color w:val="000000"/>
          <w:sz w:val="36"/>
          <w:szCs w:val="36"/>
        </w:rPr>
        <w:t xml:space="preserve"> </w:t>
      </w:r>
      <w:r>
        <w:rPr>
          <w:rFonts w:ascii="宋体" w:hAnsi="宋体"/>
          <w:b/>
          <w:color w:val="000000"/>
          <w:sz w:val="36"/>
          <w:szCs w:val="36"/>
        </w:rPr>
        <w:t>年</w:t>
      </w:r>
      <w:r>
        <w:rPr>
          <w:rFonts w:hint="eastAsia" w:ascii="宋体" w:hAnsi="宋体"/>
          <w:b/>
          <w:color w:val="000000"/>
          <w:sz w:val="36"/>
          <w:szCs w:val="36"/>
          <w:lang w:val="en-US" w:eastAsia="zh-CN"/>
        </w:rPr>
        <w:t xml:space="preserve"> </w:t>
      </w:r>
      <w:bookmarkStart w:id="0" w:name="_GoBack"/>
      <w:bookmarkEnd w:id="0"/>
      <w:r>
        <w:rPr>
          <w:rFonts w:ascii="宋体" w:hAnsi="宋体"/>
          <w:b/>
          <w:color w:val="000000"/>
          <w:sz w:val="36"/>
          <w:szCs w:val="36"/>
        </w:rPr>
        <w:t>月</w:t>
      </w:r>
      <w:r>
        <w:rPr>
          <w:rFonts w:hint="eastAsia"/>
          <w:color w:val="FFFFFF" w:themeColor="background1"/>
          <w14:textFill>
            <w14:solidFill>
              <w14:schemeClr w14:val="bg1"/>
            </w14:solidFill>
          </w14:textFill>
        </w:rPr>
        <w:t>←（年、月用阿拉伯数字，</w:t>
      </w:r>
    </w:p>
    <w:p xmlns:w14="http://schemas.microsoft.com/office/word/2010/wordml" w14:paraId="300D7741">
      <w:pPr>
        <w:adjustRightInd w:val="0"/>
        <w:snapToGrid w:val="0"/>
        <w:jc w:val="center"/>
        <w:rPr>
          <w:rFonts w:hint="eastAsia"/>
          <w:color w:val="000000"/>
        </w:rPr>
      </w:pPr>
      <w:r>
        <w:rPr>
          <w:rFonts w:hint="eastAsia"/>
          <w:color w:val="000000"/>
        </w:rPr>
        <w:t xml:space="preserve">                                  </w:t>
      </w:r>
      <w:r>
        <w:rPr>
          <w:rFonts w:hint="eastAsia"/>
          <w:color w:val="FFFFFF" w:themeColor="background1"/>
          <w14:textFill>
            <w14:solidFill>
              <w14:schemeClr w14:val="bg1"/>
            </w14:solidFill>
          </w14:textFill>
        </w:rPr>
        <w:t xml:space="preserve"> 宋体、Times New Roman小2号字加粗）</w:t>
      </w:r>
    </w:p>
    <w:p xmlns:w14="http://schemas.microsoft.com/office/word/2010/wordml" w14:paraId="1C1F8045">
      <w:pPr>
        <w:adjustRightInd w:val="0"/>
        <w:snapToGrid w:val="0"/>
        <w:jc w:val="center"/>
        <w:rPr>
          <w:rFonts w:hint="eastAsia"/>
          <w:color w:val="000000"/>
        </w:rPr>
      </w:pPr>
    </w:p>
    <w:p xmlns:w14="http://schemas.microsoft.com/office/word/2010/wordml" w14:paraId="555ABE36">
      <w:pPr>
        <w:adjustRightInd w:val="0"/>
        <w:snapToGrid w:val="0"/>
        <w:jc w:val="center"/>
        <w:rPr>
          <w:rFonts w:hint="eastAsia"/>
          <w:color w:val="000000"/>
        </w:rPr>
      </w:pPr>
    </w:p>
    <w:p xmlns:w14="http://schemas.microsoft.com/office/word/2010/wordml" w14:paraId="6FAAF17E">
      <w:pPr>
        <w:adjustRightInd w:val="0"/>
        <w:snapToGrid w:val="0"/>
        <w:rPr>
          <w:rFonts w:hint="eastAsia"/>
          <w:color w:val="000000"/>
        </w:rPr>
      </w:pPr>
      <w:r>
        <w:rPr>
          <w:color w:val="000000"/>
        </w:rPr>
        <w:br w:type="page"/>
      </w:r>
      <w:r>
        <w:rPr>
          <w:rFonts w:hint="eastAsia"/>
          <w:color w:val="000000"/>
        </w:rPr>
        <w:t>国内图书分类号：××××                            学校代码：×××</w:t>
      </w:r>
    </w:p>
    <w:p xmlns:w14="http://schemas.microsoft.com/office/word/2010/wordml" w14:paraId="776BC840">
      <w:pPr>
        <w:adjustRightInd w:val="0"/>
        <w:snapToGrid w:val="0"/>
        <w:spacing w:line="300" w:lineRule="auto"/>
        <w:ind w:right="-63" w:rightChars="-29"/>
        <w:rPr>
          <w:rFonts w:hint="eastAsia"/>
          <w:color w:val="000000"/>
        </w:rPr>
      </w:pPr>
      <w:r>
        <w:rPr>
          <w:rFonts w:hint="eastAsia"/>
          <w:color w:val="000000"/>
        </w:rPr>
        <w:t xml:space="preserve">国际图书分类号：××××                                密级：公开 </w:t>
      </w:r>
    </w:p>
    <w:p xmlns:w14="http://schemas.microsoft.com/office/word/2010/wordml" w14:paraId="3FA339A7">
      <w:pPr>
        <w:adjustRightInd w:val="0"/>
        <w:ind w:firstLine="750" w:firstLineChars="343"/>
        <w:rPr>
          <w:rFonts w:hint="eastAsia"/>
          <w:color w:val="FFFFFF" w:themeColor="background1"/>
          <w14:textFill>
            <w14:solidFill>
              <w14:schemeClr w14:val="bg1"/>
            </w14:solidFill>
          </w14:textFill>
        </w:rPr>
      </w:pPr>
      <w:r>
        <w:rPr>
          <w:rFonts w:hint="eastAsia"/>
          <w:color w:val="FFFFFF" w:themeColor="background1"/>
          <w14:textFill>
            <w14:solidFill>
              <w14:schemeClr w14:val="bg1"/>
            </w14:solidFill>
          </w14:textFill>
        </w:rPr>
        <w:t>↑                                                ↑</w:t>
      </w:r>
    </w:p>
    <w:p xmlns:w14="http://schemas.microsoft.com/office/word/2010/wordml" w14:paraId="59994476">
      <w:pPr>
        <w:adjustRightInd w:val="0"/>
        <w:snapToGrid w:val="0"/>
        <w:spacing w:line="300" w:lineRule="auto"/>
        <w:rPr>
          <w:rFonts w:hint="eastAsia" w:ascii="黑体" w:eastAsia="黑体"/>
          <w:color w:val="FFFFFF" w:themeColor="background1"/>
          <w:sz w:val="44"/>
          <w14:textFill>
            <w14:solidFill>
              <w14:schemeClr w14:val="bg1"/>
            </w14:solidFill>
          </w14:textFill>
        </w:rPr>
      </w:pPr>
      <w:r>
        <w:rPr>
          <w:rFonts w:hint="eastAsia"/>
          <w:color w:val="FFFFFF" w:themeColor="background1"/>
          <w14:textFill>
            <w14:solidFill>
              <w14:schemeClr w14:val="bg1"/>
            </w14:solidFill>
          </w14:textFill>
        </w:rPr>
        <w:t>（宋体小4号字）                                   （宋体小4号字）</w:t>
      </w:r>
    </w:p>
    <w:p xmlns:w14="http://schemas.microsoft.com/office/word/2010/wordml" w14:paraId="05DEA77A">
      <w:pPr>
        <w:adjustRightInd w:val="0"/>
        <w:rPr>
          <w:rFonts w:hint="eastAsia"/>
          <w:color w:val="000000"/>
        </w:rPr>
      </w:pPr>
    </w:p>
    <w:p xmlns:w14="http://schemas.microsoft.com/office/word/2010/wordml" w14:paraId="277D6D01">
      <w:pPr>
        <w:adjustRightInd w:val="0"/>
        <w:rPr>
          <w:rFonts w:hint="eastAsia"/>
          <w:color w:val="000000"/>
        </w:rPr>
      </w:pPr>
    </w:p>
    <w:p xmlns:w14="http://schemas.microsoft.com/office/word/2010/wordml" w14:paraId="7074783B">
      <w:pPr>
        <w:adjustRightInd w:val="0"/>
        <w:rPr>
          <w:rFonts w:hint="eastAsia"/>
          <w:color w:val="000000"/>
        </w:rPr>
      </w:pPr>
    </w:p>
    <w:p xmlns:w14="http://schemas.microsoft.com/office/word/2010/wordml" w14:paraId="209EF9F8">
      <w:pPr>
        <w:adjustRightInd w:val="0"/>
        <w:snapToGrid w:val="0"/>
        <w:jc w:val="center"/>
        <w:rPr>
          <w:rFonts w:hint="eastAsia"/>
          <w:color w:val="000000"/>
          <w:sz w:val="36"/>
        </w:rPr>
      </w:pPr>
      <w:r>
        <w:rPr>
          <w:rFonts w:hint="eastAsia"/>
          <w:b/>
          <w:color w:val="000000"/>
          <w:sz w:val="36"/>
          <w:lang w:val="en-US" w:eastAsia="zh-CN"/>
        </w:rPr>
        <w:t>硕士</w:t>
      </w:r>
      <w:r>
        <w:rPr>
          <w:rFonts w:hint="eastAsia"/>
          <w:b/>
          <w:color w:val="000000"/>
          <w:sz w:val="36"/>
        </w:rPr>
        <w:t>学位论文</w:t>
      </w:r>
    </w:p>
    <w:p xmlns:w14="http://schemas.microsoft.com/office/word/2010/wordml" w14:paraId="5A3CF28A">
      <w:pPr>
        <w:adjustRightInd w:val="0"/>
        <w:jc w:val="center"/>
        <w:rPr>
          <w:rFonts w:hint="eastAsia"/>
          <w:color w:val="FFFFFF" w:themeColor="background1"/>
          <w14:textFill>
            <w14:solidFill>
              <w14:schemeClr w14:val="bg1"/>
            </w14:solidFill>
          </w14:textFill>
        </w:rPr>
      </w:pPr>
      <w:r>
        <w:rPr>
          <w:rFonts w:hint="eastAsia"/>
          <w:color w:val="FFFFFF" w:themeColor="background1"/>
          <w14:textFill>
            <w14:solidFill>
              <w14:schemeClr w14:val="bg1"/>
            </w14:solidFill>
          </w14:textFill>
        </w:rPr>
        <w:t>↑</w:t>
      </w:r>
    </w:p>
    <w:p xmlns:w14="http://schemas.microsoft.com/office/word/2010/wordml" w14:paraId="6A27949A">
      <w:pPr>
        <w:adjustRightInd w:val="0"/>
        <w:snapToGrid w:val="0"/>
        <w:spacing w:line="300" w:lineRule="auto"/>
        <w:jc w:val="center"/>
        <w:rPr>
          <w:rFonts w:hint="eastAsia" w:ascii="黑体" w:eastAsia="黑体"/>
          <w:color w:val="FFFFFF" w:themeColor="background1"/>
          <w:sz w:val="44"/>
          <w14:textFill>
            <w14:solidFill>
              <w14:schemeClr w14:val="bg1"/>
            </w14:solidFill>
          </w14:textFill>
        </w:rPr>
      </w:pPr>
      <w:r>
        <w:rPr>
          <w:rFonts w:hint="eastAsia"/>
          <w:color w:val="FFFFFF" w:themeColor="background1"/>
          <w14:textFill>
            <w14:solidFill>
              <w14:schemeClr w14:val="bg1"/>
            </w14:solidFill>
          </w14:textFill>
        </w:rPr>
        <w:t>（宋体小2号字加粗）</w:t>
      </w:r>
    </w:p>
    <w:p xmlns:w14="http://schemas.microsoft.com/office/word/2010/wordml" w14:paraId="5CF74FE8">
      <w:pPr>
        <w:adjustRightInd w:val="0"/>
        <w:spacing w:before="240"/>
        <w:jc w:val="center"/>
        <w:rPr>
          <w:rFonts w:hint="eastAsia" w:ascii="黑体" w:eastAsia="黑体"/>
          <w:color w:val="000000"/>
          <w:sz w:val="44"/>
          <w:szCs w:val="44"/>
        </w:rPr>
      </w:pPr>
      <w:r>
        <w:rPr>
          <w:rFonts w:hint="eastAsia" w:ascii="黑体" w:hAnsi="黑体" w:eastAsia="黑体"/>
          <w:color w:val="000000"/>
          <w:spacing w:val="-28"/>
          <w:sz w:val="44"/>
          <w:szCs w:val="44"/>
        </w:rPr>
        <w:t>平台反垄断监管对数字平台企业研发投入的影响研究</w:t>
      </w:r>
      <w:r>
        <w:rPr>
          <w:rFonts w:hint="eastAsia" w:ascii="黑体" w:hAnsi="黑体" w:eastAsia="黑体"/>
          <w:color w:val="000000"/>
          <w:spacing w:val="-28"/>
          <w:sz w:val="44"/>
          <w:szCs w:val="44"/>
          <w:lang w:eastAsia="zh-Hans"/>
        </w:rPr>
      </w:r>
    </w:p>
    <w:p xmlns:w14="http://schemas.microsoft.com/office/word/2010/wordml" w14:paraId="2860BB09">
      <w:pPr>
        <w:adjustRightInd w:val="0"/>
        <w:jc w:val="center"/>
        <w:rPr>
          <w:rFonts w:hint="eastAsia"/>
          <w:color w:val="FFFFFF" w:themeColor="background1"/>
          <w14:textFill>
            <w14:solidFill>
              <w14:schemeClr w14:val="bg1"/>
            </w14:solidFill>
          </w14:textFill>
        </w:rPr>
      </w:pPr>
      <w:r>
        <w:rPr>
          <w:rFonts w:hint="eastAsia"/>
          <w:color w:val="FFFFFF" w:themeColor="background1"/>
          <w14:textFill>
            <w14:solidFill>
              <w14:schemeClr w14:val="bg1"/>
            </w14:solidFill>
          </w14:textFill>
        </w:rPr>
        <w:t>↑</w:t>
      </w:r>
    </w:p>
    <w:p xmlns:w14="http://schemas.microsoft.com/office/word/2010/wordml" w14:paraId="591B5FBF">
      <w:pPr>
        <w:adjustRightInd w:val="0"/>
        <w:jc w:val="center"/>
        <w:rPr>
          <w:rFonts w:hint="eastAsia" w:ascii="黑体" w:eastAsia="黑体"/>
          <w:color w:val="FFFFFF" w:themeColor="background1"/>
          <w:sz w:val="44"/>
          <w14:textFill>
            <w14:solidFill>
              <w14:schemeClr w14:val="bg1"/>
            </w14:solidFill>
          </w14:textFill>
        </w:rPr>
      </w:pPr>
      <w:r>
        <w:rPr>
          <w:rFonts w:hint="eastAsia"/>
          <w:color w:val="FFFFFF" w:themeColor="background1"/>
          <w14:textFill>
            <w14:solidFill>
              <w14:schemeClr w14:val="bg1"/>
            </w14:solidFill>
          </w14:textFill>
        </w:rPr>
        <w:t>（黑体2号字）</w:t>
      </w:r>
    </w:p>
    <w:p xmlns:w14="http://schemas.microsoft.com/office/word/2010/wordml" w14:paraId="63D34854">
      <w:pPr>
        <w:adjustRightInd w:val="0"/>
        <w:spacing w:line="780" w:lineRule="exact"/>
        <w:jc w:val="center"/>
        <w:rPr>
          <w:rFonts w:hint="eastAsia" w:ascii="黑体" w:eastAsia="黑体"/>
          <w:color w:val="000000"/>
          <w:sz w:val="44"/>
        </w:rPr>
      </w:pPr>
    </w:p>
    <w:p xmlns:w14="http://schemas.microsoft.com/office/word/2010/wordml" w14:paraId="0D3A292A">
      <w:pPr>
        <w:adjustRightInd w:val="0"/>
        <w:spacing w:line="780" w:lineRule="exact"/>
        <w:jc w:val="center"/>
        <w:rPr>
          <w:rFonts w:hint="eastAsia" w:ascii="黑体" w:eastAsia="黑体"/>
          <w:color w:val="000000"/>
          <w:sz w:val="44"/>
        </w:rPr>
      </w:pPr>
    </w:p>
    <w:p xmlns:w14="http://schemas.microsoft.com/office/word/2010/wordml" w14:paraId="32D7BCFC">
      <w:pPr>
        <w:adjustRightInd w:val="0"/>
        <w:spacing w:line="780" w:lineRule="exact"/>
        <w:jc w:val="center"/>
        <w:rPr>
          <w:rFonts w:hint="eastAsia" w:ascii="黑体" w:eastAsia="黑体"/>
          <w:color w:val="000000"/>
        </w:rPr>
      </w:pPr>
    </w:p>
    <w:tbl xmlns:w14="http://schemas.microsoft.com/office/word/2010/wordml">
      <w:tblPr>
        <w:tblStyle w:val="3"/>
        <w:tblW w:w="0" w:type="auto"/>
        <w:jc w:val="center"/>
        <w:tblLayout w:type="fixed"/>
        <w:tblCellMar>
          <w:top w:w="0" w:type="dxa"/>
          <w:left w:w="0" w:type="dxa"/>
          <w:bottom w:w="0" w:type="dxa"/>
          <w:right w:w="0" w:type="dxa"/>
        </w:tblCellMar>
      </w:tblPr>
      <w:tblGrid>
        <w:gridCol w:w="1806"/>
        <w:gridCol w:w="301"/>
        <w:gridCol w:w="2951"/>
      </w:tblGrid>
      <w:tr w14:paraId="0D88FE61">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42746109">
            <w:pPr>
              <w:adjustRightInd w:val="0"/>
              <w:spacing w:line="360" w:lineRule="auto"/>
              <w:jc w:val="distribute"/>
              <w:rPr>
                <w:rFonts w:hint="eastAsia" w:ascii="黑体" w:eastAsia="黑体"/>
                <w:color w:val="000000"/>
                <w:sz w:val="28"/>
              </w:rPr>
            </w:pPr>
            <w:r>
              <w:rPr>
                <w:rFonts w:hint="eastAsia" w:ascii="黑体" w:eastAsia="黑体"/>
                <w:color w:val="000000"/>
                <w:kern w:val="0"/>
                <w:sz w:val="28"/>
                <w:lang w:val="en-US" w:eastAsia="zh-CN"/>
              </w:rPr>
              <w:t>硕</w:t>
            </w:r>
            <w:r>
              <w:rPr>
                <w:rFonts w:hint="eastAsia" w:ascii="黑体" w:eastAsia="黑体"/>
                <w:color w:val="000000"/>
                <w:kern w:val="0"/>
                <w:sz w:val="28"/>
              </w:rPr>
              <w:t>士研究生</w:t>
            </w:r>
          </w:p>
        </w:tc>
        <w:tc>
          <w:tcPr>
            <w:tcW w:w="301" w:type="dxa"/>
            <w:noWrap w:val="0"/>
            <w:vAlign w:val="top"/>
          </w:tcPr>
          <w:p w14:paraId="341756C2">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14:paraId="043DEE60">
            <w:pPr>
              <w:adjustRightInd w:val="0"/>
              <w:spacing w:line="360" w:lineRule="auto"/>
              <w:rPr>
                <w:rFonts w:hint="eastAsia" w:ascii="宋体" w:eastAsia="Times New Roman"/>
                <w:color w:val="000000"/>
                <w:sz w:val="28"/>
                <w:lang w:eastAsia="zh-Hans"/>
              </w:rPr>
            </w:pPr>
          </w:p>
        </w:tc>
      </w:tr>
      <w:tr w14:paraId="35B7ACAB">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53CF7871">
            <w:pPr>
              <w:adjustRightInd w:val="0"/>
              <w:spacing w:line="360" w:lineRule="auto"/>
              <w:jc w:val="distribute"/>
              <w:rPr>
                <w:rFonts w:hint="eastAsia" w:ascii="黑体" w:eastAsia="黑体"/>
                <w:color w:val="000000"/>
                <w:sz w:val="28"/>
              </w:rPr>
            </w:pPr>
            <w:r>
              <w:rPr>
                <w:rFonts w:hint="eastAsia" w:ascii="黑体" w:eastAsia="黑体"/>
                <w:color w:val="000000"/>
                <w:sz w:val="28"/>
              </w:rPr>
              <w:t>导        师</w:t>
            </w:r>
          </w:p>
        </w:tc>
        <w:tc>
          <w:tcPr>
            <w:tcW w:w="301" w:type="dxa"/>
            <w:noWrap w:val="0"/>
            <w:vAlign w:val="top"/>
          </w:tcPr>
          <w:p w14:paraId="2D5C5BD0">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14:paraId="3BDB5B31">
            <w:pPr>
              <w:adjustRightInd w:val="0"/>
              <w:spacing w:line="360" w:lineRule="auto"/>
              <w:rPr>
                <w:rFonts w:hint="default" w:ascii="宋体" w:eastAsia="宋体"/>
                <w:color w:val="000000"/>
                <w:sz w:val="28"/>
                <w:lang w:val="en-US" w:eastAsia="zh-CN"/>
              </w:rPr>
            </w:pPr>
            <w:r>
              <w:rPr>
                <w:rFonts w:hint="eastAsia" w:ascii="宋体"/>
                <w:color w:val="000000"/>
                <w:sz w:val="28"/>
                <w:lang w:val="en-US" w:eastAsia="zh-CN"/>
              </w:rPr>
              <w:t xml:space="preserve">  教授</w:t>
            </w:r>
          </w:p>
        </w:tc>
      </w:tr>
      <w:tr w14:paraId="19A9D8F8">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31A4C792">
            <w:pPr>
              <w:adjustRightInd w:val="0"/>
              <w:spacing w:line="360" w:lineRule="auto"/>
              <w:jc w:val="distribute"/>
              <w:rPr>
                <w:rFonts w:hint="eastAsia" w:ascii="黑体" w:eastAsia="黑体"/>
                <w:color w:val="000000"/>
                <w:sz w:val="28"/>
              </w:rPr>
            </w:pPr>
            <w:r>
              <w:rPr>
                <w:rFonts w:hint="eastAsia" w:ascii="黑体" w:eastAsia="黑体"/>
                <w:color w:val="000000"/>
                <w:sz w:val="28"/>
              </w:rPr>
              <w:t>申请学位</w:t>
            </w:r>
          </w:p>
        </w:tc>
        <w:tc>
          <w:tcPr>
            <w:tcW w:w="301" w:type="dxa"/>
            <w:noWrap w:val="0"/>
            <w:vAlign w:val="top"/>
          </w:tcPr>
          <w:p w14:paraId="3D36E0A1">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14:paraId="34361246">
            <w:pPr>
              <w:adjustRightInd w:val="0"/>
              <w:spacing w:line="360" w:lineRule="auto"/>
              <w:rPr>
                <w:rFonts w:hint="eastAsia" w:ascii="宋体"/>
                <w:color w:val="000000"/>
                <w:sz w:val="28"/>
              </w:rPr>
            </w:pPr>
          </w:p>
        </w:tc>
      </w:tr>
      <w:tr w14:paraId="05B7BCA5">
        <w:tblPrEx>
          <w:tblCellMar>
            <w:top w:w="0" w:type="dxa"/>
            <w:left w:w="0" w:type="dxa"/>
            <w:bottom w:w="0" w:type="dxa"/>
            <w:right w:w="0" w:type="dxa"/>
          </w:tblCellMar>
        </w:tblPrEx>
        <w:trPr>
          <w:cantSplit/>
          <w:trHeight w:val="559" w:hRule="atLeast"/>
          <w:jc w:val="center"/>
        </w:trPr>
        <w:tc>
          <w:tcPr>
            <w:tcW w:w="1806" w:type="dxa"/>
            <w:noWrap w:val="0"/>
            <w:tcMar>
              <w:left w:w="0" w:type="dxa"/>
              <w:right w:w="0" w:type="dxa"/>
            </w:tcMar>
            <w:vAlign w:val="top"/>
          </w:tcPr>
          <w:p w14:paraId="4071DD86">
            <w:pPr>
              <w:adjustRightInd w:val="0"/>
              <w:spacing w:line="360" w:lineRule="auto"/>
              <w:jc w:val="distribute"/>
              <w:rPr>
                <w:rFonts w:hint="eastAsia" w:ascii="黑体" w:eastAsia="黑体"/>
                <w:color w:val="000000"/>
                <w:sz w:val="28"/>
              </w:rPr>
            </w:pPr>
            <w:r>
              <w:rPr>
                <w:rFonts w:hint="eastAsia" w:ascii="黑体" w:eastAsia="黑体"/>
                <w:color w:val="000000"/>
                <w:kern w:val="0"/>
                <w:sz w:val="28"/>
              </w:rPr>
              <w:t>学科</w:t>
            </w:r>
          </w:p>
        </w:tc>
        <w:tc>
          <w:tcPr>
            <w:tcW w:w="301" w:type="dxa"/>
            <w:noWrap w:val="0"/>
            <w:vAlign w:val="top"/>
          </w:tcPr>
          <w:p w14:paraId="2D00C999">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14:paraId="0CDACBBD">
            <w:pPr>
              <w:adjustRightInd w:val="0"/>
              <w:spacing w:line="360" w:lineRule="auto"/>
              <w:rPr>
                <w:rFonts w:hint="eastAsia" w:ascii="宋体"/>
                <w:color w:val="000000"/>
                <w:sz w:val="28"/>
              </w:rPr>
            </w:pPr>
          </w:p>
        </w:tc>
      </w:tr>
      <w:tr w14:paraId="741CA0E8">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77675A8A">
            <w:pPr>
              <w:adjustRightInd w:val="0"/>
              <w:spacing w:line="360" w:lineRule="auto"/>
              <w:jc w:val="distribute"/>
              <w:rPr>
                <w:rFonts w:hint="eastAsia" w:ascii="黑体" w:eastAsia="黑体"/>
                <w:color w:val="000000"/>
                <w:sz w:val="28"/>
              </w:rPr>
            </w:pPr>
            <w:r>
              <w:rPr>
                <w:rFonts w:hint="eastAsia" w:ascii="黑体" w:eastAsia="黑体"/>
                <w:color w:val="000000"/>
                <w:kern w:val="0"/>
                <w:sz w:val="28"/>
              </w:rPr>
              <w:t>所 在 单 位</w:t>
            </w:r>
          </w:p>
        </w:tc>
        <w:tc>
          <w:tcPr>
            <w:tcW w:w="301" w:type="dxa"/>
            <w:noWrap w:val="0"/>
            <w:vAlign w:val="top"/>
          </w:tcPr>
          <w:p w14:paraId="1D94853A">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14:paraId="531F3B42">
            <w:pPr>
              <w:adjustRightInd w:val="0"/>
              <w:spacing w:line="360" w:lineRule="auto"/>
              <w:rPr>
                <w:rFonts w:hint="eastAsia" w:ascii="宋体"/>
                <w:color w:val="000000"/>
                <w:sz w:val="28"/>
              </w:rPr>
            </w:pPr>
          </w:p>
        </w:tc>
      </w:tr>
      <w:tr w14:paraId="44C61BD6">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1EF2D8FE">
            <w:pPr>
              <w:adjustRightInd w:val="0"/>
              <w:spacing w:line="360" w:lineRule="auto"/>
              <w:jc w:val="distribute"/>
              <w:rPr>
                <w:rFonts w:hint="eastAsia" w:ascii="黑体" w:eastAsia="黑体"/>
                <w:color w:val="000000"/>
                <w:sz w:val="28"/>
              </w:rPr>
            </w:pPr>
            <w:r>
              <w:rPr>
                <w:rFonts w:hint="eastAsia" w:ascii="黑体" w:eastAsia="黑体"/>
                <w:color w:val="000000"/>
                <w:kern w:val="0"/>
                <w:sz w:val="28"/>
              </w:rPr>
              <w:t>答 辩 日 期</w:t>
            </w:r>
          </w:p>
        </w:tc>
        <w:tc>
          <w:tcPr>
            <w:tcW w:w="301" w:type="dxa"/>
            <w:noWrap w:val="0"/>
            <w:vAlign w:val="top"/>
          </w:tcPr>
          <w:p w14:paraId="3CD449AD">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14:paraId="0F166702">
            <w:pPr>
              <w:adjustRightInd w:val="0"/>
              <w:spacing w:line="360" w:lineRule="auto"/>
              <w:rPr>
                <w:rFonts w:hint="eastAsia" w:ascii="宋体"/>
                <w:color w:val="000000"/>
                <w:sz w:val="28"/>
              </w:rPr>
            </w:pPr>
            <w:r>
              <w:rPr>
                <w:rFonts w:hint="eastAsia" w:ascii="宋体"/>
                <w:color w:val="000000"/>
                <w:sz w:val="28"/>
              </w:rPr>
              <w:t>年月</w:t>
            </w:r>
          </w:p>
        </w:tc>
      </w:tr>
      <w:tr w14:paraId="5ED49350">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404D1259">
            <w:pPr>
              <w:adjustRightInd w:val="0"/>
              <w:spacing w:line="360" w:lineRule="auto"/>
              <w:jc w:val="distribute"/>
              <w:rPr>
                <w:rFonts w:hint="eastAsia" w:ascii="黑体" w:eastAsia="黑体"/>
                <w:color w:val="000000"/>
                <w:sz w:val="28"/>
              </w:rPr>
            </w:pPr>
            <w:r>
              <w:rPr>
                <w:rFonts w:hint="eastAsia" w:ascii="黑体" w:eastAsia="黑体"/>
                <w:color w:val="000000"/>
                <w:sz w:val="28"/>
              </w:rPr>
              <w:t>授予学位单位</w:t>
            </w:r>
          </w:p>
        </w:tc>
        <w:tc>
          <w:tcPr>
            <w:tcW w:w="301" w:type="dxa"/>
            <w:noWrap w:val="0"/>
            <w:vAlign w:val="top"/>
          </w:tcPr>
          <w:p w14:paraId="141C39D1">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14:paraId="53F24847">
            <w:pPr>
              <w:adjustRightInd w:val="0"/>
              <w:spacing w:line="360" w:lineRule="auto"/>
              <w:rPr>
                <w:rFonts w:hint="eastAsia" w:ascii="宋体"/>
                <w:color w:val="000000"/>
                <w:sz w:val="28"/>
              </w:rPr>
            </w:pPr>
            <w:r>
              <w:rPr>
                <w:rFonts w:hint="eastAsia" w:ascii="宋体"/>
                <w:color w:val="000000"/>
                <w:sz w:val="28"/>
                <w:lang w:eastAsia="zh-Hans"/>
              </w:rPr>
              <w:t>哈尔滨工业</w:t>
            </w:r>
            <w:r>
              <w:rPr>
                <w:rFonts w:hint="eastAsia" w:ascii="宋体"/>
                <w:color w:val="000000"/>
                <w:sz w:val="28"/>
              </w:rPr>
              <w:t>大学</w:t>
            </w:r>
          </w:p>
        </w:tc>
      </w:tr>
    </w:tbl>
    <w:p xmlns:w14="http://schemas.microsoft.com/office/word/2010/wordml" w14:paraId="39DD5FB8">
      <w:pPr>
        <w:adjustRightInd w:val="0"/>
        <w:rPr>
          <w:rFonts w:hint="eastAsia"/>
          <w:color w:val="000000"/>
        </w:rPr>
      </w:pPr>
    </w:p>
    <w:p xmlns:w14="http://schemas.microsoft.com/office/word/2010/wordml" w14:paraId="78A8C66F">
      <w:pPr>
        <w:adjustRightInd w:val="0"/>
        <w:rPr>
          <w:rFonts w:hint="eastAsia"/>
          <w:color w:val="000000"/>
        </w:rPr>
      </w:pPr>
    </w:p>
    <w:p xmlns:w14="http://schemas.microsoft.com/office/word/2010/wordml" w14:paraId="264323A0">
      <w:pPr>
        <w:adjustRightInd w:val="0"/>
        <w:rPr>
          <w:rFonts w:hint="eastAsia"/>
          <w:color w:val="000000"/>
        </w:rPr>
      </w:pPr>
    </w:p>
    <w:p xmlns:w14="http://schemas.microsoft.com/office/word/2010/wordml" w14:paraId="5F956DF3">
      <w:pPr>
        <w:adjustRightInd w:val="0"/>
        <w:rPr>
          <w:rFonts w:hint="eastAsia"/>
          <w:color w:val="000000"/>
        </w:rPr>
      </w:pPr>
    </w:p>
    <w:p xmlns:w14="http://schemas.microsoft.com/office/word/2010/wordml" w14:paraId="6D6D333F">
      <w:pPr>
        <w:adjustRightInd w:val="0"/>
        <w:rPr>
          <w:rFonts w:hint="eastAsia"/>
          <w:color w:val="000000"/>
        </w:rPr>
      </w:pPr>
    </w:p>
    <w:p>
      <w:pPr>
        <w:pageBreakBefore/>
      </w:pPr>
    </w:p>
    <w:p xmlns:w14="http://schemas.microsoft.com/office/word/2010/wordml" w14:paraId="23B024DD">
      <w:pPr>
        <w:adjustRightInd w:val="0"/>
        <w:rPr>
          <w:rFonts w:hint="eastAsia"/>
          <w:color w:val="000000"/>
        </w:rPr>
      </w:pPr>
      <w:r>
        <w:rPr>
          <w:color w:val="000000"/>
        </w:rPr>
        <w:br w:type="page"/>
      </w:r>
      <w:r>
        <w:rPr>
          <w:rFonts w:hint="eastAsia"/>
          <w:color w:val="000000"/>
        </w:rPr>
        <w:t xml:space="preserve">Classified Index: ××××   </w:t>
      </w:r>
    </w:p>
    <w:p xmlns:w14="http://schemas.microsoft.com/office/word/2010/wordml" w14:paraId="64EFAFAF">
      <w:pPr>
        <w:adjustRightInd w:val="0"/>
        <w:rPr>
          <w:rFonts w:hint="eastAsia"/>
          <w:color w:val="000000"/>
        </w:rPr>
      </w:pPr>
      <w:r>
        <w:rPr>
          <w:rFonts w:hint="eastAsia"/>
          <w:color w:val="000000"/>
        </w:rPr>
        <w:t xml:space="preserve">U.D.C: ××××           </w:t>
      </w:r>
    </w:p>
    <w:p xmlns:w14="http://schemas.microsoft.com/office/word/2010/wordml" w14:paraId="3C5276D7">
      <w:pPr>
        <w:adjustRightInd w:val="0"/>
        <w:rPr>
          <w:rFonts w:hint="eastAsia"/>
          <w:color w:val="000000"/>
        </w:rPr>
      </w:pPr>
    </w:p>
    <w:p xmlns:w14="http://schemas.microsoft.com/office/word/2010/wordml" w14:paraId="53F09D71">
      <w:pPr>
        <w:adjustRightInd w:val="0"/>
        <w:rPr>
          <w:rFonts w:hint="eastAsia"/>
          <w:color w:val="000000"/>
        </w:rPr>
      </w:pPr>
    </w:p>
    <w:p xmlns:w14="http://schemas.microsoft.com/office/word/2010/wordml" w14:paraId="0429F14A">
      <w:pPr>
        <w:adjustRightInd w:val="0"/>
        <w:rPr>
          <w:rFonts w:hint="eastAsia"/>
          <w:color w:val="000000"/>
        </w:rPr>
      </w:pPr>
    </w:p>
    <w:p xmlns:w14="http://schemas.microsoft.com/office/word/2010/wordml" w14:paraId="0E0B30C8">
      <w:pPr>
        <w:adjustRightInd w:val="0"/>
        <w:jc w:val="center"/>
        <w:rPr>
          <w:rFonts w:hint="eastAsia"/>
          <w:color w:val="000000"/>
          <w:sz w:val="36"/>
        </w:rPr>
      </w:pPr>
      <w:r>
        <w:rPr>
          <w:rFonts w:hint="eastAsia"/>
          <w:color w:val="000000"/>
          <w:sz w:val="36"/>
        </w:rPr>
        <w:t xml:space="preserve">Dissertation for the </w:t>
      </w:r>
      <w:r>
        <w:rPr>
          <w:rFonts w:hint="eastAsia"/>
          <w:color w:val="000000"/>
          <w:sz w:val="36"/>
          <w:lang w:val="en-US" w:eastAsia="zh-CN"/>
        </w:rPr>
        <w:t>Master</w:t>
      </w:r>
      <w:r>
        <w:rPr>
          <w:rFonts w:hint="eastAsia"/>
          <w:color w:val="000000"/>
          <w:sz w:val="36"/>
        </w:rPr>
        <w:t xml:space="preserve"> Degree </w:t>
      </w:r>
    </w:p>
    <w:p xmlns:w14="http://schemas.microsoft.com/office/word/2010/wordml" w14:paraId="294B4B5A">
      <w:pPr>
        <w:adjustRightInd w:val="0"/>
        <w:snapToGrid w:val="0"/>
        <w:jc w:val="center"/>
        <w:rPr>
          <w:rFonts w:hint="eastAsia"/>
          <w:color w:val="000000"/>
        </w:rPr>
      </w:pPr>
    </w:p>
    <w:p xmlns:w14="http://schemas.microsoft.com/office/word/2010/wordml" w14:paraId="2275B235">
      <w:pPr>
        <w:adjustRightInd w:val="0"/>
        <w:snapToGrid w:val="0"/>
        <w:jc w:val="center"/>
        <w:rPr>
          <w:rFonts w:hint="eastAsia" w:ascii="黑体" w:eastAsia="黑体"/>
          <w:color w:val="FFFFFF" w:themeColor="background1"/>
          <w:sz w:val="44"/>
          <w14:textFill>
            <w14:solidFill>
              <w14:schemeClr w14:val="bg1"/>
            </w14:solidFill>
          </w14:textFill>
        </w:rPr>
      </w:pPr>
      <w:r>
        <w:rPr>
          <w:rFonts w:hint="eastAsia"/>
          <w:color w:val="FFFFFF" w:themeColor="background1"/>
          <w14:textFill>
            <w14:solidFill>
              <w14:schemeClr w14:val="bg1"/>
            </w14:solidFill>
          </w14:textFill>
        </w:rPr>
        <w:t>（</w:t>
      </w:r>
      <w:r>
        <w:rPr>
          <w:color w:val="FFFFFF" w:themeColor="background1"/>
          <w14:textFill>
            <w14:solidFill>
              <w14:schemeClr w14:val="bg1"/>
            </w14:solidFill>
          </w14:textFill>
        </w:rPr>
        <w:t>Times New Roman</w:t>
      </w:r>
      <w:r>
        <w:rPr>
          <w:rFonts w:hint="eastAsia"/>
          <w:color w:val="FFFFFF" w:themeColor="background1"/>
          <w14:textFill>
            <w14:solidFill>
              <w14:schemeClr w14:val="bg1"/>
            </w14:solidFill>
          </w14:textFill>
        </w:rPr>
        <w:t xml:space="preserve"> 小2号字）</w:t>
      </w:r>
    </w:p>
    <w:p xmlns:w14="http://schemas.microsoft.com/office/word/2010/wordml" w14:paraId="4B3544D5">
      <w:pPr>
        <w:adjustRightInd w:val="0"/>
        <w:jc w:val="center"/>
        <w:rPr>
          <w:rFonts w:hint="eastAsia"/>
          <w:color w:val="000000"/>
          <w:sz w:val="36"/>
        </w:rPr>
      </w:pPr>
    </w:p>
    <w:p xmlns:w14="http://schemas.microsoft.com/office/word/2010/wordml" w14:paraId="036A69BA">
      <w:pPr>
        <w:adjustRightInd w:val="0"/>
        <w:snapToGrid w:val="0"/>
        <w:jc w:val="center"/>
        <w:rPr>
          <w:rFonts w:hint="eastAsia" w:eastAsia="黑体"/>
          <w:b/>
          <w:color w:val="000000"/>
          <w:sz w:val="36"/>
          <w:szCs w:val="36"/>
        </w:rPr>
      </w:pPr>
      <w:r>
        <w:rPr>
          <w:rFonts w:hint="eastAsia" w:eastAsia="黑体"/>
          <w:b/>
          <w:color w:val="000000"/>
          <w:sz w:val="36"/>
          <w:szCs w:val="36"/>
        </w:rPr>
        <w:t>Research on the Impact of Platform Anti-monopoly</w:t>
      </w:r>
    </w:p>
    <w:p xmlns:w14="http://schemas.microsoft.com/office/word/2010/wordml" w14:paraId="3363B3AC">
      <w:pPr>
        <w:adjustRightInd w:val="0"/>
        <w:snapToGrid w:val="0"/>
        <w:jc w:val="center"/>
        <w:rPr>
          <w:rFonts w:hint="eastAsia" w:eastAsia="黑体"/>
          <w:b/>
          <w:color w:val="000000"/>
          <w:sz w:val="36"/>
          <w:szCs w:val="36"/>
        </w:rPr>
      </w:pPr>
      <w:r>
        <w:rPr>
          <w:rFonts w:hint="eastAsia" w:eastAsia="黑体"/>
          <w:b/>
          <w:color w:val="000000"/>
          <w:sz w:val="36"/>
          <w:szCs w:val="36"/>
        </w:rPr>
        <w:t>Regulation on R&amp;D Investment of Digital Platform Enterprises</w:t>
      </w:r>
      <w:r>
        <w:rPr>
          <w:rFonts w:eastAsia="黑体"/>
          <w:b/>
          <w:color w:val="000000"/>
          <w:sz w:val="36"/>
          <w:szCs w:val="36"/>
        </w:rPr>
      </w:r>
    </w:p>
    <w:p xmlns:w14="http://schemas.microsoft.com/office/word/2010/wordml" w14:paraId="2F89BD0C">
      <w:pPr>
        <w:adjustRightInd w:val="0"/>
        <w:snapToGrid w:val="0"/>
        <w:jc w:val="center"/>
        <w:rPr>
          <w:rFonts w:hint="eastAsia"/>
          <w:color w:val="FFFFFF" w:themeColor="background1"/>
          <w14:textFill>
            <w14:solidFill>
              <w14:schemeClr w14:val="bg1"/>
            </w14:solidFill>
          </w14:textFill>
        </w:rPr>
      </w:pPr>
      <w:r>
        <w:rPr>
          <w:rFonts w:hint="eastAsia"/>
          <w:color w:val="FFFFFF" w:themeColor="background1"/>
          <w14:textFill>
            <w14:solidFill>
              <w14:schemeClr w14:val="bg1"/>
            </w14:solidFill>
          </w14:textFill>
        </w:rPr>
        <w:t>↑</w:t>
      </w:r>
    </w:p>
    <w:p xmlns:w14="http://schemas.microsoft.com/office/word/2010/wordml" w14:paraId="7D8E5CD6">
      <w:pPr>
        <w:adjustRightInd w:val="0"/>
        <w:snapToGrid w:val="0"/>
        <w:jc w:val="center"/>
        <w:rPr>
          <w:rFonts w:hint="eastAsia" w:ascii="黑体" w:eastAsia="黑体"/>
          <w:color w:val="FFFFFF" w:themeColor="background1"/>
          <w:sz w:val="44"/>
          <w14:textFill>
            <w14:solidFill>
              <w14:schemeClr w14:val="bg1"/>
            </w14:solidFill>
          </w14:textFill>
        </w:rPr>
      </w:pPr>
      <w:r>
        <w:rPr>
          <w:rFonts w:hint="eastAsia"/>
          <w:color w:val="FFFFFF" w:themeColor="background1"/>
          <w14:textFill>
            <w14:solidFill>
              <w14:schemeClr w14:val="bg1"/>
            </w14:solidFill>
          </w14:textFill>
        </w:rPr>
        <w:t>（</w:t>
      </w:r>
      <w:r>
        <w:rPr>
          <w:color w:val="FFFFFF" w:themeColor="background1"/>
          <w14:textFill>
            <w14:solidFill>
              <w14:schemeClr w14:val="bg1"/>
            </w14:solidFill>
          </w14:textFill>
        </w:rPr>
        <w:t xml:space="preserve">Times New Roman </w:t>
      </w:r>
      <w:r>
        <w:rPr>
          <w:rFonts w:hint="eastAsia"/>
          <w:color w:val="FFFFFF" w:themeColor="background1"/>
          <w14:textFill>
            <w14:solidFill>
              <w14:schemeClr w14:val="bg1"/>
            </w14:solidFill>
          </w14:textFill>
        </w:rPr>
        <w:t>2号字加粗，题目太长时可用小2号字）</w:t>
      </w:r>
    </w:p>
    <w:p xmlns:w14="http://schemas.microsoft.com/office/word/2010/wordml" w14:paraId="597B3A84">
      <w:pPr>
        <w:adjustRightInd w:val="0"/>
        <w:jc w:val="center"/>
        <w:rPr>
          <w:rFonts w:hint="eastAsia"/>
          <w:color w:val="000000"/>
          <w:sz w:val="44"/>
        </w:rPr>
      </w:pPr>
    </w:p>
    <w:p xmlns:w14="http://schemas.microsoft.com/office/word/2010/wordml" w14:paraId="3E8A2F93">
      <w:pPr>
        <w:adjustRightInd w:val="0"/>
        <w:jc w:val="center"/>
        <w:rPr>
          <w:rFonts w:hint="eastAsia"/>
          <w:color w:val="000000"/>
          <w:sz w:val="44"/>
        </w:rPr>
      </w:pPr>
    </w:p>
    <w:tbl xmlns:w14="http://schemas.microsoft.com/office/word/2010/wordml">
      <w:tblPr>
        <w:tblStyle w:val="3"/>
        <w:tblW w:w="0" w:type="auto"/>
        <w:jc w:val="center"/>
        <w:tblLayout w:type="fixed"/>
        <w:tblCellMar>
          <w:top w:w="0" w:type="dxa"/>
          <w:left w:w="108" w:type="dxa"/>
          <w:bottom w:w="0" w:type="dxa"/>
          <w:right w:w="108" w:type="dxa"/>
        </w:tblCellMar>
      </w:tblPr>
      <w:tblGrid>
        <w:gridCol w:w="4502"/>
        <w:gridCol w:w="5017"/>
      </w:tblGrid>
      <w:tr w14:paraId="0DBBED78">
        <w:tblPrEx>
          <w:tblCellMar>
            <w:top w:w="0" w:type="dxa"/>
            <w:left w:w="108" w:type="dxa"/>
            <w:bottom w:w="0" w:type="dxa"/>
            <w:right w:w="108" w:type="dxa"/>
          </w:tblCellMar>
        </w:tblPrEx>
        <w:trPr>
          <w:trHeight w:val="439" w:hRule="atLeast"/>
          <w:jc w:val="center"/>
        </w:trPr>
        <w:tc>
          <w:tcPr>
            <w:tcW w:w="4502" w:type="dxa"/>
            <w:noWrap w:val="0"/>
            <w:vAlign w:val="top"/>
          </w:tcPr>
          <w:p w14:paraId="2FF999F3">
            <w:pPr>
              <w:adjustRightInd w:val="0"/>
              <w:spacing w:line="440" w:lineRule="exact"/>
              <w:rPr>
                <w:rFonts w:hint="eastAsia" w:eastAsia="黑体"/>
                <w:b/>
                <w:bCs/>
                <w:color w:val="000000"/>
                <w:sz w:val="44"/>
              </w:rPr>
            </w:pPr>
            <w:r>
              <w:rPr>
                <w:rFonts w:hint="eastAsia" w:eastAsia="黑体"/>
                <w:b/>
                <w:bCs/>
                <w:color w:val="000000"/>
                <w:kern w:val="0"/>
                <w:sz w:val="28"/>
              </w:rPr>
              <w:t>Candidate</w:t>
            </w:r>
            <w:r>
              <w:rPr>
                <w:rFonts w:hint="eastAsia" w:eastAsia="黑体"/>
                <w:b/>
                <w:bCs/>
                <w:color w:val="000000"/>
                <w:sz w:val="28"/>
              </w:rPr>
              <w:t>：</w:t>
            </w:r>
          </w:p>
        </w:tc>
        <w:tc>
          <w:tcPr>
            <w:tcW w:w="5017" w:type="dxa"/>
            <w:noWrap w:val="0"/>
            <w:vAlign w:val="top"/>
          </w:tcPr>
          <w:p w14:paraId="1CEC618E">
            <w:pPr>
              <w:adjustRightInd w:val="0"/>
              <w:spacing w:line="440" w:lineRule="exact"/>
              <w:rPr>
                <w:rFonts w:hint="eastAsia" w:eastAsia="黑体"/>
                <w:color w:val="000000"/>
                <w:sz w:val="28"/>
                <w:szCs w:val="28"/>
              </w:rPr>
            </w:pPr>
          </w:p>
        </w:tc>
      </w:tr>
      <w:tr w14:paraId="16CF1B5C">
        <w:tblPrEx>
          <w:tblCellMar>
            <w:top w:w="0" w:type="dxa"/>
            <w:left w:w="108" w:type="dxa"/>
            <w:bottom w:w="0" w:type="dxa"/>
            <w:right w:w="108" w:type="dxa"/>
          </w:tblCellMar>
        </w:tblPrEx>
        <w:trPr>
          <w:trHeight w:val="439" w:hRule="atLeast"/>
          <w:jc w:val="center"/>
        </w:trPr>
        <w:tc>
          <w:tcPr>
            <w:tcW w:w="4502" w:type="dxa"/>
            <w:noWrap w:val="0"/>
            <w:vAlign w:val="top"/>
          </w:tcPr>
          <w:p w14:paraId="6FD736C9">
            <w:pPr>
              <w:adjustRightInd w:val="0"/>
              <w:spacing w:line="440" w:lineRule="exact"/>
              <w:rPr>
                <w:rFonts w:hint="eastAsia" w:eastAsia="黑体"/>
                <w:b/>
                <w:bCs/>
                <w:color w:val="000000"/>
                <w:sz w:val="44"/>
              </w:rPr>
            </w:pPr>
            <w:r>
              <w:rPr>
                <w:rFonts w:hint="eastAsia" w:eastAsia="黑体"/>
                <w:b/>
                <w:bCs/>
                <w:color w:val="000000"/>
                <w:kern w:val="0"/>
                <w:sz w:val="28"/>
              </w:rPr>
              <w:t>Supervisor</w:t>
            </w:r>
            <w:r>
              <w:rPr>
                <w:rFonts w:hint="eastAsia" w:eastAsia="黑体"/>
                <w:b/>
                <w:bCs/>
                <w:color w:val="000000"/>
                <w:sz w:val="28"/>
              </w:rPr>
              <w:t>：</w:t>
            </w:r>
          </w:p>
        </w:tc>
        <w:tc>
          <w:tcPr>
            <w:tcW w:w="5017" w:type="dxa"/>
            <w:noWrap w:val="0"/>
            <w:vAlign w:val="top"/>
          </w:tcPr>
          <w:p w14:paraId="6DD5A86B">
            <w:pPr>
              <w:adjustRightInd w:val="0"/>
              <w:spacing w:line="440" w:lineRule="exact"/>
              <w:rPr>
                <w:rFonts w:hint="eastAsia" w:eastAsia="黑体"/>
                <w:color w:val="000000"/>
                <w:sz w:val="28"/>
                <w:szCs w:val="28"/>
              </w:rPr>
            </w:pPr>
            <w:r>
              <w:rPr>
                <w:rFonts w:hint="eastAsia"/>
                <w:color w:val="000000"/>
                <w:sz w:val="28"/>
                <w:szCs w:val="28"/>
              </w:rPr>
              <w:t>Prof.</w:t>
            </w:r>
            <w:r>
              <w:rPr>
                <w:rFonts w:hint="eastAsia" w:ascii="宋体"/>
                <w:sz w:val="28"/>
              </w:rPr>
              <w:t xml:space="preserve"> </w:t>
            </w:r>
          </w:p>
        </w:tc>
      </w:tr>
      <w:tr w14:paraId="54843A5D">
        <w:tblPrEx>
          <w:tblCellMar>
            <w:top w:w="0" w:type="dxa"/>
            <w:left w:w="108" w:type="dxa"/>
            <w:bottom w:w="0" w:type="dxa"/>
            <w:right w:w="108" w:type="dxa"/>
          </w:tblCellMar>
        </w:tblPrEx>
        <w:trPr>
          <w:trHeight w:val="439" w:hRule="atLeast"/>
          <w:jc w:val="center"/>
        </w:trPr>
        <w:tc>
          <w:tcPr>
            <w:tcW w:w="4502" w:type="dxa"/>
            <w:noWrap w:val="0"/>
            <w:vAlign w:val="top"/>
          </w:tcPr>
          <w:p w14:paraId="01D4BE20">
            <w:pPr>
              <w:adjustRightInd w:val="0"/>
              <w:spacing w:line="440" w:lineRule="exact"/>
              <w:ind w:right="8" w:rightChars="4"/>
              <w:rPr>
                <w:rFonts w:hint="eastAsia" w:eastAsia="黑体"/>
                <w:b/>
                <w:bCs/>
                <w:color w:val="000000"/>
                <w:sz w:val="44"/>
              </w:rPr>
            </w:pPr>
            <w:r>
              <w:rPr>
                <w:rFonts w:hint="eastAsia" w:eastAsia="黑体"/>
                <w:b/>
                <w:bCs/>
                <w:color w:val="000000"/>
                <w:kern w:val="0"/>
                <w:sz w:val="28"/>
              </w:rPr>
              <w:t>Academic Degree Applied for</w:t>
            </w:r>
            <w:r>
              <w:rPr>
                <w:rFonts w:hint="eastAsia" w:eastAsia="黑体"/>
                <w:b/>
                <w:bCs/>
                <w:color w:val="000000"/>
                <w:sz w:val="28"/>
              </w:rPr>
              <w:t>：</w:t>
            </w:r>
          </w:p>
        </w:tc>
        <w:tc>
          <w:tcPr>
            <w:tcW w:w="5017" w:type="dxa"/>
            <w:noWrap w:val="0"/>
            <w:vAlign w:val="top"/>
          </w:tcPr>
          <w:p w14:paraId="5375692D">
            <w:pPr>
              <w:adjustRightInd w:val="0"/>
              <w:spacing w:line="440" w:lineRule="exact"/>
              <w:rPr>
                <w:rFonts w:hint="eastAsia" w:eastAsia="黑体"/>
                <w:color w:val="000000"/>
                <w:sz w:val="28"/>
                <w:szCs w:val="28"/>
              </w:rPr>
            </w:pPr>
          </w:p>
        </w:tc>
      </w:tr>
      <w:tr w14:paraId="7FEEB8C4">
        <w:tblPrEx>
          <w:tblCellMar>
            <w:top w:w="0" w:type="dxa"/>
            <w:left w:w="108" w:type="dxa"/>
            <w:bottom w:w="0" w:type="dxa"/>
            <w:right w:w="108" w:type="dxa"/>
          </w:tblCellMar>
        </w:tblPrEx>
        <w:trPr>
          <w:trHeight w:val="439" w:hRule="atLeast"/>
          <w:jc w:val="center"/>
        </w:trPr>
        <w:tc>
          <w:tcPr>
            <w:tcW w:w="4502" w:type="dxa"/>
            <w:noWrap w:val="0"/>
            <w:vAlign w:val="top"/>
          </w:tcPr>
          <w:p w14:paraId="30D28D05">
            <w:pPr>
              <w:adjustRightInd w:val="0"/>
              <w:spacing w:line="440" w:lineRule="exact"/>
              <w:rPr>
                <w:rFonts w:hint="eastAsia" w:eastAsia="黑体"/>
                <w:b/>
                <w:bCs/>
                <w:color w:val="000000"/>
                <w:sz w:val="44"/>
              </w:rPr>
            </w:pPr>
            <w:r>
              <w:rPr>
                <w:rFonts w:hint="eastAsia" w:eastAsia="黑体"/>
                <w:b/>
                <w:bCs/>
                <w:color w:val="000000"/>
                <w:kern w:val="0"/>
                <w:sz w:val="28"/>
              </w:rPr>
              <w:t>Speciality</w:t>
            </w:r>
            <w:r>
              <w:rPr>
                <w:rFonts w:hint="eastAsia" w:eastAsia="黑体"/>
                <w:b/>
                <w:bCs/>
                <w:color w:val="000000"/>
                <w:sz w:val="28"/>
              </w:rPr>
              <w:t>：</w:t>
            </w:r>
          </w:p>
        </w:tc>
        <w:tc>
          <w:tcPr>
            <w:tcW w:w="5017" w:type="dxa"/>
            <w:noWrap w:val="0"/>
            <w:vAlign w:val="top"/>
          </w:tcPr>
          <w:p w14:paraId="76D070FF">
            <w:pPr>
              <w:adjustRightInd w:val="0"/>
              <w:spacing w:line="360" w:lineRule="exact"/>
              <w:rPr>
                <w:rFonts w:hint="eastAsia" w:eastAsia="黑体"/>
                <w:color w:val="000000"/>
                <w:sz w:val="28"/>
                <w:szCs w:val="28"/>
              </w:rPr>
            </w:pPr>
          </w:p>
        </w:tc>
      </w:tr>
      <w:tr w14:paraId="11E70F9D">
        <w:tblPrEx>
          <w:tblCellMar>
            <w:top w:w="0" w:type="dxa"/>
            <w:left w:w="108" w:type="dxa"/>
            <w:bottom w:w="0" w:type="dxa"/>
            <w:right w:w="108" w:type="dxa"/>
          </w:tblCellMar>
        </w:tblPrEx>
        <w:trPr>
          <w:trHeight w:val="495" w:hRule="atLeast"/>
          <w:jc w:val="center"/>
        </w:trPr>
        <w:tc>
          <w:tcPr>
            <w:tcW w:w="4502" w:type="dxa"/>
            <w:noWrap w:val="0"/>
            <w:vAlign w:val="top"/>
          </w:tcPr>
          <w:p w14:paraId="72F09B00">
            <w:pPr>
              <w:adjustRightInd w:val="0"/>
              <w:spacing w:line="440" w:lineRule="exact"/>
              <w:rPr>
                <w:rFonts w:hint="eastAsia" w:eastAsia="黑体"/>
                <w:b/>
                <w:bCs/>
                <w:color w:val="000000"/>
                <w:kern w:val="0"/>
                <w:sz w:val="28"/>
              </w:rPr>
            </w:pPr>
            <w:r>
              <w:rPr>
                <w:rFonts w:hint="eastAsia" w:eastAsia="黑体"/>
                <w:b/>
                <w:bCs/>
                <w:color w:val="000000"/>
                <w:kern w:val="0"/>
                <w:sz w:val="28"/>
              </w:rPr>
              <w:t>Affiliation</w:t>
            </w:r>
            <w:r>
              <w:rPr>
                <w:rFonts w:hint="eastAsia" w:eastAsia="黑体"/>
                <w:b/>
                <w:bCs/>
                <w:color w:val="000000"/>
                <w:sz w:val="28"/>
              </w:rPr>
              <w:t>：</w:t>
            </w:r>
          </w:p>
        </w:tc>
        <w:tc>
          <w:tcPr>
            <w:tcW w:w="5017" w:type="dxa"/>
            <w:noWrap w:val="0"/>
            <w:vAlign w:val="top"/>
          </w:tcPr>
          <w:p w14:paraId="1BD18423">
            <w:pPr>
              <w:adjustRightInd w:val="0"/>
              <w:spacing w:line="360" w:lineRule="exact"/>
              <w:rPr>
                <w:rFonts w:hint="eastAsia"/>
                <w:color w:val="000000"/>
                <w:spacing w:val="-4"/>
                <w:sz w:val="28"/>
                <w:szCs w:val="28"/>
              </w:rPr>
            </w:pPr>
          </w:p>
        </w:tc>
      </w:tr>
      <w:tr w14:paraId="6CBBD754">
        <w:tblPrEx>
          <w:tblCellMar>
            <w:top w:w="0" w:type="dxa"/>
            <w:left w:w="108" w:type="dxa"/>
            <w:bottom w:w="0" w:type="dxa"/>
            <w:right w:w="108" w:type="dxa"/>
          </w:tblCellMar>
        </w:tblPrEx>
        <w:trPr>
          <w:trHeight w:val="439" w:hRule="atLeast"/>
          <w:jc w:val="center"/>
        </w:trPr>
        <w:tc>
          <w:tcPr>
            <w:tcW w:w="4502" w:type="dxa"/>
            <w:noWrap w:val="0"/>
            <w:vAlign w:val="top"/>
          </w:tcPr>
          <w:p w14:paraId="354CDB92">
            <w:pPr>
              <w:adjustRightInd w:val="0"/>
              <w:spacing w:line="440" w:lineRule="exact"/>
              <w:rPr>
                <w:rFonts w:hint="eastAsia" w:eastAsia="黑体"/>
                <w:b/>
                <w:bCs/>
                <w:color w:val="000000"/>
                <w:sz w:val="44"/>
              </w:rPr>
            </w:pPr>
            <w:r>
              <w:rPr>
                <w:rFonts w:hint="eastAsia" w:eastAsia="黑体"/>
                <w:b/>
                <w:bCs/>
                <w:color w:val="000000"/>
                <w:kern w:val="0"/>
                <w:sz w:val="28"/>
              </w:rPr>
              <w:t>Date of Defence</w:t>
            </w:r>
            <w:r>
              <w:rPr>
                <w:rFonts w:hint="eastAsia" w:eastAsia="黑体"/>
                <w:b/>
                <w:bCs/>
                <w:color w:val="000000"/>
                <w:sz w:val="28"/>
              </w:rPr>
              <w:t>：</w:t>
            </w:r>
          </w:p>
        </w:tc>
        <w:tc>
          <w:tcPr>
            <w:tcW w:w="5017" w:type="dxa"/>
            <w:noWrap w:val="0"/>
            <w:vAlign w:val="top"/>
          </w:tcPr>
          <w:p w14:paraId="0136E16B">
            <w:pPr>
              <w:adjustRightInd w:val="0"/>
              <w:spacing w:line="360" w:lineRule="exact"/>
              <w:rPr>
                <w:color w:val="000000"/>
                <w:spacing w:val="-4"/>
                <w:sz w:val="28"/>
                <w:szCs w:val="28"/>
              </w:rPr>
            </w:pPr>
          </w:p>
        </w:tc>
      </w:tr>
      <w:tr w14:paraId="367BB671">
        <w:tblPrEx>
          <w:tblCellMar>
            <w:top w:w="0" w:type="dxa"/>
            <w:left w:w="108" w:type="dxa"/>
            <w:bottom w:w="0" w:type="dxa"/>
            <w:right w:w="108" w:type="dxa"/>
          </w:tblCellMar>
        </w:tblPrEx>
        <w:trPr>
          <w:trHeight w:val="567" w:hRule="atLeast"/>
          <w:jc w:val="center"/>
        </w:trPr>
        <w:tc>
          <w:tcPr>
            <w:tcW w:w="4502" w:type="dxa"/>
            <w:noWrap w:val="0"/>
            <w:vAlign w:val="top"/>
          </w:tcPr>
          <w:p w14:paraId="5DC8DB1F">
            <w:pPr>
              <w:adjustRightInd w:val="0"/>
              <w:spacing w:line="440" w:lineRule="exact"/>
              <w:rPr>
                <w:rFonts w:hint="eastAsia" w:eastAsia="黑体"/>
                <w:b/>
                <w:bCs/>
                <w:color w:val="000000"/>
                <w:sz w:val="44"/>
              </w:rPr>
            </w:pPr>
            <w:r>
              <w:rPr>
                <w:rFonts w:hint="eastAsia" w:eastAsia="黑体"/>
                <w:b/>
                <w:bCs/>
                <w:color w:val="000000"/>
                <w:kern w:val="0"/>
                <w:sz w:val="28"/>
              </w:rPr>
              <w:t>Degree-Conferring-Institution：</w:t>
            </w:r>
          </w:p>
        </w:tc>
        <w:tc>
          <w:tcPr>
            <w:tcW w:w="5017" w:type="dxa"/>
            <w:noWrap w:val="0"/>
            <w:vAlign w:val="top"/>
          </w:tcPr>
          <w:p w14:paraId="2705DD13">
            <w:pPr>
              <w:adjustRightInd w:val="0"/>
              <w:spacing w:line="440" w:lineRule="exact"/>
              <w:rPr>
                <w:rFonts w:hint="eastAsia" w:eastAsia="黑体"/>
                <w:color w:val="000000"/>
                <w:sz w:val="28"/>
                <w:szCs w:val="28"/>
              </w:rPr>
            </w:pPr>
            <w:r>
              <w:rPr>
                <w:color w:val="000000"/>
                <w:spacing w:val="-4"/>
                <w:sz w:val="28"/>
                <w:szCs w:val="28"/>
              </w:rPr>
              <w:t>Harbin Institute of Technology</w:t>
            </w:r>
          </w:p>
        </w:tc>
      </w:tr>
    </w:tbl>
    <w:p xmlns:w14="http://schemas.microsoft.com/office/word/2010/wordml" w14:paraId="300B8FDF">
      <w:pPr>
        <w:adjustRightInd w:val="0"/>
        <w:snapToGrid w:val="0"/>
        <w:jc w:val="center"/>
        <w:rPr>
          <w:rFonts w:hint="eastAsia"/>
          <w:color w:val="FFFFFF" w:themeColor="background1"/>
          <w14:textFill>
            <w14:solidFill>
              <w14:schemeClr w14:val="bg1"/>
            </w14:solidFill>
          </w14:textFill>
        </w:rPr>
      </w:pPr>
    </w:p>
    <w:p xmlns:w14="http://schemas.microsoft.com/office/word/2010/wordml" w14:paraId="51D9CB60">
      <w:pPr>
        <w:adjustRightInd w:val="0"/>
        <w:snapToGrid w:val="0"/>
        <w:jc w:val="center"/>
        <w:rPr>
          <w:rFonts w:hint="eastAsia"/>
          <w:color w:val="FFFFFF" w:themeColor="background1"/>
          <w14:textFill>
            <w14:solidFill>
              <w14:schemeClr w14:val="bg1"/>
            </w14:solidFill>
          </w14:textFill>
        </w:rPr>
        <w:sectPr>
          <w:pgSz w:w="11906" w:h="16838"/>
          <w:pgMar w:top="1440" w:right="1800" w:bottom="1440" w:left="1800" w:header="851" w:footer="992" w:gutter="0"/>
          <w:cols w:space="425" w:num="1"/>
          <w:docGrid w:type="lines" w:linePitch="312" w:charSpace="0"/>
        </w:sectPr>
      </w:pPr>
      <w:r>
        <w:rPr>
          <w:rFonts w:hint="eastAsia"/>
          <w:color w:val="FFFFFF" w:themeColor="background1"/>
          <w14:textFill>
            <w14:solidFill>
              <w14:schemeClr w14:val="bg1"/>
            </w14:solidFill>
          </w14:textFill>
        </w:rPr>
        <w:t>（</w:t>
      </w:r>
      <w:r>
        <w:rPr>
          <w:color w:val="FFFFFF" w:themeColor="background1"/>
          <w14:textFill>
            <w14:solidFill>
              <w14:schemeClr w14:val="bg1"/>
            </w14:solidFill>
          </w14:textFill>
        </w:rPr>
        <w:t xml:space="preserve">Times New Roman </w:t>
      </w:r>
      <w:r>
        <w:rPr>
          <w:rFonts w:hint="eastAsia"/>
          <w:color w:val="FFFFFF" w:themeColor="background1"/>
          <w14:textFill>
            <w14:solidFill>
              <w14:schemeClr w14:val="bg1"/>
            </w14:solidFill>
          </w14:textFill>
        </w:rPr>
        <w:t>4号字）</w:t>
      </w:r>
    </w:p>
    <w:p xmlns:w14="http://schemas.microsoft.com/office/word/2010/wordml" w14:paraId="74705115">
      <w:pPr>
        <w:adjustRightInd w:val="0"/>
        <w:snapToGrid w:val="0"/>
        <w:jc w:val="center"/>
        <w:rPr>
          <w:rFonts w:hint="eastAsia"/>
          <w:color w:val="000000"/>
        </w:rPr>
      </w:pPr>
    </w:p>
    <w:p xmlns:w14="http://schemas.microsoft.com/office/word/2010/wordml" w14:paraId="117020EB">
      <w:pPr>
        <w:adjustRightInd w:val="0"/>
        <w:snapToGrid w:val="0"/>
        <w:jc w:val="center"/>
        <w:rPr>
          <w:rFonts w:hint="eastAsia"/>
          <w:color w:val="000000"/>
        </w:rPr>
      </w:pPr>
    </w:p>
    <w:p xmlns:w14="http://schemas.microsoft.com/office/word/2010/wordml" w14:paraId="57A177D0">
      <w:pPr>
        <w:adjustRightInd w:val="0"/>
        <w:snapToGrid w:val="0"/>
        <w:jc w:val="center"/>
        <w:rPr>
          <w:rFonts w:hint="eastAsia"/>
          <w:color w:val="000000"/>
        </w:rPr>
      </w:pPr>
    </w:p>
    <w:p xmlns:w14="http://schemas.microsoft.com/office/word/2010/wordml" w14:paraId="7A024BF1">
      <w:pPr>
        <w:adjustRightInd w:val="0"/>
        <w:snapToGrid w:val="0"/>
        <w:jc w:val="center"/>
        <w:rPr>
          <w:rFonts w:hint="eastAsia"/>
          <w:color w:val="000000"/>
        </w:rPr>
      </w:pPr>
    </w:p>
    <w:p xmlns:w14="http://schemas.microsoft.com/office/word/2010/wordml" w14:paraId="37066D76">
      <w:pPr>
        <w:adjustRightInd w:val="0"/>
        <w:snapToGrid w:val="0"/>
        <w:jc w:val="center"/>
        <w:rPr>
          <w:rFonts w:hint="eastAsia"/>
          <w:color w:val="000000"/>
        </w:rPr>
      </w:pPr>
    </w:p>
    <w:p xmlns:w14="http://schemas.microsoft.com/office/word/2010/wordml" w14:paraId="354D267A">
      <w:pPr>
        <w:adjustRightInd w:val="0"/>
        <w:snapToGrid w:val="0"/>
        <w:jc w:val="center"/>
        <w:rPr>
          <w:rFonts w:hint="eastAsia"/>
          <w:color w:val="000000"/>
        </w:rPr>
      </w:pPr>
    </w:p>
    <w:p xmlns:w14="http://schemas.microsoft.com/office/word/2010/wordml" w14:paraId="0EAD416D">
      <w:pPr>
        <w:adjustRightInd w:val="0"/>
        <w:snapToGrid w:val="0"/>
        <w:jc w:val="both"/>
        <w:rPr>
          <w:rFonts w:hint="eastAsia"/>
          <w:color w:val="000000"/>
        </w:rPr>
      </w:pPr>
    </w:p>
    <w:p xmlns:w14="http://schemas.microsoft.com/office/word/2010/wordml" w14:paraId="088BCAD0">
      <w:pPr>
        <w:adjustRightInd w:val="0"/>
        <w:snapToGrid w:val="0"/>
        <w:jc w:val="center"/>
        <w:rPr>
          <w:rFonts w:hint="eastAsia"/>
          <w:color w:val="000000"/>
        </w:rPr>
        <w:sectPr>
          <w:footerReference r:id="rId3" w:type="even"/>
          <w:pgSz w:w="11906" w:h="16838"/>
          <w:pgMar w:top="2155" w:right="1701" w:bottom="1701" w:left="1701" w:header="1701" w:footer="1304" w:gutter="0"/>
          <w:pgBorders w:offsetFrom="page">
            <w:top w:val="none" w:sz="0" w:space="0"/>
            <w:left w:val="none" w:sz="0" w:space="0"/>
            <w:bottom w:val="none" w:sz="0" w:space="0"/>
            <w:right w:val="none" w:sz="0" w:space="0"/>
          </w:pgBorders>
          <w:cols w:space="720" w:num="1"/>
          <w:docGrid w:type="linesAndChars" w:linePitch="395" w:charSpace="1861"/>
        </w:sectPr>
      </w:pPr>
    </w:p>
    <w:p xmlns:w14="http://schemas.microsoft.com/office/word/2010/wordml" w14:paraId="26885C06"/>
    <w:p>
      <w:pPr>
        <w:jc w:val="center"/>
        <w:spacing w:line="600" w:lineRule="exact"/>
      </w:pPr>
      <w:r>
        <w:rPr>
          <w:rFonts w:ascii="宋体" w:hAnsi="宋体" w:eastAsia="黑体"/>
          <w:b/>
          <w:bCs/>
          <w:sz w:val="44"/>
          <w:szCs w:val="44"/>
        </w:rPr>
        <w:t>摘要</w:t>
      </w:r>
    </w:p>
    <w:p>
      <w:pPr>
        <w:jc w:val="center"/>
        <w:spacing w:line="600" w:lineRule="exact"/>
      </w:pPr>
      <w:r>
        <w:rPr>
          <w:rFonts w:ascii="Times New Roman" w:hAnsi="Times New Roman" w:eastAsia="Times New Roman"/>
          <w:b/>
          <w:bCs/>
          <w:sz w:val="44"/>
          <w:szCs w:val="44"/>
        </w:rPr>
        <w:t>RESEARCH ON THE IMPACT OF PLATFORM ANTI-MONOPOLY REGULATION ON R&amp;D INVESTMENT OF DIGITAL PLATFORM ENTERPRISES</w:t>
      </w:r>
    </w:p>
    <w:p>
      <w:pPr>
        <w:spacing w:after="200"/>
      </w:pPr>
      <w:r>
        <w:t xml:space="preserve"> </w:t>
      </w:r>
    </w:p>
    <w:p>
      <w:pPr>
        <w:jc w:val="center"/>
        <w:spacing w:line="300" w:lineRule="auto"/>
      </w:pPr>
      <w:r>
        <w:rPr>
          <w:rFonts w:ascii="宋体" w:hAnsi="宋体" w:eastAsia="宋体"/>
          <w:sz w:val="24"/>
          <w:szCs w:val="24"/>
        </w:rPr>
        <w:t xml:space="preserve">国内图书分类号：【请填写】        学校代码：10213</w:t>
      </w:r>
    </w:p>
    <w:p>
      <w:pPr>
        <w:jc w:val="center"/>
        <w:spacing w:line="300" w:lineRule="auto"/>
      </w:pPr>
      <w:r>
        <w:rPr>
          <w:rFonts w:ascii="宋体" w:hAnsi="宋体" w:eastAsia="宋体"/>
          <w:sz w:val="24"/>
          <w:szCs w:val="24"/>
        </w:rPr>
        <w:t xml:space="preserve">国际图书分类号：【请填写】           密级：公开</w:t>
      </w:r>
    </w:p>
    <w:p>
      <w:pPr>
        <w:spacing w:after="200"/>
      </w:pPr>
      <w:r>
        <w:t xml:space="preserve"> </w:t>
      </w:r>
    </w:p>
    <w:p>
      <w:pPr>
        <w:spacing w:before="0" w:after="0" w:line="1" w:lineRule="exact"/>
      </w:pPr>
      <w:r>
        <w:br w:type="page"/>
      </w:r>
    </w:p>
    <w:p>
      <w:pPr>
        <w:spacing w:before="0" w:after="0" w:line="1" w:lineRule="exact"/>
      </w:pPr>
      <w:r>
        <w:br w:type="page"/>
      </w:r>
    </w:p>
    <w:p>
      <w:pPr>
        <w:jc w:val="center"/>
        <w:spacing w:line="600" w:lineRule="exact"/>
      </w:pPr>
      <w:r>
        <w:rPr>
          <w:rFonts w:ascii="宋体" w:hAnsi="宋体" w:eastAsia="宋体"/>
          <w:b/>
          <w:bCs/>
          <w:sz w:val="36"/>
          <w:szCs w:val="36"/>
        </w:rPr>
        <w:t>硕士学位论文</w:t>
      </w:r>
    </w:p>
    <w:p>
      <w:pPr>
        <w:jc w:val="center"/>
        <w:spacing w:after="120"/>
        <w:spacing w:line="600" w:lineRule="exact"/>
      </w:pPr>
      <w:r>
        <w:rPr>
          <w:rFonts w:ascii="宋体" w:hAnsi="宋体" w:eastAsia="黑体"/>
          <w:b/>
          <w:bCs/>
          <w:sz w:val="44"/>
          <w:szCs w:val="44"/>
        </w:rPr>
        <w:t>摘要</w:t>
      </w:r>
    </w:p>
    <w:p>
      <w:pPr>
        <w:jc w:val="center"/>
        <w:spacing w:line="360" w:lineRule="auto"/>
      </w:pPr>
      <w:r>
        <w:rPr>
          <w:rFonts w:eastAsia="黑体" w:hint="eastAsia"/>
          <w:b/>
          <w:bCs/>
          <w:sz w:val="28"/>
        </w:rPr>
        <w:t>硕士研究生：</w:t>
      </w:r>
      <w:r>
        <w:rPr>
          <w:rFonts w:eastAsia="宋体" w:hint="eastAsia"/>
          <w:sz w:val="28"/>
        </w:rPr>
        <w:t>【请填写】</w:t>
      </w:r>
    </w:p>
    <w:p>
      <w:pPr>
        <w:jc w:val="center"/>
        <w:spacing w:line="360" w:lineRule="auto"/>
      </w:pPr>
      <w:r>
        <w:rPr>
          <w:rFonts w:eastAsia="黑体" w:hint="eastAsia"/>
          <w:b/>
          <w:bCs/>
          <w:sz w:val="28"/>
        </w:rPr>
        <w:t xml:space="preserve">导    师：</w:t>
      </w:r>
      <w:r>
        <w:rPr>
          <w:rFonts w:eastAsia="宋体" w:hint="eastAsia"/>
          <w:sz w:val="28"/>
        </w:rPr>
        <w:t>【请填写】</w:t>
      </w:r>
    </w:p>
    <w:p>
      <w:pPr>
        <w:jc w:val="center"/>
        <w:spacing w:line="360" w:lineRule="auto"/>
      </w:pPr>
      <w:r>
        <w:rPr>
          <w:rFonts w:eastAsia="黑体" w:hint="eastAsia"/>
          <w:b/>
          <w:bCs/>
          <w:sz w:val="28"/>
        </w:rPr>
        <w:t>申请学位：</w:t>
      </w:r>
      <w:r>
        <w:rPr>
          <w:rFonts w:eastAsia="宋体" w:hint="eastAsia"/>
          <w:sz w:val="28"/>
        </w:rPr>
        <w:t>Master Degree in Engineering</w:t>
      </w:r>
    </w:p>
    <w:p>
      <w:pPr>
        <w:jc w:val="center"/>
        <w:spacing w:line="360" w:lineRule="auto"/>
      </w:pPr>
      <w:r>
        <w:rPr>
          <w:rFonts w:eastAsia="黑体" w:hint="eastAsia"/>
          <w:b/>
          <w:bCs/>
          <w:sz w:val="28"/>
        </w:rPr>
        <w:t xml:space="preserve">学    科：</w:t>
      </w:r>
      <w:r>
        <w:rPr>
          <w:rFonts w:eastAsia="宋体" w:hint="eastAsia"/>
          <w:sz w:val="28"/>
        </w:rPr>
        <w:t>【请填写】</w:t>
      </w:r>
    </w:p>
    <w:p>
      <w:pPr>
        <w:jc w:val="center"/>
        <w:spacing w:line="360" w:lineRule="auto"/>
      </w:pPr>
      <w:r>
        <w:rPr>
          <w:rFonts w:eastAsia="黑体" w:hint="eastAsia"/>
          <w:b/>
          <w:bCs/>
          <w:sz w:val="28"/>
        </w:rPr>
        <w:t>所 在 单 位：</w:t>
      </w:r>
      <w:r>
        <w:rPr>
          <w:rFonts w:eastAsia="宋体" w:hint="eastAsia"/>
          <w:sz w:val="28"/>
        </w:rPr>
        <w:t>深圳研究生院</w:t>
      </w:r>
    </w:p>
    <w:p>
      <w:pPr>
        <w:jc w:val="center"/>
        <w:spacing w:line="360" w:lineRule="auto"/>
      </w:pPr>
      <w:r>
        <w:rPr>
          <w:rFonts w:eastAsia="黑体" w:hint="eastAsia"/>
          <w:b/>
          <w:bCs/>
          <w:sz w:val="28"/>
        </w:rPr>
        <w:t>答 辩 日 期：</w:t>
      </w:r>
      <w:r>
        <w:rPr>
          <w:rFonts w:eastAsia="宋体" w:hint="eastAsia"/>
          <w:sz w:val="28"/>
        </w:rPr>
        <w:t>【请填写，如 2026 年 6 月】</w:t>
      </w:r>
    </w:p>
    <w:p>
      <w:pPr>
        <w:jc w:val="center"/>
        <w:spacing w:line="360" w:lineRule="auto"/>
      </w:pPr>
      <w:r>
        <w:rPr>
          <w:rFonts w:eastAsia="黑体" w:hint="eastAsia"/>
          <w:b/>
          <w:bCs/>
          <w:sz w:val="28"/>
        </w:rPr>
        <w:t>授予学位单位：</w:t>
      </w:r>
      <w:r>
        <w:rPr>
          <w:rFonts w:eastAsia="宋体" w:hint="eastAsia"/>
          <w:sz w:val="28"/>
        </w:rPr>
        <w:t>哈尔滨工业大学</w:t>
      </w:r>
    </w:p>
    <w:p>
      <w:pPr>
        <w:spacing w:after="200"/>
      </w:pPr>
      <w:r>
        <w:t xml:space="preserve"> </w:t>
      </w:r>
    </w:p>
    <w:p>
      <w:pPr>
        <w:spacing w:before="0" w:after="0" w:line="1" w:lineRule="exact"/>
      </w:pPr>
      <w:r>
        <w:br w:type="page"/>
      </w:r>
    </w:p>
    <w:p>
      <w:pPr>
        <w:spacing w:before="0" w:after="0" w:line="1" w:lineRule="exact"/>
      </w:pPr>
      <w:r>
        <w:br w:type="page"/>
      </w:r>
    </w:p>
    <w:p>
      <w:pPr>
        <w:jc w:val="center"/>
        <w:spacing w:line="300" w:lineRule="auto"/>
      </w:pPr>
      <w:r>
        <w:rPr>
          <w:rFonts w:ascii="Times New Roman" w:hAnsi="Times New Roman" w:eastAsia="Times New Roman"/>
          <w:sz w:val="24"/>
          <w:szCs w:val="24"/>
        </w:rPr>
        <w:t>Classified Index: 【请填写】</w:t>
      </w:r>
    </w:p>
    <w:p>
      <w:pPr>
        <w:jc w:val="center"/>
        <w:spacing w:line="300" w:lineRule="auto"/>
      </w:pPr>
      <w:r>
        <w:rPr>
          <w:rFonts w:ascii="Times New Roman" w:hAnsi="Times New Roman" w:eastAsia="Times New Roman"/>
          <w:sz w:val="24"/>
          <w:szCs w:val="24"/>
        </w:rPr>
        <w:t>U.D.C: 【请填写】</w:t>
      </w:r>
    </w:p>
    <w:p>
      <w:pPr>
        <w:jc w:val="center"/>
        <w:spacing w:after="120"/>
        <w:spacing w:line="600" w:lineRule="exact"/>
      </w:pPr>
      <w:r>
        <w:rPr>
          <w:rFonts w:ascii="Times New Roman" w:hAnsi="Times New Roman" w:eastAsia="Times New Roman"/>
          <w:sz w:val="36"/>
          <w:szCs w:val="36"/>
        </w:rPr>
        <w:t>Dissertation for the Master Degree</w:t>
      </w:r>
    </w:p>
    <w:p>
      <w:pPr>
        <w:jc w:val="center"/>
        <w:spacing w:after="120"/>
        <w:spacing w:line="600" w:lineRule="exact"/>
      </w:pPr>
      <w:r>
        <w:rPr>
          <w:rFonts w:ascii="Times New Roman" w:hAnsi="Times New Roman" w:eastAsia="Times New Roman"/>
          <w:b/>
          <w:bCs/>
          <w:sz w:val="44"/>
          <w:szCs w:val="44"/>
        </w:rPr>
        <w:t>RESEARCH ON THE IMPACT OF PLATFORM ANTI-MONOPOLY REGULATION ON R&amp;D INVESTMENT OF DIGITAL PLATFORM ENTERPRISES</w:t>
      </w:r>
    </w:p>
    <w:p>
      <w:pPr>
        <w:jc w:val="center"/>
        <w:spacing w:line="360" w:lineRule="auto"/>
      </w:pPr>
      <w:r>
        <w:rPr>
          <w:rFonts w:ascii="Times New Roman" w:hAnsi="Times New Roman" w:eastAsia="Times New Roman"/>
          <w:sz w:val="28"/>
          <w:szCs w:val="28"/>
        </w:rPr>
        <w:t>Candidate：【Please Fill】</w:t>
      </w:r>
    </w:p>
    <w:p>
      <w:pPr>
        <w:jc w:val="center"/>
        <w:spacing w:line="360" w:lineRule="auto"/>
      </w:pPr>
      <w:r>
        <w:rPr>
          <w:rFonts w:ascii="Times New Roman" w:hAnsi="Times New Roman" w:eastAsia="Times New Roman"/>
          <w:sz w:val="28"/>
          <w:szCs w:val="28"/>
        </w:rPr>
        <w:t>Supervisor：【Please Fill】</w:t>
      </w:r>
    </w:p>
    <w:p>
      <w:pPr>
        <w:jc w:val="center"/>
        <w:spacing w:line="360" w:lineRule="auto"/>
      </w:pPr>
      <w:r>
        <w:rPr>
          <w:rFonts w:ascii="Times New Roman" w:hAnsi="Times New Roman" w:eastAsia="Times New Roman"/>
          <w:sz w:val="28"/>
          <w:szCs w:val="28"/>
        </w:rPr>
        <w:t>Academic Degree Applied for：Master of Engineering</w:t>
      </w:r>
    </w:p>
    <w:p>
      <w:pPr>
        <w:jc w:val="center"/>
        <w:spacing w:line="360" w:lineRule="auto"/>
      </w:pPr>
      <w:r>
        <w:rPr>
          <w:rFonts w:ascii="Times New Roman" w:hAnsi="Times New Roman" w:eastAsia="Times New Roman"/>
          <w:sz w:val="28"/>
          <w:szCs w:val="28"/>
        </w:rPr>
        <w:t>Speciality：【Please Fill】</w:t>
      </w:r>
    </w:p>
    <w:p>
      <w:pPr>
        <w:jc w:val="center"/>
        <w:spacing w:line="360" w:lineRule="auto"/>
      </w:pPr>
      <w:r>
        <w:rPr>
          <w:rFonts w:ascii="Times New Roman" w:hAnsi="Times New Roman" w:eastAsia="Times New Roman"/>
          <w:sz w:val="28"/>
          <w:szCs w:val="28"/>
        </w:rPr>
        <w:t>Affiliation：Shenzhen Graduate School</w:t>
      </w:r>
    </w:p>
    <w:p>
      <w:pPr>
        <w:jc w:val="center"/>
        <w:spacing w:line="360" w:lineRule="auto"/>
      </w:pPr>
      <w:r>
        <w:rPr>
          <w:rFonts w:ascii="Times New Roman" w:hAnsi="Times New Roman" w:eastAsia="Times New Roman"/>
          <w:sz w:val="28"/>
          <w:szCs w:val="28"/>
        </w:rPr>
        <w:t>Date of Defence：【Please Fill】</w:t>
      </w:r>
    </w:p>
    <w:p>
      <w:pPr>
        <w:jc w:val="center"/>
        <w:spacing w:line="360" w:lineRule="auto"/>
      </w:pPr>
      <w:r>
        <w:rPr>
          <w:rFonts w:ascii="Times New Roman" w:hAnsi="Times New Roman" w:eastAsia="Times New Roman"/>
          <w:sz w:val="28"/>
          <w:szCs w:val="28"/>
        </w:rPr>
        <w:t>Degree-Conferring-Institution：Harbin Institute of Technology</w:t>
      </w:r>
    </w:p>
    <w:p>
      <w:pPr>
        <w:spacing w:before="0" w:after="0" w:line="1" w:lineRule="exact"/>
      </w:pPr>
      <w:r>
        <w:br w:type="page"/>
      </w:r>
    </w:p>
    <w:p>
      <w:pPr>
        <w:spacing w:before="0" w:after="0" w:line="1" w:lineRule="exact"/>
        <w:sectPr>
          <w:type w:val="nextPage"/>
          <w:footerReference w:type="default" r:id="rId5"/>
          <w:pgSz w:w="11907" w:h="16840"/>
          <w:pgMar w:top="2155" w:right="1701" w:bottom="1701" w:left="1701" w:header="1701" w:footer="1304" w:gutter="0"/>
          <w:cols w:space="720"/>
          <w:docGrid w:type="linesAndChars" w:linePitch="391" w:charSpace="1861"/>
        </w:sectPr>
      </w:pPr>
    </w:p>
    <w:p>
      <w:pPr>
        <w:pStyle w:val="afa"/>
        <w:jc w:val="center"/>
        <w:spacing w:before="390" w:after="312" w:line="360" w:lineRule="auto"/>
      </w:pPr>
      <w:r>
        <w:rPr>
          <w:rFonts w:ascii="黑体" w:hAnsi="黑体" w:eastAsia="黑体"/>
          <w:sz w:val="36"/>
          <w:szCs w:val="36"/>
        </w:rPr>
        <w:t xml:space="preserve">目  录</w:t>
      </w:r>
    </w:p>
    <w:p>
      <w:pPr>
        <w:pStyle w:val="TOC1"/>
        <w:tabs>
          <w:tab w:val="right" w:leader="dot" w:pos="8303"/>
        </w:tabs>
        <w:spacing w:line="360" w:lineRule="auto"/>
      </w:pPr>
      <w:r>
        <w:fldChar w:fldCharType="begin" w:dirty="true"/>
      </w:r>
      <w:r>
        <w:instrText xml:space="preserve">TOC \o "1-3" \h \u </w:instrText>
      </w:r>
      <w:r>
        <w:fldChar w:fldCharType="separate"/>
      </w:r>
      <w:hyperlink w:anchor="_Toc102000001" w:history="1">
        <w:r>
          <w:t xml:space="preserve">摘  要</w:t>
        </w:r>
        <w:r>
          <w:tab/>
        </w:r>
        <w:r>
          <w:fldChar w:fldCharType="begin"/>
        </w:r>
        <w:r>
          <w:instrText xml:space="preserve"> PAGEREF _Toc102000001 \h </w:instrText>
        </w:r>
        <w:r>
          <w:fldChar w:fldCharType="separate"/>
        </w:r>
        <w:r>
          <w:t>1</w:t>
        </w:r>
        <w:r>
          <w:fldChar w:fldCharType="end"/>
        </w:r>
      </w:hyperlink>
    </w:p>
    <w:p>
      <w:pPr>
        <w:pStyle w:val="TOC1"/>
        <w:tabs>
          <w:tab w:val="right" w:leader="dot" w:pos="8303"/>
        </w:tabs>
        <w:spacing w:line="360" w:lineRule="auto"/>
      </w:pPr>
      <w:hyperlink w:anchor="_Toc102000002" w:history="1">
        <w:r>
          <w:t>Abstract</w:t>
        </w:r>
        <w:r>
          <w:tab/>
        </w:r>
        <w:r>
          <w:fldChar w:fldCharType="begin"/>
        </w:r>
        <w:r>
          <w:instrText xml:space="preserve"> PAGEREF _Toc102000002 \h </w:instrText>
        </w:r>
        <w:r>
          <w:fldChar w:fldCharType="separate"/>
        </w:r>
        <w:r>
          <w:t>1</w:t>
        </w:r>
        <w:r>
          <w:fldChar w:fldCharType="end"/>
        </w:r>
      </w:hyperlink>
    </w:p>
    <w:p>
      <w:pPr>
        <w:pStyle w:val="TOC1"/>
        <w:tabs>
          <w:tab w:val="right" w:leader="dot" w:pos="8303"/>
        </w:tabs>
        <w:spacing w:line="360" w:lineRule="auto"/>
      </w:pPr>
      <w:hyperlink w:anchor="_Toc102000001" w:history="1">
        <w:r>
          <w:t>第一章 绪论</w:t>
        </w:r>
        <w:r>
          <w:tab/>
        </w:r>
        <w:r>
          <w:fldChar w:fldCharType="begin"/>
        </w:r>
        <w:r>
          <w:instrText xml:space="preserve"> PAGEREF _Toc102000001 \h </w:instrText>
        </w:r>
        <w:r>
          <w:fldChar w:fldCharType="separate"/>
        </w:r>
        <w:r>
          <w:t>1</w:t>
        </w:r>
        <w:r>
          <w:fldChar w:fldCharType="end"/>
        </w:r>
      </w:hyperlink>
    </w:p>
    <w:p>
      <w:pPr>
        <w:pStyle w:val="TOC2"/>
        <w:tabs>
          <w:tab w:val="right" w:leader="dot" w:pos="8303"/>
        </w:tabs>
        <w:spacing w:line="360" w:lineRule="auto"/>
        <w:ind w:left="210"/>
      </w:pPr>
      <w:hyperlink w:anchor="_Toc102000002" w:history="1">
        <w:r>
          <w:t>一、研究背景与意义</w:t>
        </w:r>
        <w:r>
          <w:tab/>
        </w:r>
        <w:r>
          <w:fldChar w:fldCharType="begin"/>
        </w:r>
        <w:r>
          <w:instrText xml:space="preserve"> PAGEREF _Toc102000002 \h </w:instrText>
        </w:r>
        <w:r>
          <w:fldChar w:fldCharType="separate"/>
        </w:r>
        <w:r>
          <w:t>1</w:t>
        </w:r>
        <w:r>
          <w:fldChar w:fldCharType="end"/>
        </w:r>
      </w:hyperlink>
    </w:p>
    <w:p>
      <w:pPr>
        <w:pStyle w:val="TOC3"/>
        <w:tabs>
          <w:tab w:val="right" w:leader="dot" w:pos="8303"/>
        </w:tabs>
        <w:spacing w:line="360" w:lineRule="auto"/>
        <w:ind w:left="420"/>
      </w:pPr>
      <w:hyperlink w:anchor="_Toc102000003" w:history="1">
        <w:r>
          <w:t>（一）现实背景</w:t>
        </w:r>
        <w:r>
          <w:tab/>
        </w:r>
        <w:r>
          <w:fldChar w:fldCharType="begin"/>
        </w:r>
        <w:r>
          <w:instrText xml:space="preserve"> PAGEREF _Toc102000003 \h </w:instrText>
        </w:r>
        <w:r>
          <w:fldChar w:fldCharType="separate"/>
        </w:r>
        <w:r>
          <w:t>1</w:t>
        </w:r>
        <w:r>
          <w:fldChar w:fldCharType="end"/>
        </w:r>
      </w:hyperlink>
    </w:p>
    <w:p>
      <w:pPr>
        <w:pStyle w:val="TOC3"/>
        <w:tabs>
          <w:tab w:val="right" w:leader="dot" w:pos="8303"/>
        </w:tabs>
        <w:spacing w:line="360" w:lineRule="auto"/>
        <w:ind w:left="420"/>
      </w:pPr>
      <w:hyperlink w:anchor="_Toc102000004" w:history="1">
        <w:r>
          <w:t>（二）理论背景</w:t>
        </w:r>
        <w:r>
          <w:tab/>
        </w:r>
        <w:r>
          <w:fldChar w:fldCharType="begin"/>
        </w:r>
        <w:r>
          <w:instrText xml:space="preserve"> PAGEREF _Toc102000004 \h </w:instrText>
        </w:r>
        <w:r>
          <w:fldChar w:fldCharType="separate"/>
        </w:r>
        <w:r>
          <w:t>1</w:t>
        </w:r>
        <w:r>
          <w:fldChar w:fldCharType="end"/>
        </w:r>
      </w:hyperlink>
    </w:p>
    <w:p>
      <w:pPr>
        <w:pStyle w:val="TOC3"/>
        <w:tabs>
          <w:tab w:val="right" w:leader="dot" w:pos="8303"/>
        </w:tabs>
        <w:spacing w:line="360" w:lineRule="auto"/>
        <w:ind w:left="420"/>
      </w:pPr>
      <w:hyperlink w:anchor="_Toc102000005" w:history="1">
        <w:r>
          <w:t>（三）研究意义</w:t>
        </w:r>
        <w:r>
          <w:tab/>
        </w:r>
        <w:r>
          <w:fldChar w:fldCharType="begin"/>
        </w:r>
        <w:r>
          <w:instrText xml:space="preserve"> PAGEREF _Toc102000005 \h </w:instrText>
        </w:r>
        <w:r>
          <w:fldChar w:fldCharType="separate"/>
        </w:r>
        <w:r>
          <w:t>1</w:t>
        </w:r>
        <w:r>
          <w:fldChar w:fldCharType="end"/>
        </w:r>
      </w:hyperlink>
    </w:p>
    <w:p>
      <w:pPr>
        <w:pStyle w:val="TOC2"/>
        <w:tabs>
          <w:tab w:val="right" w:leader="dot" w:pos="8303"/>
        </w:tabs>
        <w:spacing w:line="360" w:lineRule="auto"/>
        <w:ind w:left="210"/>
      </w:pPr>
      <w:hyperlink w:anchor="_Toc102000006" w:history="1">
        <w:r>
          <w:t>二、研究目标与研究内容</w:t>
        </w:r>
        <w:r>
          <w:tab/>
        </w:r>
        <w:r>
          <w:fldChar w:fldCharType="begin"/>
        </w:r>
        <w:r>
          <w:instrText xml:space="preserve"> PAGEREF _Toc102000006 \h </w:instrText>
        </w:r>
        <w:r>
          <w:fldChar w:fldCharType="separate"/>
        </w:r>
        <w:r>
          <w:t>1</w:t>
        </w:r>
        <w:r>
          <w:fldChar w:fldCharType="end"/>
        </w:r>
      </w:hyperlink>
    </w:p>
    <w:p>
      <w:pPr>
        <w:pStyle w:val="TOC3"/>
        <w:tabs>
          <w:tab w:val="right" w:leader="dot" w:pos="8303"/>
        </w:tabs>
        <w:spacing w:line="360" w:lineRule="auto"/>
        <w:ind w:left="420"/>
      </w:pPr>
      <w:hyperlink w:anchor="_Toc102000007" w:history="1">
        <w:r>
          <w:t>（一）研究目标</w:t>
        </w:r>
        <w:r>
          <w:tab/>
        </w:r>
        <w:r>
          <w:fldChar w:fldCharType="begin"/>
        </w:r>
        <w:r>
          <w:instrText xml:space="preserve"> PAGEREF _Toc102000007 \h </w:instrText>
        </w:r>
        <w:r>
          <w:fldChar w:fldCharType="separate"/>
        </w:r>
        <w:r>
          <w:t>1</w:t>
        </w:r>
        <w:r>
          <w:fldChar w:fldCharType="end"/>
        </w:r>
      </w:hyperlink>
    </w:p>
    <w:p>
      <w:pPr>
        <w:pStyle w:val="TOC3"/>
        <w:tabs>
          <w:tab w:val="right" w:leader="dot" w:pos="8303"/>
        </w:tabs>
        <w:spacing w:line="360" w:lineRule="auto"/>
        <w:ind w:left="420"/>
      </w:pPr>
      <w:hyperlink w:anchor="_Toc102000008" w:history="1">
        <w:r>
          <w:t>（二）研究内容</w:t>
        </w:r>
        <w:r>
          <w:tab/>
        </w:r>
        <w:r>
          <w:fldChar w:fldCharType="begin"/>
        </w:r>
        <w:r>
          <w:instrText xml:space="preserve"> PAGEREF _Toc102000008 \h </w:instrText>
        </w:r>
        <w:r>
          <w:fldChar w:fldCharType="separate"/>
        </w:r>
        <w:r>
          <w:t>1</w:t>
        </w:r>
        <w:r>
          <w:fldChar w:fldCharType="end"/>
        </w:r>
      </w:hyperlink>
    </w:p>
    <w:p>
      <w:pPr>
        <w:pStyle w:val="TOC2"/>
        <w:tabs>
          <w:tab w:val="right" w:leader="dot" w:pos="8303"/>
        </w:tabs>
        <w:spacing w:line="360" w:lineRule="auto"/>
        <w:ind w:left="210"/>
      </w:pPr>
      <w:hyperlink w:anchor="_Toc102000009" w:history="1">
        <w:r>
          <w:t>三、研究方法与技术路线</w:t>
        </w:r>
        <w:r>
          <w:tab/>
        </w:r>
        <w:r>
          <w:fldChar w:fldCharType="begin"/>
        </w:r>
        <w:r>
          <w:instrText xml:space="preserve"> PAGEREF _Toc102000009 \h </w:instrText>
        </w:r>
        <w:r>
          <w:fldChar w:fldCharType="separate"/>
        </w:r>
        <w:r>
          <w:t>1</w:t>
        </w:r>
        <w:r>
          <w:fldChar w:fldCharType="end"/>
        </w:r>
      </w:hyperlink>
    </w:p>
    <w:p>
      <w:pPr>
        <w:pStyle w:val="TOC3"/>
        <w:tabs>
          <w:tab w:val="right" w:leader="dot" w:pos="8303"/>
        </w:tabs>
        <w:spacing w:line="360" w:lineRule="auto"/>
        <w:ind w:left="420"/>
      </w:pPr>
      <w:hyperlink w:anchor="_Toc102000010" w:history="1">
        <w:r>
          <w:t>（一）研究方法</w:t>
        </w:r>
        <w:r>
          <w:tab/>
        </w:r>
        <w:r>
          <w:fldChar w:fldCharType="begin"/>
        </w:r>
        <w:r>
          <w:instrText xml:space="preserve"> PAGEREF _Toc102000010 \h </w:instrText>
        </w:r>
        <w:r>
          <w:fldChar w:fldCharType="separate"/>
        </w:r>
        <w:r>
          <w:t>1</w:t>
        </w:r>
        <w:r>
          <w:fldChar w:fldCharType="end"/>
        </w:r>
      </w:hyperlink>
    </w:p>
    <w:p>
      <w:pPr>
        <w:pStyle w:val="TOC3"/>
        <w:tabs>
          <w:tab w:val="right" w:leader="dot" w:pos="8303"/>
        </w:tabs>
        <w:spacing w:line="360" w:lineRule="auto"/>
        <w:ind w:left="420"/>
      </w:pPr>
      <w:hyperlink w:anchor="_Toc102000011" w:history="1">
        <w:r>
          <w:t>（二）技术路线</w:t>
        </w:r>
        <w:r>
          <w:tab/>
        </w:r>
        <w:r>
          <w:fldChar w:fldCharType="begin"/>
        </w:r>
        <w:r>
          <w:instrText xml:space="preserve"> PAGEREF _Toc102000011 \h </w:instrText>
        </w:r>
        <w:r>
          <w:fldChar w:fldCharType="separate"/>
        </w:r>
        <w:r>
          <w:t>1</w:t>
        </w:r>
        <w:r>
          <w:fldChar w:fldCharType="end"/>
        </w:r>
      </w:hyperlink>
    </w:p>
    <w:p>
      <w:pPr>
        <w:pStyle w:val="TOC2"/>
        <w:tabs>
          <w:tab w:val="right" w:leader="dot" w:pos="8303"/>
        </w:tabs>
        <w:spacing w:line="360" w:lineRule="auto"/>
        <w:ind w:left="210"/>
      </w:pPr>
      <w:hyperlink w:anchor="_Toc102000012" w:history="1">
        <w:r>
          <w:t>四、可能的创新点</w:t>
        </w:r>
        <w:r>
          <w:tab/>
        </w:r>
        <w:r>
          <w:fldChar w:fldCharType="begin"/>
        </w:r>
        <w:r>
          <w:instrText xml:space="preserve"> PAGEREF _Toc102000012 \h </w:instrText>
        </w:r>
        <w:r>
          <w:fldChar w:fldCharType="separate"/>
        </w:r>
        <w:r>
          <w:t>1</w:t>
        </w:r>
        <w:r>
          <w:fldChar w:fldCharType="end"/>
        </w:r>
      </w:hyperlink>
    </w:p>
    <w:p>
      <w:pPr>
        <w:pStyle w:val="TOC1"/>
        <w:tabs>
          <w:tab w:val="right" w:leader="dot" w:pos="8303"/>
        </w:tabs>
        <w:spacing w:line="360" w:lineRule="auto"/>
      </w:pPr>
      <w:hyperlink w:anchor="_Toc102000013" w:history="1">
        <w:r>
          <w:t>第二章 文献综述</w:t>
        </w:r>
        <w:r>
          <w:tab/>
        </w:r>
        <w:r>
          <w:fldChar w:fldCharType="begin"/>
        </w:r>
        <w:r>
          <w:instrText xml:space="preserve"> PAGEREF _Toc102000013 \h </w:instrText>
        </w:r>
        <w:r>
          <w:fldChar w:fldCharType="separate"/>
        </w:r>
        <w:r>
          <w:t>1</w:t>
        </w:r>
        <w:r>
          <w:fldChar w:fldCharType="end"/>
        </w:r>
      </w:hyperlink>
    </w:p>
    <w:p>
      <w:pPr>
        <w:pStyle w:val="TOC2"/>
        <w:tabs>
          <w:tab w:val="right" w:leader="dot" w:pos="8303"/>
        </w:tabs>
        <w:spacing w:line="360" w:lineRule="auto"/>
        <w:ind w:left="210"/>
      </w:pPr>
      <w:hyperlink w:anchor="_Toc102000014" w:history="1">
        <w:r>
          <w:t>一、平台反垄断的经济后果研究</w:t>
        </w:r>
        <w:r>
          <w:tab/>
        </w:r>
        <w:r>
          <w:fldChar w:fldCharType="begin"/>
        </w:r>
        <w:r>
          <w:instrText xml:space="preserve"> PAGEREF _Toc102000014 \h </w:instrText>
        </w:r>
        <w:r>
          <w:fldChar w:fldCharType="separate"/>
        </w:r>
        <w:r>
          <w:t>1</w:t>
        </w:r>
        <w:r>
          <w:fldChar w:fldCharType="end"/>
        </w:r>
      </w:hyperlink>
    </w:p>
    <w:p>
      <w:pPr>
        <w:pStyle w:val="TOC3"/>
        <w:tabs>
          <w:tab w:val="right" w:leader="dot" w:pos="8303"/>
        </w:tabs>
        <w:spacing w:line="360" w:lineRule="auto"/>
        <w:ind w:left="420"/>
      </w:pPr>
      <w:hyperlink w:anchor="_Toc102000015" w:history="1">
        <w:r>
          <w:t>（一）平台反垄断对市场结构的影响</w:t>
        </w:r>
        <w:r>
          <w:tab/>
        </w:r>
        <w:r>
          <w:fldChar w:fldCharType="begin"/>
        </w:r>
        <w:r>
          <w:instrText xml:space="preserve"> PAGEREF _Toc102000015 \h </w:instrText>
        </w:r>
        <w:r>
          <w:fldChar w:fldCharType="separate"/>
        </w:r>
        <w:r>
          <w:t>1</w:t>
        </w:r>
        <w:r>
          <w:fldChar w:fldCharType="end"/>
        </w:r>
      </w:hyperlink>
    </w:p>
    <w:p>
      <w:pPr>
        <w:pStyle w:val="TOC3"/>
        <w:tabs>
          <w:tab w:val="right" w:leader="dot" w:pos="8303"/>
        </w:tabs>
        <w:spacing w:line="360" w:lineRule="auto"/>
        <w:ind w:left="420"/>
      </w:pPr>
      <w:hyperlink w:anchor="_Toc102000016" w:history="1">
        <w:r>
          <w:t>（二）平台反垄断对消费者福利的影响</w:t>
        </w:r>
        <w:r>
          <w:tab/>
        </w:r>
        <w:r>
          <w:fldChar w:fldCharType="begin"/>
        </w:r>
        <w:r>
          <w:instrText xml:space="preserve"> PAGEREF _Toc102000016 \h </w:instrText>
        </w:r>
        <w:r>
          <w:fldChar w:fldCharType="separate"/>
        </w:r>
        <w:r>
          <w:t>1</w:t>
        </w:r>
        <w:r>
          <w:fldChar w:fldCharType="end"/>
        </w:r>
      </w:hyperlink>
    </w:p>
    <w:p>
      <w:pPr>
        <w:pStyle w:val="TOC3"/>
        <w:tabs>
          <w:tab w:val="right" w:leader="dot" w:pos="8303"/>
        </w:tabs>
        <w:spacing w:line="360" w:lineRule="auto"/>
        <w:ind w:left="420"/>
      </w:pPr>
      <w:hyperlink w:anchor="_Toc102000017" w:history="1">
        <w:r>
          <w:t>（三）平台反垄断对企业经营行为的影响</w:t>
        </w:r>
        <w:r>
          <w:tab/>
        </w:r>
        <w:r>
          <w:fldChar w:fldCharType="begin"/>
        </w:r>
        <w:r>
          <w:instrText xml:space="preserve"> PAGEREF _Toc102000017 \h </w:instrText>
        </w:r>
        <w:r>
          <w:fldChar w:fldCharType="separate"/>
        </w:r>
        <w:r>
          <w:t>1</w:t>
        </w:r>
        <w:r>
          <w:fldChar w:fldCharType="end"/>
        </w:r>
      </w:hyperlink>
    </w:p>
    <w:p>
      <w:pPr>
        <w:pStyle w:val="TOC2"/>
        <w:tabs>
          <w:tab w:val="right" w:leader="dot" w:pos="8303"/>
        </w:tabs>
        <w:spacing w:line="360" w:lineRule="auto"/>
        <w:ind w:left="210"/>
      </w:pPr>
      <w:hyperlink w:anchor="_Toc102000018" w:history="1">
        <w:r>
          <w:t>二、企业研发投入的影响因素研究</w:t>
        </w:r>
        <w:r>
          <w:tab/>
        </w:r>
        <w:r>
          <w:fldChar w:fldCharType="begin"/>
        </w:r>
        <w:r>
          <w:instrText xml:space="preserve"> PAGEREF _Toc102000018 \h </w:instrText>
        </w:r>
        <w:r>
          <w:fldChar w:fldCharType="separate"/>
        </w:r>
        <w:r>
          <w:t>1</w:t>
        </w:r>
        <w:r>
          <w:fldChar w:fldCharType="end"/>
        </w:r>
      </w:hyperlink>
    </w:p>
    <w:p>
      <w:pPr>
        <w:pStyle w:val="TOC3"/>
        <w:tabs>
          <w:tab w:val="right" w:leader="dot" w:pos="8303"/>
        </w:tabs>
        <w:spacing w:line="360" w:lineRule="auto"/>
        <w:ind w:left="420"/>
      </w:pPr>
      <w:hyperlink w:anchor="_Toc102000019" w:history="1">
        <w:r>
          <w:t>（一）市场竞争与创新激励</w:t>
        </w:r>
        <w:r>
          <w:tab/>
        </w:r>
        <w:r>
          <w:fldChar w:fldCharType="begin"/>
        </w:r>
        <w:r>
          <w:instrText xml:space="preserve"> PAGEREF _Toc102000019 \h </w:instrText>
        </w:r>
        <w:r>
          <w:fldChar w:fldCharType="separate"/>
        </w:r>
        <w:r>
          <w:t>1</w:t>
        </w:r>
        <w:r>
          <w:fldChar w:fldCharType="end"/>
        </w:r>
      </w:hyperlink>
    </w:p>
    <w:p>
      <w:pPr>
        <w:pStyle w:val="TOC3"/>
        <w:tabs>
          <w:tab w:val="right" w:leader="dot" w:pos="8303"/>
        </w:tabs>
        <w:spacing w:line="360" w:lineRule="auto"/>
        <w:ind w:left="420"/>
      </w:pPr>
      <w:hyperlink w:anchor="_Toc102000020" w:history="1">
        <w:r>
          <w:t>（二）制度环境与政策监管</w:t>
        </w:r>
        <w:r>
          <w:tab/>
        </w:r>
        <w:r>
          <w:fldChar w:fldCharType="begin"/>
        </w:r>
        <w:r>
          <w:instrText xml:space="preserve"> PAGEREF _Toc102000020 \h </w:instrText>
        </w:r>
        <w:r>
          <w:fldChar w:fldCharType="separate"/>
        </w:r>
        <w:r>
          <w:t>1</w:t>
        </w:r>
        <w:r>
          <w:fldChar w:fldCharType="end"/>
        </w:r>
      </w:hyperlink>
    </w:p>
    <w:p>
      <w:pPr>
        <w:pStyle w:val="TOC3"/>
        <w:tabs>
          <w:tab w:val="right" w:leader="dot" w:pos="8303"/>
        </w:tabs>
        <w:spacing w:line="360" w:lineRule="auto"/>
        <w:ind w:left="420"/>
      </w:pPr>
      <w:hyperlink w:anchor="_Toc102000021" w:history="1">
        <w:r>
          <w:t>（三）企业特征与内部治理</w:t>
        </w:r>
        <w:r>
          <w:tab/>
        </w:r>
        <w:r>
          <w:fldChar w:fldCharType="begin"/>
        </w:r>
        <w:r>
          <w:instrText xml:space="preserve"> PAGEREF _Toc102000021 \h </w:instrText>
        </w:r>
        <w:r>
          <w:fldChar w:fldCharType="separate"/>
        </w:r>
        <w:r>
          <w:t>1</w:t>
        </w:r>
        <w:r>
          <w:fldChar w:fldCharType="end"/>
        </w:r>
      </w:hyperlink>
    </w:p>
    <w:p>
      <w:pPr>
        <w:pStyle w:val="TOC2"/>
        <w:tabs>
          <w:tab w:val="right" w:leader="dot" w:pos="8303"/>
        </w:tabs>
        <w:spacing w:line="360" w:lineRule="auto"/>
        <w:ind w:left="210"/>
      </w:pPr>
      <w:hyperlink w:anchor="_Toc102000022" w:history="1">
        <w:r>
          <w:t>三、反垄断与创新关系的理论争论及实证进展</w:t>
        </w:r>
        <w:r>
          <w:tab/>
        </w:r>
        <w:r>
          <w:fldChar w:fldCharType="begin"/>
        </w:r>
        <w:r>
          <w:instrText xml:space="preserve"> PAGEREF _Toc102000022 \h </w:instrText>
        </w:r>
        <w:r>
          <w:fldChar w:fldCharType="separate"/>
        </w:r>
        <w:r>
          <w:t>1</w:t>
        </w:r>
        <w:r>
          <w:fldChar w:fldCharType="end"/>
        </w:r>
      </w:hyperlink>
    </w:p>
    <w:p>
      <w:pPr>
        <w:pStyle w:val="TOC3"/>
        <w:tabs>
          <w:tab w:val="right" w:leader="dot" w:pos="8303"/>
        </w:tabs>
        <w:spacing w:line="360" w:lineRule="auto"/>
        <w:ind w:left="420"/>
      </w:pPr>
      <w:hyperlink w:anchor="_Toc102000023" w:history="1">
        <w:r>
          <w:t>（一）"熊彼特假说"与"雁形假说"的对立</w:t>
        </w:r>
        <w:r>
          <w:tab/>
        </w:r>
        <w:r>
          <w:fldChar w:fldCharType="begin"/>
        </w:r>
        <w:r>
          <w:instrText xml:space="preserve"> PAGEREF _Toc102000023 \h </w:instrText>
        </w:r>
        <w:r>
          <w:fldChar w:fldCharType="separate"/>
        </w:r>
        <w:r>
          <w:t>1</w:t>
        </w:r>
        <w:r>
          <w:fldChar w:fldCharType="end"/>
        </w:r>
      </w:hyperlink>
    </w:p>
    <w:p>
      <w:pPr>
        <w:pStyle w:val="TOC3"/>
        <w:tabs>
          <w:tab w:val="right" w:leader="dot" w:pos="8303"/>
        </w:tabs>
        <w:spacing w:line="360" w:lineRule="auto"/>
        <w:ind w:left="420"/>
      </w:pPr>
      <w:hyperlink w:anchor="_Toc102000024" w:history="1">
        <w:r>
          <w:t>（二）反垄断执法与企业创新的实证证据</w:t>
        </w:r>
        <w:r>
          <w:tab/>
        </w:r>
        <w:r>
          <w:fldChar w:fldCharType="begin"/>
        </w:r>
        <w:r>
          <w:instrText xml:space="preserve"> PAGEREF _Toc102000024 \h </w:instrText>
        </w:r>
        <w:r>
          <w:fldChar w:fldCharType="separate"/>
        </w:r>
        <w:r>
          <w:t>1</w:t>
        </w:r>
        <w:r>
          <w:fldChar w:fldCharType="end"/>
        </w:r>
      </w:hyperlink>
    </w:p>
    <w:p>
      <w:pPr>
        <w:pStyle w:val="TOC3"/>
        <w:tabs>
          <w:tab w:val="right" w:leader="dot" w:pos="8303"/>
        </w:tabs>
        <w:spacing w:line="360" w:lineRule="auto"/>
        <w:ind w:left="420"/>
      </w:pPr>
      <w:hyperlink w:anchor="_Toc102000025" w:history="1">
        <w:r>
          <w:t>（三）平台经济情境下反垄断与创新关系的特殊性</w:t>
        </w:r>
        <w:r>
          <w:tab/>
        </w:r>
        <w:r>
          <w:fldChar w:fldCharType="begin"/>
        </w:r>
        <w:r>
          <w:instrText xml:space="preserve"> PAGEREF _Toc102000025 \h </w:instrText>
        </w:r>
        <w:r>
          <w:fldChar w:fldCharType="separate"/>
        </w:r>
        <w:r>
          <w:t>1</w:t>
        </w:r>
        <w:r>
          <w:fldChar w:fldCharType="end"/>
        </w:r>
      </w:hyperlink>
    </w:p>
    <w:p>
      <w:pPr>
        <w:pStyle w:val="TOC2"/>
        <w:tabs>
          <w:tab w:val="right" w:leader="dot" w:pos="8303"/>
        </w:tabs>
        <w:spacing w:line="360" w:lineRule="auto"/>
        <w:ind w:left="210"/>
      </w:pPr>
      <w:hyperlink w:anchor="_Toc102000026" w:history="1">
        <w:r>
          <w:t>四、文献评述与研究空间</w:t>
        </w:r>
        <w:r>
          <w:tab/>
        </w:r>
        <w:r>
          <w:fldChar w:fldCharType="begin"/>
        </w:r>
        <w:r>
          <w:instrText xml:space="preserve"> PAGEREF _Toc102000026 \h </w:instrText>
        </w:r>
        <w:r>
          <w:fldChar w:fldCharType="separate"/>
        </w:r>
        <w:r>
          <w:t>1</w:t>
        </w:r>
        <w:r>
          <w:fldChar w:fldCharType="end"/>
        </w:r>
      </w:hyperlink>
    </w:p>
    <w:p>
      <w:pPr>
        <w:pStyle w:val="TOC1"/>
        <w:tabs>
          <w:tab w:val="right" w:leader="dot" w:pos="8303"/>
        </w:tabs>
        <w:spacing w:line="360" w:lineRule="auto"/>
      </w:pPr>
      <w:hyperlink w:anchor="_Toc102000027" w:history="1">
        <w:r>
          <w:t>第三章 理论分析与研究假设</w:t>
        </w:r>
        <w:r>
          <w:tab/>
        </w:r>
        <w:r>
          <w:fldChar w:fldCharType="begin"/>
        </w:r>
        <w:r>
          <w:instrText xml:space="preserve"> PAGEREF _Toc102000027 \h </w:instrText>
        </w:r>
        <w:r>
          <w:fldChar w:fldCharType="separate"/>
        </w:r>
        <w:r>
          <w:t>1</w:t>
        </w:r>
        <w:r>
          <w:fldChar w:fldCharType="end"/>
        </w:r>
      </w:hyperlink>
    </w:p>
    <w:p>
      <w:pPr>
        <w:pStyle w:val="TOC2"/>
        <w:tabs>
          <w:tab w:val="right" w:leader="dot" w:pos="8303"/>
        </w:tabs>
        <w:spacing w:line="360" w:lineRule="auto"/>
        <w:ind w:left="210"/>
      </w:pPr>
      <w:hyperlink w:anchor="_Toc102000028" w:history="1">
        <w:r>
          <w:t>一、核心概念界定</w:t>
        </w:r>
        <w:r>
          <w:tab/>
        </w:r>
        <w:r>
          <w:fldChar w:fldCharType="begin"/>
        </w:r>
        <w:r>
          <w:instrText xml:space="preserve"> PAGEREF _Toc102000028 \h </w:instrText>
        </w:r>
        <w:r>
          <w:fldChar w:fldCharType="separate"/>
        </w:r>
        <w:r>
          <w:t>1</w:t>
        </w:r>
        <w:r>
          <w:fldChar w:fldCharType="end"/>
        </w:r>
      </w:hyperlink>
    </w:p>
    <w:p>
      <w:pPr>
        <w:pStyle w:val="TOC3"/>
        <w:tabs>
          <w:tab w:val="right" w:leader="dot" w:pos="8303"/>
        </w:tabs>
        <w:spacing w:line="360" w:lineRule="auto"/>
        <w:ind w:left="420"/>
      </w:pPr>
      <w:hyperlink w:anchor="_Toc102000029" w:history="1">
        <w:r>
          <w:t>（一）平台反垄断监管</w:t>
        </w:r>
        <w:r>
          <w:tab/>
        </w:r>
        <w:r>
          <w:fldChar w:fldCharType="begin"/>
        </w:r>
        <w:r>
          <w:instrText xml:space="preserve"> PAGEREF _Toc102000029 \h </w:instrText>
        </w:r>
        <w:r>
          <w:fldChar w:fldCharType="separate"/>
        </w:r>
        <w:r>
          <w:t>1</w:t>
        </w:r>
        <w:r>
          <w:fldChar w:fldCharType="end"/>
        </w:r>
      </w:hyperlink>
    </w:p>
    <w:p>
      <w:pPr>
        <w:pStyle w:val="TOC3"/>
        <w:tabs>
          <w:tab w:val="right" w:leader="dot" w:pos="8303"/>
        </w:tabs>
        <w:spacing w:line="360" w:lineRule="auto"/>
        <w:ind w:left="420"/>
      </w:pPr>
      <w:hyperlink w:anchor="_Toc102000030" w:history="1">
        <w:r>
          <w:t>（二）数字平台企业</w:t>
        </w:r>
        <w:r>
          <w:tab/>
        </w:r>
        <w:r>
          <w:fldChar w:fldCharType="begin"/>
        </w:r>
        <w:r>
          <w:instrText xml:space="preserve"> PAGEREF _Toc102000030 \h </w:instrText>
        </w:r>
        <w:r>
          <w:fldChar w:fldCharType="separate"/>
        </w:r>
        <w:r>
          <w:t>1</w:t>
        </w:r>
        <w:r>
          <w:fldChar w:fldCharType="end"/>
        </w:r>
      </w:hyperlink>
    </w:p>
    <w:p>
      <w:pPr>
        <w:pStyle w:val="TOC3"/>
        <w:tabs>
          <w:tab w:val="right" w:leader="dot" w:pos="8303"/>
        </w:tabs>
        <w:spacing w:line="360" w:lineRule="auto"/>
        <w:ind w:left="420"/>
      </w:pPr>
      <w:hyperlink w:anchor="_Toc102000031" w:history="1">
        <w:r>
          <w:t>（三）研发投入</w:t>
        </w:r>
        <w:r>
          <w:tab/>
        </w:r>
        <w:r>
          <w:fldChar w:fldCharType="begin"/>
        </w:r>
        <w:r>
          <w:instrText xml:space="preserve"> PAGEREF _Toc102000031 \h </w:instrText>
        </w:r>
        <w:r>
          <w:fldChar w:fldCharType="separate"/>
        </w:r>
        <w:r>
          <w:t>1</w:t>
        </w:r>
        <w:r>
          <w:fldChar w:fldCharType="end"/>
        </w:r>
      </w:hyperlink>
    </w:p>
    <w:p>
      <w:pPr>
        <w:pStyle w:val="TOC2"/>
        <w:tabs>
          <w:tab w:val="right" w:leader="dot" w:pos="8303"/>
        </w:tabs>
        <w:spacing w:line="360" w:lineRule="auto"/>
        <w:ind w:left="210"/>
      </w:pPr>
      <w:hyperlink w:anchor="_Toc102000032" w:history="1">
        <w:r>
          <w:t>二、理论基础</w:t>
        </w:r>
        <w:r>
          <w:tab/>
        </w:r>
        <w:r>
          <w:fldChar w:fldCharType="begin"/>
        </w:r>
        <w:r>
          <w:instrText xml:space="preserve"> PAGEREF _Toc102000032 \h </w:instrText>
        </w:r>
        <w:r>
          <w:fldChar w:fldCharType="separate"/>
        </w:r>
        <w:r>
          <w:t>1</w:t>
        </w:r>
        <w:r>
          <w:fldChar w:fldCharType="end"/>
        </w:r>
      </w:hyperlink>
    </w:p>
    <w:p>
      <w:pPr>
        <w:pStyle w:val="TOC3"/>
        <w:tabs>
          <w:tab w:val="right" w:leader="dot" w:pos="8303"/>
        </w:tabs>
        <w:spacing w:line="360" w:lineRule="auto"/>
        <w:ind w:left="420"/>
      </w:pPr>
      <w:hyperlink w:anchor="_Toc102000033" w:history="1">
        <w:r>
          <w:t>（一）产业组织理论</w:t>
        </w:r>
        <w:r>
          <w:tab/>
        </w:r>
        <w:r>
          <w:fldChar w:fldCharType="begin"/>
        </w:r>
        <w:r>
          <w:instrText xml:space="preserve"> PAGEREF _Toc102000033 \h </w:instrText>
        </w:r>
        <w:r>
          <w:fldChar w:fldCharType="separate"/>
        </w:r>
        <w:r>
          <w:t>1</w:t>
        </w:r>
        <w:r>
          <w:fldChar w:fldCharType="end"/>
        </w:r>
      </w:hyperlink>
    </w:p>
    <w:p>
      <w:pPr>
        <w:pStyle w:val="TOC3"/>
        <w:tabs>
          <w:tab w:val="right" w:leader="dot" w:pos="8303"/>
        </w:tabs>
        <w:spacing w:line="360" w:lineRule="auto"/>
        <w:ind w:left="420"/>
      </w:pPr>
      <w:hyperlink w:anchor="_Toc102000034" w:history="1">
        <w:r>
          <w:t>（二）制度理论</w:t>
        </w:r>
        <w:r>
          <w:tab/>
        </w:r>
        <w:r>
          <w:fldChar w:fldCharType="begin"/>
        </w:r>
        <w:r>
          <w:instrText xml:space="preserve"> PAGEREF _Toc102000034 \h </w:instrText>
        </w:r>
        <w:r>
          <w:fldChar w:fldCharType="separate"/>
        </w:r>
        <w:r>
          <w:t>1</w:t>
        </w:r>
        <w:r>
          <w:fldChar w:fldCharType="end"/>
        </w:r>
      </w:hyperlink>
    </w:p>
    <w:p>
      <w:pPr>
        <w:pStyle w:val="TOC3"/>
        <w:tabs>
          <w:tab w:val="right" w:leader="dot" w:pos="8303"/>
        </w:tabs>
        <w:spacing w:line="360" w:lineRule="auto"/>
        <w:ind w:left="420"/>
      </w:pPr>
      <w:hyperlink w:anchor="_Toc102000035" w:history="1">
        <w:r>
          <w:t>（三）企业创新理论</w:t>
        </w:r>
        <w:r>
          <w:tab/>
        </w:r>
        <w:r>
          <w:fldChar w:fldCharType="begin"/>
        </w:r>
        <w:r>
          <w:instrText xml:space="preserve"> PAGEREF _Toc102000035 \h </w:instrText>
        </w:r>
        <w:r>
          <w:fldChar w:fldCharType="separate"/>
        </w:r>
        <w:r>
          <w:t>1</w:t>
        </w:r>
        <w:r>
          <w:fldChar w:fldCharType="end"/>
        </w:r>
      </w:hyperlink>
    </w:p>
    <w:p>
      <w:pPr>
        <w:pStyle w:val="TOC2"/>
        <w:tabs>
          <w:tab w:val="right" w:leader="dot" w:pos="8303"/>
        </w:tabs>
        <w:spacing w:line="360" w:lineRule="auto"/>
        <w:ind w:left="210"/>
      </w:pPr>
      <w:hyperlink w:anchor="_Toc102000036" w:history="1">
        <w:r>
          <w:t>三、研究假设推演</w:t>
        </w:r>
        <w:r>
          <w:tab/>
        </w:r>
        <w:r>
          <w:fldChar w:fldCharType="begin"/>
        </w:r>
        <w:r>
          <w:instrText xml:space="preserve"> PAGEREF _Toc102000036 \h </w:instrText>
        </w:r>
        <w:r>
          <w:fldChar w:fldCharType="separate"/>
        </w:r>
        <w:r>
          <w:t>1</w:t>
        </w:r>
        <w:r>
          <w:fldChar w:fldCharType="end"/>
        </w:r>
      </w:hyperlink>
    </w:p>
    <w:p>
      <w:pPr>
        <w:pStyle w:val="TOC3"/>
        <w:tabs>
          <w:tab w:val="right" w:leader="dot" w:pos="8303"/>
        </w:tabs>
        <w:spacing w:line="360" w:lineRule="auto"/>
        <w:ind w:left="420"/>
      </w:pPr>
      <w:hyperlink w:anchor="_Toc102000037" w:history="1">
        <w:r>
          <w:t>（一）反垄断监管对平台企业研发投入的总体效应：威慑效应 vs. 挤出效应</w:t>
        </w:r>
        <w:r>
          <w:tab/>
        </w:r>
        <w:r>
          <w:fldChar w:fldCharType="begin"/>
        </w:r>
        <w:r>
          <w:instrText xml:space="preserve"> PAGEREF _Toc102000037 \h </w:instrText>
        </w:r>
        <w:r>
          <w:fldChar w:fldCharType="separate"/>
        </w:r>
        <w:r>
          <w:t>1</w:t>
        </w:r>
        <w:r>
          <w:fldChar w:fldCharType="end"/>
        </w:r>
      </w:hyperlink>
    </w:p>
    <w:p>
      <w:pPr>
        <w:pStyle w:val="TOC3"/>
        <w:tabs>
          <w:tab w:val="right" w:leader="dot" w:pos="8303"/>
        </w:tabs>
        <w:spacing w:line="360" w:lineRule="auto"/>
        <w:ind w:left="420"/>
      </w:pPr>
      <w:hyperlink w:anchor="_Toc102000038" w:history="1">
        <w:r>
          <w:t>（二）竞争激励渠道的中介效应</w:t>
        </w:r>
        <w:r>
          <w:tab/>
        </w:r>
        <w:r>
          <w:fldChar w:fldCharType="begin"/>
        </w:r>
        <w:r>
          <w:instrText xml:space="preserve"> PAGEREF _Toc102000038 \h </w:instrText>
        </w:r>
        <w:r>
          <w:fldChar w:fldCharType="separate"/>
        </w:r>
        <w:r>
          <w:t>1</w:t>
        </w:r>
        <w:r>
          <w:fldChar w:fldCharType="end"/>
        </w:r>
      </w:hyperlink>
    </w:p>
    <w:p>
      <w:pPr>
        <w:pStyle w:val="TOC3"/>
        <w:tabs>
          <w:tab w:val="right" w:leader="dot" w:pos="8303"/>
        </w:tabs>
        <w:spacing w:line="360" w:lineRule="auto"/>
        <w:ind w:left="420"/>
      </w:pPr>
      <w:hyperlink w:anchor="_Toc102000039" w:history="1">
        <w:r>
          <w:t>（三）资源约束渠道的中介效应</w:t>
        </w:r>
        <w:r>
          <w:tab/>
        </w:r>
        <w:r>
          <w:fldChar w:fldCharType="begin"/>
        </w:r>
        <w:r>
          <w:instrText xml:space="preserve"> PAGEREF _Toc102000039 \h </w:instrText>
        </w:r>
        <w:r>
          <w:fldChar w:fldCharType="separate"/>
        </w:r>
        <w:r>
          <w:t>1</w:t>
        </w:r>
        <w:r>
          <w:fldChar w:fldCharType="end"/>
        </w:r>
      </w:hyperlink>
    </w:p>
    <w:p>
      <w:pPr>
        <w:pStyle w:val="TOC3"/>
        <w:tabs>
          <w:tab w:val="right" w:leader="dot" w:pos="8303"/>
        </w:tabs>
        <w:spacing w:line="360" w:lineRule="auto"/>
        <w:ind w:left="420"/>
      </w:pPr>
      <w:hyperlink w:anchor="_Toc102000040" w:history="1">
        <w:r>
          <w:t>（四）预期不确定性渠道的中介效应</w:t>
        </w:r>
        <w:r>
          <w:tab/>
        </w:r>
        <w:r>
          <w:fldChar w:fldCharType="begin"/>
        </w:r>
        <w:r>
          <w:instrText xml:space="preserve"> PAGEREF _Toc102000040 \h </w:instrText>
        </w:r>
        <w:r>
          <w:fldChar w:fldCharType="separate"/>
        </w:r>
        <w:r>
          <w:t>1</w:t>
        </w:r>
        <w:r>
          <w:fldChar w:fldCharType="end"/>
        </w:r>
      </w:hyperlink>
    </w:p>
    <w:p>
      <w:pPr>
        <w:pStyle w:val="TOC3"/>
        <w:tabs>
          <w:tab w:val="right" w:leader="dot" w:pos="8303"/>
        </w:tabs>
        <w:spacing w:line="360" w:lineRule="auto"/>
        <w:ind w:left="420"/>
      </w:pPr>
      <w:hyperlink w:anchor="_Toc102000041" w:history="1">
        <w:r>
          <w:t>（五）反垄断监管类型差异的影响</w:t>
        </w:r>
        <w:r>
          <w:tab/>
        </w:r>
        <w:r>
          <w:fldChar w:fldCharType="begin"/>
        </w:r>
        <w:r>
          <w:instrText xml:space="preserve"> PAGEREF _Toc102000041 \h </w:instrText>
        </w:r>
        <w:r>
          <w:fldChar w:fldCharType="separate"/>
        </w:r>
        <w:r>
          <w:t>1</w:t>
        </w:r>
        <w:r>
          <w:fldChar w:fldCharType="end"/>
        </w:r>
      </w:hyperlink>
    </w:p>
    <w:p>
      <w:pPr>
        <w:pStyle w:val="TOC3"/>
        <w:tabs>
          <w:tab w:val="right" w:leader="dot" w:pos="8303"/>
        </w:tabs>
        <w:spacing w:line="360" w:lineRule="auto"/>
        <w:ind w:left="420"/>
      </w:pPr>
      <w:hyperlink w:anchor="_Toc102000042" w:history="1">
        <w:r>
          <w:t>（六）假设体系总览</w:t>
        </w:r>
        <w:r>
          <w:tab/>
        </w:r>
        <w:r>
          <w:fldChar w:fldCharType="begin"/>
        </w:r>
        <w:r>
          <w:instrText xml:space="preserve"> PAGEREF _Toc102000042 \h </w:instrText>
        </w:r>
        <w:r>
          <w:fldChar w:fldCharType="separate"/>
        </w:r>
        <w:r>
          <w:t>1</w:t>
        </w:r>
        <w:r>
          <w:fldChar w:fldCharType="end"/>
        </w:r>
      </w:hyperlink>
    </w:p>
    <w:p>
      <w:pPr>
        <w:pStyle w:val="TOC1"/>
        <w:tabs>
          <w:tab w:val="right" w:leader="dot" w:pos="8303"/>
        </w:tabs>
        <w:spacing w:line="360" w:lineRule="auto"/>
      </w:pPr>
      <w:hyperlink w:anchor="_Toc102000043" w:history="1">
        <w:r>
          <w:t>第四章 研究设计</w:t>
        </w:r>
        <w:r>
          <w:tab/>
        </w:r>
        <w:r>
          <w:fldChar w:fldCharType="begin"/>
        </w:r>
        <w:r>
          <w:instrText xml:space="preserve"> PAGEREF _Toc102000043 \h </w:instrText>
        </w:r>
        <w:r>
          <w:fldChar w:fldCharType="separate"/>
        </w:r>
        <w:r>
          <w:t>1</w:t>
        </w:r>
        <w:r>
          <w:fldChar w:fldCharType="end"/>
        </w:r>
      </w:hyperlink>
    </w:p>
    <w:p>
      <w:pPr>
        <w:pStyle w:val="TOC2"/>
        <w:tabs>
          <w:tab w:val="right" w:leader="dot" w:pos="8303"/>
        </w:tabs>
        <w:spacing w:line="360" w:lineRule="auto"/>
        <w:ind w:left="210"/>
      </w:pPr>
      <w:hyperlink w:anchor="_Toc102000044" w:history="1">
        <w:r>
          <w:t>一、样本选择与数据来源</w:t>
        </w:r>
        <w:r>
          <w:tab/>
        </w:r>
        <w:r>
          <w:fldChar w:fldCharType="begin"/>
        </w:r>
        <w:r>
          <w:instrText xml:space="preserve"> PAGEREF _Toc102000044 \h </w:instrText>
        </w:r>
        <w:r>
          <w:fldChar w:fldCharType="separate"/>
        </w:r>
        <w:r>
          <w:t>1</w:t>
        </w:r>
        <w:r>
          <w:fldChar w:fldCharType="end"/>
        </w:r>
      </w:hyperlink>
    </w:p>
    <w:p>
      <w:pPr>
        <w:pStyle w:val="TOC3"/>
        <w:tabs>
          <w:tab w:val="right" w:leader="dot" w:pos="8303"/>
        </w:tabs>
        <w:spacing w:line="360" w:lineRule="auto"/>
        <w:ind w:left="420"/>
      </w:pPr>
      <w:hyperlink w:anchor="_Toc102000045" w:history="1">
        <w:r>
          <w:t>（一）样本选择</w:t>
        </w:r>
        <w:r>
          <w:tab/>
        </w:r>
        <w:r>
          <w:fldChar w:fldCharType="begin"/>
        </w:r>
        <w:r>
          <w:instrText xml:space="preserve"> PAGEREF _Toc102000045 \h </w:instrText>
        </w:r>
        <w:r>
          <w:fldChar w:fldCharType="separate"/>
        </w:r>
        <w:r>
          <w:t>1</w:t>
        </w:r>
        <w:r>
          <w:fldChar w:fldCharType="end"/>
        </w:r>
      </w:hyperlink>
    </w:p>
    <w:p>
      <w:pPr>
        <w:pStyle w:val="TOC3"/>
        <w:tabs>
          <w:tab w:val="right" w:leader="dot" w:pos="8303"/>
        </w:tabs>
        <w:spacing w:line="360" w:lineRule="auto"/>
        <w:ind w:left="420"/>
      </w:pPr>
      <w:hyperlink w:anchor="_Toc102000046" w:history="1">
        <w:r>
          <w:t>（二）数据来源</w:t>
        </w:r>
        <w:r>
          <w:tab/>
        </w:r>
        <w:r>
          <w:fldChar w:fldCharType="begin"/>
        </w:r>
        <w:r>
          <w:instrText xml:space="preserve"> PAGEREF _Toc102000046 \h </w:instrText>
        </w:r>
        <w:r>
          <w:fldChar w:fldCharType="separate"/>
        </w:r>
        <w:r>
          <w:t>1</w:t>
        </w:r>
        <w:r>
          <w:fldChar w:fldCharType="end"/>
        </w:r>
      </w:hyperlink>
    </w:p>
    <w:p>
      <w:pPr>
        <w:pStyle w:val="TOC2"/>
        <w:tabs>
          <w:tab w:val="right" w:leader="dot" w:pos="8303"/>
        </w:tabs>
        <w:spacing w:line="360" w:lineRule="auto"/>
        <w:ind w:left="210"/>
      </w:pPr>
      <w:hyperlink w:anchor="_Toc102000047" w:history="1">
        <w:r>
          <w:t>二、变量定义与测度</w:t>
        </w:r>
        <w:r>
          <w:tab/>
        </w:r>
        <w:r>
          <w:fldChar w:fldCharType="begin"/>
        </w:r>
        <w:r>
          <w:instrText xml:space="preserve"> PAGEREF _Toc102000047 \h </w:instrText>
        </w:r>
        <w:r>
          <w:fldChar w:fldCharType="separate"/>
        </w:r>
        <w:r>
          <w:t>1</w:t>
        </w:r>
        <w:r>
          <w:fldChar w:fldCharType="end"/>
        </w:r>
      </w:hyperlink>
    </w:p>
    <w:p>
      <w:pPr>
        <w:pStyle w:val="TOC3"/>
        <w:tabs>
          <w:tab w:val="right" w:leader="dot" w:pos="8303"/>
        </w:tabs>
        <w:spacing w:line="360" w:lineRule="auto"/>
        <w:ind w:left="420"/>
      </w:pPr>
      <w:hyperlink w:anchor="_Toc102000048" w:history="1">
        <w:r>
          <w:t>（一）被解释变量</w:t>
        </w:r>
        <w:r>
          <w:tab/>
        </w:r>
        <w:r>
          <w:fldChar w:fldCharType="begin"/>
        </w:r>
        <w:r>
          <w:instrText xml:space="preserve"> PAGEREF _Toc102000048 \h </w:instrText>
        </w:r>
        <w:r>
          <w:fldChar w:fldCharType="separate"/>
        </w:r>
        <w:r>
          <w:t>1</w:t>
        </w:r>
        <w:r>
          <w:fldChar w:fldCharType="end"/>
        </w:r>
      </w:hyperlink>
    </w:p>
    <w:p>
      <w:pPr>
        <w:pStyle w:val="TOC3"/>
        <w:tabs>
          <w:tab w:val="right" w:leader="dot" w:pos="8303"/>
        </w:tabs>
        <w:spacing w:line="360" w:lineRule="auto"/>
        <w:ind w:left="420"/>
      </w:pPr>
      <w:hyperlink w:anchor="_Toc102000049" w:history="1">
        <w:r>
          <w:t>（二）核心解释变量</w:t>
        </w:r>
        <w:r>
          <w:tab/>
        </w:r>
        <w:r>
          <w:fldChar w:fldCharType="begin"/>
        </w:r>
        <w:r>
          <w:instrText xml:space="preserve"> PAGEREF _Toc102000049 \h </w:instrText>
        </w:r>
        <w:r>
          <w:fldChar w:fldCharType="separate"/>
        </w:r>
        <w:r>
          <w:t>1</w:t>
        </w:r>
        <w:r>
          <w:fldChar w:fldCharType="end"/>
        </w:r>
      </w:hyperlink>
    </w:p>
    <w:p>
      <w:pPr>
        <w:pStyle w:val="TOC3"/>
        <w:tabs>
          <w:tab w:val="right" w:leader="dot" w:pos="8303"/>
        </w:tabs>
        <w:spacing w:line="360" w:lineRule="auto"/>
        <w:ind w:left="420"/>
      </w:pPr>
      <w:hyperlink w:anchor="_Toc102000050" w:history="1">
        <w:r>
          <w:t>（三）中介变量</w:t>
        </w:r>
        <w:r>
          <w:tab/>
        </w:r>
        <w:r>
          <w:fldChar w:fldCharType="begin"/>
        </w:r>
        <w:r>
          <w:instrText xml:space="preserve"> PAGEREF _Toc102000050 \h </w:instrText>
        </w:r>
        <w:r>
          <w:fldChar w:fldCharType="separate"/>
        </w:r>
        <w:r>
          <w:t>1</w:t>
        </w:r>
        <w:r>
          <w:fldChar w:fldCharType="end"/>
        </w:r>
      </w:hyperlink>
    </w:p>
    <w:p>
      <w:pPr>
        <w:pStyle w:val="TOC3"/>
        <w:tabs>
          <w:tab w:val="right" w:leader="dot" w:pos="8303"/>
        </w:tabs>
        <w:spacing w:line="360" w:lineRule="auto"/>
        <w:ind w:left="420"/>
      </w:pPr>
      <w:hyperlink w:anchor="_Toc102000051" w:history="1">
        <w:r>
          <w:t>（四）控制变量</w:t>
        </w:r>
        <w:r>
          <w:tab/>
        </w:r>
        <w:r>
          <w:fldChar w:fldCharType="begin"/>
        </w:r>
        <w:r>
          <w:instrText xml:space="preserve"> PAGEREF _Toc102000051 \h </w:instrText>
        </w:r>
        <w:r>
          <w:fldChar w:fldCharType="separate"/>
        </w:r>
        <w:r>
          <w:t>1</w:t>
        </w:r>
        <w:r>
          <w:fldChar w:fldCharType="end"/>
        </w:r>
      </w:hyperlink>
    </w:p>
    <w:p>
      <w:pPr>
        <w:pStyle w:val="TOC2"/>
        <w:tabs>
          <w:tab w:val="right" w:leader="dot" w:pos="8303"/>
        </w:tabs>
        <w:spacing w:line="360" w:lineRule="auto"/>
        <w:ind w:left="210"/>
      </w:pPr>
      <w:hyperlink w:anchor="_Toc102000052" w:history="1">
        <w:r>
          <w:t>三、模型设定</w:t>
        </w:r>
        <w:r>
          <w:tab/>
        </w:r>
        <w:r>
          <w:fldChar w:fldCharType="begin"/>
        </w:r>
        <w:r>
          <w:instrText xml:space="preserve"> PAGEREF _Toc102000052 \h </w:instrText>
        </w:r>
        <w:r>
          <w:fldChar w:fldCharType="separate"/>
        </w:r>
        <w:r>
          <w:t>1</w:t>
        </w:r>
        <w:r>
          <w:fldChar w:fldCharType="end"/>
        </w:r>
      </w:hyperlink>
    </w:p>
    <w:p>
      <w:pPr>
        <w:pStyle w:val="TOC3"/>
        <w:tabs>
          <w:tab w:val="right" w:leader="dot" w:pos="8303"/>
        </w:tabs>
        <w:spacing w:line="360" w:lineRule="auto"/>
        <w:ind w:left="420"/>
      </w:pPr>
      <w:hyperlink w:anchor="_Toc102000053" w:history="1">
        <w:r>
          <w:t>（一）基准回归模型</w:t>
        </w:r>
        <w:r>
          <w:tab/>
        </w:r>
        <w:r>
          <w:fldChar w:fldCharType="begin"/>
        </w:r>
        <w:r>
          <w:instrText xml:space="preserve"> PAGEREF _Toc102000053 \h </w:instrText>
        </w:r>
        <w:r>
          <w:fldChar w:fldCharType="separate"/>
        </w:r>
        <w:r>
          <w:t>1</w:t>
        </w:r>
        <w:r>
          <w:fldChar w:fldCharType="end"/>
        </w:r>
      </w:hyperlink>
    </w:p>
    <w:p>
      <w:pPr>
        <w:pStyle w:val="TOC3"/>
        <w:tabs>
          <w:tab w:val="right" w:leader="dot" w:pos="8303"/>
        </w:tabs>
        <w:spacing w:line="360" w:lineRule="auto"/>
        <w:ind w:left="420"/>
      </w:pPr>
      <w:hyperlink w:anchor="_Toc102000054" w:history="1">
        <w:r>
          <w:t>（二）平行趋势检验模型</w:t>
        </w:r>
        <w:r>
          <w:tab/>
        </w:r>
        <w:r>
          <w:fldChar w:fldCharType="begin"/>
        </w:r>
        <w:r>
          <w:instrText xml:space="preserve"> PAGEREF _Toc102000054 \h </w:instrText>
        </w:r>
        <w:r>
          <w:fldChar w:fldCharType="separate"/>
        </w:r>
        <w:r>
          <w:t>1</w:t>
        </w:r>
        <w:r>
          <w:fldChar w:fldCharType="end"/>
        </w:r>
      </w:hyperlink>
    </w:p>
    <w:p>
      <w:pPr>
        <w:pStyle w:val="TOC3"/>
        <w:tabs>
          <w:tab w:val="right" w:leader="dot" w:pos="8303"/>
        </w:tabs>
        <w:spacing w:line="360" w:lineRule="auto"/>
        <w:ind w:left="420"/>
      </w:pPr>
      <w:hyperlink w:anchor="_Toc102000055" w:history="1">
        <w:r>
          <w:t>（三）中介效应模型</w:t>
        </w:r>
        <w:r>
          <w:tab/>
        </w:r>
        <w:r>
          <w:fldChar w:fldCharType="begin"/>
        </w:r>
        <w:r>
          <w:instrText xml:space="preserve"> PAGEREF _Toc102000055 \h </w:instrText>
        </w:r>
        <w:r>
          <w:fldChar w:fldCharType="separate"/>
        </w:r>
        <w:r>
          <w:t>1</w:t>
        </w:r>
        <w:r>
          <w:fldChar w:fldCharType="end"/>
        </w:r>
      </w:hyperlink>
    </w:p>
    <w:p>
      <w:pPr>
        <w:pStyle w:val="TOC3"/>
        <w:tabs>
          <w:tab w:val="right" w:leader="dot" w:pos="8303"/>
        </w:tabs>
        <w:spacing w:line="360" w:lineRule="auto"/>
        <w:ind w:left="420"/>
      </w:pPr>
      <w:hyperlink w:anchor="_Toc102000056" w:history="1">
        <w:r>
          <w:t>（四）异质性分析模型</w:t>
        </w:r>
        <w:r>
          <w:tab/>
        </w:r>
        <w:r>
          <w:fldChar w:fldCharType="begin"/>
        </w:r>
        <w:r>
          <w:instrText xml:space="preserve"> PAGEREF _Toc102000056 \h </w:instrText>
        </w:r>
        <w:r>
          <w:fldChar w:fldCharType="separate"/>
        </w:r>
        <w:r>
          <w:t>1</w:t>
        </w:r>
        <w:r>
          <w:fldChar w:fldCharType="end"/>
        </w:r>
      </w:hyperlink>
    </w:p>
    <w:p>
      <w:pPr>
        <w:pStyle w:val="TOC3"/>
        <w:tabs>
          <w:tab w:val="right" w:leader="dot" w:pos="8303"/>
        </w:tabs>
        <w:spacing w:line="360" w:lineRule="auto"/>
        <w:ind w:left="420"/>
      </w:pPr>
      <w:hyperlink w:anchor="_Toc102000057" w:history="1">
        <w:r>
          <w:t>（五）多期DID（区分不同监管类型）</w:t>
        </w:r>
        <w:r>
          <w:tab/>
        </w:r>
        <w:r>
          <w:fldChar w:fldCharType="begin"/>
        </w:r>
        <w:r>
          <w:instrText xml:space="preserve"> PAGEREF _Toc102000057 \h </w:instrText>
        </w:r>
        <w:r>
          <w:fldChar w:fldCharType="separate"/>
        </w:r>
        <w:r>
          <w:t>1</w:t>
        </w:r>
        <w:r>
          <w:fldChar w:fldCharType="end"/>
        </w:r>
      </w:hyperlink>
    </w:p>
    <w:p>
      <w:pPr>
        <w:pStyle w:val="TOC2"/>
        <w:tabs>
          <w:tab w:val="right" w:leader="dot" w:pos="8303"/>
        </w:tabs>
        <w:spacing w:line="360" w:lineRule="auto"/>
        <w:ind w:left="210"/>
      </w:pPr>
      <w:hyperlink w:anchor="_Toc102000058" w:history="1">
        <w:r>
          <w:t>四、描述性统计</w:t>
        </w:r>
        <w:r>
          <w:tab/>
        </w:r>
        <w:r>
          <w:fldChar w:fldCharType="begin"/>
        </w:r>
        <w:r>
          <w:instrText xml:space="preserve"> PAGEREF _Toc102000058 \h </w:instrText>
        </w:r>
        <w:r>
          <w:fldChar w:fldCharType="separate"/>
        </w:r>
        <w:r>
          <w:t>1</w:t>
        </w:r>
        <w:r>
          <w:fldChar w:fldCharType="end"/>
        </w:r>
      </w:hyperlink>
    </w:p>
    <w:p>
      <w:pPr>
        <w:pStyle w:val="TOC1"/>
        <w:tabs>
          <w:tab w:val="right" w:leader="dot" w:pos="8303"/>
        </w:tabs>
        <w:spacing w:line="360" w:lineRule="auto"/>
      </w:pPr>
      <w:hyperlink w:anchor="_Toc102000059" w:history="1">
        <w:r>
          <w:t>第五章 实证结果与分析</w:t>
        </w:r>
        <w:r>
          <w:tab/>
        </w:r>
        <w:r>
          <w:fldChar w:fldCharType="begin"/>
        </w:r>
        <w:r>
          <w:instrText xml:space="preserve"> PAGEREF _Toc102000059 \h </w:instrText>
        </w:r>
        <w:r>
          <w:fldChar w:fldCharType="separate"/>
        </w:r>
        <w:r>
          <w:t>1</w:t>
        </w:r>
        <w:r>
          <w:fldChar w:fldCharType="end"/>
        </w:r>
      </w:hyperlink>
    </w:p>
    <w:p>
      <w:pPr>
        <w:pStyle w:val="TOC2"/>
        <w:tabs>
          <w:tab w:val="right" w:leader="dot" w:pos="8303"/>
        </w:tabs>
        <w:spacing w:line="360" w:lineRule="auto"/>
        <w:ind w:left="210"/>
      </w:pPr>
      <w:hyperlink w:anchor="_Toc102000060" w:history="1">
        <w:r>
          <w:t>一、基准回归结果</w:t>
        </w:r>
        <w:r>
          <w:tab/>
        </w:r>
        <w:r>
          <w:fldChar w:fldCharType="begin"/>
        </w:r>
        <w:r>
          <w:instrText xml:space="preserve"> PAGEREF _Toc102000060 \h </w:instrText>
        </w:r>
        <w:r>
          <w:fldChar w:fldCharType="separate"/>
        </w:r>
        <w:r>
          <w:t>1</w:t>
        </w:r>
        <w:r>
          <w:fldChar w:fldCharType="end"/>
        </w:r>
      </w:hyperlink>
    </w:p>
    <w:p>
      <w:pPr>
        <w:pStyle w:val="TOC3"/>
        <w:tabs>
          <w:tab w:val="right" w:leader="dot" w:pos="8303"/>
        </w:tabs>
        <w:spacing w:line="360" w:lineRule="auto"/>
        <w:ind w:left="420"/>
      </w:pPr>
      <w:hyperlink w:anchor="_Toc102000061" w:history="1">
        <w:r>
          <w:t>（一）反垄断监管对研发投入的总体效应</w:t>
        </w:r>
        <w:r>
          <w:tab/>
        </w:r>
        <w:r>
          <w:fldChar w:fldCharType="begin"/>
        </w:r>
        <w:r>
          <w:instrText xml:space="preserve"> PAGEREF _Toc102000061 \h </w:instrText>
        </w:r>
        <w:r>
          <w:fldChar w:fldCharType="separate"/>
        </w:r>
        <w:r>
          <w:t>1</w:t>
        </w:r>
        <w:r>
          <w:fldChar w:fldCharType="end"/>
        </w:r>
      </w:hyperlink>
    </w:p>
    <w:p>
      <w:pPr>
        <w:pStyle w:val="TOC3"/>
        <w:tabs>
          <w:tab w:val="right" w:leader="dot" w:pos="8303"/>
        </w:tabs>
        <w:spacing w:line="360" w:lineRule="auto"/>
        <w:ind w:left="420"/>
      </w:pPr>
      <w:hyperlink w:anchor="_Toc102000062" w:history="1">
        <w:r>
          <w:t>（二）经济含义解读</w:t>
        </w:r>
        <w:r>
          <w:tab/>
        </w:r>
        <w:r>
          <w:fldChar w:fldCharType="begin"/>
        </w:r>
        <w:r>
          <w:instrText xml:space="preserve"> PAGEREF _Toc102000062 \h </w:instrText>
        </w:r>
        <w:r>
          <w:fldChar w:fldCharType="separate"/>
        </w:r>
        <w:r>
          <w:t>1</w:t>
        </w:r>
        <w:r>
          <w:fldChar w:fldCharType="end"/>
        </w:r>
      </w:hyperlink>
    </w:p>
    <w:p>
      <w:pPr>
        <w:pStyle w:val="TOC2"/>
        <w:tabs>
          <w:tab w:val="right" w:leader="dot" w:pos="8303"/>
        </w:tabs>
        <w:spacing w:line="360" w:lineRule="auto"/>
        <w:ind w:left="210"/>
      </w:pPr>
      <w:hyperlink w:anchor="_Toc102000063" w:history="1">
        <w:r>
          <w:t>二、平行趋势检验</w:t>
        </w:r>
        <w:r>
          <w:tab/>
        </w:r>
        <w:r>
          <w:fldChar w:fldCharType="begin"/>
        </w:r>
        <w:r>
          <w:instrText xml:space="preserve"> PAGEREF _Toc102000063 \h </w:instrText>
        </w:r>
        <w:r>
          <w:fldChar w:fldCharType="separate"/>
        </w:r>
        <w:r>
          <w:t>1</w:t>
        </w:r>
        <w:r>
          <w:fldChar w:fldCharType="end"/>
        </w:r>
      </w:hyperlink>
    </w:p>
    <w:p>
      <w:pPr>
        <w:pStyle w:val="TOC3"/>
        <w:tabs>
          <w:tab w:val="right" w:leader="dot" w:pos="8303"/>
        </w:tabs>
        <w:spacing w:line="360" w:lineRule="auto"/>
        <w:ind w:left="420"/>
      </w:pPr>
      <w:hyperlink w:anchor="_Toc102000064" w:history="1">
        <w:r>
          <w:t>（一）事件研究法结果</w:t>
        </w:r>
        <w:r>
          <w:tab/>
        </w:r>
        <w:r>
          <w:fldChar w:fldCharType="begin"/>
        </w:r>
        <w:r>
          <w:instrText xml:space="preserve"> PAGEREF _Toc102000064 \h </w:instrText>
        </w:r>
        <w:r>
          <w:fldChar w:fldCharType="separate"/>
        </w:r>
        <w:r>
          <w:t>1</w:t>
        </w:r>
        <w:r>
          <w:fldChar w:fldCharType="end"/>
        </w:r>
      </w:hyperlink>
    </w:p>
    <w:p>
      <w:pPr>
        <w:pStyle w:val="TOC3"/>
        <w:tabs>
          <w:tab w:val="right" w:leader="dot" w:pos="8303"/>
        </w:tabs>
        <w:spacing w:line="360" w:lineRule="auto"/>
        <w:ind w:left="420"/>
      </w:pPr>
      <w:hyperlink w:anchor="_Toc102000065" w:history="1">
        <w:r>
          <w:t>（二）平行趋势假设的经济学解释</w:t>
        </w:r>
        <w:r>
          <w:tab/>
        </w:r>
        <w:r>
          <w:fldChar w:fldCharType="begin"/>
        </w:r>
        <w:r>
          <w:instrText xml:space="preserve"> PAGEREF _Toc102000065 \h </w:instrText>
        </w:r>
        <w:r>
          <w:fldChar w:fldCharType="separate"/>
        </w:r>
        <w:r>
          <w:t>1</w:t>
        </w:r>
        <w:r>
          <w:fldChar w:fldCharType="end"/>
        </w:r>
      </w:hyperlink>
    </w:p>
    <w:p>
      <w:pPr>
        <w:pStyle w:val="TOC2"/>
        <w:tabs>
          <w:tab w:val="right" w:leader="dot" w:pos="8303"/>
        </w:tabs>
        <w:spacing w:line="360" w:lineRule="auto"/>
        <w:ind w:left="210"/>
      </w:pPr>
      <w:hyperlink w:anchor="_Toc102000066" w:history="1">
        <w:r>
          <w:t>三、稳健性检验</w:t>
        </w:r>
        <w:r>
          <w:tab/>
        </w:r>
        <w:r>
          <w:fldChar w:fldCharType="begin"/>
        </w:r>
        <w:r>
          <w:instrText xml:space="preserve"> PAGEREF _Toc102000066 \h </w:instrText>
        </w:r>
        <w:r>
          <w:fldChar w:fldCharType="separate"/>
        </w:r>
        <w:r>
          <w:t>1</w:t>
        </w:r>
        <w:r>
          <w:fldChar w:fldCharType="end"/>
        </w:r>
      </w:hyperlink>
    </w:p>
    <w:p>
      <w:pPr>
        <w:pStyle w:val="TOC3"/>
        <w:tabs>
          <w:tab w:val="right" w:leader="dot" w:pos="8303"/>
        </w:tabs>
        <w:spacing w:line="360" w:lineRule="auto"/>
        <w:ind w:left="420"/>
      </w:pPr>
      <w:hyperlink w:anchor="_Toc102000067" w:history="1">
        <w:r>
          <w:t>（一）替换被解释变量测度方法</w:t>
        </w:r>
        <w:r>
          <w:tab/>
        </w:r>
        <w:r>
          <w:fldChar w:fldCharType="begin"/>
        </w:r>
        <w:r>
          <w:instrText xml:space="preserve"> PAGEREF _Toc102000067 \h </w:instrText>
        </w:r>
        <w:r>
          <w:fldChar w:fldCharType="separate"/>
        </w:r>
        <w:r>
          <w:t>1</w:t>
        </w:r>
        <w:r>
          <w:fldChar w:fldCharType="end"/>
        </w:r>
      </w:hyperlink>
    </w:p>
    <w:p>
      <w:pPr>
        <w:pStyle w:val="TOC3"/>
        <w:tabs>
          <w:tab w:val="right" w:leader="dot" w:pos="8303"/>
        </w:tabs>
        <w:spacing w:line="360" w:lineRule="auto"/>
        <w:ind w:left="420"/>
      </w:pPr>
      <w:hyperlink w:anchor="_Toc102000068" w:history="1">
        <w:r>
          <w:t>（二）PSM-DID</w:t>
        </w:r>
        <w:r>
          <w:tab/>
        </w:r>
        <w:r>
          <w:fldChar w:fldCharType="begin"/>
        </w:r>
        <w:r>
          <w:instrText xml:space="preserve"> PAGEREF _Toc102000068 \h </w:instrText>
        </w:r>
        <w:r>
          <w:fldChar w:fldCharType="separate"/>
        </w:r>
        <w:r>
          <w:t>1</w:t>
        </w:r>
        <w:r>
          <w:fldChar w:fldCharType="end"/>
        </w:r>
      </w:hyperlink>
    </w:p>
    <w:p>
      <w:pPr>
        <w:pStyle w:val="TOC3"/>
        <w:tabs>
          <w:tab w:val="right" w:leader="dot" w:pos="8303"/>
        </w:tabs>
        <w:spacing w:line="360" w:lineRule="auto"/>
        <w:ind w:left="420"/>
      </w:pPr>
      <w:hyperlink w:anchor="_Toc102000069" w:history="1">
        <w:r>
          <w:t>（三）排除其他政策干扰</w:t>
        </w:r>
        <w:r>
          <w:tab/>
        </w:r>
        <w:r>
          <w:fldChar w:fldCharType="begin"/>
        </w:r>
        <w:r>
          <w:instrText xml:space="preserve"> PAGEREF _Toc102000069 \h </w:instrText>
        </w:r>
        <w:r>
          <w:fldChar w:fldCharType="separate"/>
        </w:r>
        <w:r>
          <w:t>1</w:t>
        </w:r>
        <w:r>
          <w:fldChar w:fldCharType="end"/>
        </w:r>
      </w:hyperlink>
    </w:p>
    <w:p>
      <w:pPr>
        <w:pStyle w:val="TOC3"/>
        <w:tabs>
          <w:tab w:val="right" w:leader="dot" w:pos="8303"/>
        </w:tabs>
        <w:spacing w:line="360" w:lineRule="auto"/>
        <w:ind w:left="420"/>
      </w:pPr>
      <w:hyperlink w:anchor="_Toc102000070" w:history="1">
        <w:r>
          <w:t>（四）安慰剂检验</w:t>
        </w:r>
        <w:r>
          <w:tab/>
        </w:r>
        <w:r>
          <w:fldChar w:fldCharType="begin"/>
        </w:r>
        <w:r>
          <w:instrText xml:space="preserve"> PAGEREF _Toc102000070 \h </w:instrText>
        </w:r>
        <w:r>
          <w:fldChar w:fldCharType="separate"/>
        </w:r>
        <w:r>
          <w:t>1</w:t>
        </w:r>
        <w:r>
          <w:fldChar w:fldCharType="end"/>
        </w:r>
      </w:hyperlink>
    </w:p>
    <w:p>
      <w:pPr>
        <w:pStyle w:val="TOC2"/>
        <w:tabs>
          <w:tab w:val="right" w:leader="dot" w:pos="8303"/>
        </w:tabs>
        <w:spacing w:line="360" w:lineRule="auto"/>
        <w:ind w:left="210"/>
      </w:pPr>
      <w:hyperlink w:anchor="_Toc102000071" w:history="1">
        <w:r>
          <w:t>四、内生性讨论</w:t>
        </w:r>
        <w:r>
          <w:tab/>
        </w:r>
        <w:r>
          <w:fldChar w:fldCharType="begin"/>
        </w:r>
        <w:r>
          <w:instrText xml:space="preserve"> PAGEREF _Toc102000071 \h </w:instrText>
        </w:r>
        <w:r>
          <w:fldChar w:fldCharType="separate"/>
        </w:r>
        <w:r>
          <w:t>1</w:t>
        </w:r>
        <w:r>
          <w:fldChar w:fldCharType="end"/>
        </w:r>
      </w:hyperlink>
    </w:p>
    <w:p>
      <w:pPr>
        <w:pStyle w:val="TOC1"/>
        <w:tabs>
          <w:tab w:val="right" w:leader="dot" w:pos="8303"/>
        </w:tabs>
        <w:spacing w:line="360" w:lineRule="auto"/>
      </w:pPr>
      <w:hyperlink w:anchor="_Toc102000072" w:history="1">
        <w:r>
          <w:t>第六章 机制检验与进一步分析</w:t>
        </w:r>
        <w:r>
          <w:tab/>
        </w:r>
        <w:r>
          <w:fldChar w:fldCharType="begin"/>
        </w:r>
        <w:r>
          <w:instrText xml:space="preserve"> PAGEREF _Toc102000072 \h </w:instrText>
        </w:r>
        <w:r>
          <w:fldChar w:fldCharType="separate"/>
        </w:r>
        <w:r>
          <w:t>1</w:t>
        </w:r>
        <w:r>
          <w:fldChar w:fldCharType="end"/>
        </w:r>
      </w:hyperlink>
    </w:p>
    <w:p>
      <w:pPr>
        <w:pStyle w:val="TOC2"/>
        <w:tabs>
          <w:tab w:val="right" w:leader="dot" w:pos="8303"/>
        </w:tabs>
        <w:spacing w:line="360" w:lineRule="auto"/>
        <w:ind w:left="210"/>
      </w:pPr>
      <w:hyperlink w:anchor="_Toc102000073" w:history="1">
        <w:r>
          <w:t>一、中介效应检验</w:t>
        </w:r>
        <w:r>
          <w:tab/>
        </w:r>
        <w:r>
          <w:fldChar w:fldCharType="begin"/>
        </w:r>
        <w:r>
          <w:instrText xml:space="preserve"> PAGEREF _Toc102000073 \h </w:instrText>
        </w:r>
        <w:r>
          <w:fldChar w:fldCharType="separate"/>
        </w:r>
        <w:r>
          <w:t>1</w:t>
        </w:r>
        <w:r>
          <w:fldChar w:fldCharType="end"/>
        </w:r>
      </w:hyperlink>
    </w:p>
    <w:p>
      <w:pPr>
        <w:pStyle w:val="TOC3"/>
        <w:tabs>
          <w:tab w:val="right" w:leader="dot" w:pos="8303"/>
        </w:tabs>
        <w:spacing w:line="360" w:lineRule="auto"/>
        <w:ind w:left="420"/>
      </w:pPr>
      <w:hyperlink w:anchor="_Toc102000074" w:history="1">
        <w:r>
          <w:t>（一）竞争激励渠道（H2）</w:t>
        </w:r>
        <w:r>
          <w:tab/>
        </w:r>
        <w:r>
          <w:fldChar w:fldCharType="begin"/>
        </w:r>
        <w:r>
          <w:instrText xml:space="preserve"> PAGEREF _Toc102000074 \h </w:instrText>
        </w:r>
        <w:r>
          <w:fldChar w:fldCharType="separate"/>
        </w:r>
        <w:r>
          <w:t>1</w:t>
        </w:r>
        <w:r>
          <w:fldChar w:fldCharType="end"/>
        </w:r>
      </w:hyperlink>
    </w:p>
    <w:p>
      <w:pPr>
        <w:pStyle w:val="TOC3"/>
        <w:tabs>
          <w:tab w:val="right" w:leader="dot" w:pos="8303"/>
        </w:tabs>
        <w:spacing w:line="360" w:lineRule="auto"/>
        <w:ind w:left="420"/>
      </w:pPr>
      <w:hyperlink w:anchor="_Toc102000075" w:history="1">
        <w:r>
          <w:t>（二）资源约束渠道（H3）</w:t>
        </w:r>
        <w:r>
          <w:tab/>
        </w:r>
        <w:r>
          <w:fldChar w:fldCharType="begin"/>
        </w:r>
        <w:r>
          <w:instrText xml:space="preserve"> PAGEREF _Toc102000075 \h </w:instrText>
        </w:r>
        <w:r>
          <w:fldChar w:fldCharType="separate"/>
        </w:r>
        <w:r>
          <w:t>1</w:t>
        </w:r>
        <w:r>
          <w:fldChar w:fldCharType="end"/>
        </w:r>
      </w:hyperlink>
    </w:p>
    <w:p>
      <w:pPr>
        <w:pStyle w:val="TOC3"/>
        <w:tabs>
          <w:tab w:val="right" w:leader="dot" w:pos="8303"/>
        </w:tabs>
        <w:spacing w:line="360" w:lineRule="auto"/>
        <w:ind w:left="420"/>
      </w:pPr>
      <w:hyperlink w:anchor="_Toc102000076" w:history="1">
        <w:r>
          <w:t>（三）预期不确定性渠道（H4）</w:t>
        </w:r>
        <w:r>
          <w:tab/>
        </w:r>
        <w:r>
          <w:fldChar w:fldCharType="begin"/>
        </w:r>
        <w:r>
          <w:instrText xml:space="preserve"> PAGEREF _Toc102000076 \h </w:instrText>
        </w:r>
        <w:r>
          <w:fldChar w:fldCharType="separate"/>
        </w:r>
        <w:r>
          <w:t>1</w:t>
        </w:r>
        <w:r>
          <w:fldChar w:fldCharType="end"/>
        </w:r>
      </w:hyperlink>
    </w:p>
    <w:p>
      <w:pPr>
        <w:pStyle w:val="TOC2"/>
        <w:tabs>
          <w:tab w:val="right" w:leader="dot" w:pos="8303"/>
        </w:tabs>
        <w:spacing w:line="360" w:lineRule="auto"/>
        <w:ind w:left="210"/>
      </w:pPr>
      <w:hyperlink w:anchor="_Toc102000077" w:history="1">
        <w:r>
          <w:t>二、异质性分析</w:t>
        </w:r>
        <w:r>
          <w:tab/>
        </w:r>
        <w:r>
          <w:fldChar w:fldCharType="begin"/>
        </w:r>
        <w:r>
          <w:instrText xml:space="preserve"> PAGEREF _Toc102000077 \h </w:instrText>
        </w:r>
        <w:r>
          <w:fldChar w:fldCharType="separate"/>
        </w:r>
        <w:r>
          <w:t>1</w:t>
        </w:r>
        <w:r>
          <w:fldChar w:fldCharType="end"/>
        </w:r>
      </w:hyperlink>
    </w:p>
    <w:p>
      <w:pPr>
        <w:pStyle w:val="TOC3"/>
        <w:tabs>
          <w:tab w:val="right" w:leader="dot" w:pos="8303"/>
        </w:tabs>
        <w:spacing w:line="360" w:lineRule="auto"/>
        <w:ind w:left="420"/>
      </w:pPr>
      <w:hyperlink w:anchor="_Toc102000078" w:history="1">
        <w:r>
          <w:t>（一）所有制异质性</w:t>
        </w:r>
        <w:r>
          <w:tab/>
        </w:r>
        <w:r>
          <w:fldChar w:fldCharType="begin"/>
        </w:r>
        <w:r>
          <w:instrText xml:space="preserve"> PAGEREF _Toc102000078 \h </w:instrText>
        </w:r>
        <w:r>
          <w:fldChar w:fldCharType="separate"/>
        </w:r>
        <w:r>
          <w:t>1</w:t>
        </w:r>
        <w:r>
          <w:fldChar w:fldCharType="end"/>
        </w:r>
      </w:hyperlink>
    </w:p>
    <w:p>
      <w:pPr>
        <w:pStyle w:val="TOC3"/>
        <w:tabs>
          <w:tab w:val="right" w:leader="dot" w:pos="8303"/>
        </w:tabs>
        <w:spacing w:line="360" w:lineRule="auto"/>
        <w:ind w:left="420"/>
      </w:pPr>
      <w:hyperlink w:anchor="_Toc102000079" w:history="1">
        <w:r>
          <w:t>（二）平台类型异质性</w:t>
        </w:r>
        <w:r>
          <w:tab/>
        </w:r>
        <w:r>
          <w:fldChar w:fldCharType="begin"/>
        </w:r>
        <w:r>
          <w:instrText xml:space="preserve"> PAGEREF _Toc102000079 \h </w:instrText>
        </w:r>
        <w:r>
          <w:fldChar w:fldCharType="separate"/>
        </w:r>
        <w:r>
          <w:t>1</w:t>
        </w:r>
        <w:r>
          <w:fldChar w:fldCharType="end"/>
        </w:r>
      </w:hyperlink>
    </w:p>
    <w:p>
      <w:pPr>
        <w:pStyle w:val="TOC3"/>
        <w:tabs>
          <w:tab w:val="right" w:leader="dot" w:pos="8303"/>
        </w:tabs>
        <w:spacing w:line="360" w:lineRule="auto"/>
        <w:ind w:left="420"/>
      </w:pPr>
      <w:hyperlink w:anchor="_Toc102000080" w:history="1">
        <w:r>
          <w:t>（三）企业规模异质性</w:t>
        </w:r>
        <w:r>
          <w:tab/>
        </w:r>
        <w:r>
          <w:fldChar w:fldCharType="begin"/>
        </w:r>
        <w:r>
          <w:instrText xml:space="preserve"> PAGEREF _Toc102000080 \h </w:instrText>
        </w:r>
        <w:r>
          <w:fldChar w:fldCharType="separate"/>
        </w:r>
        <w:r>
          <w:t>1</w:t>
        </w:r>
        <w:r>
          <w:fldChar w:fldCharType="end"/>
        </w:r>
      </w:hyperlink>
    </w:p>
    <w:p>
      <w:pPr>
        <w:pStyle w:val="TOC3"/>
        <w:tabs>
          <w:tab w:val="right" w:leader="dot" w:pos="8303"/>
        </w:tabs>
        <w:spacing w:line="360" w:lineRule="auto"/>
        <w:ind w:left="420"/>
      </w:pPr>
      <w:hyperlink w:anchor="_Toc102000081" w:history="1">
        <w:r>
          <w:t>（四）初始创新水平异质性</w:t>
        </w:r>
        <w:r>
          <w:tab/>
        </w:r>
        <w:r>
          <w:fldChar w:fldCharType="begin"/>
        </w:r>
        <w:r>
          <w:instrText xml:space="preserve"> PAGEREF _Toc102000081 \h </w:instrText>
        </w:r>
        <w:r>
          <w:fldChar w:fldCharType="separate"/>
        </w:r>
        <w:r>
          <w:t>1</w:t>
        </w:r>
        <w:r>
          <w:fldChar w:fldCharType="end"/>
        </w:r>
      </w:hyperlink>
    </w:p>
    <w:p>
      <w:pPr>
        <w:pStyle w:val="TOC2"/>
        <w:tabs>
          <w:tab w:val="right" w:leader="dot" w:pos="8303"/>
        </w:tabs>
        <w:spacing w:line="360" w:lineRule="auto"/>
        <w:ind w:left="210"/>
      </w:pPr>
      <w:hyperlink w:anchor="_Toc102000082" w:history="1">
        <w:r>
          <w:t>三、进一步分析：反垄断监管对创新产出的影响</w:t>
        </w:r>
        <w:r>
          <w:tab/>
        </w:r>
        <w:r>
          <w:fldChar w:fldCharType="begin"/>
        </w:r>
        <w:r>
          <w:instrText xml:space="preserve"> PAGEREF _Toc102000082 \h </w:instrText>
        </w:r>
        <w:r>
          <w:fldChar w:fldCharType="separate"/>
        </w:r>
        <w:r>
          <w:t>1</w:t>
        </w:r>
        <w:r>
          <w:fldChar w:fldCharType="end"/>
        </w:r>
      </w:hyperlink>
    </w:p>
    <w:p>
      <w:pPr>
        <w:pStyle w:val="TOC2"/>
        <w:tabs>
          <w:tab w:val="right" w:leader="dot" w:pos="8303"/>
        </w:tabs>
        <w:spacing w:line="360" w:lineRule="auto"/>
        <w:ind w:left="210"/>
      </w:pPr>
      <w:hyperlink w:anchor="_Toc102000083" w:history="1">
        <w:r>
          <w:t>四、本章小结</w:t>
        </w:r>
        <w:r>
          <w:tab/>
        </w:r>
        <w:r>
          <w:fldChar w:fldCharType="begin"/>
        </w:r>
        <w:r>
          <w:instrText xml:space="preserve"> PAGEREF _Toc102000083 \h </w:instrText>
        </w:r>
        <w:r>
          <w:fldChar w:fldCharType="separate"/>
        </w:r>
        <w:r>
          <w:t>1</w:t>
        </w:r>
        <w:r>
          <w:fldChar w:fldCharType="end"/>
        </w:r>
      </w:hyperlink>
    </w:p>
    <w:p>
      <w:pPr>
        <w:pStyle w:val="TOC1"/>
        <w:tabs>
          <w:tab w:val="right" w:leader="dot" w:pos="8303"/>
        </w:tabs>
        <w:spacing w:line="360" w:lineRule="auto"/>
      </w:pPr>
      <w:hyperlink w:anchor="_Toc102000084" w:history="1">
        <w:r>
          <w:t>第七章 结论与政策建议</w:t>
        </w:r>
        <w:r>
          <w:tab/>
        </w:r>
        <w:r>
          <w:fldChar w:fldCharType="begin"/>
        </w:r>
        <w:r>
          <w:instrText xml:space="preserve"> PAGEREF _Toc102000084 \h </w:instrText>
        </w:r>
        <w:r>
          <w:fldChar w:fldCharType="separate"/>
        </w:r>
        <w:r>
          <w:t>1</w:t>
        </w:r>
        <w:r>
          <w:fldChar w:fldCharType="end"/>
        </w:r>
      </w:hyperlink>
    </w:p>
    <w:p>
      <w:pPr>
        <w:pStyle w:val="TOC2"/>
        <w:tabs>
          <w:tab w:val="right" w:leader="dot" w:pos="8303"/>
        </w:tabs>
        <w:spacing w:line="360" w:lineRule="auto"/>
        <w:ind w:left="210"/>
      </w:pPr>
      <w:hyperlink w:anchor="_Toc102000085" w:history="1">
        <w:r>
          <w:t>一、研究结论</w:t>
        </w:r>
        <w:r>
          <w:tab/>
        </w:r>
        <w:r>
          <w:fldChar w:fldCharType="begin"/>
        </w:r>
        <w:r>
          <w:instrText xml:space="preserve"> PAGEREF _Toc102000085 \h </w:instrText>
        </w:r>
        <w:r>
          <w:fldChar w:fldCharType="separate"/>
        </w:r>
        <w:r>
          <w:t>1</w:t>
        </w:r>
        <w:r>
          <w:fldChar w:fldCharType="end"/>
        </w:r>
      </w:hyperlink>
    </w:p>
    <w:p>
      <w:pPr>
        <w:pStyle w:val="TOC2"/>
        <w:tabs>
          <w:tab w:val="right" w:leader="dot" w:pos="8303"/>
        </w:tabs>
        <w:spacing w:line="360" w:lineRule="auto"/>
        <w:ind w:left="210"/>
      </w:pPr>
      <w:hyperlink w:anchor="_Toc102000086" w:history="1">
        <w:r>
          <w:t>二、政策建议</w:t>
        </w:r>
        <w:r>
          <w:tab/>
        </w:r>
        <w:r>
          <w:fldChar w:fldCharType="begin"/>
        </w:r>
        <w:r>
          <w:instrText xml:space="preserve"> PAGEREF _Toc102000086 \h </w:instrText>
        </w:r>
        <w:r>
          <w:fldChar w:fldCharType="separate"/>
        </w:r>
        <w:r>
          <w:t>1</w:t>
        </w:r>
        <w:r>
          <w:fldChar w:fldCharType="end"/>
        </w:r>
      </w:hyperlink>
    </w:p>
    <w:p>
      <w:pPr>
        <w:pStyle w:val="TOC2"/>
        <w:tabs>
          <w:tab w:val="right" w:leader="dot" w:pos="8303"/>
        </w:tabs>
        <w:spacing w:line="360" w:lineRule="auto"/>
        <w:ind w:left="210"/>
      </w:pPr>
      <w:hyperlink w:anchor="_Toc102000087" w:history="1">
        <w:r>
          <w:t>三、研究局限与展望</w:t>
        </w:r>
        <w:r>
          <w:tab/>
        </w:r>
        <w:r>
          <w:fldChar w:fldCharType="begin"/>
        </w:r>
        <w:r>
          <w:instrText xml:space="preserve"> PAGEREF _Toc102000087 \h </w:instrText>
        </w:r>
        <w:r>
          <w:fldChar w:fldCharType="separate"/>
        </w:r>
        <w:r>
          <w:t>1</w:t>
        </w:r>
        <w:r>
          <w:fldChar w:fldCharType="end"/>
        </w:r>
      </w:hyperlink>
    </w:p>
    <w:p>
      <w:pPr>
        <w:pStyle w:val="TOC1"/>
        <w:tabs>
          <w:tab w:val="right" w:leader="dot" w:pos="8303"/>
        </w:tabs>
        <w:spacing w:line="360" w:lineRule="auto"/>
      </w:pPr>
      <w:hyperlink w:anchor="_Toc102000088" w:history="1">
        <w:r>
          <w:t>参考文献</w:t>
        </w:r>
        <w:r>
          <w:tab/>
        </w:r>
        <w:r>
          <w:fldChar w:fldCharType="begin"/>
        </w:r>
        <w:r>
          <w:instrText xml:space="preserve"> PAGEREF _Toc102000088 \h </w:instrText>
        </w:r>
        <w:r>
          <w:fldChar w:fldCharType="separate"/>
        </w:r>
        <w:r>
          <w:t>1</w:t>
        </w:r>
        <w:r>
          <w:fldChar w:fldCharType="end"/>
        </w:r>
      </w:hyperlink>
    </w:p>
    <w:p>
      <w:pPr>
        <w:pStyle w:val="TOC1"/>
        <w:tabs>
          <w:tab w:val="right" w:leader="dot" w:pos="8303"/>
        </w:tabs>
        <w:spacing w:line="360" w:lineRule="auto"/>
      </w:pPr>
      <w:hyperlink w:anchor="_Toc102000091" w:history="1">
        <w:r>
          <w:t>攻读硕士学位期间取得的科研成果</w:t>
        </w:r>
        <w:r>
          <w:tab/>
        </w:r>
        <w:r>
          <w:fldChar w:fldCharType="begin"/>
        </w:r>
        <w:r>
          <w:instrText xml:space="preserve"> PAGEREF _Toc102000091 \h </w:instrText>
        </w:r>
        <w:r>
          <w:fldChar w:fldCharType="separate"/>
        </w:r>
        <w:r>
          <w:t>1</w:t>
        </w:r>
        <w:r>
          <w:fldChar w:fldCharType="end"/>
        </w:r>
      </w:hyperlink>
    </w:p>
    <w:p>
      <w:pPr>
        <w:pStyle w:val="TOC1"/>
        <w:tabs>
          <w:tab w:val="right" w:leader="dot" w:pos="8303"/>
        </w:tabs>
        <w:spacing w:line="360" w:lineRule="auto"/>
      </w:pPr>
      <w:hyperlink w:anchor="_Toc102000093" w:history="1">
        <w:r>
          <w:t>哈尔滨工业大学学位论文原创性声明和使用权限</w:t>
        </w:r>
        <w:r>
          <w:tab/>
        </w:r>
        <w:r>
          <w:fldChar w:fldCharType="begin"/>
        </w:r>
        <w:r>
          <w:instrText xml:space="preserve"> PAGEREF _Toc102000093 \h </w:instrText>
        </w:r>
        <w:r>
          <w:fldChar w:fldCharType="separate"/>
        </w:r>
        <w:r>
          <w:t>1</w:t>
        </w:r>
        <w:r>
          <w:fldChar w:fldCharType="end"/>
        </w:r>
      </w:hyperlink>
    </w:p>
    <w:p>
      <w:pPr>
        <w:pStyle w:val="TOC1"/>
        <w:tabs>
          <w:tab w:val="right" w:leader="dot" w:pos="8303"/>
        </w:tabs>
        <w:spacing w:line="360" w:lineRule="auto"/>
      </w:pPr>
      <w:hyperlink w:anchor="_Toc102000095" w:history="1">
        <w:r>
          <w:t>致谢</w:t>
        </w:r>
        <w:r>
          <w:tab/>
        </w:r>
        <w:r>
          <w:fldChar w:fldCharType="begin"/>
        </w:r>
        <w:r>
          <w:instrText xml:space="preserve"> PAGEREF _Toc102000095 \h </w:instrText>
        </w:r>
        <w:r>
          <w:fldChar w:fldCharType="separate"/>
        </w:r>
        <w:r>
          <w:t>1</w:t>
        </w:r>
        <w:r>
          <w:fldChar w:fldCharType="end"/>
        </w:r>
      </w:hyperlink>
    </w:p>
    <w:p>
      <w:pPr>
        <w:pStyle w:val="TOC1"/>
        <w:tabs>
          <w:tab w:val="right" w:leader="dot" w:pos="8303"/>
        </w:tabs>
        <w:spacing w:line="360" w:lineRule="auto"/>
      </w:pPr>
      <w:hyperlink w:anchor="_Toc102000097" w:history="1">
        <w:r>
          <w:t>个人简历</w:t>
        </w:r>
        <w:r>
          <w:tab/>
        </w:r>
        <w:r>
          <w:fldChar w:fldCharType="begin"/>
        </w:r>
        <w:r>
          <w:instrText xml:space="preserve"> PAGEREF _Toc102000097 \h </w:instrText>
        </w:r>
        <w:r>
          <w:fldChar w:fldCharType="separate"/>
        </w:r>
        <w:r>
          <w:t>1</w:t>
        </w:r>
        <w:r>
          <w:fldChar w:fldCharType="end"/>
        </w:r>
      </w:hyperlink>
      <w:r>
        <w:fldChar w:fldCharType="end"/>
      </w:r>
    </w:p>
    <w:p>
      <w:pPr>
        <w:spacing w:before="0" w:after="0" w:line="1" w:lineRule="exact"/>
        <w:sectPr>
          <w:titlePg/>
          <w:type w:val="nextPage"/>
          <w:headerReference w:type="first" r:id="rId1012"/>
          <w:headerReference w:type="default" r:id="rId4"/>
          <w:footerReference w:type="first" r:id="rId6"/>
          <w:footerReference w:type="default" r:id="rId6"/>
          <w:pgNumType w:fmt="upperRoman"/>
          <w:pgSz w:w="11907" w:h="16840"/>
          <w:pgMar w:top="2155" w:right="1701" w:bottom="1701" w:left="1701" w:header="1701" w:footer="1304" w:gutter="0"/>
          <w:cols w:space="720"/>
          <w:docGrid w:type="linesAndChars" w:linePitch="391" w:charSpace="1861"/>
        </w:sectPr>
      </w:pPr>
    </w:p>
    <w:p>
      <w:pPr>
        <w:jc w:val="center"/>
        <w:snapToGrid w:val="0"/>
        <w:spacing w:before="390" w:after="312" w:line="360" w:lineRule="auto"/>
        <w:rPr>
          <w:rFonts w:ascii="Times New Roman" w:hAnsi="Times New Roman" w:eastAsia="黑体" w:hint="eastAsia"/>
          <w:b/>
          <w:bCs/>
          <w:sz w:val="36"/>
          <w:szCs w:val="36"/>
        </w:rPr>
      </w:pPr>
      <w:r>
        <w:rPr>
          <w:rFonts w:ascii="Times New Roman" w:hAnsi="Times New Roman" w:eastAsia="黑体"/>
          <w:b/>
          <w:bCs/>
          <w:sz w:val="36"/>
          <w:szCs w:val="36"/>
        </w:rPr>
        <w:t>Contents</w:t>
      </w:r>
    </w:p>
    <w:p>
      <w:pPr>
        <w:pStyle w:val="TOC1"/>
        <w:tabs>
          <w:tab w:val="right" w:leader="dot" w:pos="8303"/>
        </w:tabs>
        <w:spacing w:line="360" w:lineRule="auto"/>
      </w:pPr>
      <w:r>
        <w:fldChar w:fldCharType="begin" w:dirty="true"/>
      </w:r>
      <w:r>
        <w:instrText xml:space="preserve">TOC \o "1-3" \h \u </w:instrText>
      </w:r>
      <w:r>
        <w:fldChar w:fldCharType="separate"/>
      </w:r>
      <w:hyperlink w:anchor="_Toc102000001" w:history="1">
        <w:r>
          <w:rPr>
            <w:b/>
            <w:bCs/>
          </w:rPr>
          <w:t>Abstract(In Chinese)</w:t>
        </w:r>
        <w:r>
          <w:tab/>
        </w:r>
        <w:r>
          <w:fldChar w:fldCharType="begin"/>
        </w:r>
        <w:r>
          <w:instrText xml:space="preserve"> PAGEREF _Toc102000001 \h </w:instrText>
        </w:r>
        <w:r>
          <w:fldChar w:fldCharType="separate"/>
        </w:r>
        <w:r>
          <w:t>1</w:t>
        </w:r>
        <w:r>
          <w:fldChar w:fldCharType="end"/>
        </w:r>
      </w:hyperlink>
    </w:p>
    <w:p>
      <w:pPr>
        <w:pStyle w:val="TOC1"/>
        <w:tabs>
          <w:tab w:val="right" w:leader="dot" w:pos="8303"/>
        </w:tabs>
        <w:spacing w:line="360" w:lineRule="auto"/>
      </w:pPr>
      <w:hyperlink w:anchor="_Toc102000002" w:history="1">
        <w:r>
          <w:rPr>
            <w:b/>
            <w:bCs/>
          </w:rPr>
          <w:t>Abstract(In English)</w:t>
        </w:r>
        <w:r>
          <w:tab/>
        </w:r>
        <w:r>
          <w:fldChar w:fldCharType="begin"/>
        </w:r>
        <w:r>
          <w:instrText xml:space="preserve"> PAGEREF _Toc102000002 \h </w:instrText>
        </w:r>
        <w:r>
          <w:fldChar w:fldCharType="separate"/>
        </w:r>
        <w:r>
          <w:t>1</w:t>
        </w:r>
        <w:r>
          <w:fldChar w:fldCharType="end"/>
        </w:r>
      </w:hyperlink>
    </w:p>
    <w:p>
      <w:pPr>
        <w:pStyle w:val="TOC1"/>
        <w:tabs>
          <w:tab w:val="right" w:leader="dot" w:pos="8303"/>
        </w:tabs>
        <w:spacing w:line="360" w:lineRule="auto"/>
      </w:pPr>
      <w:hyperlink w:anchor="_Toc102000001" w:history="1">
        <w:r>
          <w:rPr>
            <w:b/>
            <w:bCs/>
          </w:rPr>
          <w:t>Chapter One Introduction</w:t>
        </w:r>
        <w:r>
          <w:tab/>
        </w:r>
        <w:r>
          <w:fldChar w:fldCharType="begin"/>
        </w:r>
        <w:r>
          <w:instrText xml:space="preserve"> PAGEREF _Toc102000001 \h </w:instrText>
        </w:r>
        <w:r>
          <w:fldChar w:fldCharType="separate"/>
        </w:r>
        <w:r>
          <w:t>1</w:t>
        </w:r>
        <w:r>
          <w:fldChar w:fldCharType="end"/>
        </w:r>
      </w:hyperlink>
    </w:p>
    <w:p>
      <w:pPr>
        <w:pStyle w:val="TOC2"/>
        <w:tabs>
          <w:tab w:val="right" w:leader="dot" w:pos="8303"/>
        </w:tabs>
        <w:spacing w:line="360" w:lineRule="auto"/>
        <w:ind w:left="210"/>
      </w:pPr>
      <w:hyperlink w:anchor="_Toc102000002" w:history="1">
        <w:r>
          <w:t>一、Research Background and Significance</w:t>
        </w:r>
        <w:r>
          <w:tab/>
        </w:r>
        <w:r>
          <w:fldChar w:fldCharType="begin"/>
        </w:r>
        <w:r>
          <w:instrText xml:space="preserve"> PAGEREF _Toc102000002 \h </w:instrText>
        </w:r>
        <w:r>
          <w:fldChar w:fldCharType="separate"/>
        </w:r>
        <w:r>
          <w:t>1</w:t>
        </w:r>
        <w:r>
          <w:fldChar w:fldCharType="end"/>
        </w:r>
      </w:hyperlink>
    </w:p>
    <w:p>
      <w:pPr>
        <w:pStyle w:val="TOC3"/>
        <w:tabs>
          <w:tab w:val="right" w:leader="dot" w:pos="8303"/>
        </w:tabs>
        <w:spacing w:line="360" w:lineRule="auto"/>
        <w:ind w:left="420"/>
      </w:pPr>
      <w:hyperlink w:anchor="_Toc102000003" w:history="1">
        <w:r>
          <w:t>（一）Practical Background</w:t>
        </w:r>
        <w:r>
          <w:tab/>
        </w:r>
        <w:r>
          <w:fldChar w:fldCharType="begin"/>
        </w:r>
        <w:r>
          <w:instrText xml:space="preserve"> PAGEREF _Toc102000003 \h </w:instrText>
        </w:r>
        <w:r>
          <w:fldChar w:fldCharType="separate"/>
        </w:r>
        <w:r>
          <w:t>1</w:t>
        </w:r>
        <w:r>
          <w:fldChar w:fldCharType="end"/>
        </w:r>
      </w:hyperlink>
    </w:p>
    <w:p>
      <w:pPr>
        <w:pStyle w:val="TOC3"/>
        <w:tabs>
          <w:tab w:val="right" w:leader="dot" w:pos="8303"/>
        </w:tabs>
        <w:spacing w:line="360" w:lineRule="auto"/>
        <w:ind w:left="420"/>
      </w:pPr>
      <w:hyperlink w:anchor="_Toc102000004" w:history="1">
        <w:r>
          <w:t>（二）Theoretical Background</w:t>
        </w:r>
        <w:r>
          <w:tab/>
        </w:r>
        <w:r>
          <w:fldChar w:fldCharType="begin"/>
        </w:r>
        <w:r>
          <w:instrText xml:space="preserve"> PAGEREF _Toc102000004 \h </w:instrText>
        </w:r>
        <w:r>
          <w:fldChar w:fldCharType="separate"/>
        </w:r>
        <w:r>
          <w:t>1</w:t>
        </w:r>
        <w:r>
          <w:fldChar w:fldCharType="end"/>
        </w:r>
      </w:hyperlink>
    </w:p>
    <w:p>
      <w:pPr>
        <w:pStyle w:val="TOC3"/>
        <w:tabs>
          <w:tab w:val="right" w:leader="dot" w:pos="8303"/>
        </w:tabs>
        <w:spacing w:line="360" w:lineRule="auto"/>
        <w:ind w:left="420"/>
      </w:pPr>
      <w:hyperlink w:anchor="_Toc102000005" w:history="1">
        <w:r>
          <w:t>（三）Research Significance</w:t>
        </w:r>
        <w:r>
          <w:tab/>
        </w:r>
        <w:r>
          <w:fldChar w:fldCharType="begin"/>
        </w:r>
        <w:r>
          <w:instrText xml:space="preserve"> PAGEREF _Toc102000005 \h </w:instrText>
        </w:r>
        <w:r>
          <w:fldChar w:fldCharType="separate"/>
        </w:r>
        <w:r>
          <w:t>1</w:t>
        </w:r>
        <w:r>
          <w:fldChar w:fldCharType="end"/>
        </w:r>
      </w:hyperlink>
    </w:p>
    <w:p>
      <w:pPr>
        <w:pStyle w:val="TOC2"/>
        <w:tabs>
          <w:tab w:val="right" w:leader="dot" w:pos="8303"/>
        </w:tabs>
        <w:spacing w:line="360" w:lineRule="auto"/>
        <w:ind w:left="210"/>
      </w:pPr>
      <w:hyperlink w:anchor="_Toc102000006" w:history="1">
        <w:r>
          <w:t>二、Research Objectives and Content</w:t>
        </w:r>
        <w:r>
          <w:tab/>
        </w:r>
        <w:r>
          <w:fldChar w:fldCharType="begin"/>
        </w:r>
        <w:r>
          <w:instrText xml:space="preserve"> PAGEREF _Toc102000006 \h </w:instrText>
        </w:r>
        <w:r>
          <w:fldChar w:fldCharType="separate"/>
        </w:r>
        <w:r>
          <w:t>1</w:t>
        </w:r>
        <w:r>
          <w:fldChar w:fldCharType="end"/>
        </w:r>
      </w:hyperlink>
    </w:p>
    <w:p>
      <w:pPr>
        <w:pStyle w:val="TOC3"/>
        <w:tabs>
          <w:tab w:val="right" w:leader="dot" w:pos="8303"/>
        </w:tabs>
        <w:spacing w:line="360" w:lineRule="auto"/>
        <w:ind w:left="420"/>
      </w:pPr>
      <w:hyperlink w:anchor="_Toc102000007" w:history="1">
        <w:r>
          <w:t>（一）Research Objectives</w:t>
        </w:r>
        <w:r>
          <w:tab/>
        </w:r>
        <w:r>
          <w:fldChar w:fldCharType="begin"/>
        </w:r>
        <w:r>
          <w:instrText xml:space="preserve"> PAGEREF _Toc102000007 \h </w:instrText>
        </w:r>
        <w:r>
          <w:fldChar w:fldCharType="separate"/>
        </w:r>
        <w:r>
          <w:t>1</w:t>
        </w:r>
        <w:r>
          <w:fldChar w:fldCharType="end"/>
        </w:r>
      </w:hyperlink>
    </w:p>
    <w:p>
      <w:pPr>
        <w:pStyle w:val="TOC3"/>
        <w:tabs>
          <w:tab w:val="right" w:leader="dot" w:pos="8303"/>
        </w:tabs>
        <w:spacing w:line="360" w:lineRule="auto"/>
        <w:ind w:left="420"/>
      </w:pPr>
      <w:hyperlink w:anchor="_Toc102000008" w:history="1">
        <w:r>
          <w:t>（二）Research Content</w:t>
        </w:r>
        <w:r>
          <w:tab/>
        </w:r>
        <w:r>
          <w:fldChar w:fldCharType="begin"/>
        </w:r>
        <w:r>
          <w:instrText xml:space="preserve"> PAGEREF _Toc102000008 \h </w:instrText>
        </w:r>
        <w:r>
          <w:fldChar w:fldCharType="separate"/>
        </w:r>
        <w:r>
          <w:t>1</w:t>
        </w:r>
        <w:r>
          <w:fldChar w:fldCharType="end"/>
        </w:r>
      </w:hyperlink>
    </w:p>
    <w:p>
      <w:pPr>
        <w:pStyle w:val="TOC2"/>
        <w:tabs>
          <w:tab w:val="right" w:leader="dot" w:pos="8303"/>
        </w:tabs>
        <w:spacing w:line="360" w:lineRule="auto"/>
        <w:ind w:left="210"/>
      </w:pPr>
      <w:hyperlink w:anchor="_Toc102000009" w:history="1">
        <w:r>
          <w:t>三、Research Methods and Technical Route</w:t>
        </w:r>
        <w:r>
          <w:tab/>
        </w:r>
        <w:r>
          <w:fldChar w:fldCharType="begin"/>
        </w:r>
        <w:r>
          <w:instrText xml:space="preserve"> PAGEREF _Toc102000009 \h </w:instrText>
        </w:r>
        <w:r>
          <w:fldChar w:fldCharType="separate"/>
        </w:r>
        <w:r>
          <w:t>1</w:t>
        </w:r>
        <w:r>
          <w:fldChar w:fldCharType="end"/>
        </w:r>
      </w:hyperlink>
    </w:p>
    <w:p>
      <w:pPr>
        <w:pStyle w:val="TOC3"/>
        <w:tabs>
          <w:tab w:val="right" w:leader="dot" w:pos="8303"/>
        </w:tabs>
        <w:spacing w:line="360" w:lineRule="auto"/>
        <w:ind w:left="420"/>
      </w:pPr>
      <w:hyperlink w:anchor="_Toc102000010" w:history="1">
        <w:r>
          <w:t>（一）Research Methods</w:t>
        </w:r>
        <w:r>
          <w:tab/>
        </w:r>
        <w:r>
          <w:fldChar w:fldCharType="begin"/>
        </w:r>
        <w:r>
          <w:instrText xml:space="preserve"> PAGEREF _Toc102000010 \h </w:instrText>
        </w:r>
        <w:r>
          <w:fldChar w:fldCharType="separate"/>
        </w:r>
        <w:r>
          <w:t>1</w:t>
        </w:r>
        <w:r>
          <w:fldChar w:fldCharType="end"/>
        </w:r>
      </w:hyperlink>
    </w:p>
    <w:p>
      <w:pPr>
        <w:pStyle w:val="TOC3"/>
        <w:tabs>
          <w:tab w:val="right" w:leader="dot" w:pos="8303"/>
        </w:tabs>
        <w:spacing w:line="360" w:lineRule="auto"/>
        <w:ind w:left="420"/>
      </w:pPr>
      <w:hyperlink w:anchor="_Toc102000011" w:history="1">
        <w:r>
          <w:t>（二）Technical Route</w:t>
        </w:r>
        <w:r>
          <w:tab/>
        </w:r>
        <w:r>
          <w:fldChar w:fldCharType="begin"/>
        </w:r>
        <w:r>
          <w:instrText xml:space="preserve"> PAGEREF _Toc102000011 \h </w:instrText>
        </w:r>
        <w:r>
          <w:fldChar w:fldCharType="separate"/>
        </w:r>
        <w:r>
          <w:t>1</w:t>
        </w:r>
        <w:r>
          <w:fldChar w:fldCharType="end"/>
        </w:r>
      </w:hyperlink>
    </w:p>
    <w:p>
      <w:pPr>
        <w:pStyle w:val="TOC2"/>
        <w:tabs>
          <w:tab w:val="right" w:leader="dot" w:pos="8303"/>
        </w:tabs>
        <w:spacing w:line="360" w:lineRule="auto"/>
        <w:ind w:left="210"/>
      </w:pPr>
      <w:hyperlink w:anchor="_Toc102000012" w:history="1">
        <w:r>
          <w:t>四、Potential Innovations</w:t>
        </w:r>
        <w:r>
          <w:tab/>
        </w:r>
        <w:r>
          <w:fldChar w:fldCharType="begin"/>
        </w:r>
        <w:r>
          <w:instrText xml:space="preserve"> PAGEREF _Toc102000012 \h </w:instrText>
        </w:r>
        <w:r>
          <w:fldChar w:fldCharType="separate"/>
        </w:r>
        <w:r>
          <w:t>1</w:t>
        </w:r>
        <w:r>
          <w:fldChar w:fldCharType="end"/>
        </w:r>
      </w:hyperlink>
    </w:p>
    <w:p>
      <w:pPr>
        <w:pStyle w:val="TOC1"/>
        <w:tabs>
          <w:tab w:val="right" w:leader="dot" w:pos="8303"/>
        </w:tabs>
        <w:spacing w:line="360" w:lineRule="auto"/>
      </w:pPr>
      <w:hyperlink w:anchor="_Toc102000013" w:history="1">
        <w:r>
          <w:rPr>
            <w:b/>
            <w:bCs/>
          </w:rPr>
          <w:t>Chapter Two Literature Review</w:t>
        </w:r>
        <w:r>
          <w:tab/>
        </w:r>
        <w:r>
          <w:fldChar w:fldCharType="begin"/>
        </w:r>
        <w:r>
          <w:instrText xml:space="preserve"> PAGEREF _Toc102000013 \h </w:instrText>
        </w:r>
        <w:r>
          <w:fldChar w:fldCharType="separate"/>
        </w:r>
        <w:r>
          <w:t>1</w:t>
        </w:r>
        <w:r>
          <w:fldChar w:fldCharType="end"/>
        </w:r>
      </w:hyperlink>
    </w:p>
    <w:p>
      <w:pPr>
        <w:pStyle w:val="TOC2"/>
        <w:tabs>
          <w:tab w:val="right" w:leader="dot" w:pos="8303"/>
        </w:tabs>
        <w:spacing w:line="360" w:lineRule="auto"/>
        <w:ind w:left="210"/>
      </w:pPr>
      <w:hyperlink w:anchor="_Toc102000014" w:history="1">
        <w:r>
          <w:t>一、Research on the Economic Consequences of Platform Anti-monopoly</w:t>
        </w:r>
        <w:r>
          <w:tab/>
        </w:r>
        <w:r>
          <w:fldChar w:fldCharType="begin"/>
        </w:r>
        <w:r>
          <w:instrText xml:space="preserve"> PAGEREF _Toc102000014 \h </w:instrText>
        </w:r>
        <w:r>
          <w:fldChar w:fldCharType="separate"/>
        </w:r>
        <w:r>
          <w:t>1</w:t>
        </w:r>
        <w:r>
          <w:fldChar w:fldCharType="end"/>
        </w:r>
      </w:hyperlink>
    </w:p>
    <w:p>
      <w:pPr>
        <w:pStyle w:val="TOC3"/>
        <w:tabs>
          <w:tab w:val="right" w:leader="dot" w:pos="8303"/>
        </w:tabs>
        <w:spacing w:line="360" w:lineRule="auto"/>
        <w:ind w:left="420"/>
      </w:pPr>
      <w:hyperlink w:anchor="_Toc102000015" w:history="1">
        <w:r>
          <w:t>（一）Impact of Platform Anti-monopoly on Market Structure</w:t>
        </w:r>
        <w:r>
          <w:tab/>
        </w:r>
        <w:r>
          <w:fldChar w:fldCharType="begin"/>
        </w:r>
        <w:r>
          <w:instrText xml:space="preserve"> PAGEREF _Toc102000015 \h </w:instrText>
        </w:r>
        <w:r>
          <w:fldChar w:fldCharType="separate"/>
        </w:r>
        <w:r>
          <w:t>1</w:t>
        </w:r>
        <w:r>
          <w:fldChar w:fldCharType="end"/>
        </w:r>
      </w:hyperlink>
    </w:p>
    <w:p>
      <w:pPr>
        <w:pStyle w:val="TOC3"/>
        <w:tabs>
          <w:tab w:val="right" w:leader="dot" w:pos="8303"/>
        </w:tabs>
        <w:spacing w:line="360" w:lineRule="auto"/>
        <w:ind w:left="420"/>
      </w:pPr>
      <w:hyperlink w:anchor="_Toc102000016" w:history="1">
        <w:r>
          <w:t>（二）Impact of Platform Anti-monopoly on Consumer Welfare</w:t>
        </w:r>
        <w:r>
          <w:tab/>
        </w:r>
        <w:r>
          <w:fldChar w:fldCharType="begin"/>
        </w:r>
        <w:r>
          <w:instrText xml:space="preserve"> PAGEREF _Toc102000016 \h </w:instrText>
        </w:r>
        <w:r>
          <w:fldChar w:fldCharType="separate"/>
        </w:r>
        <w:r>
          <w:t>1</w:t>
        </w:r>
        <w:r>
          <w:fldChar w:fldCharType="end"/>
        </w:r>
      </w:hyperlink>
    </w:p>
    <w:p>
      <w:pPr>
        <w:pStyle w:val="TOC3"/>
        <w:tabs>
          <w:tab w:val="right" w:leader="dot" w:pos="8303"/>
        </w:tabs>
        <w:spacing w:line="360" w:lineRule="auto"/>
        <w:ind w:left="420"/>
      </w:pPr>
      <w:hyperlink w:anchor="_Toc102000017" w:history="1">
        <w:r>
          <w:t>（三）Impact of Platform Anti-monopoly on Firm Business Behavior</w:t>
        </w:r>
        <w:r>
          <w:tab/>
        </w:r>
        <w:r>
          <w:fldChar w:fldCharType="begin"/>
        </w:r>
        <w:r>
          <w:instrText xml:space="preserve"> PAGEREF _Toc102000017 \h </w:instrText>
        </w:r>
        <w:r>
          <w:fldChar w:fldCharType="separate"/>
        </w:r>
        <w:r>
          <w:t>1</w:t>
        </w:r>
        <w:r>
          <w:fldChar w:fldCharType="end"/>
        </w:r>
      </w:hyperlink>
    </w:p>
    <w:p>
      <w:pPr>
        <w:pStyle w:val="TOC2"/>
        <w:tabs>
          <w:tab w:val="right" w:leader="dot" w:pos="8303"/>
        </w:tabs>
        <w:spacing w:line="360" w:lineRule="auto"/>
        <w:ind w:left="210"/>
      </w:pPr>
      <w:hyperlink w:anchor="_Toc102000018" w:history="1">
        <w:r>
          <w:t>二、Research on the Determinants of Corporate R&amp;D Investment</w:t>
        </w:r>
        <w:r>
          <w:tab/>
        </w:r>
        <w:r>
          <w:fldChar w:fldCharType="begin"/>
        </w:r>
        <w:r>
          <w:instrText xml:space="preserve"> PAGEREF _Toc102000018 \h </w:instrText>
        </w:r>
        <w:r>
          <w:fldChar w:fldCharType="separate"/>
        </w:r>
        <w:r>
          <w:t>1</w:t>
        </w:r>
        <w:r>
          <w:fldChar w:fldCharType="end"/>
        </w:r>
      </w:hyperlink>
    </w:p>
    <w:p>
      <w:pPr>
        <w:pStyle w:val="TOC3"/>
        <w:tabs>
          <w:tab w:val="right" w:leader="dot" w:pos="8303"/>
        </w:tabs>
        <w:spacing w:line="360" w:lineRule="auto"/>
        <w:ind w:left="420"/>
      </w:pPr>
      <w:hyperlink w:anchor="_Toc102000019" w:history="1">
        <w:r>
          <w:t>（一）Market Competition and Innovation Incentives</w:t>
        </w:r>
        <w:r>
          <w:tab/>
        </w:r>
        <w:r>
          <w:fldChar w:fldCharType="begin"/>
        </w:r>
        <w:r>
          <w:instrText xml:space="preserve"> PAGEREF _Toc102000019 \h </w:instrText>
        </w:r>
        <w:r>
          <w:fldChar w:fldCharType="separate"/>
        </w:r>
        <w:r>
          <w:t>1</w:t>
        </w:r>
        <w:r>
          <w:fldChar w:fldCharType="end"/>
        </w:r>
      </w:hyperlink>
    </w:p>
    <w:p>
      <w:pPr>
        <w:pStyle w:val="TOC3"/>
        <w:tabs>
          <w:tab w:val="right" w:leader="dot" w:pos="8303"/>
        </w:tabs>
        <w:spacing w:line="360" w:lineRule="auto"/>
        <w:ind w:left="420"/>
      </w:pPr>
      <w:hyperlink w:anchor="_Toc102000020" w:history="1">
        <w:r>
          <w:t>（二）Institutional Environment and Policy Regulation</w:t>
        </w:r>
        <w:r>
          <w:tab/>
        </w:r>
        <w:r>
          <w:fldChar w:fldCharType="begin"/>
        </w:r>
        <w:r>
          <w:instrText xml:space="preserve"> PAGEREF _Toc102000020 \h </w:instrText>
        </w:r>
        <w:r>
          <w:fldChar w:fldCharType="separate"/>
        </w:r>
        <w:r>
          <w:t>1</w:t>
        </w:r>
        <w:r>
          <w:fldChar w:fldCharType="end"/>
        </w:r>
      </w:hyperlink>
    </w:p>
    <w:p>
      <w:pPr>
        <w:pStyle w:val="TOC3"/>
        <w:tabs>
          <w:tab w:val="right" w:leader="dot" w:pos="8303"/>
        </w:tabs>
        <w:spacing w:line="360" w:lineRule="auto"/>
        <w:ind w:left="420"/>
      </w:pPr>
      <w:hyperlink w:anchor="_Toc102000021" w:history="1">
        <w:r>
          <w:t>（三）Firm Characteristics and Internal Governance</w:t>
        </w:r>
        <w:r>
          <w:tab/>
        </w:r>
        <w:r>
          <w:fldChar w:fldCharType="begin"/>
        </w:r>
        <w:r>
          <w:instrText xml:space="preserve"> PAGEREF _Toc102000021 \h </w:instrText>
        </w:r>
        <w:r>
          <w:fldChar w:fldCharType="separate"/>
        </w:r>
        <w:r>
          <w:t>1</w:t>
        </w:r>
        <w:r>
          <w:fldChar w:fldCharType="end"/>
        </w:r>
      </w:hyperlink>
    </w:p>
    <w:p>
      <w:pPr>
        <w:pStyle w:val="TOC2"/>
        <w:tabs>
          <w:tab w:val="right" w:leader="dot" w:pos="8303"/>
        </w:tabs>
        <w:spacing w:line="360" w:lineRule="auto"/>
        <w:ind w:left="210"/>
      </w:pPr>
      <w:hyperlink w:anchor="_Toc102000022" w:history="1">
        <w:r>
          <w:t>三、Theoretical Debates and Empirical Progress on the Anti-monopoly-Innovation Nexus</w:t>
        </w:r>
        <w:r>
          <w:tab/>
        </w:r>
        <w:r>
          <w:fldChar w:fldCharType="begin"/>
        </w:r>
        <w:r>
          <w:instrText xml:space="preserve"> PAGEREF _Toc102000022 \h </w:instrText>
        </w:r>
        <w:r>
          <w:fldChar w:fldCharType="separate"/>
        </w:r>
        <w:r>
          <w:t>1</w:t>
        </w:r>
        <w:r>
          <w:fldChar w:fldCharType="end"/>
        </w:r>
      </w:hyperlink>
    </w:p>
    <w:p>
      <w:pPr>
        <w:pStyle w:val="TOC3"/>
        <w:tabs>
          <w:tab w:val="right" w:leader="dot" w:pos="8303"/>
        </w:tabs>
        <w:spacing w:line="360" w:lineRule="auto"/>
        <w:ind w:left="420"/>
      </w:pPr>
      <w:hyperlink w:anchor="_Toc102000023" w:history="1">
        <w:r>
          <w:t>（一）The Opposition between the Schumpeterian Hypothesis and the Escape-Competition Hypothesis</w:t>
        </w:r>
        <w:r>
          <w:tab/>
        </w:r>
        <w:r>
          <w:fldChar w:fldCharType="begin"/>
        </w:r>
        <w:r>
          <w:instrText xml:space="preserve"> PAGEREF _Toc102000023 \h </w:instrText>
        </w:r>
        <w:r>
          <w:fldChar w:fldCharType="separate"/>
        </w:r>
        <w:r>
          <w:t>1</w:t>
        </w:r>
        <w:r>
          <w:fldChar w:fldCharType="end"/>
        </w:r>
      </w:hyperlink>
    </w:p>
    <w:p>
      <w:pPr>
        <w:pStyle w:val="TOC3"/>
        <w:tabs>
          <w:tab w:val="right" w:leader="dot" w:pos="8303"/>
        </w:tabs>
        <w:spacing w:line="360" w:lineRule="auto"/>
        <w:ind w:left="420"/>
      </w:pPr>
      <w:hyperlink w:anchor="_Toc102000024" w:history="1">
        <w:r>
          <w:t>（二）Empirical Evidence on Anti-monopoly Enforcement and Corporate Innovation</w:t>
        </w:r>
        <w:r>
          <w:tab/>
        </w:r>
        <w:r>
          <w:fldChar w:fldCharType="begin"/>
        </w:r>
        <w:r>
          <w:instrText xml:space="preserve"> PAGEREF _Toc102000024 \h </w:instrText>
        </w:r>
        <w:r>
          <w:fldChar w:fldCharType="separate"/>
        </w:r>
        <w:r>
          <w:t>1</w:t>
        </w:r>
        <w:r>
          <w:fldChar w:fldCharType="end"/>
        </w:r>
      </w:hyperlink>
    </w:p>
    <w:p>
      <w:pPr>
        <w:pStyle w:val="TOC3"/>
        <w:tabs>
          <w:tab w:val="right" w:leader="dot" w:pos="8303"/>
        </w:tabs>
        <w:spacing w:line="360" w:lineRule="auto"/>
        <w:ind w:left="420"/>
      </w:pPr>
      <w:hyperlink w:anchor="_Toc102000025" w:history="1">
        <w:r>
          <w:t>（三）Particularity of the Anti-monopoly-Innovation Relationship in the Platform Economy</w:t>
        </w:r>
        <w:r>
          <w:tab/>
        </w:r>
        <w:r>
          <w:fldChar w:fldCharType="begin"/>
        </w:r>
        <w:r>
          <w:instrText xml:space="preserve"> PAGEREF _Toc102000025 \h </w:instrText>
        </w:r>
        <w:r>
          <w:fldChar w:fldCharType="separate"/>
        </w:r>
        <w:r>
          <w:t>1</w:t>
        </w:r>
        <w:r>
          <w:fldChar w:fldCharType="end"/>
        </w:r>
      </w:hyperlink>
    </w:p>
    <w:p>
      <w:pPr>
        <w:pStyle w:val="TOC2"/>
        <w:tabs>
          <w:tab w:val="right" w:leader="dot" w:pos="8303"/>
        </w:tabs>
        <w:spacing w:line="360" w:lineRule="auto"/>
        <w:ind w:left="210"/>
      </w:pPr>
      <w:hyperlink w:anchor="_Toc102000026" w:history="1">
        <w:r>
          <w:t>四、Literature Review and Research Gaps</w:t>
        </w:r>
        <w:r>
          <w:tab/>
        </w:r>
        <w:r>
          <w:fldChar w:fldCharType="begin"/>
        </w:r>
        <w:r>
          <w:instrText xml:space="preserve"> PAGEREF _Toc102000026 \h </w:instrText>
        </w:r>
        <w:r>
          <w:fldChar w:fldCharType="separate"/>
        </w:r>
        <w:r>
          <w:t>1</w:t>
        </w:r>
        <w:r>
          <w:fldChar w:fldCharType="end"/>
        </w:r>
      </w:hyperlink>
    </w:p>
    <w:p>
      <w:pPr>
        <w:pStyle w:val="TOC1"/>
        <w:tabs>
          <w:tab w:val="right" w:leader="dot" w:pos="8303"/>
        </w:tabs>
        <w:spacing w:line="360" w:lineRule="auto"/>
      </w:pPr>
      <w:hyperlink w:anchor="_Toc102000027" w:history="1">
        <w:r>
          <w:rPr>
            <w:b/>
            <w:bCs/>
          </w:rPr>
          <w:t>Chapter Three Theoretical Analysis and Research Hypotheses</w:t>
        </w:r>
        <w:r>
          <w:tab/>
        </w:r>
        <w:r>
          <w:fldChar w:fldCharType="begin"/>
        </w:r>
        <w:r>
          <w:instrText xml:space="preserve"> PAGEREF _Toc102000027 \h </w:instrText>
        </w:r>
        <w:r>
          <w:fldChar w:fldCharType="separate"/>
        </w:r>
        <w:r>
          <w:t>1</w:t>
        </w:r>
        <w:r>
          <w:fldChar w:fldCharType="end"/>
        </w:r>
      </w:hyperlink>
    </w:p>
    <w:p>
      <w:pPr>
        <w:pStyle w:val="TOC2"/>
        <w:tabs>
          <w:tab w:val="right" w:leader="dot" w:pos="8303"/>
        </w:tabs>
        <w:spacing w:line="360" w:lineRule="auto"/>
        <w:ind w:left="210"/>
      </w:pPr>
      <w:hyperlink w:anchor="_Toc102000028" w:history="1">
        <w:r>
          <w:t>一、Definition of Core Concepts</w:t>
        </w:r>
        <w:r>
          <w:tab/>
        </w:r>
        <w:r>
          <w:fldChar w:fldCharType="begin"/>
        </w:r>
        <w:r>
          <w:instrText xml:space="preserve"> PAGEREF _Toc102000028 \h </w:instrText>
        </w:r>
        <w:r>
          <w:fldChar w:fldCharType="separate"/>
        </w:r>
        <w:r>
          <w:t>1</w:t>
        </w:r>
        <w:r>
          <w:fldChar w:fldCharType="end"/>
        </w:r>
      </w:hyperlink>
    </w:p>
    <w:p>
      <w:pPr>
        <w:pStyle w:val="TOC3"/>
        <w:tabs>
          <w:tab w:val="right" w:leader="dot" w:pos="8303"/>
        </w:tabs>
        <w:spacing w:line="360" w:lineRule="auto"/>
        <w:ind w:left="420"/>
      </w:pPr>
      <w:hyperlink w:anchor="_Toc102000029" w:history="1">
        <w:r>
          <w:t>（一）Platform Anti-monopoly Regulation</w:t>
        </w:r>
        <w:r>
          <w:tab/>
        </w:r>
        <w:r>
          <w:fldChar w:fldCharType="begin"/>
        </w:r>
        <w:r>
          <w:instrText xml:space="preserve"> PAGEREF _Toc102000029 \h </w:instrText>
        </w:r>
        <w:r>
          <w:fldChar w:fldCharType="separate"/>
        </w:r>
        <w:r>
          <w:t>1</w:t>
        </w:r>
        <w:r>
          <w:fldChar w:fldCharType="end"/>
        </w:r>
      </w:hyperlink>
    </w:p>
    <w:p>
      <w:pPr>
        <w:pStyle w:val="TOC3"/>
        <w:tabs>
          <w:tab w:val="right" w:leader="dot" w:pos="8303"/>
        </w:tabs>
        <w:spacing w:line="360" w:lineRule="auto"/>
        <w:ind w:left="420"/>
      </w:pPr>
      <w:hyperlink w:anchor="_Toc102000030" w:history="1">
        <w:r>
          <w:t>（二）Digital Platform Enterprises</w:t>
        </w:r>
        <w:r>
          <w:tab/>
        </w:r>
        <w:r>
          <w:fldChar w:fldCharType="begin"/>
        </w:r>
        <w:r>
          <w:instrText xml:space="preserve"> PAGEREF _Toc102000030 \h </w:instrText>
        </w:r>
        <w:r>
          <w:fldChar w:fldCharType="separate"/>
        </w:r>
        <w:r>
          <w:t>1</w:t>
        </w:r>
        <w:r>
          <w:fldChar w:fldCharType="end"/>
        </w:r>
      </w:hyperlink>
    </w:p>
    <w:p>
      <w:pPr>
        <w:pStyle w:val="TOC3"/>
        <w:tabs>
          <w:tab w:val="right" w:leader="dot" w:pos="8303"/>
        </w:tabs>
        <w:spacing w:line="360" w:lineRule="auto"/>
        <w:ind w:left="420"/>
      </w:pPr>
      <w:hyperlink w:anchor="_Toc102000031" w:history="1">
        <w:r>
          <w:t>（三）R&amp;D Investment</w:t>
        </w:r>
        <w:r>
          <w:tab/>
        </w:r>
        <w:r>
          <w:fldChar w:fldCharType="begin"/>
        </w:r>
        <w:r>
          <w:instrText xml:space="preserve"> PAGEREF _Toc102000031 \h </w:instrText>
        </w:r>
        <w:r>
          <w:fldChar w:fldCharType="separate"/>
        </w:r>
        <w:r>
          <w:t>1</w:t>
        </w:r>
        <w:r>
          <w:fldChar w:fldCharType="end"/>
        </w:r>
      </w:hyperlink>
    </w:p>
    <w:p>
      <w:pPr>
        <w:pStyle w:val="TOC2"/>
        <w:tabs>
          <w:tab w:val="right" w:leader="dot" w:pos="8303"/>
        </w:tabs>
        <w:spacing w:line="360" w:lineRule="auto"/>
        <w:ind w:left="210"/>
      </w:pPr>
      <w:hyperlink w:anchor="_Toc102000032" w:history="1">
        <w:r>
          <w:t>二、Theoretical Basis</w:t>
        </w:r>
        <w:r>
          <w:tab/>
        </w:r>
        <w:r>
          <w:fldChar w:fldCharType="begin"/>
        </w:r>
        <w:r>
          <w:instrText xml:space="preserve"> PAGEREF _Toc102000032 \h </w:instrText>
        </w:r>
        <w:r>
          <w:fldChar w:fldCharType="separate"/>
        </w:r>
        <w:r>
          <w:t>1</w:t>
        </w:r>
        <w:r>
          <w:fldChar w:fldCharType="end"/>
        </w:r>
      </w:hyperlink>
    </w:p>
    <w:p>
      <w:pPr>
        <w:pStyle w:val="TOC3"/>
        <w:tabs>
          <w:tab w:val="right" w:leader="dot" w:pos="8303"/>
        </w:tabs>
        <w:spacing w:line="360" w:lineRule="auto"/>
        <w:ind w:left="420"/>
      </w:pPr>
      <w:hyperlink w:anchor="_Toc102000033" w:history="1">
        <w:r>
          <w:t>（一）Industrial Organization Theory</w:t>
        </w:r>
        <w:r>
          <w:tab/>
        </w:r>
        <w:r>
          <w:fldChar w:fldCharType="begin"/>
        </w:r>
        <w:r>
          <w:instrText xml:space="preserve"> PAGEREF _Toc102000033 \h </w:instrText>
        </w:r>
        <w:r>
          <w:fldChar w:fldCharType="separate"/>
        </w:r>
        <w:r>
          <w:t>1</w:t>
        </w:r>
        <w:r>
          <w:fldChar w:fldCharType="end"/>
        </w:r>
      </w:hyperlink>
    </w:p>
    <w:p>
      <w:pPr>
        <w:pStyle w:val="TOC3"/>
        <w:tabs>
          <w:tab w:val="right" w:leader="dot" w:pos="8303"/>
        </w:tabs>
        <w:spacing w:line="360" w:lineRule="auto"/>
        <w:ind w:left="420"/>
      </w:pPr>
      <w:hyperlink w:anchor="_Toc102000034" w:history="1">
        <w:r>
          <w:t>（二）Institutional Theory</w:t>
        </w:r>
        <w:r>
          <w:tab/>
        </w:r>
        <w:r>
          <w:fldChar w:fldCharType="begin"/>
        </w:r>
        <w:r>
          <w:instrText xml:space="preserve"> PAGEREF _Toc102000034 \h </w:instrText>
        </w:r>
        <w:r>
          <w:fldChar w:fldCharType="separate"/>
        </w:r>
        <w:r>
          <w:t>1</w:t>
        </w:r>
        <w:r>
          <w:fldChar w:fldCharType="end"/>
        </w:r>
      </w:hyperlink>
    </w:p>
    <w:p>
      <w:pPr>
        <w:pStyle w:val="TOC3"/>
        <w:tabs>
          <w:tab w:val="right" w:leader="dot" w:pos="8303"/>
        </w:tabs>
        <w:spacing w:line="360" w:lineRule="auto"/>
        <w:ind w:left="420"/>
      </w:pPr>
      <w:hyperlink w:anchor="_Toc102000035" w:history="1">
        <w:r>
          <w:t>（三）Corporate Innovation Theory</w:t>
        </w:r>
        <w:r>
          <w:tab/>
        </w:r>
        <w:r>
          <w:fldChar w:fldCharType="begin"/>
        </w:r>
        <w:r>
          <w:instrText xml:space="preserve"> PAGEREF _Toc102000035 \h </w:instrText>
        </w:r>
        <w:r>
          <w:fldChar w:fldCharType="separate"/>
        </w:r>
        <w:r>
          <w:t>1</w:t>
        </w:r>
        <w:r>
          <w:fldChar w:fldCharType="end"/>
        </w:r>
      </w:hyperlink>
    </w:p>
    <w:p>
      <w:pPr>
        <w:pStyle w:val="TOC2"/>
        <w:tabs>
          <w:tab w:val="right" w:leader="dot" w:pos="8303"/>
        </w:tabs>
        <w:spacing w:line="360" w:lineRule="auto"/>
        <w:ind w:left="210"/>
      </w:pPr>
      <w:hyperlink w:anchor="_Toc102000036" w:history="1">
        <w:r>
          <w:t>三、Derivation of Research Hypotheses</w:t>
        </w:r>
        <w:r>
          <w:tab/>
        </w:r>
        <w:r>
          <w:fldChar w:fldCharType="begin"/>
        </w:r>
        <w:r>
          <w:instrText xml:space="preserve"> PAGEREF _Toc102000036 \h </w:instrText>
        </w:r>
        <w:r>
          <w:fldChar w:fldCharType="separate"/>
        </w:r>
        <w:r>
          <w:t>1</w:t>
        </w:r>
        <w:r>
          <w:fldChar w:fldCharType="end"/>
        </w:r>
      </w:hyperlink>
    </w:p>
    <w:p>
      <w:pPr>
        <w:pStyle w:val="TOC3"/>
        <w:tabs>
          <w:tab w:val="right" w:leader="dot" w:pos="8303"/>
        </w:tabs>
        <w:spacing w:line="360" w:lineRule="auto"/>
        <w:ind w:left="420"/>
      </w:pPr>
      <w:hyperlink w:anchor="_Toc102000037" w:history="1">
        <w:r>
          <w:t>（一）Overall Effect of Anti-monopoly Regulation on Platform Firms' R&amp;D Investment: Deterrence Effect vs. Crowding-out Effect</w:t>
        </w:r>
        <w:r>
          <w:tab/>
        </w:r>
        <w:r>
          <w:fldChar w:fldCharType="begin"/>
        </w:r>
        <w:r>
          <w:instrText xml:space="preserve"> PAGEREF _Toc102000037 \h </w:instrText>
        </w:r>
        <w:r>
          <w:fldChar w:fldCharType="separate"/>
        </w:r>
        <w:r>
          <w:t>1</w:t>
        </w:r>
        <w:r>
          <w:fldChar w:fldCharType="end"/>
        </w:r>
      </w:hyperlink>
    </w:p>
    <w:p>
      <w:pPr>
        <w:pStyle w:val="TOC3"/>
        <w:tabs>
          <w:tab w:val="right" w:leader="dot" w:pos="8303"/>
        </w:tabs>
        <w:spacing w:line="360" w:lineRule="auto"/>
        <w:ind w:left="420"/>
      </w:pPr>
      <w:hyperlink w:anchor="_Toc102000038" w:history="1">
        <w:r>
          <w:t>（二）Mediating Effect of the Competitive Incentive Channel</w:t>
        </w:r>
        <w:r>
          <w:tab/>
        </w:r>
        <w:r>
          <w:fldChar w:fldCharType="begin"/>
        </w:r>
        <w:r>
          <w:instrText xml:space="preserve"> PAGEREF _Toc102000038 \h </w:instrText>
        </w:r>
        <w:r>
          <w:fldChar w:fldCharType="separate"/>
        </w:r>
        <w:r>
          <w:t>1</w:t>
        </w:r>
        <w:r>
          <w:fldChar w:fldCharType="end"/>
        </w:r>
      </w:hyperlink>
    </w:p>
    <w:p>
      <w:pPr>
        <w:pStyle w:val="TOC3"/>
        <w:tabs>
          <w:tab w:val="right" w:leader="dot" w:pos="8303"/>
        </w:tabs>
        <w:spacing w:line="360" w:lineRule="auto"/>
        <w:ind w:left="420"/>
      </w:pPr>
      <w:hyperlink w:anchor="_Toc102000039" w:history="1">
        <w:r>
          <w:t>（三）Mediating Effect of the Resource Constraint Channel</w:t>
        </w:r>
        <w:r>
          <w:tab/>
        </w:r>
        <w:r>
          <w:fldChar w:fldCharType="begin"/>
        </w:r>
        <w:r>
          <w:instrText xml:space="preserve"> PAGEREF _Toc102000039 \h </w:instrText>
        </w:r>
        <w:r>
          <w:fldChar w:fldCharType="separate"/>
        </w:r>
        <w:r>
          <w:t>1</w:t>
        </w:r>
        <w:r>
          <w:fldChar w:fldCharType="end"/>
        </w:r>
      </w:hyperlink>
    </w:p>
    <w:p>
      <w:pPr>
        <w:pStyle w:val="TOC3"/>
        <w:tabs>
          <w:tab w:val="right" w:leader="dot" w:pos="8303"/>
        </w:tabs>
        <w:spacing w:line="360" w:lineRule="auto"/>
        <w:ind w:left="420"/>
      </w:pPr>
      <w:hyperlink w:anchor="_Toc102000040" w:history="1">
        <w:r>
          <w:t>（四）Mediating Effect of the Expectation Uncertainty Channel</w:t>
        </w:r>
        <w:r>
          <w:tab/>
        </w:r>
        <w:r>
          <w:fldChar w:fldCharType="begin"/>
        </w:r>
        <w:r>
          <w:instrText xml:space="preserve"> PAGEREF _Toc102000040 \h </w:instrText>
        </w:r>
        <w:r>
          <w:fldChar w:fldCharType="separate"/>
        </w:r>
        <w:r>
          <w:t>1</w:t>
        </w:r>
        <w:r>
          <w:fldChar w:fldCharType="end"/>
        </w:r>
      </w:hyperlink>
    </w:p>
    <w:p>
      <w:pPr>
        <w:pStyle w:val="TOC3"/>
        <w:tabs>
          <w:tab w:val="right" w:leader="dot" w:pos="8303"/>
        </w:tabs>
        <w:spacing w:line="360" w:lineRule="auto"/>
        <w:ind w:left="420"/>
      </w:pPr>
      <w:hyperlink w:anchor="_Toc102000041" w:history="1">
        <w:r>
          <w:t>（五）Effect of Differences in Anti-monopoly Regulation Types</w:t>
        </w:r>
        <w:r>
          <w:tab/>
        </w:r>
        <w:r>
          <w:fldChar w:fldCharType="begin"/>
        </w:r>
        <w:r>
          <w:instrText xml:space="preserve"> PAGEREF _Toc102000041 \h </w:instrText>
        </w:r>
        <w:r>
          <w:fldChar w:fldCharType="separate"/>
        </w:r>
        <w:r>
          <w:t>1</w:t>
        </w:r>
        <w:r>
          <w:fldChar w:fldCharType="end"/>
        </w:r>
      </w:hyperlink>
    </w:p>
    <w:p>
      <w:pPr>
        <w:pStyle w:val="TOC3"/>
        <w:tabs>
          <w:tab w:val="right" w:leader="dot" w:pos="8303"/>
        </w:tabs>
        <w:spacing w:line="360" w:lineRule="auto"/>
        <w:ind w:left="420"/>
      </w:pPr>
      <w:hyperlink w:anchor="_Toc102000042" w:history="1">
        <w:r>
          <w:t>（六）Overview of the Hypothesis System</w:t>
        </w:r>
        <w:r>
          <w:tab/>
        </w:r>
        <w:r>
          <w:fldChar w:fldCharType="begin"/>
        </w:r>
        <w:r>
          <w:instrText xml:space="preserve"> PAGEREF _Toc102000042 \h </w:instrText>
        </w:r>
        <w:r>
          <w:fldChar w:fldCharType="separate"/>
        </w:r>
        <w:r>
          <w:t>1</w:t>
        </w:r>
        <w:r>
          <w:fldChar w:fldCharType="end"/>
        </w:r>
      </w:hyperlink>
    </w:p>
    <w:p>
      <w:pPr>
        <w:pStyle w:val="TOC1"/>
        <w:tabs>
          <w:tab w:val="right" w:leader="dot" w:pos="8303"/>
        </w:tabs>
        <w:spacing w:line="360" w:lineRule="auto"/>
      </w:pPr>
      <w:hyperlink w:anchor="_Toc102000043" w:history="1">
        <w:r>
          <w:rPr>
            <w:b/>
            <w:bCs/>
          </w:rPr>
          <w:t>Chapter Four Research Design</w:t>
        </w:r>
        <w:r>
          <w:tab/>
        </w:r>
        <w:r>
          <w:fldChar w:fldCharType="begin"/>
        </w:r>
        <w:r>
          <w:instrText xml:space="preserve"> PAGEREF _Toc102000043 \h </w:instrText>
        </w:r>
        <w:r>
          <w:fldChar w:fldCharType="separate"/>
        </w:r>
        <w:r>
          <w:t>1</w:t>
        </w:r>
        <w:r>
          <w:fldChar w:fldCharType="end"/>
        </w:r>
      </w:hyperlink>
    </w:p>
    <w:p>
      <w:pPr>
        <w:pStyle w:val="TOC2"/>
        <w:tabs>
          <w:tab w:val="right" w:leader="dot" w:pos="8303"/>
        </w:tabs>
        <w:spacing w:line="360" w:lineRule="auto"/>
        <w:ind w:left="210"/>
      </w:pPr>
      <w:hyperlink w:anchor="_Toc102000044" w:history="1">
        <w:r>
          <w:t>一、Sample Selection and Data Sources</w:t>
        </w:r>
        <w:r>
          <w:tab/>
        </w:r>
        <w:r>
          <w:fldChar w:fldCharType="begin"/>
        </w:r>
        <w:r>
          <w:instrText xml:space="preserve"> PAGEREF _Toc102000044 \h </w:instrText>
        </w:r>
        <w:r>
          <w:fldChar w:fldCharType="separate"/>
        </w:r>
        <w:r>
          <w:t>1</w:t>
        </w:r>
        <w:r>
          <w:fldChar w:fldCharType="end"/>
        </w:r>
      </w:hyperlink>
    </w:p>
    <w:p>
      <w:pPr>
        <w:pStyle w:val="TOC3"/>
        <w:tabs>
          <w:tab w:val="right" w:leader="dot" w:pos="8303"/>
        </w:tabs>
        <w:spacing w:line="360" w:lineRule="auto"/>
        <w:ind w:left="420"/>
      </w:pPr>
      <w:hyperlink w:anchor="_Toc102000045" w:history="1">
        <w:r>
          <w:t>（一）Sample Selection</w:t>
        </w:r>
        <w:r>
          <w:tab/>
        </w:r>
        <w:r>
          <w:fldChar w:fldCharType="begin"/>
        </w:r>
        <w:r>
          <w:instrText xml:space="preserve"> PAGEREF _Toc102000045 \h </w:instrText>
        </w:r>
        <w:r>
          <w:fldChar w:fldCharType="separate"/>
        </w:r>
        <w:r>
          <w:t>1</w:t>
        </w:r>
        <w:r>
          <w:fldChar w:fldCharType="end"/>
        </w:r>
      </w:hyperlink>
    </w:p>
    <w:p>
      <w:pPr>
        <w:pStyle w:val="TOC3"/>
        <w:tabs>
          <w:tab w:val="right" w:leader="dot" w:pos="8303"/>
        </w:tabs>
        <w:spacing w:line="360" w:lineRule="auto"/>
        <w:ind w:left="420"/>
      </w:pPr>
      <w:hyperlink w:anchor="_Toc102000046" w:history="1">
        <w:r>
          <w:t>（二）Data Sources</w:t>
        </w:r>
        <w:r>
          <w:tab/>
        </w:r>
        <w:r>
          <w:fldChar w:fldCharType="begin"/>
        </w:r>
        <w:r>
          <w:instrText xml:space="preserve"> PAGEREF _Toc102000046 \h </w:instrText>
        </w:r>
        <w:r>
          <w:fldChar w:fldCharType="separate"/>
        </w:r>
        <w:r>
          <w:t>1</w:t>
        </w:r>
        <w:r>
          <w:fldChar w:fldCharType="end"/>
        </w:r>
      </w:hyperlink>
    </w:p>
    <w:p>
      <w:pPr>
        <w:pStyle w:val="TOC2"/>
        <w:tabs>
          <w:tab w:val="right" w:leader="dot" w:pos="8303"/>
        </w:tabs>
        <w:spacing w:line="360" w:lineRule="auto"/>
        <w:ind w:left="210"/>
      </w:pPr>
      <w:hyperlink w:anchor="_Toc102000047" w:history="1">
        <w:r>
          <w:t>二、Variable Definition and Measurement</w:t>
        </w:r>
        <w:r>
          <w:tab/>
        </w:r>
        <w:r>
          <w:fldChar w:fldCharType="begin"/>
        </w:r>
        <w:r>
          <w:instrText xml:space="preserve"> PAGEREF _Toc102000047 \h </w:instrText>
        </w:r>
        <w:r>
          <w:fldChar w:fldCharType="separate"/>
        </w:r>
        <w:r>
          <w:t>1</w:t>
        </w:r>
        <w:r>
          <w:fldChar w:fldCharType="end"/>
        </w:r>
      </w:hyperlink>
    </w:p>
    <w:p>
      <w:pPr>
        <w:pStyle w:val="TOC3"/>
        <w:tabs>
          <w:tab w:val="right" w:leader="dot" w:pos="8303"/>
        </w:tabs>
        <w:spacing w:line="360" w:lineRule="auto"/>
        <w:ind w:left="420"/>
      </w:pPr>
      <w:hyperlink w:anchor="_Toc102000048" w:history="1">
        <w:r>
          <w:t>（一）Explained Variable</w:t>
        </w:r>
        <w:r>
          <w:tab/>
        </w:r>
        <w:r>
          <w:fldChar w:fldCharType="begin"/>
        </w:r>
        <w:r>
          <w:instrText xml:space="preserve"> PAGEREF _Toc102000048 \h </w:instrText>
        </w:r>
        <w:r>
          <w:fldChar w:fldCharType="separate"/>
        </w:r>
        <w:r>
          <w:t>1</w:t>
        </w:r>
        <w:r>
          <w:fldChar w:fldCharType="end"/>
        </w:r>
      </w:hyperlink>
    </w:p>
    <w:p>
      <w:pPr>
        <w:pStyle w:val="TOC3"/>
        <w:tabs>
          <w:tab w:val="right" w:leader="dot" w:pos="8303"/>
        </w:tabs>
        <w:spacing w:line="360" w:lineRule="auto"/>
        <w:ind w:left="420"/>
      </w:pPr>
      <w:hyperlink w:anchor="_Toc102000049" w:history="1">
        <w:r>
          <w:t>（二）Core Explanatory Variable</w:t>
        </w:r>
        <w:r>
          <w:tab/>
        </w:r>
        <w:r>
          <w:fldChar w:fldCharType="begin"/>
        </w:r>
        <w:r>
          <w:instrText xml:space="preserve"> PAGEREF _Toc102000049 \h </w:instrText>
        </w:r>
        <w:r>
          <w:fldChar w:fldCharType="separate"/>
        </w:r>
        <w:r>
          <w:t>1</w:t>
        </w:r>
        <w:r>
          <w:fldChar w:fldCharType="end"/>
        </w:r>
      </w:hyperlink>
    </w:p>
    <w:p>
      <w:pPr>
        <w:pStyle w:val="TOC3"/>
        <w:tabs>
          <w:tab w:val="right" w:leader="dot" w:pos="8303"/>
        </w:tabs>
        <w:spacing w:line="360" w:lineRule="auto"/>
        <w:ind w:left="420"/>
      </w:pPr>
      <w:hyperlink w:anchor="_Toc102000050" w:history="1">
        <w:r>
          <w:t>（三）Mediating Variables</w:t>
        </w:r>
        <w:r>
          <w:tab/>
        </w:r>
        <w:r>
          <w:fldChar w:fldCharType="begin"/>
        </w:r>
        <w:r>
          <w:instrText xml:space="preserve"> PAGEREF _Toc102000050 \h </w:instrText>
        </w:r>
        <w:r>
          <w:fldChar w:fldCharType="separate"/>
        </w:r>
        <w:r>
          <w:t>1</w:t>
        </w:r>
        <w:r>
          <w:fldChar w:fldCharType="end"/>
        </w:r>
      </w:hyperlink>
    </w:p>
    <w:p>
      <w:pPr>
        <w:pStyle w:val="TOC3"/>
        <w:tabs>
          <w:tab w:val="right" w:leader="dot" w:pos="8303"/>
        </w:tabs>
        <w:spacing w:line="360" w:lineRule="auto"/>
        <w:ind w:left="420"/>
      </w:pPr>
      <w:hyperlink w:anchor="_Toc102000051" w:history="1">
        <w:r>
          <w:t>（四）Control Variables</w:t>
        </w:r>
        <w:r>
          <w:tab/>
        </w:r>
        <w:r>
          <w:fldChar w:fldCharType="begin"/>
        </w:r>
        <w:r>
          <w:instrText xml:space="preserve"> PAGEREF _Toc102000051 \h </w:instrText>
        </w:r>
        <w:r>
          <w:fldChar w:fldCharType="separate"/>
        </w:r>
        <w:r>
          <w:t>1</w:t>
        </w:r>
        <w:r>
          <w:fldChar w:fldCharType="end"/>
        </w:r>
      </w:hyperlink>
    </w:p>
    <w:p>
      <w:pPr>
        <w:pStyle w:val="TOC2"/>
        <w:tabs>
          <w:tab w:val="right" w:leader="dot" w:pos="8303"/>
        </w:tabs>
        <w:spacing w:line="360" w:lineRule="auto"/>
        <w:ind w:left="210"/>
      </w:pPr>
      <w:hyperlink w:anchor="_Toc102000052" w:history="1">
        <w:r>
          <w:t>三、Model Specification</w:t>
        </w:r>
        <w:r>
          <w:tab/>
        </w:r>
        <w:r>
          <w:fldChar w:fldCharType="begin"/>
        </w:r>
        <w:r>
          <w:instrText xml:space="preserve"> PAGEREF _Toc102000052 \h </w:instrText>
        </w:r>
        <w:r>
          <w:fldChar w:fldCharType="separate"/>
        </w:r>
        <w:r>
          <w:t>1</w:t>
        </w:r>
        <w:r>
          <w:fldChar w:fldCharType="end"/>
        </w:r>
      </w:hyperlink>
    </w:p>
    <w:p>
      <w:pPr>
        <w:pStyle w:val="TOC3"/>
        <w:tabs>
          <w:tab w:val="right" w:leader="dot" w:pos="8303"/>
        </w:tabs>
        <w:spacing w:line="360" w:lineRule="auto"/>
        <w:ind w:left="420"/>
      </w:pPr>
      <w:hyperlink w:anchor="_Toc102000053" w:history="1">
        <w:r>
          <w:t>（一）Benchmark Regression Model</w:t>
        </w:r>
        <w:r>
          <w:tab/>
        </w:r>
        <w:r>
          <w:fldChar w:fldCharType="begin"/>
        </w:r>
        <w:r>
          <w:instrText xml:space="preserve"> PAGEREF _Toc102000053 \h </w:instrText>
        </w:r>
        <w:r>
          <w:fldChar w:fldCharType="separate"/>
        </w:r>
        <w:r>
          <w:t>1</w:t>
        </w:r>
        <w:r>
          <w:fldChar w:fldCharType="end"/>
        </w:r>
      </w:hyperlink>
    </w:p>
    <w:p>
      <w:pPr>
        <w:pStyle w:val="TOC3"/>
        <w:tabs>
          <w:tab w:val="right" w:leader="dot" w:pos="8303"/>
        </w:tabs>
        <w:spacing w:line="360" w:lineRule="auto"/>
        <w:ind w:left="420"/>
      </w:pPr>
      <w:hyperlink w:anchor="_Toc102000054" w:history="1">
        <w:r>
          <w:t>（二）Parallel Trend Test Model</w:t>
        </w:r>
        <w:r>
          <w:tab/>
        </w:r>
        <w:r>
          <w:fldChar w:fldCharType="begin"/>
        </w:r>
        <w:r>
          <w:instrText xml:space="preserve"> PAGEREF _Toc102000054 \h </w:instrText>
        </w:r>
        <w:r>
          <w:fldChar w:fldCharType="separate"/>
        </w:r>
        <w:r>
          <w:t>1</w:t>
        </w:r>
        <w:r>
          <w:fldChar w:fldCharType="end"/>
        </w:r>
      </w:hyperlink>
    </w:p>
    <w:p>
      <w:pPr>
        <w:pStyle w:val="TOC3"/>
        <w:tabs>
          <w:tab w:val="right" w:leader="dot" w:pos="8303"/>
        </w:tabs>
        <w:spacing w:line="360" w:lineRule="auto"/>
        <w:ind w:left="420"/>
      </w:pPr>
      <w:hyperlink w:anchor="_Toc102000055" w:history="1">
        <w:r>
          <w:t>（三）Mediation Effect Model</w:t>
        </w:r>
        <w:r>
          <w:tab/>
        </w:r>
        <w:r>
          <w:fldChar w:fldCharType="begin"/>
        </w:r>
        <w:r>
          <w:instrText xml:space="preserve"> PAGEREF _Toc102000055 \h </w:instrText>
        </w:r>
        <w:r>
          <w:fldChar w:fldCharType="separate"/>
        </w:r>
        <w:r>
          <w:t>1</w:t>
        </w:r>
        <w:r>
          <w:fldChar w:fldCharType="end"/>
        </w:r>
      </w:hyperlink>
    </w:p>
    <w:p>
      <w:pPr>
        <w:pStyle w:val="TOC3"/>
        <w:tabs>
          <w:tab w:val="right" w:leader="dot" w:pos="8303"/>
        </w:tabs>
        <w:spacing w:line="360" w:lineRule="auto"/>
        <w:ind w:left="420"/>
      </w:pPr>
      <w:hyperlink w:anchor="_Toc102000056" w:history="1">
        <w:r>
          <w:t>（四）Heterogeneity Analysis Model</w:t>
        </w:r>
        <w:r>
          <w:tab/>
        </w:r>
        <w:r>
          <w:fldChar w:fldCharType="begin"/>
        </w:r>
        <w:r>
          <w:instrText xml:space="preserve"> PAGEREF _Toc102000056 \h </w:instrText>
        </w:r>
        <w:r>
          <w:fldChar w:fldCharType="separate"/>
        </w:r>
        <w:r>
          <w:t>1</w:t>
        </w:r>
        <w:r>
          <w:fldChar w:fldCharType="end"/>
        </w:r>
      </w:hyperlink>
    </w:p>
    <w:p>
      <w:pPr>
        <w:pStyle w:val="TOC3"/>
        <w:tabs>
          <w:tab w:val="right" w:leader="dot" w:pos="8303"/>
        </w:tabs>
        <w:spacing w:line="360" w:lineRule="auto"/>
        <w:ind w:left="420"/>
      </w:pPr>
      <w:hyperlink w:anchor="_Toc102000057" w:history="1">
        <w:r>
          <w:t>（五）Multi-period DID (Distinguishing Regulation Types)</w:t>
        </w:r>
        <w:r>
          <w:tab/>
        </w:r>
        <w:r>
          <w:fldChar w:fldCharType="begin"/>
        </w:r>
        <w:r>
          <w:instrText xml:space="preserve"> PAGEREF _Toc102000057 \h </w:instrText>
        </w:r>
        <w:r>
          <w:fldChar w:fldCharType="separate"/>
        </w:r>
        <w:r>
          <w:t>1</w:t>
        </w:r>
        <w:r>
          <w:fldChar w:fldCharType="end"/>
        </w:r>
      </w:hyperlink>
    </w:p>
    <w:p>
      <w:pPr>
        <w:pStyle w:val="TOC2"/>
        <w:tabs>
          <w:tab w:val="right" w:leader="dot" w:pos="8303"/>
        </w:tabs>
        <w:spacing w:line="360" w:lineRule="auto"/>
        <w:ind w:left="210"/>
      </w:pPr>
      <w:hyperlink w:anchor="_Toc102000058" w:history="1">
        <w:r>
          <w:t>四、Descriptive Statistics</w:t>
        </w:r>
        <w:r>
          <w:tab/>
        </w:r>
        <w:r>
          <w:fldChar w:fldCharType="begin"/>
        </w:r>
        <w:r>
          <w:instrText xml:space="preserve"> PAGEREF _Toc102000058 \h </w:instrText>
        </w:r>
        <w:r>
          <w:fldChar w:fldCharType="separate"/>
        </w:r>
        <w:r>
          <w:t>1</w:t>
        </w:r>
        <w:r>
          <w:fldChar w:fldCharType="end"/>
        </w:r>
      </w:hyperlink>
    </w:p>
    <w:p>
      <w:pPr>
        <w:pStyle w:val="TOC1"/>
        <w:tabs>
          <w:tab w:val="right" w:leader="dot" w:pos="8303"/>
        </w:tabs>
        <w:spacing w:line="360" w:lineRule="auto"/>
      </w:pPr>
      <w:hyperlink w:anchor="_Toc102000059" w:history="1">
        <w:r>
          <w:rPr>
            <w:b/>
            <w:bCs/>
          </w:rPr>
          <w:t>Chapter Five Empirical Results and Analysis</w:t>
        </w:r>
        <w:r>
          <w:tab/>
        </w:r>
        <w:r>
          <w:fldChar w:fldCharType="begin"/>
        </w:r>
        <w:r>
          <w:instrText xml:space="preserve"> PAGEREF _Toc102000059 \h </w:instrText>
        </w:r>
        <w:r>
          <w:fldChar w:fldCharType="separate"/>
        </w:r>
        <w:r>
          <w:t>1</w:t>
        </w:r>
        <w:r>
          <w:fldChar w:fldCharType="end"/>
        </w:r>
      </w:hyperlink>
    </w:p>
    <w:p>
      <w:pPr>
        <w:pStyle w:val="TOC2"/>
        <w:tabs>
          <w:tab w:val="right" w:leader="dot" w:pos="8303"/>
        </w:tabs>
        <w:spacing w:line="360" w:lineRule="auto"/>
        <w:ind w:left="210"/>
      </w:pPr>
      <w:hyperlink w:anchor="_Toc102000060" w:history="1">
        <w:r>
          <w:t>一、Benchmark Regression Results</w:t>
        </w:r>
        <w:r>
          <w:tab/>
        </w:r>
        <w:r>
          <w:fldChar w:fldCharType="begin"/>
        </w:r>
        <w:r>
          <w:instrText xml:space="preserve"> PAGEREF _Toc102000060 \h </w:instrText>
        </w:r>
        <w:r>
          <w:fldChar w:fldCharType="separate"/>
        </w:r>
        <w:r>
          <w:t>1</w:t>
        </w:r>
        <w:r>
          <w:fldChar w:fldCharType="end"/>
        </w:r>
      </w:hyperlink>
    </w:p>
    <w:p>
      <w:pPr>
        <w:pStyle w:val="TOC3"/>
        <w:tabs>
          <w:tab w:val="right" w:leader="dot" w:pos="8303"/>
        </w:tabs>
        <w:spacing w:line="360" w:lineRule="auto"/>
        <w:ind w:left="420"/>
      </w:pPr>
      <w:hyperlink w:anchor="_Toc102000061" w:history="1">
        <w:r>
          <w:t>（一）Overall Effect of Anti-monopoly Regulation on R&amp;D Investment</w:t>
        </w:r>
        <w:r>
          <w:tab/>
        </w:r>
        <w:r>
          <w:fldChar w:fldCharType="begin"/>
        </w:r>
        <w:r>
          <w:instrText xml:space="preserve"> PAGEREF _Toc102000061 \h </w:instrText>
        </w:r>
        <w:r>
          <w:fldChar w:fldCharType="separate"/>
        </w:r>
        <w:r>
          <w:t>1</w:t>
        </w:r>
        <w:r>
          <w:fldChar w:fldCharType="end"/>
        </w:r>
      </w:hyperlink>
    </w:p>
    <w:p>
      <w:pPr>
        <w:pStyle w:val="TOC3"/>
        <w:tabs>
          <w:tab w:val="right" w:leader="dot" w:pos="8303"/>
        </w:tabs>
        <w:spacing w:line="360" w:lineRule="auto"/>
        <w:ind w:left="420"/>
      </w:pPr>
      <w:hyperlink w:anchor="_Toc102000062" w:history="1">
        <w:r>
          <w:t>（二）Interpretation of Economic Implications</w:t>
        </w:r>
        <w:r>
          <w:tab/>
        </w:r>
        <w:r>
          <w:fldChar w:fldCharType="begin"/>
        </w:r>
        <w:r>
          <w:instrText xml:space="preserve"> PAGEREF _Toc102000062 \h </w:instrText>
        </w:r>
        <w:r>
          <w:fldChar w:fldCharType="separate"/>
        </w:r>
        <w:r>
          <w:t>1</w:t>
        </w:r>
        <w:r>
          <w:fldChar w:fldCharType="end"/>
        </w:r>
      </w:hyperlink>
    </w:p>
    <w:p>
      <w:pPr>
        <w:pStyle w:val="TOC2"/>
        <w:tabs>
          <w:tab w:val="right" w:leader="dot" w:pos="8303"/>
        </w:tabs>
        <w:spacing w:line="360" w:lineRule="auto"/>
        <w:ind w:left="210"/>
      </w:pPr>
      <w:hyperlink w:anchor="_Toc102000063" w:history="1">
        <w:r>
          <w:t>二、Parallel Trend Test</w:t>
        </w:r>
        <w:r>
          <w:tab/>
        </w:r>
        <w:r>
          <w:fldChar w:fldCharType="begin"/>
        </w:r>
        <w:r>
          <w:instrText xml:space="preserve"> PAGEREF _Toc102000063 \h </w:instrText>
        </w:r>
        <w:r>
          <w:fldChar w:fldCharType="separate"/>
        </w:r>
        <w:r>
          <w:t>1</w:t>
        </w:r>
        <w:r>
          <w:fldChar w:fldCharType="end"/>
        </w:r>
      </w:hyperlink>
    </w:p>
    <w:p>
      <w:pPr>
        <w:pStyle w:val="TOC3"/>
        <w:tabs>
          <w:tab w:val="right" w:leader="dot" w:pos="8303"/>
        </w:tabs>
        <w:spacing w:line="360" w:lineRule="auto"/>
        <w:ind w:left="420"/>
      </w:pPr>
      <w:hyperlink w:anchor="_Toc102000064" w:history="1">
        <w:r>
          <w:t>（一）Event Study Results</w:t>
        </w:r>
        <w:r>
          <w:tab/>
        </w:r>
        <w:r>
          <w:fldChar w:fldCharType="begin"/>
        </w:r>
        <w:r>
          <w:instrText xml:space="preserve"> PAGEREF _Toc102000064 \h </w:instrText>
        </w:r>
        <w:r>
          <w:fldChar w:fldCharType="separate"/>
        </w:r>
        <w:r>
          <w:t>1</w:t>
        </w:r>
        <w:r>
          <w:fldChar w:fldCharType="end"/>
        </w:r>
      </w:hyperlink>
    </w:p>
    <w:p>
      <w:pPr>
        <w:pStyle w:val="TOC3"/>
        <w:tabs>
          <w:tab w:val="right" w:leader="dot" w:pos="8303"/>
        </w:tabs>
        <w:spacing w:line="360" w:lineRule="auto"/>
        <w:ind w:left="420"/>
      </w:pPr>
      <w:hyperlink w:anchor="_Toc102000065" w:history="1">
        <w:r>
          <w:t>（二）Economic Interpretation of the Parallel Trend Assumption</w:t>
        </w:r>
        <w:r>
          <w:tab/>
        </w:r>
        <w:r>
          <w:fldChar w:fldCharType="begin"/>
        </w:r>
        <w:r>
          <w:instrText xml:space="preserve"> PAGEREF _Toc102000065 \h </w:instrText>
        </w:r>
        <w:r>
          <w:fldChar w:fldCharType="separate"/>
        </w:r>
        <w:r>
          <w:t>1</w:t>
        </w:r>
        <w:r>
          <w:fldChar w:fldCharType="end"/>
        </w:r>
      </w:hyperlink>
    </w:p>
    <w:p>
      <w:pPr>
        <w:pStyle w:val="TOC2"/>
        <w:tabs>
          <w:tab w:val="right" w:leader="dot" w:pos="8303"/>
        </w:tabs>
        <w:spacing w:line="360" w:lineRule="auto"/>
        <w:ind w:left="210"/>
      </w:pPr>
      <w:hyperlink w:anchor="_Toc102000066" w:history="1">
        <w:r>
          <w:t>三、Robustness Tests</w:t>
        </w:r>
        <w:r>
          <w:tab/>
        </w:r>
        <w:r>
          <w:fldChar w:fldCharType="begin"/>
        </w:r>
        <w:r>
          <w:instrText xml:space="preserve"> PAGEREF _Toc102000066 \h </w:instrText>
        </w:r>
        <w:r>
          <w:fldChar w:fldCharType="separate"/>
        </w:r>
        <w:r>
          <w:t>1</w:t>
        </w:r>
        <w:r>
          <w:fldChar w:fldCharType="end"/>
        </w:r>
      </w:hyperlink>
    </w:p>
    <w:p>
      <w:pPr>
        <w:pStyle w:val="TOC3"/>
        <w:tabs>
          <w:tab w:val="right" w:leader="dot" w:pos="8303"/>
        </w:tabs>
        <w:spacing w:line="360" w:lineRule="auto"/>
        <w:ind w:left="420"/>
      </w:pPr>
      <w:hyperlink w:anchor="_Toc102000067" w:history="1">
        <w:r>
          <w:t>（一）Replacing the Measurement of the Explained Variable</w:t>
        </w:r>
        <w:r>
          <w:tab/>
        </w:r>
        <w:r>
          <w:fldChar w:fldCharType="begin"/>
        </w:r>
        <w:r>
          <w:instrText xml:space="preserve"> PAGEREF _Toc102000067 \h </w:instrText>
        </w:r>
        <w:r>
          <w:fldChar w:fldCharType="separate"/>
        </w:r>
        <w:r>
          <w:t>1</w:t>
        </w:r>
        <w:r>
          <w:fldChar w:fldCharType="end"/>
        </w:r>
      </w:hyperlink>
    </w:p>
    <w:p>
      <w:pPr>
        <w:pStyle w:val="TOC3"/>
        <w:tabs>
          <w:tab w:val="right" w:leader="dot" w:pos="8303"/>
        </w:tabs>
        <w:spacing w:line="360" w:lineRule="auto"/>
        <w:ind w:left="420"/>
      </w:pPr>
      <w:hyperlink w:anchor="_Toc102000068" w:history="1">
        <w:r>
          <w:t>（二）PSM-DID</w:t>
        </w:r>
        <w:r>
          <w:tab/>
        </w:r>
        <w:r>
          <w:fldChar w:fldCharType="begin"/>
        </w:r>
        <w:r>
          <w:instrText xml:space="preserve"> PAGEREF _Toc102000068 \h </w:instrText>
        </w:r>
        <w:r>
          <w:fldChar w:fldCharType="separate"/>
        </w:r>
        <w:r>
          <w:t>1</w:t>
        </w:r>
        <w:r>
          <w:fldChar w:fldCharType="end"/>
        </w:r>
      </w:hyperlink>
    </w:p>
    <w:p>
      <w:pPr>
        <w:pStyle w:val="TOC3"/>
        <w:tabs>
          <w:tab w:val="right" w:leader="dot" w:pos="8303"/>
        </w:tabs>
        <w:spacing w:line="360" w:lineRule="auto"/>
        <w:ind w:left="420"/>
      </w:pPr>
      <w:hyperlink w:anchor="_Toc102000069" w:history="1">
        <w:r>
          <w:t>（三）Excluding Interference from Other Policies</w:t>
        </w:r>
        <w:r>
          <w:tab/>
        </w:r>
        <w:r>
          <w:fldChar w:fldCharType="begin"/>
        </w:r>
        <w:r>
          <w:instrText xml:space="preserve"> PAGEREF _Toc102000069 \h </w:instrText>
        </w:r>
        <w:r>
          <w:fldChar w:fldCharType="separate"/>
        </w:r>
        <w:r>
          <w:t>1</w:t>
        </w:r>
        <w:r>
          <w:fldChar w:fldCharType="end"/>
        </w:r>
      </w:hyperlink>
    </w:p>
    <w:p>
      <w:pPr>
        <w:pStyle w:val="TOC3"/>
        <w:tabs>
          <w:tab w:val="right" w:leader="dot" w:pos="8303"/>
        </w:tabs>
        <w:spacing w:line="360" w:lineRule="auto"/>
        <w:ind w:left="420"/>
      </w:pPr>
      <w:hyperlink w:anchor="_Toc102000070" w:history="1">
        <w:r>
          <w:t>（四）Placebo Test</w:t>
        </w:r>
        <w:r>
          <w:tab/>
        </w:r>
        <w:r>
          <w:fldChar w:fldCharType="begin"/>
        </w:r>
        <w:r>
          <w:instrText xml:space="preserve"> PAGEREF _Toc102000070 \h </w:instrText>
        </w:r>
        <w:r>
          <w:fldChar w:fldCharType="separate"/>
        </w:r>
        <w:r>
          <w:t>1</w:t>
        </w:r>
        <w:r>
          <w:fldChar w:fldCharType="end"/>
        </w:r>
      </w:hyperlink>
    </w:p>
    <w:p>
      <w:pPr>
        <w:pStyle w:val="TOC2"/>
        <w:tabs>
          <w:tab w:val="right" w:leader="dot" w:pos="8303"/>
        </w:tabs>
        <w:spacing w:line="360" w:lineRule="auto"/>
        <w:ind w:left="210"/>
      </w:pPr>
      <w:hyperlink w:anchor="_Toc102000071" w:history="1">
        <w:r>
          <w:t>四、Discussion of Endogeneity</w:t>
        </w:r>
        <w:r>
          <w:tab/>
        </w:r>
        <w:r>
          <w:fldChar w:fldCharType="begin"/>
        </w:r>
        <w:r>
          <w:instrText xml:space="preserve"> PAGEREF _Toc102000071 \h </w:instrText>
        </w:r>
        <w:r>
          <w:fldChar w:fldCharType="separate"/>
        </w:r>
        <w:r>
          <w:t>1</w:t>
        </w:r>
        <w:r>
          <w:fldChar w:fldCharType="end"/>
        </w:r>
      </w:hyperlink>
    </w:p>
    <w:p>
      <w:pPr>
        <w:pStyle w:val="TOC1"/>
        <w:tabs>
          <w:tab w:val="right" w:leader="dot" w:pos="8303"/>
        </w:tabs>
        <w:spacing w:line="360" w:lineRule="auto"/>
      </w:pPr>
      <w:hyperlink w:anchor="_Toc102000072" w:history="1">
        <w:r>
          <w:rPr>
            <w:b/>
            <w:bCs/>
          </w:rPr>
          <w:t>Chapter Six Mechanism Tests and Further Analysis</w:t>
        </w:r>
        <w:r>
          <w:tab/>
        </w:r>
        <w:r>
          <w:fldChar w:fldCharType="begin"/>
        </w:r>
        <w:r>
          <w:instrText xml:space="preserve"> PAGEREF _Toc102000072 \h </w:instrText>
        </w:r>
        <w:r>
          <w:fldChar w:fldCharType="separate"/>
        </w:r>
        <w:r>
          <w:t>1</w:t>
        </w:r>
        <w:r>
          <w:fldChar w:fldCharType="end"/>
        </w:r>
      </w:hyperlink>
    </w:p>
    <w:p>
      <w:pPr>
        <w:pStyle w:val="TOC2"/>
        <w:tabs>
          <w:tab w:val="right" w:leader="dot" w:pos="8303"/>
        </w:tabs>
        <w:spacing w:line="360" w:lineRule="auto"/>
        <w:ind w:left="210"/>
      </w:pPr>
      <w:hyperlink w:anchor="_Toc102000073" w:history="1">
        <w:r>
          <w:t>一、Mediation Effect Tests</w:t>
        </w:r>
        <w:r>
          <w:tab/>
        </w:r>
        <w:r>
          <w:fldChar w:fldCharType="begin"/>
        </w:r>
        <w:r>
          <w:instrText xml:space="preserve"> PAGEREF _Toc102000073 \h </w:instrText>
        </w:r>
        <w:r>
          <w:fldChar w:fldCharType="separate"/>
        </w:r>
        <w:r>
          <w:t>1</w:t>
        </w:r>
        <w:r>
          <w:fldChar w:fldCharType="end"/>
        </w:r>
      </w:hyperlink>
    </w:p>
    <w:p>
      <w:pPr>
        <w:pStyle w:val="TOC3"/>
        <w:tabs>
          <w:tab w:val="right" w:leader="dot" w:pos="8303"/>
        </w:tabs>
        <w:spacing w:line="360" w:lineRule="auto"/>
        <w:ind w:left="420"/>
      </w:pPr>
      <w:hyperlink w:anchor="_Toc102000074" w:history="1">
        <w:r>
          <w:t>（一）Competitive Incentive Channel (H2)</w:t>
        </w:r>
        <w:r>
          <w:tab/>
        </w:r>
        <w:r>
          <w:fldChar w:fldCharType="begin"/>
        </w:r>
        <w:r>
          <w:instrText xml:space="preserve"> PAGEREF _Toc102000074 \h </w:instrText>
        </w:r>
        <w:r>
          <w:fldChar w:fldCharType="separate"/>
        </w:r>
        <w:r>
          <w:t>1</w:t>
        </w:r>
        <w:r>
          <w:fldChar w:fldCharType="end"/>
        </w:r>
      </w:hyperlink>
    </w:p>
    <w:p>
      <w:pPr>
        <w:pStyle w:val="TOC3"/>
        <w:tabs>
          <w:tab w:val="right" w:leader="dot" w:pos="8303"/>
        </w:tabs>
        <w:spacing w:line="360" w:lineRule="auto"/>
        <w:ind w:left="420"/>
      </w:pPr>
      <w:hyperlink w:anchor="_Toc102000075" w:history="1">
        <w:r>
          <w:t>（二）Resource Constraint Channel (H3)</w:t>
        </w:r>
        <w:r>
          <w:tab/>
        </w:r>
        <w:r>
          <w:fldChar w:fldCharType="begin"/>
        </w:r>
        <w:r>
          <w:instrText xml:space="preserve"> PAGEREF _Toc102000075 \h </w:instrText>
        </w:r>
        <w:r>
          <w:fldChar w:fldCharType="separate"/>
        </w:r>
        <w:r>
          <w:t>1</w:t>
        </w:r>
        <w:r>
          <w:fldChar w:fldCharType="end"/>
        </w:r>
      </w:hyperlink>
    </w:p>
    <w:p>
      <w:pPr>
        <w:pStyle w:val="TOC3"/>
        <w:tabs>
          <w:tab w:val="right" w:leader="dot" w:pos="8303"/>
        </w:tabs>
        <w:spacing w:line="360" w:lineRule="auto"/>
        <w:ind w:left="420"/>
      </w:pPr>
      <w:hyperlink w:anchor="_Toc102000076" w:history="1">
        <w:r>
          <w:t>（三）Expectation Uncertainty Channel (H4)</w:t>
        </w:r>
        <w:r>
          <w:tab/>
        </w:r>
        <w:r>
          <w:fldChar w:fldCharType="begin"/>
        </w:r>
        <w:r>
          <w:instrText xml:space="preserve"> PAGEREF _Toc102000076 \h </w:instrText>
        </w:r>
        <w:r>
          <w:fldChar w:fldCharType="separate"/>
        </w:r>
        <w:r>
          <w:t>1</w:t>
        </w:r>
        <w:r>
          <w:fldChar w:fldCharType="end"/>
        </w:r>
      </w:hyperlink>
    </w:p>
    <w:p>
      <w:pPr>
        <w:pStyle w:val="TOC2"/>
        <w:tabs>
          <w:tab w:val="right" w:leader="dot" w:pos="8303"/>
        </w:tabs>
        <w:spacing w:line="360" w:lineRule="auto"/>
        <w:ind w:left="210"/>
      </w:pPr>
      <w:hyperlink w:anchor="_Toc102000077" w:history="1">
        <w:r>
          <w:t>二、Heterogeneity Analysis</w:t>
        </w:r>
        <w:r>
          <w:tab/>
        </w:r>
        <w:r>
          <w:fldChar w:fldCharType="begin"/>
        </w:r>
        <w:r>
          <w:instrText xml:space="preserve"> PAGEREF _Toc102000077 \h </w:instrText>
        </w:r>
        <w:r>
          <w:fldChar w:fldCharType="separate"/>
        </w:r>
        <w:r>
          <w:t>1</w:t>
        </w:r>
        <w:r>
          <w:fldChar w:fldCharType="end"/>
        </w:r>
      </w:hyperlink>
    </w:p>
    <w:p>
      <w:pPr>
        <w:pStyle w:val="TOC3"/>
        <w:tabs>
          <w:tab w:val="right" w:leader="dot" w:pos="8303"/>
        </w:tabs>
        <w:spacing w:line="360" w:lineRule="auto"/>
        <w:ind w:left="420"/>
      </w:pPr>
      <w:hyperlink w:anchor="_Toc102000078" w:history="1">
        <w:r>
          <w:t>（一）Heterogeneity by Ownership</w:t>
        </w:r>
        <w:r>
          <w:tab/>
        </w:r>
        <w:r>
          <w:fldChar w:fldCharType="begin"/>
        </w:r>
        <w:r>
          <w:instrText xml:space="preserve"> PAGEREF _Toc102000078 \h </w:instrText>
        </w:r>
        <w:r>
          <w:fldChar w:fldCharType="separate"/>
        </w:r>
        <w:r>
          <w:t>1</w:t>
        </w:r>
        <w:r>
          <w:fldChar w:fldCharType="end"/>
        </w:r>
      </w:hyperlink>
    </w:p>
    <w:p>
      <w:pPr>
        <w:pStyle w:val="TOC3"/>
        <w:tabs>
          <w:tab w:val="right" w:leader="dot" w:pos="8303"/>
        </w:tabs>
        <w:spacing w:line="360" w:lineRule="auto"/>
        <w:ind w:left="420"/>
      </w:pPr>
      <w:hyperlink w:anchor="_Toc102000079" w:history="1">
        <w:r>
          <w:t>（二）Heterogeneity by Platform Type</w:t>
        </w:r>
        <w:r>
          <w:tab/>
        </w:r>
        <w:r>
          <w:fldChar w:fldCharType="begin"/>
        </w:r>
        <w:r>
          <w:instrText xml:space="preserve"> PAGEREF _Toc102000079 \h </w:instrText>
        </w:r>
        <w:r>
          <w:fldChar w:fldCharType="separate"/>
        </w:r>
        <w:r>
          <w:t>1</w:t>
        </w:r>
        <w:r>
          <w:fldChar w:fldCharType="end"/>
        </w:r>
      </w:hyperlink>
    </w:p>
    <w:p>
      <w:pPr>
        <w:pStyle w:val="TOC3"/>
        <w:tabs>
          <w:tab w:val="right" w:leader="dot" w:pos="8303"/>
        </w:tabs>
        <w:spacing w:line="360" w:lineRule="auto"/>
        <w:ind w:left="420"/>
      </w:pPr>
      <w:hyperlink w:anchor="_Toc102000080" w:history="1">
        <w:r>
          <w:t>（三）Heterogeneity by Firm Size</w:t>
        </w:r>
        <w:r>
          <w:tab/>
        </w:r>
        <w:r>
          <w:fldChar w:fldCharType="begin"/>
        </w:r>
        <w:r>
          <w:instrText xml:space="preserve"> PAGEREF _Toc102000080 \h </w:instrText>
        </w:r>
        <w:r>
          <w:fldChar w:fldCharType="separate"/>
        </w:r>
        <w:r>
          <w:t>1</w:t>
        </w:r>
        <w:r>
          <w:fldChar w:fldCharType="end"/>
        </w:r>
      </w:hyperlink>
    </w:p>
    <w:p>
      <w:pPr>
        <w:pStyle w:val="TOC3"/>
        <w:tabs>
          <w:tab w:val="right" w:leader="dot" w:pos="8303"/>
        </w:tabs>
        <w:spacing w:line="360" w:lineRule="auto"/>
        <w:ind w:left="420"/>
      </w:pPr>
      <w:hyperlink w:anchor="_Toc102000081" w:history="1">
        <w:r>
          <w:t>（四）Heterogeneity by Initial Innovation Level</w:t>
        </w:r>
        <w:r>
          <w:tab/>
        </w:r>
        <w:r>
          <w:fldChar w:fldCharType="begin"/>
        </w:r>
        <w:r>
          <w:instrText xml:space="preserve"> PAGEREF _Toc102000081 \h </w:instrText>
        </w:r>
        <w:r>
          <w:fldChar w:fldCharType="separate"/>
        </w:r>
        <w:r>
          <w:t>1</w:t>
        </w:r>
        <w:r>
          <w:fldChar w:fldCharType="end"/>
        </w:r>
      </w:hyperlink>
    </w:p>
    <w:p>
      <w:pPr>
        <w:pStyle w:val="TOC2"/>
        <w:tabs>
          <w:tab w:val="right" w:leader="dot" w:pos="8303"/>
        </w:tabs>
        <w:spacing w:line="360" w:lineRule="auto"/>
        <w:ind w:left="210"/>
      </w:pPr>
      <w:hyperlink w:anchor="_Toc102000082" w:history="1">
        <w:r>
          <w:t>三、Further Analysis: Impact of Anti-monopoly Regulation on Innovation Output</w:t>
        </w:r>
        <w:r>
          <w:tab/>
        </w:r>
        <w:r>
          <w:fldChar w:fldCharType="begin"/>
        </w:r>
        <w:r>
          <w:instrText xml:space="preserve"> PAGEREF _Toc102000082 \h </w:instrText>
        </w:r>
        <w:r>
          <w:fldChar w:fldCharType="separate"/>
        </w:r>
        <w:r>
          <w:t>1</w:t>
        </w:r>
        <w:r>
          <w:fldChar w:fldCharType="end"/>
        </w:r>
      </w:hyperlink>
    </w:p>
    <w:p>
      <w:pPr>
        <w:pStyle w:val="TOC2"/>
        <w:tabs>
          <w:tab w:val="right" w:leader="dot" w:pos="8303"/>
        </w:tabs>
        <w:spacing w:line="360" w:lineRule="auto"/>
        <w:ind w:left="210"/>
      </w:pPr>
      <w:hyperlink w:anchor="_Toc102000083" w:history="1">
        <w:r>
          <w:t>四、Chapter Summary</w:t>
        </w:r>
        <w:r>
          <w:tab/>
        </w:r>
        <w:r>
          <w:fldChar w:fldCharType="begin"/>
        </w:r>
        <w:r>
          <w:instrText xml:space="preserve"> PAGEREF _Toc102000083 \h </w:instrText>
        </w:r>
        <w:r>
          <w:fldChar w:fldCharType="separate"/>
        </w:r>
        <w:r>
          <w:t>1</w:t>
        </w:r>
        <w:r>
          <w:fldChar w:fldCharType="end"/>
        </w:r>
      </w:hyperlink>
    </w:p>
    <w:p>
      <w:pPr>
        <w:pStyle w:val="TOC1"/>
        <w:tabs>
          <w:tab w:val="right" w:leader="dot" w:pos="8303"/>
        </w:tabs>
        <w:spacing w:line="360" w:lineRule="auto"/>
      </w:pPr>
      <w:hyperlink w:anchor="_Toc102000084" w:history="1">
        <w:r>
          <w:rPr>
            <w:b/>
            <w:bCs/>
          </w:rPr>
          <w:t>Chapter Seven Conclusions and Policy Recommendations</w:t>
        </w:r>
        <w:r>
          <w:tab/>
        </w:r>
        <w:r>
          <w:fldChar w:fldCharType="begin"/>
        </w:r>
        <w:r>
          <w:instrText xml:space="preserve"> PAGEREF _Toc102000084 \h </w:instrText>
        </w:r>
        <w:r>
          <w:fldChar w:fldCharType="separate"/>
        </w:r>
        <w:r>
          <w:t>1</w:t>
        </w:r>
        <w:r>
          <w:fldChar w:fldCharType="end"/>
        </w:r>
      </w:hyperlink>
    </w:p>
    <w:p>
      <w:pPr>
        <w:pStyle w:val="TOC2"/>
        <w:tabs>
          <w:tab w:val="right" w:leader="dot" w:pos="8303"/>
        </w:tabs>
        <w:spacing w:line="360" w:lineRule="auto"/>
        <w:ind w:left="210"/>
      </w:pPr>
      <w:hyperlink w:anchor="_Toc102000085" w:history="1">
        <w:r>
          <w:t>一、Research Conclusions</w:t>
        </w:r>
        <w:r>
          <w:tab/>
        </w:r>
        <w:r>
          <w:fldChar w:fldCharType="begin"/>
        </w:r>
        <w:r>
          <w:instrText xml:space="preserve"> PAGEREF _Toc102000085 \h </w:instrText>
        </w:r>
        <w:r>
          <w:fldChar w:fldCharType="separate"/>
        </w:r>
        <w:r>
          <w:t>1</w:t>
        </w:r>
        <w:r>
          <w:fldChar w:fldCharType="end"/>
        </w:r>
      </w:hyperlink>
    </w:p>
    <w:p>
      <w:pPr>
        <w:pStyle w:val="TOC2"/>
        <w:tabs>
          <w:tab w:val="right" w:leader="dot" w:pos="8303"/>
        </w:tabs>
        <w:spacing w:line="360" w:lineRule="auto"/>
        <w:ind w:left="210"/>
      </w:pPr>
      <w:hyperlink w:anchor="_Toc102000086" w:history="1">
        <w:r>
          <w:t>二、Policy Recommendations</w:t>
        </w:r>
        <w:r>
          <w:tab/>
        </w:r>
        <w:r>
          <w:fldChar w:fldCharType="begin"/>
        </w:r>
        <w:r>
          <w:instrText xml:space="preserve"> PAGEREF _Toc102000086 \h </w:instrText>
        </w:r>
        <w:r>
          <w:fldChar w:fldCharType="separate"/>
        </w:r>
        <w:r>
          <w:t>1</w:t>
        </w:r>
        <w:r>
          <w:fldChar w:fldCharType="end"/>
        </w:r>
      </w:hyperlink>
    </w:p>
    <w:p>
      <w:pPr>
        <w:pStyle w:val="TOC2"/>
        <w:tabs>
          <w:tab w:val="right" w:leader="dot" w:pos="8303"/>
        </w:tabs>
        <w:spacing w:line="360" w:lineRule="auto"/>
        <w:ind w:left="210"/>
      </w:pPr>
      <w:hyperlink w:anchor="_Toc102000087" w:history="1">
        <w:r>
          <w:t>三、Research Limitations and Prospects</w:t>
        </w:r>
        <w:r>
          <w:tab/>
        </w:r>
        <w:r>
          <w:fldChar w:fldCharType="begin"/>
        </w:r>
        <w:r>
          <w:instrText xml:space="preserve"> PAGEREF _Toc102000087 \h </w:instrText>
        </w:r>
        <w:r>
          <w:fldChar w:fldCharType="separate"/>
        </w:r>
        <w:r>
          <w:t>1</w:t>
        </w:r>
        <w:r>
          <w:fldChar w:fldCharType="end"/>
        </w:r>
      </w:hyperlink>
    </w:p>
    <w:p>
      <w:pPr>
        <w:pStyle w:val="TOC1"/>
        <w:tabs>
          <w:tab w:val="right" w:leader="dot" w:pos="8303"/>
        </w:tabs>
        <w:spacing w:line="360" w:lineRule="auto"/>
      </w:pPr>
      <w:hyperlink w:anchor="_Toc102000088" w:history="1">
        <w:r>
          <w:rPr>
            <w:b/>
            <w:bCs/>
          </w:rPr>
          <w:t>References</w:t>
        </w:r>
        <w:r>
          <w:tab/>
        </w:r>
        <w:r>
          <w:fldChar w:fldCharType="begin"/>
        </w:r>
        <w:r>
          <w:instrText xml:space="preserve"> PAGEREF _Toc102000088 \h </w:instrText>
        </w:r>
        <w:r>
          <w:fldChar w:fldCharType="separate"/>
        </w:r>
        <w:r>
          <w:t>1</w:t>
        </w:r>
        <w:r>
          <w:fldChar w:fldCharType="end"/>
        </w:r>
      </w:hyperlink>
    </w:p>
    <w:p>
      <w:pPr>
        <w:pStyle w:val="TOC1"/>
        <w:tabs>
          <w:tab w:val="right" w:leader="dot" w:pos="8303"/>
        </w:tabs>
        <w:spacing w:line="360" w:lineRule="auto"/>
      </w:pPr>
      <w:hyperlink w:anchor="_Toc102000091" w:history="1">
        <w:r>
          <w:rPr>
            <w:b/>
            <w:bCs/>
          </w:rPr>
          <w:t>Scientific Research Achievements during Master's Study</w:t>
        </w:r>
        <w:r>
          <w:tab/>
        </w:r>
        <w:r>
          <w:fldChar w:fldCharType="begin"/>
        </w:r>
        <w:r>
          <w:instrText xml:space="preserve"> PAGEREF _Toc102000091 \h </w:instrText>
        </w:r>
        <w:r>
          <w:fldChar w:fldCharType="separate"/>
        </w:r>
        <w:r>
          <w:t>1</w:t>
        </w:r>
        <w:r>
          <w:fldChar w:fldCharType="end"/>
        </w:r>
      </w:hyperlink>
    </w:p>
    <w:p>
      <w:pPr>
        <w:pStyle w:val="TOC1"/>
        <w:tabs>
          <w:tab w:val="right" w:leader="dot" w:pos="8303"/>
        </w:tabs>
        <w:spacing w:line="360" w:lineRule="auto"/>
      </w:pPr>
      <w:hyperlink w:anchor="_Toc102000093" w:history="1">
        <w:r>
          <w:rPr>
            <w:b/>
            <w:bCs/>
          </w:rPr>
          <w:t>Statement of copyright and letter of authorization</w:t>
        </w:r>
        <w:r>
          <w:tab/>
        </w:r>
        <w:r>
          <w:fldChar w:fldCharType="begin"/>
        </w:r>
        <w:r>
          <w:instrText xml:space="preserve"> PAGEREF _Toc102000093 \h </w:instrText>
        </w:r>
        <w:r>
          <w:fldChar w:fldCharType="separate"/>
        </w:r>
        <w:r>
          <w:t>1</w:t>
        </w:r>
        <w:r>
          <w:fldChar w:fldCharType="end"/>
        </w:r>
      </w:hyperlink>
    </w:p>
    <w:p>
      <w:pPr>
        <w:pStyle w:val="TOC1"/>
        <w:tabs>
          <w:tab w:val="right" w:leader="dot" w:pos="8303"/>
        </w:tabs>
        <w:spacing w:line="360" w:lineRule="auto"/>
      </w:pPr>
      <w:hyperlink w:anchor="_Toc102000095" w:history="1">
        <w:r>
          <w:rPr>
            <w:b/>
            <w:bCs/>
          </w:rPr>
          <w:t>Acknowledgments</w:t>
        </w:r>
        <w:r>
          <w:tab/>
        </w:r>
        <w:r>
          <w:fldChar w:fldCharType="begin"/>
        </w:r>
        <w:r>
          <w:instrText xml:space="preserve"> PAGEREF _Toc102000095 \h </w:instrText>
        </w:r>
        <w:r>
          <w:fldChar w:fldCharType="separate"/>
        </w:r>
        <w:r>
          <w:t>1</w:t>
        </w:r>
        <w:r>
          <w:fldChar w:fldCharType="end"/>
        </w:r>
      </w:hyperlink>
    </w:p>
    <w:p>
      <w:pPr>
        <w:pStyle w:val="TOC1"/>
        <w:tabs>
          <w:tab w:val="right" w:leader="dot" w:pos="8303"/>
        </w:tabs>
        <w:spacing w:line="360" w:lineRule="auto"/>
      </w:pPr>
      <w:hyperlink w:anchor="_Toc102000097" w:history="1">
        <w:r>
          <w:rPr>
            <w:b/>
            <w:bCs/>
          </w:rPr>
          <w:t>Resume</w:t>
        </w:r>
        <w:r>
          <w:tab/>
        </w:r>
        <w:r>
          <w:fldChar w:fldCharType="begin"/>
        </w:r>
        <w:r>
          <w:instrText xml:space="preserve"> PAGEREF _Toc102000097 \h </w:instrText>
        </w:r>
        <w:r>
          <w:fldChar w:fldCharType="separate"/>
        </w:r>
        <w:r>
          <w:t>1</w:t>
        </w:r>
        <w:r>
          <w:fldChar w:fldCharType="end"/>
        </w:r>
      </w:hyperlink>
      <w:r>
        <w:fldChar w:fldCharType="end"/>
      </w:r>
    </w:p>
    <w:p>
      <w:pPr>
        <w:spacing w:before="0" w:after="0" w:line="1" w:lineRule="exact"/>
        <w:sectPr>
          <w:titlePg/>
          <w:type w:val="nextPage"/>
          <w:headerReference w:type="first" r:id="rId1012"/>
          <w:headerReference w:type="default" r:id="rId4"/>
          <w:footerReference w:type="first" r:id="rId6"/>
          <w:footerReference w:type="default" r:id="rId6"/>
          <w:pgNumType w:fmt="upperRoman"/>
          <w:pgSz w:w="11907" w:h="16840"/>
          <w:pgMar w:top="2155" w:right="1701" w:bottom="1701" w:left="1701" w:header="1701" w:footer="1304" w:gutter="0"/>
          <w:cols w:space="720"/>
          <w:docGrid w:type="linesAndChars" w:linePitch="391" w:charSpace="1861"/>
        </w:sectPr>
      </w:pPr>
    </w:p>
    <w:p>
      <w:pPr>
        <w:pStyle w:val="HitHeading1"/>
        <w:keepNext/>
        <w:keepLines/>
      </w:pPr>
      <w:bookmarkStart w:id="5001" w:name="_Toc102000001"/>
      <w:r>
        <w:t>绪论</w:t>
      </w:r>
      <w:bookmarkEnd w:id="5001"/>
    </w:p>
    <w:p>
      <w:pPr>
        <w:pStyle w:val="HitHeading2"/>
        <w:keepNext/>
        <w:keepLines/>
      </w:pPr>
      <w:bookmarkStart w:id="5002" w:name="_Toc102000002"/>
      <w:r>
        <w:t>研究背景与意义</w:t>
      </w:r>
      <w:bookmarkEnd w:id="5002"/>
    </w:p>
    <w:p>
      <w:pPr>
        <w:pStyle w:val="HitHeading3"/>
        <w:keepNext/>
        <w:keepLines/>
      </w:pPr>
      <w:bookmarkStart w:id="5003" w:name="_Toc102000003"/>
      <w:r>
        <w:t>现实背景</w:t>
      </w:r>
      <w:bookmarkEnd w:id="5003"/>
    </w:p>
    <w:p>
      <w:pPr>
        <w:pStyle w:val="HitBody"/>
        <w:ind w:firstLineChars="200" w:firstLine="480"/>
        <w:widowControl w:val="0"/>
        <w:spacing w:line="360" w:lineRule="auto"/>
      </w:pPr>
      <w:r>
        <w:rPr>
          <w:rFonts w:ascii="Times New Roman" w:hAnsi="Times New Roman" w:eastAsia="宋体"/>
          <w:sz w:val="24"/>
          <w:szCs w:val="24"/>
        </w:rPr>
        <w:t>当前，以互联网、大数据、人工智能为代表的新一代信息技术正以前所未有的广度和深度推动全球产业变革，数字经济已成为重组全球要素资源、重塑全球经济结构的关键力量。据中国信息通信研究院《中国数字经济发展研究报告（2024年）》显示，2023年我国数字经济规模达56.1万亿元，占GDP比重提升至44.3%，平台经济作为数字经济的核心载体，在稳就业、促消费、推动创新等方面发挥了不可替代的作用。</w:t>
      </w:r>
    </w:p>
    <w:p>
      <w:pPr>
        <w:pStyle w:val="HitBody"/>
        <w:ind w:firstLineChars="200" w:firstLine="480"/>
        <w:widowControl w:val="0"/>
        <w:spacing w:line="360" w:lineRule="auto"/>
      </w:pPr>
      <w:r>
        <w:rPr>
          <w:rFonts w:ascii="Times New Roman" w:hAnsi="Times New Roman" w:eastAsia="宋体"/>
          <w:sz w:val="24"/>
          <w:szCs w:val="24"/>
        </w:rPr>
        <w:t>然而，伴随平台经济的跨越式发展，其垄断行为日益凸显。部分头部数字平台企业凭借数据、算法和网络效应形成的市场支配地位，通过"二选一"、"大数据杀熟"、自我优待、扼杀式并购等手段排除限制竞争，不仅严重损害了平台内经营者和消费者的合法权益，也对持续创新活力产生了抑制效应。2020年12月中央经济工作会议首次将"强化反垄断和防止资本无序扩张"列为2021年八大重点任务之一，标志着中国平台经济反垄断监管进入全新阶段。</w:t>
      </w:r>
    </w:p>
    <w:p>
      <w:pPr>
        <w:pStyle w:val="HitBody"/>
        <w:ind w:firstLineChars="200" w:firstLine="480"/>
        <w:widowControl w:val="0"/>
        <w:spacing w:line="360" w:lineRule="auto"/>
      </w:pPr>
      <w:r>
        <w:rPr>
          <w:rFonts w:ascii="Times New Roman" w:hAnsi="Times New Roman" w:eastAsia="宋体"/>
          <w:sz w:val="24"/>
          <w:szCs w:val="24"/>
        </w:rPr>
        <w:t>2021年被称为"中国互联网反垄断元年"。4月10日，市场监管总局对阿里巴巴集团滥用市场支配地位行为作出行政处罚，罚款182.28亿元，创下中国反垄断史上最高纪录；10月8日，对美团实施"二选一"垄断行为作出行政处罚，罚款34.42亿元；此后，滴滴出行因违法收集用户数据被罚80.26亿元，腾讯因违法实施经营者集中被罚50万元，虎牙与斗鱼合并被依法禁止。2022年，新修订的《反垄断法》正式施行，增设"鼓励创新"为立法宗旨，将平台经济纳入法治化监管框架。2023年，国家反垄断局正式挂牌成立，反垄断执法机构实现专业化升级。</w:t>
      </w:r>
    </w:p>
    <w:p>
      <w:pPr>
        <w:pStyle w:val="HitBody"/>
        <w:ind w:firstLineChars="200" w:firstLine="480"/>
        <w:widowControl w:val="0"/>
        <w:spacing w:line="360" w:lineRule="auto"/>
      </w:pPr>
      <w:r>
        <w:rPr>
          <w:rFonts w:ascii="Times New Roman" w:hAnsi="Times New Roman" w:eastAsia="宋体"/>
          <w:sz w:val="24"/>
          <w:szCs w:val="24"/>
        </w:rPr>
        <w:t>在反垄断高压监管背景下，平台企业的战略选择面临深刻重塑。一方面，监管压力迫使企业从依赖资本扩张和排他性竞争转向依靠技术创新获取竞争优势；另一方面，高额罚款和合规成本也可能挤压企业的研发预算，抑制创新投入。阿里巴巴在被罚后一年内将研发预算削减约10%，但随后又宣布未来三年投入3800亿元建设云和AI基础设施；美团则在2023年研发费用同比增长15.8%至75.7亿元。反垄断监管究竟对数字平台企业的研发投入产生了何种影响？这是关乎平台经济高质量发展、国家创新驱动发展战略的重大现实问题。</w:t>
      </w:r>
    </w:p>
    <w:p>
      <w:pPr>
        <w:pStyle w:val="HitHeading3"/>
        <w:keepNext/>
        <w:keepLines/>
      </w:pPr>
      <w:bookmarkStart w:id="5004" w:name="_Toc102000004"/>
      <w:r>
        <w:t>理论背景</w:t>
      </w:r>
      <w:bookmarkEnd w:id="5004"/>
    </w:p>
    <w:p>
      <w:pPr>
        <w:pStyle w:val="HitBody"/>
        <w:ind w:firstLineChars="200" w:firstLine="480"/>
        <w:widowControl w:val="0"/>
        <w:spacing w:line="360" w:lineRule="auto"/>
      </w:pPr>
      <w:r>
        <w:rPr>
          <w:rFonts w:ascii="Times New Roman" w:hAnsi="Times New Roman" w:eastAsia="宋体"/>
          <w:sz w:val="24"/>
          <w:szCs w:val="24"/>
        </w:rPr>
        <w:t>在产业组织理论框架下，垄断与创新的关系存在经典争论。熊彼特</w:t>
      </w:r>
      <w:hyperlink w:anchor="ref_1" w:history="1">
        <w:r>
          <w:rPr>
            <w:rFonts w:ascii="Times New Roman" w:hAnsi="Times New Roman" w:eastAsia="宋体"/>
            <w:sz w:val="24"/>
            <w:szCs w:val="24"/>
            <w:vertAlign w:val="superscript"/>
          </w:rPr>
          <w:t>[1]</w:t>
        </w:r>
      </w:hyperlink>
      <w:r>
        <w:rPr>
          <w:rFonts w:ascii="Times New Roman" w:hAnsi="Times New Roman" w:eastAsia="宋体"/>
          <w:sz w:val="24"/>
          <w:szCs w:val="24"/>
        </w:rPr>
        <w:t>假说认为，垄断利润为创新提供了必要的资金保障和排他性收益，大企业和市场力量有助于推动技术创新；而阿洪等</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提出的"雁形假说"（Inverted-U Hypothesis）则认为，适度竞争最有利于创新，垄断程度过高会削弱企业创新激励，竞争过度则使企业无法获得创新回报。</w:t>
      </w:r>
    </w:p>
    <w:p>
      <w:pPr>
        <w:pStyle w:val="HitBody"/>
        <w:ind w:firstLineChars="200" w:firstLine="480"/>
        <w:widowControl w:val="0"/>
        <w:spacing w:line="360" w:lineRule="auto"/>
      </w:pPr>
      <w:r>
        <w:rPr>
          <w:rFonts w:ascii="Times New Roman" w:hAnsi="Times New Roman" w:eastAsia="宋体"/>
          <w:sz w:val="24"/>
          <w:szCs w:val="24"/>
        </w:rPr>
        <w:t>在数字经济与平台经济情境下，垄断与创新的理论关系更为复杂。平台企业的"赢者通吃"特性源于网络效应和数据反馈循环（Katz &amp; Shapiro，1985；Rochet &amp; Tirole，2003），这既可能通过规模经济降低研发的边际成本，也可能因市场支配地位固化而弱化创新动力。Rochet和Tirole（2006）的双边市场理论指出，平台竞争的核心维度已从价格转向非价格竞争，尤其是技术创新和服务质量。因此，反垄断监管对平台企业创新的影响机制与传统产业存在本质差异。</w:t>
      </w:r>
    </w:p>
    <w:p>
      <w:pPr>
        <w:pStyle w:val="HitBody"/>
        <w:ind w:firstLineChars="200" w:firstLine="480"/>
        <w:widowControl w:val="0"/>
        <w:spacing w:line="360" w:lineRule="auto"/>
      </w:pPr>
      <w:r>
        <w:rPr>
          <w:rFonts w:ascii="Times New Roman" w:hAnsi="Times New Roman" w:eastAsia="宋体"/>
          <w:sz w:val="24"/>
          <w:szCs w:val="24"/>
        </w:rPr>
        <w:t>此外，平台反垄断监管的政策信号可能通过两种渠道影响企业研发决策：一是"威慑效应"（Deterrence Effect），监管压力促使企业将资源从排他性竞争（如"二选一"的渠道封锁）转向实质性技术创新；二是"挤出效应"（Crowding-out Effect），高额罚款、合规成本和战略不确定性增加了企业研发的风险溢价，导致研发投入收缩。两种效应的净结果是本文的理论核心问题。</w:t>
      </w:r>
    </w:p>
    <w:p>
      <w:pPr>
        <w:pStyle w:val="HitHeading3"/>
        <w:keepNext/>
        <w:keepLines/>
      </w:pPr>
      <w:bookmarkStart w:id="5005" w:name="_Toc102000005"/>
      <w:r>
        <w:t>研究意义</w:t>
      </w:r>
      <w:bookmarkEnd w:id="5005"/>
    </w:p>
    <w:p>
      <w:pPr>
        <w:pStyle w:val="HitBody"/>
        <w:ind w:firstLineChars="200" w:firstLine="480"/>
        <w:widowControl w:val="0"/>
        <w:spacing w:line="360" w:lineRule="auto"/>
      </w:pPr>
      <w:r>
        <w:rPr>
          <w:rFonts w:ascii="Times New Roman" w:hAnsi="Times New Roman" w:eastAsia="宋体"/>
          <w:sz w:val="24"/>
          <w:szCs w:val="24"/>
        </w:rPr>
        <w:t>理论意义</w:t>
      </w:r>
      <w:r>
        <w:rPr>
          <w:rFonts w:ascii="Times New Roman" w:hAnsi="Times New Roman" w:eastAsia="宋体"/>
          <w:sz w:val="24"/>
          <w:szCs w:val="24"/>
        </w:rPr>
        <w:t>：首先，本文从研发投入角度拓展了平台反垄断的经济后果研究。现有文献多关注反垄断对市场结构、消费者福利和社会总福利的影响</w:t>
      </w:r>
      <w:hyperlink w:anchor="ref_3" w:history="1">
        <w:r>
          <w:rPr>
            <w:rFonts w:ascii="Times New Roman" w:hAnsi="Times New Roman" w:eastAsia="宋体"/>
            <w:sz w:val="24"/>
            <w:szCs w:val="24"/>
            <w:vertAlign w:val="superscript"/>
          </w:rPr>
          <w:t>[3]</w:t>
        </w:r>
      </w:hyperlink>
      <w:r>
        <w:rPr>
          <w:rFonts w:ascii="Times New Roman" w:hAnsi="Times New Roman" w:eastAsia="宋体"/>
          <w:sz w:val="24"/>
          <w:szCs w:val="24"/>
        </w:rPr>
        <w:t>，对微观企业创新行为的影响研究相对匮乏。本文系统考察反垄断监管对平台企业研发投入的影响，丰富了平台反垄断微观效应的理论文献。其次，本文在"雁形假说"框架下检验威慑效应与挤出效应的相对强度，为数字经济条件下垄断与创新关系的经典争论提供了来自中国反垄断实践的实证证据。再次，本文从"竞争行为监管"和"市场结构监管"两条路径考察差异化影响，深化了对反垄断不同类型政策工具效应的理论认识。</w:t>
      </w:r>
    </w:p>
    <w:p>
      <w:pPr>
        <w:pStyle w:val="HitBody"/>
        <w:ind w:firstLineChars="200" w:firstLine="480"/>
        <w:widowControl w:val="0"/>
        <w:spacing w:line="360" w:lineRule="auto"/>
      </w:pPr>
      <w:r>
        <w:rPr>
          <w:rFonts w:ascii="Times New Roman" w:hAnsi="Times New Roman" w:eastAsia="宋体"/>
          <w:sz w:val="24"/>
          <w:szCs w:val="24"/>
        </w:rPr>
        <w:t>现实意义</w:t>
      </w:r>
      <w:r>
        <w:rPr>
          <w:rFonts w:ascii="Times New Roman" w:hAnsi="Times New Roman" w:eastAsia="宋体"/>
          <w:sz w:val="24"/>
          <w:szCs w:val="24"/>
        </w:rPr>
        <w:t>：首先，本文的研究结论为优化平台反垄断监管政策提供经验依据。若威慑效应占优，则表明当前反垄断执法方向正确，应在规范中继续强化竞争政策；若挤出效应占优，则提示监管需把握力度和节奏，在规范发展与鼓励创新之间寻求平衡。其次，本文的异质性分析结果可为分层分类监管提供参考，有助于避免"一刀切"监管对中小平台企业的过度冲击。最后，本文的政策建议对于在反垄断常态化监管下引导平台企业加大研发投入、推动科技自立自强具有直接的政策参考价值。</w:t>
      </w:r>
    </w:p>
    <w:p>
      <w:pPr>
        <w:pStyle w:val="HitHeading2"/>
        <w:keepNext/>
        <w:keepLines/>
      </w:pPr>
      <w:bookmarkStart w:id="5006" w:name="_Toc102000006"/>
      <w:r>
        <w:t>研究目标与研究内容</w:t>
      </w:r>
      <w:bookmarkEnd w:id="5006"/>
    </w:p>
    <w:p>
      <w:pPr>
        <w:pStyle w:val="HitHeading3"/>
        <w:keepNext/>
        <w:keepLines/>
      </w:pPr>
      <w:bookmarkStart w:id="5007" w:name="_Toc102000007"/>
      <w:r>
        <w:t>研究目标</w:t>
      </w:r>
      <w:bookmarkEnd w:id="5007"/>
    </w:p>
    <w:p>
      <w:pPr>
        <w:pStyle w:val="HitBody"/>
        <w:ind w:firstLineChars="200" w:firstLine="480"/>
        <w:widowControl w:val="0"/>
        <w:spacing w:line="360" w:lineRule="auto"/>
      </w:pPr>
      <w:r>
        <w:rPr>
          <w:rFonts w:ascii="Times New Roman" w:hAnsi="Times New Roman" w:eastAsia="宋体"/>
          <w:sz w:val="24"/>
          <w:szCs w:val="24"/>
        </w:rPr>
        <w:t>本文旨在通过实证方法系统检验中国平台反垄断监管对数字平台企业研发投入的影响效应、作用机制和边界条件，具体实现以下研究目标：</w:t>
      </w:r>
    </w:p>
    <w:p>
      <w:pPr>
        <w:pStyle w:val="HitBody"/>
        <w:ind w:firstLineChars="200" w:firstLine="480"/>
        <w:widowControl w:val="0"/>
        <w:spacing w:line="360" w:lineRule="auto"/>
      </w:pPr>
      <w:r>
        <w:rPr>
          <w:rFonts w:ascii="Times New Roman" w:hAnsi="Times New Roman" w:eastAsia="宋体"/>
          <w:sz w:val="24"/>
          <w:szCs w:val="24"/>
        </w:rPr>
        <w:t>第一，识别平台反垄断监管对数字平台企业研发投入的净效应。以2021年阿里巴巴、美团反垄断处罚等重大执法事件为准自然实验，运用双重差分法（DID）估计反垄断监管对平台企业研发投入的因果效应。</w:t>
      </w:r>
    </w:p>
    <w:p>
      <w:pPr>
        <w:pStyle w:val="HitBody"/>
        <w:ind w:firstLineChars="200" w:firstLine="480"/>
        <w:widowControl w:val="0"/>
        <w:spacing w:line="360" w:lineRule="auto"/>
      </w:pPr>
      <w:r>
        <w:rPr>
          <w:rFonts w:ascii="Times New Roman" w:hAnsi="Times New Roman" w:eastAsia="宋体"/>
          <w:sz w:val="24"/>
          <w:szCs w:val="24"/>
        </w:rPr>
        <w:t>第二，揭示平台反垄断监管影响企业研发投入的作用机制。从竞争激励渠道、资源约束渠道和预期不确定性渠道三个维度，检验威慑效应与挤出效应的内在机制。</w:t>
      </w:r>
    </w:p>
    <w:p>
      <w:pPr>
        <w:pStyle w:val="HitBody"/>
        <w:ind w:firstLineChars="200" w:firstLine="480"/>
        <w:widowControl w:val="0"/>
        <w:spacing w:line="360" w:lineRule="auto"/>
      </w:pPr>
      <w:r>
        <w:rPr>
          <w:rFonts w:ascii="Times New Roman" w:hAnsi="Times New Roman" w:eastAsia="宋体"/>
          <w:sz w:val="24"/>
          <w:szCs w:val="24"/>
        </w:rPr>
        <w:t>第三，考察平台反垄断监管效应的异质性特征。从平台类型、规模、所有制以及企业初始创新水平等维度考察异质性，为差异化监管提供经验证据。</w:t>
      </w:r>
    </w:p>
    <w:p>
      <w:pPr>
        <w:pStyle w:val="HitHeading3"/>
        <w:keepNext/>
        <w:keepLines/>
      </w:pPr>
      <w:bookmarkStart w:id="5008" w:name="_Toc102000008"/>
      <w:r>
        <w:t>研究内容</w:t>
      </w:r>
      <w:bookmarkEnd w:id="5008"/>
    </w:p>
    <w:p>
      <w:pPr>
        <w:pStyle w:val="HitBody"/>
        <w:ind w:firstLineChars="200" w:firstLine="480"/>
        <w:widowControl w:val="0"/>
        <w:spacing w:line="360" w:lineRule="auto"/>
      </w:pPr>
      <w:r>
        <w:rPr>
          <w:rFonts w:ascii="Times New Roman" w:hAnsi="Times New Roman" w:eastAsia="宋体"/>
          <w:sz w:val="24"/>
          <w:szCs w:val="24"/>
        </w:rPr>
        <w:t>本文围绕上述研究目标，安排如下研究内容：</w:t>
      </w:r>
    </w:p>
    <w:p>
      <w:pPr>
        <w:pStyle w:val="HitBody"/>
        <w:ind w:firstLineChars="200" w:firstLine="480"/>
        <w:widowControl w:val="0"/>
        <w:spacing w:line="360" w:lineRule="auto"/>
      </w:pPr>
      <w:r>
        <w:rPr>
          <w:rFonts w:ascii="Times New Roman" w:hAnsi="Times New Roman" w:eastAsia="宋体"/>
          <w:sz w:val="24"/>
          <w:szCs w:val="24"/>
        </w:rPr>
        <w:t>第一章 绪论</w:t>
      </w:r>
      <w:r>
        <w:rPr>
          <w:rFonts w:ascii="Times New Roman" w:hAnsi="Times New Roman" w:eastAsia="宋体"/>
          <w:sz w:val="24"/>
          <w:szCs w:val="24"/>
        </w:rPr>
        <w:t>：阐述研究背景、理论背景和现实意义，明确研究目标与研究内容，概述研究思路、研究方法和技术路线，并指出可能的创新点。</w:t>
      </w:r>
    </w:p>
    <w:p>
      <w:pPr>
        <w:pStyle w:val="HitBody"/>
        <w:ind w:firstLineChars="200" w:firstLine="480"/>
        <w:widowControl w:val="0"/>
        <w:spacing w:line="360" w:lineRule="auto"/>
      </w:pPr>
      <w:r>
        <w:rPr>
          <w:rFonts w:ascii="Times New Roman" w:hAnsi="Times New Roman" w:eastAsia="宋体"/>
          <w:sz w:val="24"/>
          <w:szCs w:val="24"/>
        </w:rPr>
        <w:t>第二章 文献综述</w:t>
      </w:r>
      <w:r>
        <w:rPr>
          <w:rFonts w:ascii="Times New Roman" w:hAnsi="Times New Roman" w:eastAsia="宋体"/>
          <w:sz w:val="24"/>
          <w:szCs w:val="24"/>
        </w:rPr>
        <w:t>：从三个方面展开文献梳理：（1）平台反垄断的经济后果研究，涵盖市场结构、消费者福利、企业经营行为等维度；（2）企业研发投入的影响因素研究，重点归纳制度环境、市场竞争和创新激励对企业研发投入的实证证据；（3）反垄断与创新关系的理论争论及实证进展，包括"熊彼特假说"与"雁形假说"的对立及融合。在此基础上，总结现有研究的不足，明确本文的研究空间。</w:t>
      </w:r>
    </w:p>
    <w:p>
      <w:pPr>
        <w:pStyle w:val="HitBody"/>
        <w:ind w:firstLineChars="200" w:firstLine="480"/>
        <w:widowControl w:val="0"/>
        <w:spacing w:line="360" w:lineRule="auto"/>
      </w:pPr>
      <w:r>
        <w:rPr>
          <w:rFonts w:ascii="Times New Roman" w:hAnsi="Times New Roman" w:eastAsia="宋体"/>
          <w:sz w:val="24"/>
          <w:szCs w:val="24"/>
        </w:rPr>
        <w:t>第三章 理论分析与研究假设</w:t>
      </w:r>
      <w:r>
        <w:rPr>
          <w:rFonts w:ascii="Times New Roman" w:hAnsi="Times New Roman" w:eastAsia="宋体"/>
          <w:sz w:val="24"/>
          <w:szCs w:val="24"/>
        </w:rPr>
        <w:t>：基于产业组织理论、制度理论和企业创新理论，构建反垄断监管影响平台企业研发投入的分析框架。分别从威慑效应（竞争激励、战略转型、合规要求）和挤出效应（资源约束、预期不确定性、合规成本）两个维度推导研究假设，并提出差异化类型影响的延伸假设。</w:t>
      </w:r>
    </w:p>
    <w:p>
      <w:pPr>
        <w:pStyle w:val="HitBody"/>
        <w:ind w:firstLineChars="200" w:firstLine="480"/>
        <w:widowControl w:val="0"/>
        <w:spacing w:line="360" w:lineRule="auto"/>
      </w:pPr>
      <w:r>
        <w:rPr>
          <w:rFonts w:ascii="Times New Roman" w:hAnsi="Times New Roman" w:eastAsia="宋体"/>
          <w:sz w:val="24"/>
          <w:szCs w:val="24"/>
        </w:rPr>
        <w:t>第四章 研究设计</w:t>
      </w:r>
      <w:r>
        <w:rPr>
          <w:rFonts w:ascii="Times New Roman" w:hAnsi="Times New Roman" w:eastAsia="宋体"/>
          <w:sz w:val="24"/>
          <w:szCs w:val="24"/>
        </w:rPr>
        <w:t>：说明样本选择与数据来源（A股上市数字平台企业2017—2023年面板数据），详细界定核心变量（被解释变量：研发投入/研发强度；核心解释变量：反垄断监管冲击；调节与中介变量；控制变量），设定基准DID模型与扩展模型，并报告描述性统计结果。</w:t>
      </w:r>
    </w:p>
    <w:p>
      <w:pPr>
        <w:pStyle w:val="HitBody"/>
        <w:ind w:firstLineChars="200" w:firstLine="480"/>
        <w:widowControl w:val="0"/>
        <w:spacing w:line="360" w:lineRule="auto"/>
      </w:pPr>
      <w:r>
        <w:rPr>
          <w:rFonts w:ascii="Times New Roman" w:hAnsi="Times New Roman" w:eastAsia="宋体"/>
          <w:sz w:val="24"/>
          <w:szCs w:val="24"/>
        </w:rPr>
        <w:t>第五章 实证结果与分析</w:t>
      </w:r>
      <w:r>
        <w:rPr>
          <w:rFonts w:ascii="Times New Roman" w:hAnsi="Times New Roman" w:eastAsia="宋体"/>
          <w:sz w:val="24"/>
          <w:szCs w:val="24"/>
        </w:rPr>
        <w:t>：呈现基准回归结果，进行平行趋势检验与安慰剂检验等稳健性检验，包括替换被解释变量测度、PSM-DID、排除其他政策干扰（如数据安全法、个人信息保护法）等方法。</w:t>
      </w:r>
    </w:p>
    <w:p>
      <w:pPr>
        <w:pStyle w:val="HitBody"/>
        <w:ind w:firstLineChars="200" w:firstLine="480"/>
        <w:widowControl w:val="0"/>
        <w:spacing w:line="360" w:lineRule="auto"/>
      </w:pPr>
      <w:r>
        <w:rPr>
          <w:rFonts w:ascii="Times New Roman" w:hAnsi="Times New Roman" w:eastAsia="宋体"/>
          <w:sz w:val="24"/>
          <w:szCs w:val="24"/>
        </w:rPr>
        <w:t>第六章 机制检验与进一步分析</w:t>
      </w:r>
      <w:r>
        <w:rPr>
          <w:rFonts w:ascii="Times New Roman" w:hAnsi="Times New Roman" w:eastAsia="宋体"/>
          <w:sz w:val="24"/>
          <w:szCs w:val="24"/>
        </w:rPr>
        <w:t>：从竞争激励、资源约束和预期不确定性三条机制路径进行中介效应检验；开展所有制异质性（国有/民营）、平台类型异质性（电商平台/社交/内容/出行/金融科技）、规模异质性（头部/中小）分析；进一步分析反垄断监管对创新产出的影响（专利数量与质量）。</w:t>
      </w:r>
    </w:p>
    <w:p>
      <w:pPr>
        <w:pStyle w:val="HitBody"/>
        <w:ind w:firstLineChars="200" w:firstLine="480"/>
        <w:widowControl w:val="0"/>
        <w:spacing w:line="360" w:lineRule="auto"/>
      </w:pPr>
      <w:r>
        <w:rPr>
          <w:rFonts w:ascii="Times New Roman" w:hAnsi="Times New Roman" w:eastAsia="宋体"/>
          <w:sz w:val="24"/>
          <w:szCs w:val="24"/>
        </w:rPr>
        <w:t>第七章 结论与政策建议</w:t>
      </w:r>
      <w:r>
        <w:rPr>
          <w:rFonts w:ascii="Times New Roman" w:hAnsi="Times New Roman" w:eastAsia="宋体"/>
          <w:sz w:val="24"/>
          <w:szCs w:val="24"/>
        </w:rPr>
        <w:t>：总结全文主要研究结论，提出完善平台反垄断监管、引导平台企业加大研发投入的政策建议，并指出研究局限与未来展望。</w:t>
      </w:r>
    </w:p>
    <w:p>
      <w:pPr>
        <w:pStyle w:val="HitHeading2"/>
        <w:keepNext/>
        <w:keepLines/>
      </w:pPr>
      <w:bookmarkStart w:id="5009" w:name="_Toc102000009"/>
      <w:r>
        <w:t>研究方法与技术路线</w:t>
      </w:r>
      <w:bookmarkEnd w:id="5009"/>
    </w:p>
    <w:p>
      <w:pPr>
        <w:pStyle w:val="HitHeading3"/>
        <w:keepNext/>
        <w:keepLines/>
      </w:pPr>
      <w:bookmarkStart w:id="5010" w:name="_Toc102000010"/>
      <w:r>
        <w:t>研究方法</w:t>
      </w:r>
      <w:bookmarkEnd w:id="5010"/>
    </w:p>
    <w:p>
      <w:pPr>
        <w:pStyle w:val="HitBody"/>
        <w:ind w:firstLineChars="200" w:firstLine="480"/>
        <w:widowControl w:val="0"/>
        <w:spacing w:line="360" w:lineRule="auto"/>
      </w:pPr>
      <w:r>
        <w:rPr>
          <w:rFonts w:ascii="Times New Roman" w:hAnsi="Times New Roman" w:eastAsia="宋体"/>
          <w:sz w:val="24"/>
          <w:szCs w:val="24"/>
        </w:rPr>
        <w:t>（1）双重差分法（DID）</w:t>
      </w:r>
    </w:p>
    <w:p>
      <w:pPr>
        <w:pStyle w:val="HitBody"/>
        <w:ind w:firstLineChars="200" w:firstLine="480"/>
        <w:widowControl w:val="0"/>
        <w:spacing w:line="360" w:lineRule="auto"/>
      </w:pPr>
      <w:r>
        <w:rPr>
          <w:rFonts w:ascii="Times New Roman" w:hAnsi="Times New Roman" w:eastAsia="宋体"/>
          <w:sz w:val="24"/>
          <w:szCs w:val="24"/>
        </w:rPr>
        <w:t>本文以2021年阿里巴巴、美团反垄断处罚为核心政策冲击，将数字平台企业定义为处理组，非平台企业定义为对照组，构建多期DID模型估计反垄断监管对企业研发投入的净效应。该方法通过"处理组×政策后"交乘项的系数识别反垄断监管的因果效应，有效控制了不可观测的企业异质性和时间趋势。</w:t>
      </w:r>
    </w:p>
    <w:p>
      <w:pPr>
        <w:pStyle w:val="HitBody"/>
        <w:ind w:firstLineChars="200" w:firstLine="480"/>
        <w:widowControl w:val="0"/>
        <w:spacing w:line="360" w:lineRule="auto"/>
      </w:pPr>
      <w:r>
        <w:rPr>
          <w:rFonts w:ascii="Times New Roman" w:hAnsi="Times New Roman" w:eastAsia="宋体"/>
          <w:sz w:val="24"/>
          <w:szCs w:val="24"/>
        </w:rPr>
        <w:t>（2）中介效应模型</w:t>
      </w:r>
    </w:p>
    <w:p>
      <w:pPr>
        <w:pStyle w:val="HitBody"/>
        <w:ind w:firstLineChars="200" w:firstLine="480"/>
        <w:widowControl w:val="0"/>
        <w:spacing w:line="360" w:lineRule="auto"/>
      </w:pPr>
      <w:r>
        <w:rPr>
          <w:rFonts w:ascii="Times New Roman" w:hAnsi="Times New Roman" w:eastAsia="宋体"/>
          <w:sz w:val="24"/>
          <w:szCs w:val="24"/>
        </w:rPr>
        <w:t>在DID框架下引入中介变量，运用逐步回归法</w:t>
      </w:r>
      <w:hyperlink w:anchor="ref_4" w:history="1">
        <w:r>
          <w:rPr>
            <w:rFonts w:ascii="Times New Roman" w:hAnsi="Times New Roman" w:eastAsia="宋体"/>
            <w:sz w:val="24"/>
            <w:szCs w:val="24"/>
            <w:vertAlign w:val="superscript"/>
          </w:rPr>
          <w:t>[4]</w:t>
        </w:r>
      </w:hyperlink>
      <w:r>
        <w:rPr>
          <w:rFonts w:ascii="Times New Roman" w:hAnsi="Times New Roman" w:eastAsia="宋体"/>
          <w:sz w:val="24"/>
          <w:szCs w:val="24"/>
        </w:rPr>
        <w:t>和Sobel检验，分别检验竞争激励渠道、资源约束渠道和预期不确定性渠道的中介效应，揭示反垄断监管影响研发投入的传导机制。</w:t>
      </w:r>
    </w:p>
    <w:p>
      <w:pPr>
        <w:pStyle w:val="HitBody"/>
        <w:ind w:firstLineChars="200" w:firstLine="480"/>
        <w:widowControl w:val="0"/>
        <w:spacing w:line="360" w:lineRule="auto"/>
      </w:pPr>
      <w:r>
        <w:rPr>
          <w:rFonts w:ascii="Times New Roman" w:hAnsi="Times New Roman" w:eastAsia="宋体"/>
          <w:sz w:val="24"/>
          <w:szCs w:val="24"/>
        </w:rPr>
        <w:t>（3）异质性分析</w:t>
      </w:r>
    </w:p>
    <w:p>
      <w:pPr>
        <w:pStyle w:val="HitBody"/>
        <w:ind w:firstLineChars="200" w:firstLine="480"/>
        <w:widowControl w:val="0"/>
        <w:spacing w:line="360" w:lineRule="auto"/>
      </w:pPr>
      <w:r>
        <w:rPr>
          <w:rFonts w:ascii="Times New Roman" w:hAnsi="Times New Roman" w:eastAsia="宋体"/>
          <w:sz w:val="24"/>
          <w:szCs w:val="24"/>
        </w:rPr>
        <w:t>通过分组回归和交互项模型，考察反垄断监管效应在不同所有权性质、平台类型、企业规模和初始创新水平企业间的差异，为分层分类监管提供实证依据。</w:t>
      </w:r>
    </w:p>
    <w:p>
      <w:pPr>
        <w:pStyle w:val="HitBody"/>
        <w:ind w:firstLineChars="200" w:firstLine="480"/>
        <w:widowControl w:val="0"/>
        <w:spacing w:line="360" w:lineRule="auto"/>
      </w:pPr>
      <w:r>
        <w:rPr>
          <w:rFonts w:ascii="Times New Roman" w:hAnsi="Times New Roman" w:eastAsia="宋体"/>
          <w:sz w:val="24"/>
          <w:szCs w:val="24"/>
        </w:rPr>
        <w:t>（4）平行趋势检验与稳健性检验</w:t>
      </w:r>
    </w:p>
    <w:p>
      <w:pPr>
        <w:pStyle w:val="HitBody"/>
        <w:ind w:firstLineChars="200" w:firstLine="480"/>
        <w:widowControl w:val="0"/>
        <w:spacing w:line="360" w:lineRule="auto"/>
      </w:pPr>
      <w:r>
        <w:rPr>
          <w:rFonts w:ascii="Times New Roman" w:hAnsi="Times New Roman" w:eastAsia="宋体"/>
          <w:sz w:val="24"/>
          <w:szCs w:val="24"/>
        </w:rPr>
        <w:t>采用事件研究法检验平行趋势假设，设计多种安慰剂检验（随机分配处理组、随机生成政策时间、随机替换样本），并运用PSM-DID、排除其他同期政策干扰等方法确保结论稳健。</w:t>
      </w:r>
    </w:p>
    <w:p>
      <w:pPr>
        <w:pStyle w:val="HitHeading3"/>
        <w:keepNext/>
        <w:keepLines/>
      </w:pPr>
      <w:bookmarkStart w:id="5011" w:name="_Toc102000011"/>
      <w:r>
        <w:t>技术路线</w:t>
      </w:r>
      <w:bookmarkEnd w:id="5011"/>
    </w:p>
    <w:p>
      <w:pPr>
        <w:pStyle w:val="HitCodeBlock"/>
      </w:pPr>
      <w:r>
        <w:t>研究问题提出</w:t>
      </w:r>
      <w:r>
        <w:br/>
      </w:r>
      <w:r>
        <w:t xml:space="preserve">    ↓</w:t>
      </w:r>
      <w:r>
        <w:br/>
      </w:r>
      <w:r>
        <w:t>文献综述与理论框架</w:t>
      </w:r>
      <w:r>
        <w:br/>
      </w:r>
      <w:r>
        <w:t xml:space="preserve">    ↓</w:t>
      </w:r>
      <w:r>
        <w:br/>
      </w:r>
      <w:r>
        <w:t>研究假设构建</w:t>
      </w:r>
      <w:r>
        <w:br/>
      </w:r>
      <w:r>
        <w:t xml:space="preserve">    ↓</w:t>
      </w:r>
      <w:r>
        <w:br/>
      </w:r>
      <w:r>
        <w:t>研究设计（样本、变量、模型）</w:t>
      </w:r>
      <w:r>
        <w:br/>
      </w:r>
      <w:r>
        <w:t xml:space="preserve">    ↓</w:t>
      </w:r>
      <w:r>
        <w:br/>
      </w:r>
      <w:r>
        <w:t>实证分析：</w:t>
      </w:r>
      <w:r>
        <w:br/>
      </w:r>
      <w:r>
        <w:rPr>
          <w:rFonts w:ascii="Times New Roman" w:hAnsi="Times New Roman"/>
        </w:rPr>
        <w:t xml:space="preserve">  ├─ 基准回归（DID模型）</w:t>
      </w:r>
      <w:r>
        <w:br/>
      </w:r>
      <w:r>
        <w:t xml:space="preserve">  ├─ 平行趋势检验与稳健性检验</w:t>
      </w:r>
      <w:r>
        <w:br/>
      </w:r>
      <w:r>
        <w:t xml:space="preserve">  ├─ 机制检验（中介效应）</w:t>
      </w:r>
      <w:r>
        <w:br/>
      </w:r>
      <w:r>
        <w:t xml:space="preserve">  ├─ 异质性分析</w:t>
      </w:r>
      <w:r>
        <w:br/>
      </w:r>
      <w:r>
        <w:t xml:space="preserve">  └─ 进一步分析（创新产出）</w:t>
      </w:r>
      <w:r>
        <w:br/>
      </w:r>
      <w:r>
        <w:t xml:space="preserve">    ↓</w:t>
      </w:r>
      <w:r>
        <w:br/>
      </w:r>
      <w:r>
        <w:t>研究结论与政策建议</w:t>
      </w:r>
    </w:p>
    <w:p>
      <w:pPr>
        <w:pStyle w:val="HitHeading2"/>
        <w:keepNext/>
        <w:keepLines/>
      </w:pPr>
      <w:bookmarkStart w:id="5012" w:name="_Toc102000012"/>
      <w:r>
        <w:t>可能的创新点</w:t>
      </w:r>
      <w:bookmarkEnd w:id="5012"/>
    </w:p>
    <w:p>
      <w:pPr>
        <w:pStyle w:val="HitBody"/>
        <w:ind w:firstLineChars="200" w:firstLine="480"/>
        <w:widowControl w:val="0"/>
        <w:spacing w:line="360" w:lineRule="auto"/>
      </w:pPr>
      <w:r>
        <w:rPr>
          <w:rFonts w:ascii="Times New Roman" w:hAnsi="Times New Roman" w:eastAsia="宋体"/>
          <w:sz w:val="24"/>
          <w:szCs w:val="24"/>
        </w:rPr>
        <w:t>第一，研究视角的创新</w:t>
      </w:r>
      <w:r>
        <w:rPr>
          <w:rFonts w:ascii="Times New Roman" w:hAnsi="Times New Roman" w:eastAsia="宋体"/>
          <w:sz w:val="24"/>
          <w:szCs w:val="24"/>
        </w:rPr>
        <w:t>：现有文献对平台反垄断经济后果的研究多聚焦于市场结构、消费者福利和平台企业收入端表现，较少从研发投入——这一反映企业长期创新战略的核心指标——出发进行系统性考察。本文以反垄断监管为外生冲击，从投入端揭示平台反垄断对企业创新行为的微观影响，拓展了平台反垄断微观效应的研究边界。</w:t>
      </w:r>
    </w:p>
    <w:p>
      <w:pPr>
        <w:pStyle w:val="HitBody"/>
        <w:ind w:firstLineChars="200" w:firstLine="480"/>
        <w:widowControl w:val="0"/>
        <w:spacing w:line="360" w:lineRule="auto"/>
      </w:pPr>
      <w:r>
        <w:rPr>
          <w:rFonts w:ascii="Times New Roman" w:hAnsi="Times New Roman" w:eastAsia="宋体"/>
          <w:sz w:val="24"/>
          <w:szCs w:val="24"/>
        </w:rPr>
        <w:t>第二，理论机制的创新</w:t>
      </w:r>
      <w:r>
        <w:rPr>
          <w:rFonts w:ascii="Times New Roman" w:hAnsi="Times New Roman" w:eastAsia="宋体"/>
          <w:sz w:val="24"/>
          <w:szCs w:val="24"/>
        </w:rPr>
        <w:t>：本文在"雁形假说"框架下，系统提出并检验反垄断监管影响平台企业研发投入的双重效应——"威慑效应"与"挤出效应"。前者指反垄断压力倒逼企业将资源从排他性竞争转向实质性技术创新，后者指监管成本和战略不确定性挤压研发预算。本文从竞争激励、资源约束和预期不确定性三条渠道对双重效应进行机制检验，丰富了平台反垄断与企业创新理论的分析框架。</w:t>
      </w:r>
    </w:p>
    <w:p>
      <w:pPr>
        <w:pStyle w:val="HitBody"/>
        <w:ind w:firstLineChars="200" w:firstLine="480"/>
        <w:widowControl w:val="0"/>
        <w:spacing w:line="360" w:lineRule="auto"/>
      </w:pPr>
      <w:r>
        <w:rPr>
          <w:rFonts w:ascii="Times New Roman" w:hAnsi="Times New Roman" w:eastAsia="宋体"/>
          <w:sz w:val="24"/>
          <w:szCs w:val="24"/>
        </w:rPr>
        <w:t>第三，研究设计的创新</w:t>
      </w:r>
      <w:r>
        <w:rPr>
          <w:rFonts w:ascii="Times New Roman" w:hAnsi="Times New Roman" w:eastAsia="宋体"/>
          <w:sz w:val="24"/>
          <w:szCs w:val="24"/>
        </w:rPr>
        <w:t>：在政策冲击的识别策略上，本文不仅利用2021年阿里巴巴和美团反垄断处罚这一重大事件，还区分"竞争行为监管"（针对"二选一"等滥用市场支配地位行为）和"市场结构监管"（针对违法实施经营者集中）两类监管冲击，构建渐进式DID设计，考察不同类型反垄断政策的差异化影响。此外，通过引入数据安全法（2021年11月）和个人信息保护法（2021年11月）作为同期政策的干扰项，运用多期DID框架分离反垄断监管的独立效应，增强了因果识别的可靠性。</w:t>
      </w:r>
    </w:p>
    <w:p>
      <w:pPr>
        <w:pStyle w:val="HitBody"/>
        <w:ind w:firstLineChars="200" w:firstLine="480"/>
        <w:widowControl w:val="0"/>
        <w:spacing w:line="360" w:lineRule="auto"/>
      </w:pPr>
      <w:r>
        <w:rPr>
          <w:rFonts w:ascii="Times New Roman" w:hAnsi="Times New Roman" w:eastAsia="宋体"/>
          <w:sz w:val="24"/>
          <w:szCs w:val="24"/>
        </w:rPr>
        <w:t>第四，政策启示的创新</w:t>
      </w:r>
      <w:r>
        <w:rPr>
          <w:rFonts w:ascii="Times New Roman" w:hAnsi="Times New Roman" w:eastAsia="宋体"/>
          <w:sz w:val="24"/>
          <w:szCs w:val="24"/>
        </w:rPr>
        <w:t>：本文在异质性分析中考察了反垄断监管效应在不同企业特征下的差异，特别是识别了监管冲击对头部平台企业与中小平台企业、民营平台企业与国有平台企业的差异化影响，为"精准化""分层化"的反垄断监管政策设计提供了经验证据，超越了"一刀切"监管的传统思维。</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1"/>
          <w:footerReference w:type="first" r:id="rId6"/>
          <w:pgNumType w:fmt="decimal" w:start="1"/>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13" w:name="_Toc102000013"/>
      <w:r>
        <w:t>文献综述</w:t>
      </w:r>
      <w:bookmarkEnd w:id="5013"/>
    </w:p>
    <w:p>
      <w:pPr>
        <w:pStyle w:val="HitHeading2"/>
        <w:keepNext/>
        <w:keepLines/>
      </w:pPr>
      <w:bookmarkStart w:id="5014" w:name="_Toc102000014"/>
      <w:r>
        <w:t>平台反垄断的经济后果研究</w:t>
      </w:r>
      <w:bookmarkEnd w:id="5014"/>
    </w:p>
    <w:p>
      <w:pPr>
        <w:pStyle w:val="HitHeading3"/>
        <w:keepNext/>
        <w:keepLines/>
      </w:pPr>
      <w:bookmarkStart w:id="5015" w:name="_Toc102000015"/>
      <w:r>
        <w:t>平台反垄断对市场结构的影响</w:t>
      </w:r>
      <w:bookmarkEnd w:id="5015"/>
    </w:p>
    <w:p>
      <w:pPr>
        <w:pStyle w:val="HitBody"/>
        <w:ind w:firstLineChars="200" w:firstLine="480"/>
        <w:widowControl w:val="0"/>
        <w:spacing w:line="360" w:lineRule="auto"/>
      </w:pPr>
      <w:r>
        <w:rPr>
          <w:rFonts w:ascii="Times New Roman" w:hAnsi="Times New Roman" w:eastAsia="宋体"/>
          <w:sz w:val="24"/>
          <w:szCs w:val="24"/>
        </w:rPr>
        <w:t>平台反垄断对市场结构的影响是学术界和政策界最关注的议题之一。传统反垄断理论以"结构—行为—绩效"（SCP）范式为基础，认为市场集中度与竞争程度负相关，降低市场集中度有助于恢复竞争秩序（Bain，1956）。在数字经济情境下，这一范式面临挑战：平台企业的"赢者通吃"特性源于网络效应和数据反馈循环，高市场集中度未必等同于垄断</w:t>
      </w:r>
      <w:hyperlink w:anchor="ref_5" w:history="1">
        <w:r>
          <w:rPr>
            <w:rFonts w:ascii="Times New Roman" w:hAnsi="Times New Roman" w:eastAsia="宋体"/>
            <w:sz w:val="24"/>
            <w:szCs w:val="24"/>
            <w:vertAlign w:val="superscript"/>
          </w:rPr>
          <w:t>[5]</w:t>
        </w:r>
      </w:hyperlink>
      <w:r>
        <w:rPr>
          <w:rFonts w:ascii="Times New Roman" w:hAnsi="Times New Roman" w:eastAsia="宋体"/>
          <w:sz w:val="24"/>
          <w:szCs w:val="24"/>
        </w:rPr>
        <w:t>。</w:t>
      </w:r>
    </w:p>
    <w:p>
      <w:pPr>
        <w:pStyle w:val="HitBody"/>
        <w:ind w:firstLineChars="200" w:firstLine="480"/>
        <w:widowControl w:val="0"/>
        <w:spacing w:line="360" w:lineRule="auto"/>
      </w:pPr>
      <w:r>
        <w:rPr>
          <w:rFonts w:ascii="Times New Roman" w:hAnsi="Times New Roman" w:eastAsia="宋体"/>
          <w:sz w:val="24"/>
          <w:szCs w:val="24"/>
        </w:rPr>
        <w:t>国内学者对此进行了深入探讨。孙晋</w:t>
      </w:r>
      <w:hyperlink w:anchor="ref_6" w:history="1">
        <w:r>
          <w:rPr>
            <w:rFonts w:ascii="Times New Roman" w:hAnsi="Times New Roman" w:eastAsia="宋体"/>
            <w:sz w:val="24"/>
            <w:szCs w:val="24"/>
            <w:vertAlign w:val="superscript"/>
          </w:rPr>
          <w:t>[6]</w:t>
        </w:r>
      </w:hyperlink>
      <w:r>
        <w:rPr>
          <w:rFonts w:ascii="Times New Roman" w:hAnsi="Times New Roman" w:eastAsia="宋体"/>
          <w:sz w:val="24"/>
          <w:szCs w:val="24"/>
        </w:rPr>
        <w:t>指出，数字平台的双边性市场、动态性竞争和寡头竞争特征使垄断问题严重且复杂，需要超越传统SCP范式，构建适配平台经济特征的反垄断监管框架。陈宏民等</w:t>
      </w:r>
      <w:hyperlink w:anchor="ref_7" w:history="1">
        <w:r>
          <w:rPr>
            <w:rFonts w:ascii="Times New Roman" w:hAnsi="Times New Roman" w:eastAsia="宋体"/>
            <w:sz w:val="24"/>
            <w:szCs w:val="24"/>
            <w:vertAlign w:val="superscript"/>
          </w:rPr>
          <w:t>[7]</w:t>
        </w:r>
      </w:hyperlink>
      <w:r>
        <w:rPr>
          <w:rFonts w:ascii="Times New Roman" w:hAnsi="Times New Roman" w:eastAsia="宋体"/>
          <w:sz w:val="24"/>
          <w:szCs w:val="24"/>
        </w:rPr>
        <w:t>提出对互联网平台"规模监管从宽、行为监管从严"的监管原则，认为平台规模扩大本身有助于提高匹配效率、增进社会福利，应更关注平台滥用市场支配地位的具体行为而非单纯追求市场结构分散化。尹振涛等</w:t>
      </w:r>
      <w:hyperlink w:anchor="ref_8" w:history="1">
        <w:r>
          <w:rPr>
            <w:rFonts w:ascii="Times New Roman" w:hAnsi="Times New Roman" w:eastAsia="宋体"/>
            <w:sz w:val="24"/>
            <w:szCs w:val="24"/>
            <w:vertAlign w:val="superscript"/>
          </w:rPr>
          <w:t>[8]</w:t>
        </w:r>
      </w:hyperlink>
      <w:r>
        <w:rPr>
          <w:rFonts w:ascii="Times New Roman" w:hAnsi="Times New Roman" w:eastAsia="宋体"/>
          <w:sz w:val="24"/>
          <w:szCs w:val="24"/>
        </w:rPr>
        <w:t>从双边市场外部性出发，系统分析了平台经济的垄断形成机制及其对传统反垄断分析工具的挑战。</w:t>
      </w:r>
    </w:p>
    <w:p>
      <w:pPr>
        <w:pStyle w:val="HitBody"/>
        <w:ind w:firstLineChars="200" w:firstLine="480"/>
        <w:widowControl w:val="0"/>
        <w:spacing w:line="360" w:lineRule="auto"/>
      </w:pPr>
      <w:r>
        <w:rPr>
          <w:rFonts w:ascii="Times New Roman" w:hAnsi="Times New Roman" w:eastAsia="宋体"/>
          <w:sz w:val="24"/>
          <w:szCs w:val="24"/>
        </w:rPr>
        <w:t>在国际层面，Lina Khan（2017）对亚马逊的开创性研究指出，传统反垄断框架对平台经济的分析存在系统性偏差，高市场份额和消费者福利指标并不能充分反映平台的垄断力量。Zhu和Mukherjee（2023）基于中国数据的实证研究表明，平台反垄断执法显著降低了头部平台的市场集中度，但市场力量在不同平台间的重新分配存在显著时滞。</w:t>
      </w:r>
    </w:p>
    <w:p>
      <w:pPr>
        <w:pStyle w:val="HitHeading3"/>
        <w:keepNext/>
        <w:keepLines/>
      </w:pPr>
      <w:bookmarkStart w:id="5016" w:name="_Toc102000016"/>
      <w:r>
        <w:t>平台反垄断对消费者福利的影响</w:t>
      </w:r>
      <w:bookmarkEnd w:id="5016"/>
    </w:p>
    <w:p>
      <w:pPr>
        <w:pStyle w:val="HitBody"/>
        <w:ind w:firstLineChars="200" w:firstLine="480"/>
        <w:widowControl w:val="0"/>
        <w:spacing w:line="360" w:lineRule="auto"/>
      </w:pPr>
      <w:r>
        <w:rPr>
          <w:rFonts w:ascii="Times New Roman" w:hAnsi="Times New Roman" w:eastAsia="宋体"/>
          <w:sz w:val="24"/>
          <w:szCs w:val="24"/>
        </w:rPr>
        <w:t>消费者福利是反垄断政策的核心目标之一。大量文献从价格效应、选择多样性和服务质量三个维度评估平台反垄断的消费者福利效应。</w:t>
      </w:r>
    </w:p>
    <w:p>
      <w:pPr>
        <w:pStyle w:val="HitBody"/>
        <w:ind w:firstLineChars="200" w:firstLine="480"/>
        <w:widowControl w:val="0"/>
        <w:spacing w:line="360" w:lineRule="auto"/>
      </w:pPr>
      <w:r>
        <w:rPr>
          <w:rFonts w:ascii="Times New Roman" w:hAnsi="Times New Roman" w:eastAsia="宋体"/>
          <w:sz w:val="24"/>
          <w:szCs w:val="24"/>
        </w:rPr>
        <w:t>从价格效应看，"二选一"等排他性行为通常导致平台内经营者成本上升并最终转嫁给消费者。Gao等（2023）基于阿里巴巴"二选一"被查处后的数据发现，受处罚平台上的商品价格显著下降约5%—8%，消费者剩余明显增加。从选择多样性看，反垄断执法打破了平台对优质商家的排他性控制，使消费者能够跨平台获取更丰富的商品和服务（Haque等，2022）。从服务质量看，监管压力迫使平台企业从"烧钱抢流量"转向提升用户体验以维持用户黏性，改善了平台服务质量</w:t>
      </w:r>
      <w:hyperlink w:anchor="ref_9" w:history="1">
        <w:r>
          <w:rPr>
            <w:rFonts w:ascii="Times New Roman" w:hAnsi="Times New Roman" w:eastAsia="宋体"/>
            <w:sz w:val="24"/>
            <w:szCs w:val="24"/>
            <w:vertAlign w:val="superscript"/>
          </w:rPr>
          <w:t>[9]</w:t>
        </w:r>
      </w:hyperlink>
      <w:r>
        <w:rPr>
          <w:rFonts w:ascii="Times New Roman" w:hAnsi="Times New Roman" w:eastAsia="宋体"/>
          <w:sz w:val="24"/>
          <w:szCs w:val="24"/>
        </w:rPr>
        <w:t>。</w:t>
      </w:r>
    </w:p>
    <w:p>
      <w:pPr>
        <w:pStyle w:val="HitBody"/>
        <w:ind w:firstLineChars="200" w:firstLine="480"/>
        <w:widowControl w:val="0"/>
        <w:spacing w:line="360" w:lineRule="auto"/>
      </w:pPr>
      <w:r>
        <w:rPr>
          <w:rFonts w:ascii="Times New Roman" w:hAnsi="Times New Roman" w:eastAsia="宋体"/>
          <w:sz w:val="24"/>
          <w:szCs w:val="24"/>
        </w:rPr>
        <w:t>然而，也有学者对消费者福利指标在平台经济中的适用性提出质疑。部分免费平台的"价格"为零，反垄断执法对消费者福利的衡量需要超越传统价格框架，纳入数据隐私、产品质量等更丰富的维度</w:t>
      </w:r>
      <w:hyperlink w:anchor="ref_3" w:history="1">
        <w:r>
          <w:rPr>
            <w:rFonts w:ascii="Times New Roman" w:hAnsi="Times New Roman" w:eastAsia="宋体"/>
            <w:sz w:val="24"/>
            <w:szCs w:val="24"/>
            <w:vertAlign w:val="superscript"/>
          </w:rPr>
          <w:t>[3]</w:t>
        </w:r>
      </w:hyperlink>
      <w:r>
        <w:rPr>
          <w:rFonts w:ascii="Times New Roman" w:hAnsi="Times New Roman" w:eastAsia="宋体"/>
          <w:sz w:val="24"/>
          <w:szCs w:val="24"/>
        </w:rPr>
        <w:t>。</w:t>
      </w:r>
    </w:p>
    <w:p>
      <w:pPr>
        <w:pStyle w:val="HitHeading3"/>
        <w:keepNext/>
        <w:keepLines/>
      </w:pPr>
      <w:bookmarkStart w:id="5017" w:name="_Toc102000017"/>
      <w:r>
        <w:t>平台反垄断对企业经营行为的影响</w:t>
      </w:r>
      <w:bookmarkEnd w:id="5017"/>
    </w:p>
    <w:p>
      <w:pPr>
        <w:pStyle w:val="HitBody"/>
        <w:ind w:firstLineChars="200" w:firstLine="480"/>
        <w:widowControl w:val="0"/>
        <w:spacing w:line="360" w:lineRule="auto"/>
      </w:pPr>
      <w:r>
        <w:rPr>
          <w:rFonts w:ascii="Times New Roman" w:hAnsi="Times New Roman" w:eastAsia="宋体"/>
          <w:sz w:val="24"/>
          <w:szCs w:val="24"/>
        </w:rPr>
        <w:t>平台反垄断对企业经营行为的影响是近年来新兴的研究方向。李东旭等</w:t>
      </w:r>
      <w:hyperlink w:anchor="ref_10" w:history="1">
        <w:r>
          <w:rPr>
            <w:rFonts w:ascii="Times New Roman" w:hAnsi="Times New Roman" w:eastAsia="宋体"/>
            <w:sz w:val="24"/>
            <w:szCs w:val="24"/>
            <w:vertAlign w:val="superscript"/>
          </w:rPr>
          <w:t>[10]</w:t>
        </w:r>
      </w:hyperlink>
      <w:r>
        <w:rPr>
          <w:rFonts w:ascii="Times New Roman" w:hAnsi="Times New Roman" w:eastAsia="宋体"/>
          <w:sz w:val="24"/>
          <w:szCs w:val="24"/>
        </w:rPr>
        <w:t>基于阿里巴巴的案例研究发现，反垄断行政处罚后，数字平台企业的边际利润和研发投入均有所下降。这一发现提示反垄断监管可能通过利润渠道影响企业创新投入，但基于单一案例的结论尚需大样本实证检验。</w:t>
      </w:r>
    </w:p>
    <w:p>
      <w:pPr>
        <w:pStyle w:val="HitBody"/>
        <w:ind w:firstLineChars="200" w:firstLine="480"/>
        <w:widowControl w:val="0"/>
        <w:spacing w:line="360" w:lineRule="auto"/>
      </w:pPr>
      <w:r>
        <w:rPr>
          <w:rFonts w:ascii="Times New Roman" w:hAnsi="Times New Roman" w:eastAsia="宋体"/>
          <w:sz w:val="24"/>
          <w:szCs w:val="24"/>
        </w:rPr>
        <w:t>Rong等（2024）基于中国平台企业的DID实证研究考察了反垄断监管对创业活动的影响。他们发现，反垄断执法显著降低了头部平台的"扼杀式并购"行为，促进了中小平台企业的创业活跃度，但在短期内抑制了头部平台的投资支出。该研究间接表明反垄断监管对平台企业资源配置存在结构性影响。</w:t>
      </w:r>
    </w:p>
    <w:p>
      <w:pPr>
        <w:pStyle w:val="HitBody"/>
        <w:ind w:firstLineChars="200" w:firstLine="480"/>
        <w:widowControl w:val="0"/>
        <w:spacing w:line="360" w:lineRule="auto"/>
      </w:pPr>
      <w:r>
        <w:rPr>
          <w:rFonts w:ascii="Times New Roman" w:hAnsi="Times New Roman" w:eastAsia="宋体"/>
          <w:sz w:val="24"/>
          <w:szCs w:val="24"/>
        </w:rPr>
        <w:t>国内学者赵子夜和吴雨（2023）以反垄断执法为外生冲击，考察了其对数字平台企业并购策略的影响。研究发现，反垄断监管显著降低了平台企业对互补型初创企业的并购频率，但促进了企业在技术研发方面的内生投资。这一"替代效应"为"威慑效应"假说提供了初步证据。</w:t>
      </w:r>
    </w:p>
    <w:p>
      <w:pPr>
        <w:pStyle w:val="HitBody"/>
        <w:ind w:firstLineChars="200" w:firstLine="480"/>
        <w:widowControl w:val="0"/>
        <w:spacing w:line="360" w:lineRule="auto"/>
      </w:pPr>
      <w:r>
        <w:rPr>
          <w:rFonts w:ascii="Times New Roman" w:hAnsi="Times New Roman" w:eastAsia="宋体"/>
          <w:sz w:val="24"/>
          <w:szCs w:val="24"/>
        </w:rPr>
        <w:t>总体来看，现有文献对平台反垄断企业层面的研究多集中于并购行为、市场策略和财务表现，对企业研发投入——这一反映企业长期创新战略的核心指标——的系统考察仍然匮乏。本文正是针对这一研究空白展开。</w:t>
      </w:r>
    </w:p>
    <w:p>
      <w:pPr>
        <w:pStyle w:val="HitHeading2"/>
        <w:keepNext/>
        <w:keepLines/>
      </w:pPr>
      <w:bookmarkStart w:id="5018" w:name="_Toc102000018"/>
      <w:r>
        <w:t>企业研发投入的影响因素研究</w:t>
      </w:r>
      <w:bookmarkEnd w:id="5018"/>
    </w:p>
    <w:p>
      <w:pPr>
        <w:pStyle w:val="HitHeading3"/>
        <w:keepNext/>
        <w:keepLines/>
      </w:pPr>
      <w:bookmarkStart w:id="5019" w:name="_Toc102000019"/>
      <w:r>
        <w:t>市场竞争与创新激励</w:t>
      </w:r>
      <w:bookmarkEnd w:id="5019"/>
    </w:p>
    <w:p>
      <w:pPr>
        <w:pStyle w:val="HitBody"/>
        <w:ind w:firstLineChars="200" w:firstLine="480"/>
        <w:widowControl w:val="0"/>
        <w:spacing w:line="360" w:lineRule="auto"/>
      </w:pPr>
      <w:r>
        <w:rPr>
          <w:rFonts w:ascii="Times New Roman" w:hAnsi="Times New Roman" w:eastAsia="宋体"/>
          <w:sz w:val="24"/>
          <w:szCs w:val="24"/>
        </w:rPr>
        <w:t>市场竞争对企业研发投入的影响是产业组织理论的核心议题之一。熊彼特</w:t>
      </w:r>
      <w:hyperlink w:anchor="ref_1" w:history="1">
        <w:r>
          <w:rPr>
            <w:rFonts w:ascii="Times New Roman" w:hAnsi="Times New Roman" w:eastAsia="宋体"/>
            <w:sz w:val="24"/>
            <w:szCs w:val="24"/>
            <w:vertAlign w:val="superscript"/>
          </w:rPr>
          <w:t>[1]</w:t>
        </w:r>
      </w:hyperlink>
      <w:r>
        <w:rPr>
          <w:rFonts w:ascii="Times New Roman" w:hAnsi="Times New Roman" w:eastAsia="宋体"/>
          <w:sz w:val="24"/>
          <w:szCs w:val="24"/>
        </w:rPr>
        <w:t>在《资本主义、社会主义与民主》中提出，垄断利润为创新提供了必要的资金保障，大企业凭借市场力量更有能力承担高风险的研发活动。这一"熊彼特假说"在后续实证研究中得到了部分支持：Apecer等（2020）基于全球上市公司数据的实证研究表明，市场集中度与创新产出之间存在显著正相关关系。</w:t>
      </w:r>
    </w:p>
    <w:p>
      <w:pPr>
        <w:pStyle w:val="HitBody"/>
        <w:ind w:firstLineChars="200" w:firstLine="480"/>
        <w:widowControl w:val="0"/>
        <w:spacing w:line="360" w:lineRule="auto"/>
      </w:pPr>
      <w:r>
        <w:rPr>
          <w:rFonts w:ascii="Times New Roman" w:hAnsi="Times New Roman" w:eastAsia="宋体"/>
          <w:sz w:val="24"/>
          <w:szCs w:val="24"/>
        </w:rPr>
        <w:t>然而，Aghion等（2005）提出的"雁形假说"（Inverted-U Relationship）对上述观点提出了挑战。他们基于OECD国家面板数据的实证研究表明，市场竞争与创新之间存在倒U型关系：在低竞争（高垄断）环境下，企业创新激励不足；随着竞争程度提高，创新激励逐步增强；但竞争程度超过最优水平后，创新激励又因企业无法获得创新回报而下降。这一"雁形效应"在数字经济情境下得到了进一步验证</w:t>
      </w:r>
      <w:hyperlink w:anchor="ref_11" w:history="1">
        <w:r>
          <w:rPr>
            <w:rFonts w:ascii="Times New Roman" w:hAnsi="Times New Roman" w:eastAsia="宋体"/>
            <w:sz w:val="24"/>
            <w:szCs w:val="24"/>
            <w:vertAlign w:val="superscript"/>
          </w:rPr>
          <w:t>[11]</w:t>
        </w:r>
      </w:hyperlink>
      <w:r>
        <w:rPr>
          <w:rFonts w:ascii="Times New Roman" w:hAnsi="Times New Roman" w:eastAsia="宋体"/>
          <w:sz w:val="24"/>
          <w:szCs w:val="24"/>
        </w:rPr>
        <w:t>。</w:t>
      </w:r>
    </w:p>
    <w:p>
      <w:pPr>
        <w:pStyle w:val="HitBody"/>
        <w:ind w:firstLineChars="200" w:firstLine="480"/>
        <w:widowControl w:val="0"/>
        <w:spacing w:line="360" w:lineRule="auto"/>
      </w:pPr>
      <w:r>
        <w:rPr>
          <w:rFonts w:ascii="Times New Roman" w:hAnsi="Times New Roman" w:eastAsia="宋体"/>
          <w:sz w:val="24"/>
          <w:szCs w:val="24"/>
        </w:rPr>
        <w:t>在平台经济领域，市场竞争对研发投入的影响可能呈现更为复杂的面貌。一方面，平台竞争已从价格竞争转向非价格竞争（如技术创新、服务质量），这理论上会增强竞争对创新的正向激励；另一方面，平台"赢者通吃"特性意味着竞争失败的企业可能面临"归零"风险，从而产生"赢家通吃"后的创新惰性。Zhu和Wu（2021）基于中国电商平台的实证研究发现，反垄断执法增强了平台间的竞争强度，进而促进了平台企业的技术投入。</w:t>
      </w:r>
    </w:p>
    <w:p>
      <w:pPr>
        <w:pStyle w:val="HitHeading3"/>
        <w:keepNext/>
        <w:keepLines/>
      </w:pPr>
      <w:bookmarkStart w:id="5020" w:name="_Toc102000020"/>
      <w:r>
        <w:t>制度环境与政策监管</w:t>
      </w:r>
      <w:bookmarkEnd w:id="5020"/>
    </w:p>
    <w:p>
      <w:pPr>
        <w:pStyle w:val="HitBody"/>
        <w:ind w:firstLineChars="200" w:firstLine="480"/>
        <w:widowControl w:val="0"/>
        <w:spacing w:line="360" w:lineRule="auto"/>
      </w:pPr>
      <w:r>
        <w:rPr>
          <w:rFonts w:ascii="Times New Roman" w:hAnsi="Times New Roman" w:eastAsia="宋体"/>
          <w:sz w:val="24"/>
          <w:szCs w:val="24"/>
        </w:rPr>
        <w:t>制度环境是企业研发投入的重要外部约束和激励来源。在转型经济国家，政策监管的不确定性对企业创新投入具有显著影响。</w:t>
      </w:r>
    </w:p>
    <w:p>
      <w:pPr>
        <w:pStyle w:val="HitBody"/>
        <w:ind w:firstLineChars="200" w:firstLine="480"/>
        <w:widowControl w:val="0"/>
        <w:spacing w:line="360" w:lineRule="auto"/>
      </w:pPr>
      <w:r>
        <w:rPr>
          <w:rFonts w:ascii="Times New Roman" w:hAnsi="Times New Roman" w:eastAsia="宋体"/>
          <w:sz w:val="24"/>
          <w:szCs w:val="24"/>
        </w:rPr>
        <w:t>知识产权保护</w:t>
      </w:r>
      <w:r>
        <w:rPr>
          <w:rFonts w:ascii="Times New Roman" w:hAnsi="Times New Roman" w:eastAsia="宋体"/>
          <w:sz w:val="24"/>
          <w:szCs w:val="24"/>
        </w:rPr>
        <w:t>：吴超鹏和唐菂（2016）基于中国上市公司数据的实证研究表明，知识产权保护执法力度显著提升了企业技术创新水平和创新质量。知识产权保护制度的完善降低了创新成果被模仿的风险，提高了企业研发投资的预期回报率（Aghion等，2020）。</w:t>
      </w:r>
    </w:p>
    <w:p>
      <w:pPr>
        <w:pStyle w:val="HitBody"/>
        <w:ind w:firstLineChars="200" w:firstLine="480"/>
        <w:widowControl w:val="0"/>
        <w:spacing w:line="360" w:lineRule="auto"/>
      </w:pPr>
      <w:r>
        <w:rPr>
          <w:rFonts w:ascii="Times New Roman" w:hAnsi="Times New Roman" w:eastAsia="宋体"/>
          <w:sz w:val="24"/>
          <w:szCs w:val="24"/>
        </w:rPr>
        <w:t>产业政策</w:t>
      </w:r>
      <w:r>
        <w:rPr>
          <w:rFonts w:ascii="Times New Roman" w:hAnsi="Times New Roman" w:eastAsia="宋体"/>
          <w:sz w:val="24"/>
          <w:szCs w:val="24"/>
        </w:rPr>
        <w:t>：大量文献考察了产业政策对企业研发投入的影响。中国实践中，研发加计扣除、高新技术企业税收优惠、专项补贴等产业政策显著促进了企业研发投资（花合凤和谢莉娟，2022）。但这些政策效应存在异质性，对国有企业和大型企业的激励效果通常优于民营企业和中小企业</w:t>
      </w:r>
      <w:hyperlink w:anchor="ref_12" w:history="1">
        <w:r>
          <w:rPr>
            <w:rFonts w:ascii="Times New Roman" w:hAnsi="Times New Roman" w:eastAsia="宋体"/>
            <w:sz w:val="24"/>
            <w:szCs w:val="24"/>
            <w:vertAlign w:val="superscript"/>
          </w:rPr>
          <w:t>[12]</w:t>
        </w:r>
      </w:hyperlink>
      <w:r>
        <w:rPr>
          <w:rFonts w:ascii="Times New Roman" w:hAnsi="Times New Roman" w:eastAsia="宋体"/>
          <w:sz w:val="24"/>
          <w:szCs w:val="24"/>
        </w:rPr>
        <w:t>。</w:t>
      </w:r>
    </w:p>
    <w:p>
      <w:pPr>
        <w:pStyle w:val="HitBody"/>
        <w:ind w:firstLineChars="200" w:firstLine="480"/>
        <w:widowControl w:val="0"/>
        <w:spacing w:line="360" w:lineRule="auto"/>
      </w:pPr>
      <w:r>
        <w:rPr>
          <w:rFonts w:ascii="Times New Roman" w:hAnsi="Times New Roman" w:eastAsia="宋体"/>
          <w:sz w:val="24"/>
          <w:szCs w:val="24"/>
        </w:rPr>
        <w:t>数据监管</w:t>
      </w:r>
      <w:r>
        <w:rPr>
          <w:rFonts w:ascii="Times New Roman" w:hAnsi="Times New Roman" w:eastAsia="宋体"/>
          <w:sz w:val="24"/>
          <w:szCs w:val="24"/>
        </w:rPr>
        <w:t>：数据安全法和个人信息保护法的出台对平台企业数据使用和研发投入产生了新的影响。部分研究表明，数据监管增加了平台企业的数据合规成本，短期内可能挤出研发预算（张成康和刘梦，2023）；但长期来看，数据监管也推动了企业在隐私计算、联邦学习等数据安全技术领域的研发投入</w:t>
      </w:r>
      <w:hyperlink w:anchor="ref_13" w:history="1">
        <w:r>
          <w:rPr>
            <w:rFonts w:ascii="Times New Roman" w:hAnsi="Times New Roman" w:eastAsia="宋体"/>
            <w:sz w:val="24"/>
            <w:szCs w:val="24"/>
            <w:vertAlign w:val="superscript"/>
          </w:rPr>
          <w:t>[13]</w:t>
        </w:r>
      </w:hyperlink>
      <w:r>
        <w:rPr>
          <w:rFonts w:ascii="Times New Roman" w:hAnsi="Times New Roman" w:eastAsia="宋体"/>
          <w:sz w:val="24"/>
          <w:szCs w:val="24"/>
        </w:rPr>
        <w:t>。</w:t>
      </w:r>
    </w:p>
    <w:p>
      <w:pPr>
        <w:pStyle w:val="HitHeading3"/>
        <w:keepNext/>
        <w:keepLines/>
      </w:pPr>
      <w:bookmarkStart w:id="5021" w:name="_Toc102000021"/>
      <w:r>
        <w:t>企业特征与内部治理</w:t>
      </w:r>
      <w:bookmarkEnd w:id="5021"/>
    </w:p>
    <w:p>
      <w:pPr>
        <w:pStyle w:val="HitBody"/>
        <w:ind w:firstLineChars="200" w:firstLine="480"/>
        <w:widowControl w:val="0"/>
        <w:spacing w:line="360" w:lineRule="auto"/>
      </w:pPr>
      <w:r>
        <w:rPr>
          <w:rFonts w:ascii="Times New Roman" w:hAnsi="Times New Roman" w:eastAsia="宋体"/>
          <w:sz w:val="24"/>
          <w:szCs w:val="24"/>
        </w:rPr>
        <w:t>企业层面的研发决策受到企业规模、现金流、股权结构、管理层特征等因素的系统影响。</w:t>
      </w:r>
    </w:p>
    <w:p>
      <w:pPr>
        <w:pStyle w:val="HitBody"/>
        <w:ind w:firstLineChars="200" w:firstLine="480"/>
        <w:widowControl w:val="0"/>
        <w:spacing w:line="360" w:lineRule="auto"/>
      </w:pPr>
      <w:r>
        <w:rPr>
          <w:rFonts w:ascii="Times New Roman" w:hAnsi="Times New Roman" w:eastAsia="宋体"/>
          <w:sz w:val="24"/>
          <w:szCs w:val="24"/>
        </w:rPr>
        <w:t>企业规模</w:t>
      </w:r>
      <w:r>
        <w:rPr>
          <w:rFonts w:ascii="Times New Roman" w:hAnsi="Times New Roman" w:eastAsia="宋体"/>
          <w:sz w:val="24"/>
          <w:szCs w:val="24"/>
        </w:rPr>
        <w:t>：规模效应和范围经济使大企业具有更强的研发能力，但同时也可能削弱创新激励</w:t>
      </w:r>
      <w:hyperlink w:anchor="ref_14" w:history="1">
        <w:r>
          <w:rPr>
            <w:rFonts w:ascii="Times New Roman" w:hAnsi="Times New Roman" w:eastAsia="宋体"/>
            <w:sz w:val="24"/>
            <w:szCs w:val="24"/>
            <w:vertAlign w:val="superscript"/>
          </w:rPr>
          <w:t>[14]</w:t>
        </w:r>
      </w:hyperlink>
      <w:r>
        <w:rPr>
          <w:rFonts w:ascii="Times New Roman" w:hAnsi="Times New Roman" w:eastAsia="宋体"/>
          <w:sz w:val="24"/>
          <w:szCs w:val="24"/>
        </w:rPr>
        <w:t>。</w:t>
      </w:r>
    </w:p>
    <w:p>
      <w:pPr>
        <w:pStyle w:val="HitBody"/>
        <w:ind w:firstLineChars="200" w:firstLine="480"/>
        <w:widowControl w:val="0"/>
        <w:spacing w:line="360" w:lineRule="auto"/>
      </w:pPr>
      <w:r>
        <w:rPr>
          <w:rFonts w:ascii="Times New Roman" w:hAnsi="Times New Roman" w:eastAsia="宋体"/>
          <w:sz w:val="24"/>
          <w:szCs w:val="24"/>
        </w:rPr>
        <w:t>现金流与融资约束</w:t>
      </w:r>
      <w:r>
        <w:rPr>
          <w:rFonts w:ascii="Times New Roman" w:hAnsi="Times New Roman" w:eastAsia="宋体"/>
          <w:sz w:val="24"/>
          <w:szCs w:val="24"/>
        </w:rPr>
        <w:t>：研发投入的高风险和长期性使企业更依赖内源融资，现金流充裕的企业更有可能持续投入研发</w:t>
      </w:r>
      <w:hyperlink w:anchor="ref_15" w:history="1">
        <w:r>
          <w:rPr>
            <w:rFonts w:ascii="Times New Roman" w:hAnsi="Times New Roman" w:eastAsia="宋体"/>
            <w:sz w:val="24"/>
            <w:szCs w:val="24"/>
            <w:vertAlign w:val="superscript"/>
          </w:rPr>
          <w:t>[15]</w:t>
        </w:r>
      </w:hyperlink>
      <w:r>
        <w:rPr>
          <w:rFonts w:ascii="Times New Roman" w:hAnsi="Times New Roman" w:eastAsia="宋体"/>
          <w:sz w:val="24"/>
          <w:szCs w:val="24"/>
        </w:rPr>
        <w:t>。融资约束会显著抑制企业研发投资</w:t>
      </w:r>
      <w:hyperlink w:anchor="ref_16" w:history="1">
        <w:r>
          <w:rPr>
            <w:rFonts w:ascii="Times New Roman" w:hAnsi="Times New Roman" w:eastAsia="宋体"/>
            <w:sz w:val="24"/>
            <w:szCs w:val="24"/>
            <w:vertAlign w:val="superscript"/>
          </w:rPr>
          <w:t>[16]</w:t>
        </w:r>
      </w:hyperlink>
      <w:r>
        <w:rPr>
          <w:rFonts w:ascii="Times New Roman" w:hAnsi="Times New Roman" w:eastAsia="宋体"/>
          <w:sz w:val="24"/>
          <w:szCs w:val="24"/>
        </w:rPr>
        <w:t>。</w:t>
      </w:r>
    </w:p>
    <w:p>
      <w:pPr>
        <w:pStyle w:val="HitBody"/>
        <w:ind w:firstLineChars="200" w:firstLine="480"/>
        <w:widowControl w:val="0"/>
        <w:spacing w:line="360" w:lineRule="auto"/>
      </w:pPr>
      <w:r>
        <w:rPr>
          <w:rFonts w:ascii="Times New Roman" w:hAnsi="Times New Roman" w:eastAsia="宋体"/>
          <w:sz w:val="24"/>
          <w:szCs w:val="24"/>
        </w:rPr>
        <w:t>公司治理</w:t>
      </w:r>
      <w:r>
        <w:rPr>
          <w:rFonts w:ascii="Times New Roman" w:hAnsi="Times New Roman" w:eastAsia="宋体"/>
          <w:sz w:val="24"/>
          <w:szCs w:val="24"/>
        </w:rPr>
        <w:t>：股权结构对研发投入的影响呈现非线性特征。适度的股权集中度有利于监督经理人行为、保障长期研发投资，但过度集中可能使大股东侵害中小股东利益、削减研发投入（刘善伟和赵玉霞，2021）。管理层薪酬激励（特别是股权激励）被广泛证实能够有效提升企业研发投资意愿</w:t>
      </w:r>
      <w:hyperlink w:anchor="ref_17" w:history="1">
        <w:r>
          <w:rPr>
            <w:rFonts w:ascii="Times New Roman" w:hAnsi="Times New Roman" w:eastAsia="宋体"/>
            <w:sz w:val="24"/>
            <w:szCs w:val="24"/>
            <w:vertAlign w:val="superscript"/>
          </w:rPr>
          <w:t>[17]</w:t>
        </w:r>
      </w:hyperlink>
      <w:r>
        <w:rPr>
          <w:rFonts w:ascii="Times New Roman" w:hAnsi="Times New Roman" w:eastAsia="宋体"/>
          <w:sz w:val="24"/>
          <w:szCs w:val="24"/>
        </w:rPr>
        <w:t>。</w:t>
      </w:r>
    </w:p>
    <w:p>
      <w:pPr>
        <w:pStyle w:val="HitHeading2"/>
        <w:keepNext/>
        <w:keepLines/>
      </w:pPr>
      <w:bookmarkStart w:id="5022" w:name="_Toc102000022"/>
      <w:r>
        <w:t>反垄断与创新关系的理论争论及实证进展</w:t>
      </w:r>
      <w:bookmarkEnd w:id="5022"/>
    </w:p>
    <w:p>
      <w:pPr>
        <w:pStyle w:val="HitHeading3"/>
        <w:keepNext/>
        <w:keepLines/>
      </w:pPr>
      <w:bookmarkStart w:id="5023" w:name="_Toc102000023"/>
      <w:r>
        <w:t>"熊彼特假说"与"雁形假说"的对立</w:t>
      </w:r>
      <w:bookmarkEnd w:id="5023"/>
    </w:p>
    <w:p>
      <w:pPr>
        <w:pStyle w:val="HitBody"/>
        <w:ind w:firstLineChars="200" w:firstLine="480"/>
        <w:widowControl w:val="0"/>
        <w:spacing w:line="360" w:lineRule="auto"/>
      </w:pPr>
      <w:r>
        <w:rPr>
          <w:rFonts w:ascii="Times New Roman" w:hAnsi="Times New Roman" w:eastAsia="宋体"/>
          <w:sz w:val="24"/>
          <w:szCs w:val="24"/>
        </w:rPr>
        <w:t>垄断与创新的关系一直是产业组织理论中最富争议的议题之一。</w:t>
      </w:r>
    </w:p>
    <w:p>
      <w:pPr>
        <w:pStyle w:val="HitBody"/>
        <w:ind w:firstLineChars="200" w:firstLine="480"/>
        <w:widowControl w:val="0"/>
        <w:spacing w:line="360" w:lineRule="auto"/>
      </w:pPr>
      <w:r>
        <w:rPr>
          <w:rFonts w:ascii="Times New Roman" w:hAnsi="Times New Roman" w:eastAsia="宋体"/>
          <w:sz w:val="24"/>
          <w:szCs w:val="24"/>
        </w:rPr>
        <w:t>熊彼特假说</w:t>
      </w:r>
      <w:hyperlink w:anchor="ref_18" w:history="1">
        <w:r>
          <w:rPr>
            <w:rFonts w:ascii="Times New Roman" w:hAnsi="Times New Roman" w:eastAsia="宋体"/>
            <w:sz w:val="24"/>
            <w:szCs w:val="24"/>
            <w:vertAlign w:val="superscript"/>
          </w:rPr>
          <w:t>[18]</w:t>
        </w:r>
      </w:hyperlink>
      <w:r>
        <w:rPr>
          <w:rFonts w:ascii="Times New Roman" w:hAnsi="Times New Roman" w:eastAsia="宋体"/>
          <w:sz w:val="24"/>
          <w:szCs w:val="24"/>
        </w:rPr>
        <w:t>的核心逻辑是：（1）创新活动具有高沉没成本和高风险特征，垄断利润为企业提供了必要的"保险"资金；（2）"创新收益的 Appropriability"——只有在垄断程度上，创新者才能充分获取创新带来的租金，否则创新成果被模仿的风险将大幅降低企业创新激励；（3）规模经济——大规模生产与研发的固定成本分摊效应使大企业具有创新优势。</w:t>
      </w:r>
    </w:p>
    <w:p>
      <w:pPr>
        <w:pStyle w:val="HitBody"/>
        <w:ind w:firstLineChars="200" w:firstLine="480"/>
        <w:widowControl w:val="0"/>
        <w:spacing w:line="360" w:lineRule="auto"/>
      </w:pPr>
      <w:r>
        <w:rPr>
          <w:rFonts w:ascii="Times New Roman" w:hAnsi="Times New Roman" w:eastAsia="宋体"/>
          <w:sz w:val="24"/>
          <w:szCs w:val="24"/>
        </w:rPr>
        <w:t>雁形假说</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的核心逻辑是：（1）垄断程度过高时，在位企业利用市场力量维持现状，缺乏突破式创新动力；（2）竞争压力迫使企业通过创新获取差异化竞争优势；（3）"逃逸竞争效应"（Escape Competition Effect）——当企业间差距较小时，竞争越强，企业越有动力通过创新"逃离"竞争劣势；但当差距过大时，弱势企业因预期回报太低而放弃创新。</w:t>
      </w:r>
    </w:p>
    <w:p>
      <w:pPr>
        <w:pStyle w:val="HitHeading3"/>
        <w:keepNext/>
        <w:keepLines/>
      </w:pPr>
      <w:bookmarkStart w:id="5024" w:name="_Toc102000024"/>
      <w:r>
        <w:t>反垄断执法与企业创新的实证证据</w:t>
      </w:r>
      <w:bookmarkEnd w:id="5024"/>
    </w:p>
    <w:p>
      <w:pPr>
        <w:pStyle w:val="HitBody"/>
        <w:ind w:firstLineChars="200" w:firstLine="480"/>
        <w:widowControl w:val="0"/>
        <w:spacing w:line="360" w:lineRule="auto"/>
      </w:pPr>
      <w:r>
        <w:rPr>
          <w:rFonts w:ascii="Times New Roman" w:hAnsi="Times New Roman" w:eastAsia="宋体"/>
          <w:sz w:val="24"/>
          <w:szCs w:val="24"/>
        </w:rPr>
        <w:t>实证研究对反垄断与创新关系的检验结果呈现分歧。</w:t>
      </w:r>
    </w:p>
    <w:p>
      <w:pPr>
        <w:pStyle w:val="HitBody"/>
        <w:ind w:firstLineChars="200" w:firstLine="480"/>
        <w:widowControl w:val="0"/>
        <w:spacing w:line="360" w:lineRule="auto"/>
      </w:pPr>
      <w:r>
        <w:rPr>
          <w:rFonts w:ascii="Times New Roman" w:hAnsi="Times New Roman" w:eastAsia="宋体"/>
          <w:sz w:val="24"/>
          <w:szCs w:val="24"/>
        </w:rPr>
        <w:t>抑制创新的证据</w:t>
      </w:r>
      <w:r>
        <w:rPr>
          <w:rFonts w:ascii="Times New Roman" w:hAnsi="Times New Roman" w:eastAsia="宋体"/>
          <w:sz w:val="24"/>
          <w:szCs w:val="24"/>
        </w:rPr>
        <w:t>：部分研究表明，反垄断执法可能通过增加不确定性、削弱规模经济效应等渠道抑制企业创新。Beleniko和Schankerman（2013）基于欧盟和美国的反垄断案例研究发现，严厉的反垄断处罚对企业后续专利产出存在显著的短期负面影响。对于平台企业，高额罚款直接减少了可用于研发的内源资金</w:t>
      </w:r>
      <w:hyperlink w:anchor="ref_10" w:history="1">
        <w:r>
          <w:rPr>
            <w:rFonts w:ascii="Times New Roman" w:hAnsi="Times New Roman" w:eastAsia="宋体"/>
            <w:sz w:val="24"/>
            <w:szCs w:val="24"/>
            <w:vertAlign w:val="superscript"/>
          </w:rPr>
          <w:t>[10]</w:t>
        </w:r>
      </w:hyperlink>
      <w:r>
        <w:rPr>
          <w:rFonts w:ascii="Times New Roman" w:hAnsi="Times New Roman" w:eastAsia="宋体"/>
          <w:sz w:val="24"/>
          <w:szCs w:val="24"/>
        </w:rPr>
        <w:t>。</w:t>
      </w:r>
    </w:p>
    <w:p>
      <w:pPr>
        <w:pStyle w:val="HitBody"/>
        <w:ind w:firstLineChars="200" w:firstLine="480"/>
        <w:widowControl w:val="0"/>
        <w:spacing w:line="360" w:lineRule="auto"/>
      </w:pPr>
      <w:r>
        <w:rPr>
          <w:rFonts w:ascii="Times New Roman" w:hAnsi="Times New Roman" w:eastAsia="宋体"/>
          <w:sz w:val="24"/>
          <w:szCs w:val="24"/>
        </w:rPr>
        <w:t>促进创新的证据</w:t>
      </w:r>
      <w:r>
        <w:rPr>
          <w:rFonts w:ascii="Times New Roman" w:hAnsi="Times New Roman" w:eastAsia="宋体"/>
          <w:sz w:val="24"/>
          <w:szCs w:val="24"/>
        </w:rPr>
        <w:t>：另一些研究则发现反垄断执法有助于激发创新活力。Arora等（2018）的实证研究表明，反垄断执法通过降低市场进入壁垒，促进了新进入者的创新活动。在平台经济领域，反垄断执法打破了"赢家通吃"的固化格局，为中小平台企业创造了更多创新机会</w:t>
      </w:r>
      <w:hyperlink w:anchor="ref_19" w:history="1">
        <w:r>
          <w:rPr>
            <w:rFonts w:ascii="Times New Roman" w:hAnsi="Times New Roman" w:eastAsia="宋体"/>
            <w:sz w:val="24"/>
            <w:szCs w:val="24"/>
            <w:vertAlign w:val="superscript"/>
          </w:rPr>
          <w:t>[19]</w:t>
        </w:r>
      </w:hyperlink>
      <w:r>
        <w:rPr>
          <w:rFonts w:ascii="Times New Roman" w:hAnsi="Times New Roman" w:eastAsia="宋体"/>
          <w:sz w:val="24"/>
          <w:szCs w:val="24"/>
        </w:rPr>
        <w:t>。</w:t>
      </w:r>
    </w:p>
    <w:p>
      <w:pPr>
        <w:pStyle w:val="HitBody"/>
        <w:ind w:firstLineChars="200" w:firstLine="480"/>
        <w:widowControl w:val="0"/>
        <w:spacing w:line="360" w:lineRule="auto"/>
      </w:pPr>
      <w:r>
        <w:rPr>
          <w:rFonts w:ascii="Times New Roman" w:hAnsi="Times New Roman" w:eastAsia="宋体"/>
          <w:sz w:val="24"/>
          <w:szCs w:val="24"/>
        </w:rPr>
        <w:t>非线性关系的证据</w:t>
      </w:r>
      <w:r>
        <w:rPr>
          <w:rFonts w:ascii="Times New Roman" w:hAnsi="Times New Roman" w:eastAsia="宋体"/>
          <w:sz w:val="24"/>
          <w:szCs w:val="24"/>
        </w:rPr>
        <w:t>：部分研究支持"雁形假说"的倒U型关系，认为反垄断政策对创新的影响取决于初始市场结构。若企业初始垄断程度过高，反垄断执法将显著促进创新；若市场已处于充分竞争状态，反垄断反而可能抑制创新</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w:t>
      </w:r>
    </w:p>
    <w:p>
      <w:pPr>
        <w:pStyle w:val="HitHeading3"/>
        <w:keepNext/>
        <w:keepLines/>
      </w:pPr>
      <w:bookmarkStart w:id="5025" w:name="_Toc102000025"/>
      <w:r>
        <w:t>平台经济情境下反垄断与创新关系的特殊性</w:t>
      </w:r>
      <w:bookmarkEnd w:id="5025"/>
    </w:p>
    <w:p>
      <w:pPr>
        <w:pStyle w:val="HitBody"/>
        <w:ind w:firstLineChars="200" w:firstLine="480"/>
        <w:widowControl w:val="0"/>
        <w:spacing w:line="360" w:lineRule="auto"/>
      </w:pPr>
      <w:r>
        <w:rPr>
          <w:rFonts w:ascii="Times New Roman" w:hAnsi="Times New Roman" w:eastAsia="宋体"/>
          <w:sz w:val="24"/>
          <w:szCs w:val="24"/>
        </w:rPr>
        <w:t>在平台经济中，反垄断与创新的关系具有区别于传统产业的特殊性，主要体现在以下方面：</w:t>
      </w:r>
    </w:p>
    <w:p>
      <w:pPr>
        <w:pStyle w:val="HitBody"/>
        <w:ind w:firstLineChars="200" w:firstLine="480"/>
        <w:widowControl w:val="0"/>
        <w:spacing w:line="360" w:lineRule="auto"/>
      </w:pPr>
      <w:r>
        <w:rPr>
          <w:rFonts w:ascii="Times New Roman" w:hAnsi="Times New Roman" w:eastAsia="宋体"/>
          <w:sz w:val="24"/>
          <w:szCs w:val="24"/>
        </w:rPr>
        <w:t>第一，创新维度的多元性</w:t>
      </w:r>
      <w:r>
        <w:rPr>
          <w:rFonts w:ascii="Times New Roman" w:hAnsi="Times New Roman" w:eastAsia="宋体"/>
          <w:sz w:val="24"/>
          <w:szCs w:val="24"/>
        </w:rPr>
        <w:t>。平台创新不仅包括技术创新（如算法优化、AI应用），还包括商业模式创新（如新的盈利模式）、组织创新（如灵活用工机制）和产品创新（如新功能开发）。不同创新类型对反垄断的响应可能存在显著差异</w:t>
      </w:r>
      <w:hyperlink w:anchor="ref_13" w:history="1">
        <w:r>
          <w:rPr>
            <w:rFonts w:ascii="Times New Roman" w:hAnsi="Times New Roman" w:eastAsia="宋体"/>
            <w:sz w:val="24"/>
            <w:szCs w:val="24"/>
            <w:vertAlign w:val="superscript"/>
          </w:rPr>
          <w:t>[13]</w:t>
        </w:r>
      </w:hyperlink>
      <w:r>
        <w:rPr>
          <w:rFonts w:ascii="Times New Roman" w:hAnsi="Times New Roman" w:eastAsia="宋体"/>
          <w:sz w:val="24"/>
          <w:szCs w:val="24"/>
        </w:rPr>
        <w:t>。</w:t>
      </w:r>
    </w:p>
    <w:p>
      <w:pPr>
        <w:pStyle w:val="HitBody"/>
        <w:ind w:firstLineChars="200" w:firstLine="480"/>
        <w:widowControl w:val="0"/>
        <w:spacing w:line="360" w:lineRule="auto"/>
      </w:pPr>
      <w:r>
        <w:rPr>
          <w:rFonts w:ascii="Times New Roman" w:hAnsi="Times New Roman" w:eastAsia="宋体"/>
          <w:sz w:val="24"/>
          <w:szCs w:val="24"/>
        </w:rPr>
        <w:t>第二，竞争性质的动态性</w:t>
      </w:r>
      <w:r>
        <w:rPr>
          <w:rFonts w:ascii="Times New Roman" w:hAnsi="Times New Roman" w:eastAsia="宋体"/>
          <w:sz w:val="24"/>
          <w:szCs w:val="24"/>
        </w:rPr>
        <w:t>。平台竞争高度动态且跨界程度高，平台间的竞争关系可能随时因技术变革或用户需求变化而逆转</w:t>
      </w:r>
      <w:hyperlink w:anchor="ref_20" w:history="1">
        <w:r>
          <w:rPr>
            <w:rFonts w:ascii="Times New Roman" w:hAnsi="Times New Roman" w:eastAsia="宋体"/>
            <w:sz w:val="24"/>
            <w:szCs w:val="24"/>
            <w:vertAlign w:val="superscript"/>
          </w:rPr>
          <w:t>[20]</w:t>
        </w:r>
      </w:hyperlink>
      <w:r>
        <w:rPr>
          <w:rFonts w:ascii="Times New Roman" w:hAnsi="Times New Roman" w:eastAsia="宋体"/>
          <w:sz w:val="24"/>
          <w:szCs w:val="24"/>
        </w:rPr>
        <w:t>。这种动态竞争特性使反垄断政策对创新的影响更具不确定性。</w:t>
      </w:r>
    </w:p>
    <w:p>
      <w:pPr>
        <w:pStyle w:val="HitBody"/>
        <w:ind w:firstLineChars="200" w:firstLine="480"/>
        <w:widowControl w:val="0"/>
        <w:spacing w:line="360" w:lineRule="auto"/>
      </w:pPr>
      <w:r>
        <w:rPr>
          <w:rFonts w:ascii="Times New Roman" w:hAnsi="Times New Roman" w:eastAsia="宋体"/>
          <w:sz w:val="24"/>
          <w:szCs w:val="24"/>
        </w:rPr>
        <w:t>第三，网络效应的放大作用</w:t>
      </w:r>
      <w:r>
        <w:rPr>
          <w:rFonts w:ascii="Times New Roman" w:hAnsi="Times New Roman" w:eastAsia="宋体"/>
          <w:sz w:val="24"/>
          <w:szCs w:val="24"/>
        </w:rPr>
        <w:t>。平台网络效应意味着反垄断执法对市场结构的边际影响可能远超传统行业。对头部平台的监管可能产生强烈的"示范效应"，促使整个行业调整战略方向</w:t>
      </w:r>
      <w:hyperlink w:anchor="ref_21" w:history="1">
        <w:r>
          <w:rPr>
            <w:rFonts w:ascii="Times New Roman" w:hAnsi="Times New Roman" w:eastAsia="宋体"/>
            <w:sz w:val="24"/>
            <w:szCs w:val="24"/>
            <w:vertAlign w:val="superscript"/>
          </w:rPr>
          <w:t>[21]</w:t>
        </w:r>
      </w:hyperlink>
      <w:r>
        <w:rPr>
          <w:rFonts w:ascii="Times New Roman" w:hAnsi="Times New Roman" w:eastAsia="宋体"/>
          <w:sz w:val="24"/>
          <w:szCs w:val="24"/>
        </w:rPr>
        <w:t>。</w:t>
      </w:r>
    </w:p>
    <w:p>
      <w:pPr>
        <w:pStyle w:val="HitBody"/>
        <w:ind w:firstLineChars="200" w:firstLine="480"/>
        <w:widowControl w:val="0"/>
        <w:spacing w:line="360" w:lineRule="auto"/>
      </w:pPr>
      <w:r>
        <w:rPr>
          <w:rFonts w:ascii="Times New Roman" w:hAnsi="Times New Roman" w:eastAsia="宋体"/>
          <w:sz w:val="24"/>
          <w:szCs w:val="24"/>
        </w:rPr>
        <w:t>第四，数据作为关键生产要素</w:t>
      </w:r>
      <w:r>
        <w:rPr>
          <w:rFonts w:ascii="Times New Roman" w:hAnsi="Times New Roman" w:eastAsia="宋体"/>
          <w:sz w:val="24"/>
          <w:szCs w:val="24"/>
        </w:rPr>
        <w:t>。在平台经济中，数据是核心竞争优势来源。反垄断执法对数据使用和共享规则的重新定义，可能从根本层面改变平台企业的创新方向和创新投入决策（张成康和刘梦，2023）。</w:t>
      </w:r>
    </w:p>
    <w:p>
      <w:pPr>
        <w:pStyle w:val="HitHeading2"/>
        <w:keepNext/>
        <w:keepLines/>
      </w:pPr>
      <w:bookmarkStart w:id="5026" w:name="_Toc102000026"/>
      <w:r>
        <w:t>文献评述与研究空间</w:t>
      </w:r>
      <w:bookmarkEnd w:id="5026"/>
    </w:p>
    <w:p>
      <w:pPr>
        <w:pStyle w:val="HitBody"/>
        <w:ind w:firstLineChars="200" w:firstLine="480"/>
        <w:widowControl w:val="0"/>
        <w:spacing w:line="360" w:lineRule="auto"/>
      </w:pPr>
      <w:r>
        <w:rPr>
          <w:rFonts w:ascii="Times New Roman" w:hAnsi="Times New Roman" w:eastAsia="宋体"/>
          <w:sz w:val="24"/>
          <w:szCs w:val="24"/>
        </w:rPr>
        <w:t>纵观现有文献，可以得出以下结论：第一，平台反垄断的经济后果研究正从宏观层面的市场结构和消费者福利，逐步深化到微观层面的企业经营行为，但对企业研发投入的系统考察仍然不足。第二，在垄断与创新关系的理论争论中，"雁形假说"在实证中获得了更为广泛的支持，但在平台经济情境下，反垄断对创新的净效应仍存在理论分歧。第三，现有研究多将反垄断政策视为外生冲击，较少区分反垄断政策的类型差异及其差异化影响。</w:t>
      </w:r>
    </w:p>
    <w:p>
      <w:pPr>
        <w:pStyle w:val="HitBody"/>
        <w:ind w:firstLineChars="200" w:firstLine="480"/>
        <w:widowControl w:val="0"/>
        <w:spacing w:line="360" w:lineRule="auto"/>
      </w:pPr>
      <w:r>
        <w:rPr>
          <w:rFonts w:ascii="Times New Roman" w:hAnsi="Times New Roman" w:eastAsia="宋体"/>
          <w:sz w:val="24"/>
          <w:szCs w:val="24"/>
        </w:rPr>
        <w:t>基于上述文献评述，本文认为存在以下研究空间：</w:t>
      </w:r>
    </w:p>
    <w:p>
      <w:pPr>
        <w:pStyle w:val="HitBody"/>
        <w:ind w:firstLineChars="200" w:firstLine="480"/>
        <w:widowControl w:val="0"/>
        <w:spacing w:line="360" w:lineRule="auto"/>
      </w:pPr>
      <w:r>
        <w:rPr>
          <w:rFonts w:ascii="Times New Roman" w:hAnsi="Times New Roman" w:eastAsia="宋体"/>
          <w:sz w:val="24"/>
          <w:szCs w:val="24"/>
        </w:rPr>
        <w:t>第一</w:t>
      </w:r>
      <w:r>
        <w:rPr>
          <w:rFonts w:ascii="Times New Roman" w:hAnsi="Times New Roman" w:eastAsia="宋体"/>
          <w:sz w:val="24"/>
          <w:szCs w:val="24"/>
        </w:rPr>
        <w:t>，现有文献对平台反垄断企业效应的研究多关注财务表现、并购策略等短期指标，对研发投入——这一反映企业长期创新战略的核心指标——缺乏系统性考察。本文聚焦反垄断监管对平台企业研发投入的影响，弥补了这一研究空白。</w:t>
      </w:r>
    </w:p>
    <w:p>
      <w:pPr>
        <w:pStyle w:val="HitBody"/>
        <w:ind w:firstLineChars="200" w:firstLine="480"/>
        <w:widowControl w:val="0"/>
        <w:spacing w:line="360" w:lineRule="auto"/>
      </w:pPr>
      <w:r>
        <w:rPr>
          <w:rFonts w:ascii="Times New Roman" w:hAnsi="Times New Roman" w:eastAsia="宋体"/>
          <w:sz w:val="24"/>
          <w:szCs w:val="24"/>
        </w:rPr>
        <w:t>第二</w:t>
      </w:r>
      <w:r>
        <w:rPr>
          <w:rFonts w:ascii="Times New Roman" w:hAnsi="Times New Roman" w:eastAsia="宋体"/>
          <w:sz w:val="24"/>
          <w:szCs w:val="24"/>
        </w:rPr>
        <w:t>，本文在理论框架中同时考察反垄断监管的"威慑效应"和"挤出效应"，从竞争激励、资源约束和预期不确定性三条机制渠道进行实证检验，超越了现有文献对单一效应的关注。</w:t>
      </w:r>
    </w:p>
    <w:p>
      <w:pPr>
        <w:pStyle w:val="HitBody"/>
        <w:ind w:firstLineChars="200" w:firstLine="480"/>
        <w:widowControl w:val="0"/>
        <w:spacing w:line="360" w:lineRule="auto"/>
      </w:pPr>
      <w:r>
        <w:rPr>
          <w:rFonts w:ascii="Times New Roman" w:hAnsi="Times New Roman" w:eastAsia="宋体"/>
          <w:sz w:val="24"/>
          <w:szCs w:val="24"/>
        </w:rPr>
        <w:t>第三</w:t>
      </w:r>
      <w:r>
        <w:rPr>
          <w:rFonts w:ascii="Times New Roman" w:hAnsi="Times New Roman" w:eastAsia="宋体"/>
          <w:sz w:val="24"/>
          <w:szCs w:val="24"/>
        </w:rPr>
        <w:t>，本文区分"竞争行为监管"和"市场结构监管"两类反垄断政策，考察不同类型政策的差异化影响，在政策识别层面提供了更为精细的经验证据。</w:t>
      </w:r>
    </w:p>
    <w:p>
      <w:pPr>
        <w:pStyle w:val="HitBody"/>
        <w:ind w:firstLineChars="200" w:firstLine="480"/>
        <w:widowControl w:val="0"/>
        <w:spacing w:line="360" w:lineRule="auto"/>
      </w:pPr>
      <w:r>
        <w:rPr>
          <w:rFonts w:ascii="Times New Roman" w:hAnsi="Times New Roman" w:eastAsia="宋体"/>
          <w:sz w:val="24"/>
          <w:szCs w:val="24"/>
        </w:rPr>
        <w:t>第四</w:t>
      </w:r>
      <w:r>
        <w:rPr>
          <w:rFonts w:ascii="Times New Roman" w:hAnsi="Times New Roman" w:eastAsia="宋体"/>
          <w:sz w:val="24"/>
          <w:szCs w:val="24"/>
        </w:rPr>
        <w:t>，本文在实证设计中引入数据安全法和个人信息保护法作为同期政策干扰项，在多期DID框架下分离反垄断监管的独立效应，增强了因果识别的可信度。</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2"/>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27" w:name="_Toc102000027"/>
      <w:r>
        <w:t>理论分析与研究假设</w:t>
      </w:r>
      <w:bookmarkEnd w:id="5027"/>
    </w:p>
    <w:p>
      <w:pPr>
        <w:pStyle w:val="HitHeading2"/>
        <w:keepNext/>
        <w:keepLines/>
      </w:pPr>
      <w:bookmarkStart w:id="5028" w:name="_Toc102000028"/>
      <w:r>
        <w:t>核心概念界定</w:t>
      </w:r>
      <w:bookmarkEnd w:id="5028"/>
    </w:p>
    <w:p>
      <w:pPr>
        <w:pStyle w:val="HitHeading3"/>
        <w:keepNext/>
        <w:keepLines/>
      </w:pPr>
      <w:bookmarkStart w:id="5029" w:name="_Toc102000029"/>
      <w:r>
        <w:t>平台反垄断监管</w:t>
      </w:r>
      <w:bookmarkEnd w:id="5029"/>
    </w:p>
    <w:p>
      <w:pPr>
        <w:pStyle w:val="HitBody"/>
        <w:ind w:firstLineChars="200" w:firstLine="480"/>
        <w:widowControl w:val="0"/>
        <w:spacing w:line="360" w:lineRule="auto"/>
      </w:pPr>
      <w:r>
        <w:rPr>
          <w:rFonts w:ascii="Times New Roman" w:hAnsi="Times New Roman" w:eastAsia="宋体"/>
          <w:sz w:val="24"/>
          <w:szCs w:val="24"/>
        </w:rPr>
        <w:t>本文所称"平台反垄断监管"，是指国家反垄断执法机构依据《中华人民共和国反垄断法》及配套法规，对数字平台企业涉嫌垄断行为进行立案调查、行政处罚和整改督导的一系列执法活动。其涵盖三大支柱性执法领域：</w:t>
      </w:r>
    </w:p>
    <w:p>
      <w:pPr>
        <w:pStyle w:val="HitBody"/>
        <w:ind w:firstLineChars="200" w:firstLine="480"/>
        <w:widowControl w:val="0"/>
        <w:spacing w:line="360" w:lineRule="auto"/>
      </w:pPr>
      <w:r>
        <w:rPr>
          <w:rFonts w:ascii="Times New Roman" w:hAnsi="Times New Roman" w:eastAsia="宋体"/>
          <w:sz w:val="24"/>
          <w:szCs w:val="24"/>
        </w:rPr>
        <w:t>（1）</w:t>
      </w:r>
      <w:r>
        <w:rPr>
          <w:rFonts w:ascii="Times New Roman" w:hAnsi="Times New Roman" w:eastAsia="宋体"/>
          <w:sz w:val="24"/>
          <w:szCs w:val="24"/>
        </w:rPr>
        <w:t>禁止垄断协议</w:t>
      </w:r>
      <w:r>
        <w:rPr>
          <w:rFonts w:ascii="Times New Roman" w:hAnsi="Times New Roman" w:eastAsia="宋体"/>
          <w:sz w:val="24"/>
          <w:szCs w:val="24"/>
        </w:rPr>
        <w:t>：查处平台企业达成并实施横向价格垄断协议、纵向固定转售价格等垄断协议行为；（2）</w:t>
      </w:r>
      <w:r>
        <w:rPr>
          <w:rFonts w:ascii="Times New Roman" w:hAnsi="Times New Roman" w:eastAsia="宋体"/>
          <w:sz w:val="24"/>
          <w:szCs w:val="24"/>
        </w:rPr>
        <w:t>禁止滥用市场支配地位</w:t>
      </w:r>
      <w:r>
        <w:rPr>
          <w:rFonts w:ascii="Times New Roman" w:hAnsi="Times New Roman" w:eastAsia="宋体"/>
          <w:sz w:val="24"/>
          <w:szCs w:val="24"/>
        </w:rPr>
        <w:t>：重点打击平台企业实施的"二选一"、"大数据杀熟"、自我优待、不合理高价或低价等滥用市场支配地位行为；（3）</w:t>
      </w:r>
      <w:r>
        <w:rPr>
          <w:rFonts w:ascii="Times New Roman" w:hAnsi="Times New Roman" w:eastAsia="宋体"/>
          <w:sz w:val="24"/>
          <w:szCs w:val="24"/>
        </w:rPr>
        <w:t>经营者集中审查</w:t>
      </w:r>
      <w:r>
        <w:rPr>
          <w:rFonts w:ascii="Times New Roman" w:hAnsi="Times New Roman" w:eastAsia="宋体"/>
          <w:sz w:val="24"/>
          <w:szCs w:val="24"/>
        </w:rPr>
        <w:t>：对平台企业并购/投资行为进行事前申报审查，对未依法申报的违法集中行为进行处罚，对可能产生排除、限制竞争效果的集中行为附加限制性条件批准或予以禁止。</w:t>
      </w:r>
    </w:p>
    <w:p>
      <w:pPr>
        <w:pStyle w:val="HitBody"/>
        <w:ind w:firstLineChars="200" w:firstLine="480"/>
        <w:widowControl w:val="0"/>
        <w:spacing w:line="360" w:lineRule="auto"/>
      </w:pPr>
      <w:r>
        <w:rPr>
          <w:rFonts w:ascii="Times New Roman" w:hAnsi="Times New Roman" w:eastAsia="宋体"/>
          <w:sz w:val="24"/>
          <w:szCs w:val="24"/>
        </w:rPr>
        <w:t>从政策演进看，中国平台反垄断监管经历了从"包容审慎"到"强化监管"的范式转换。2020年12月中央经济工作会议释放"强化反垄断"的政策信号，2021年2月国务院反垄断委员会发布《关于平台经济领域的反垄断指南》，2021年4月阿里巴巴被罚标志着平台反垄断从规则制定阶段进入实质执法阶段。本文所聚焦的反垄断监管冲击，以2021年4月阿里巴巴被罚为标志性事件。</w:t>
      </w:r>
    </w:p>
    <w:p>
      <w:pPr>
        <w:pStyle w:val="HitHeading3"/>
        <w:keepNext/>
        <w:keepLines/>
      </w:pPr>
      <w:bookmarkStart w:id="5030" w:name="_Toc102000030"/>
      <w:r>
        <w:t>数字平台企业</w:t>
      </w:r>
      <w:bookmarkEnd w:id="5030"/>
    </w:p>
    <w:p>
      <w:pPr>
        <w:pStyle w:val="HitBody"/>
        <w:ind w:firstLineChars="200" w:firstLine="480"/>
        <w:widowControl w:val="0"/>
        <w:spacing w:line="360" w:lineRule="auto"/>
      </w:pPr>
      <w:r>
        <w:rPr>
          <w:rFonts w:ascii="Times New Roman" w:hAnsi="Times New Roman" w:eastAsia="宋体"/>
          <w:sz w:val="24"/>
          <w:szCs w:val="24"/>
        </w:rPr>
        <w:t>本文所称"数字平台企业"，是指依托互联网平台开展业务、通过连接双边或多边市场创造价值的企业。参照中国证监会行业分类标准，主要包括以下类型：</w:t>
      </w:r>
    </w:p>
    <w:p>
      <w:pPr>
        <w:pStyle w:val="HitBody"/>
        <w:ind w:firstLineChars="200" w:firstLine="480"/>
        <w:widowControl w:val="0"/>
        <w:spacing w:line="360" w:lineRule="auto"/>
      </w:pPr>
      <w:r>
        <w:rPr>
          <w:rFonts w:ascii="Times New Roman" w:hAnsi="Times New Roman" w:eastAsia="宋体"/>
          <w:sz w:val="24"/>
          <w:szCs w:val="24"/>
        </w:rPr>
        <w:t>（1）</w:t>
      </w:r>
      <w:r>
        <w:rPr>
          <w:rFonts w:ascii="Times New Roman" w:hAnsi="Times New Roman" w:eastAsia="宋体"/>
          <w:sz w:val="24"/>
          <w:szCs w:val="24"/>
        </w:rPr>
        <w:t>电商平台</w:t>
      </w:r>
      <w:r>
        <w:rPr>
          <w:rFonts w:ascii="Times New Roman" w:hAnsi="Times New Roman" w:eastAsia="宋体"/>
          <w:sz w:val="24"/>
          <w:szCs w:val="24"/>
        </w:rPr>
        <w:t>：如阿里巴巴、京东、拼多多等；（2）</w:t>
      </w:r>
      <w:r>
        <w:rPr>
          <w:rFonts w:ascii="Times New Roman" w:hAnsi="Times New Roman" w:eastAsia="宋体"/>
          <w:sz w:val="24"/>
          <w:szCs w:val="24"/>
        </w:rPr>
        <w:t>社交平台</w:t>
      </w:r>
      <w:r>
        <w:rPr>
          <w:rFonts w:ascii="Times New Roman" w:hAnsi="Times New Roman" w:eastAsia="宋体"/>
          <w:sz w:val="24"/>
          <w:szCs w:val="24"/>
        </w:rPr>
        <w:t>：如腾讯（微信生态）、快手、哔哩哔哩等；（3）</w:t>
      </w:r>
      <w:r>
        <w:rPr>
          <w:rFonts w:ascii="Times New Roman" w:hAnsi="Times New Roman" w:eastAsia="宋体"/>
          <w:sz w:val="24"/>
          <w:szCs w:val="24"/>
        </w:rPr>
        <w:t>内容平台</w:t>
      </w:r>
      <w:r>
        <w:rPr>
          <w:rFonts w:ascii="Times New Roman" w:hAnsi="Times New Roman" w:eastAsia="宋体"/>
          <w:sz w:val="24"/>
          <w:szCs w:val="24"/>
        </w:rPr>
        <w:t>：如爱奇艺、优酷、字节跳动（抖音）等；（4）</w:t>
      </w:r>
      <w:r>
        <w:rPr>
          <w:rFonts w:ascii="Times New Roman" w:hAnsi="Times New Roman" w:eastAsia="宋体"/>
          <w:sz w:val="24"/>
          <w:szCs w:val="24"/>
        </w:rPr>
        <w:t>出行平台</w:t>
      </w:r>
      <w:r>
        <w:rPr>
          <w:rFonts w:ascii="Times New Roman" w:hAnsi="Times New Roman" w:eastAsia="宋体"/>
          <w:sz w:val="24"/>
          <w:szCs w:val="24"/>
        </w:rPr>
        <w:t>：如滴滴出行、高德地图等；（5）</w:t>
      </w:r>
      <w:r>
        <w:rPr>
          <w:rFonts w:ascii="Times New Roman" w:hAnsi="Times New Roman" w:eastAsia="宋体"/>
          <w:sz w:val="24"/>
          <w:szCs w:val="24"/>
        </w:rPr>
        <w:t>金融科技平台</w:t>
      </w:r>
      <w:r>
        <w:rPr>
          <w:rFonts w:ascii="Times New Roman" w:hAnsi="Times New Roman" w:eastAsia="宋体"/>
          <w:sz w:val="24"/>
          <w:szCs w:val="24"/>
        </w:rPr>
        <w:t>：如蚂蚁集团相关上市实体、京东科技等。</w:t>
      </w:r>
    </w:p>
    <w:p>
      <w:pPr>
        <w:pStyle w:val="HitBody"/>
        <w:ind w:firstLineChars="200" w:firstLine="480"/>
        <w:widowControl w:val="0"/>
        <w:spacing w:line="360" w:lineRule="auto"/>
      </w:pPr>
      <w:r>
        <w:rPr>
          <w:rFonts w:ascii="Times New Roman" w:hAnsi="Times New Roman" w:eastAsia="宋体"/>
          <w:sz w:val="24"/>
          <w:szCs w:val="24"/>
        </w:rPr>
        <w:t>需要说明的是，部分大型数字平台企业未完全上市（如字节跳动、美团部分业务板块），因此本文的样本企业主要涵盖在A股上市的数字平台企业。对于未上市但具有代表性的平台企业（如美团、滴滴出行），其公开披露的财务数据和专利数据也作为补充分析素材。</w:t>
      </w:r>
    </w:p>
    <w:p>
      <w:pPr>
        <w:pStyle w:val="HitHeading3"/>
        <w:keepNext/>
        <w:keepLines/>
      </w:pPr>
      <w:bookmarkStart w:id="5031" w:name="_Toc102000031"/>
      <w:r>
        <w:t>研发投入</w:t>
      </w:r>
      <w:bookmarkEnd w:id="5031"/>
    </w:p>
    <w:p>
      <w:pPr>
        <w:pStyle w:val="HitBody"/>
        <w:ind w:firstLineChars="200" w:firstLine="480"/>
        <w:widowControl w:val="0"/>
        <w:spacing w:line="360" w:lineRule="auto"/>
      </w:pPr>
      <w:r>
        <w:rPr>
          <w:rFonts w:ascii="Times New Roman" w:hAnsi="Times New Roman" w:eastAsia="宋体"/>
          <w:sz w:val="24"/>
          <w:szCs w:val="24"/>
        </w:rPr>
        <w:t>研发投入是企业创新投入的核心测度指标。本文采用以下两个维度的指标进行测度：</w:t>
      </w:r>
    </w:p>
    <w:p>
      <w:pPr>
        <w:pStyle w:val="HitBody"/>
        <w:ind w:firstLineChars="200" w:firstLine="480"/>
        <w:widowControl w:val="0"/>
        <w:spacing w:line="360" w:lineRule="auto"/>
      </w:pPr>
      <w:r>
        <w:rPr>
          <w:rFonts w:ascii="Times New Roman" w:hAnsi="Times New Roman" w:eastAsia="宋体"/>
          <w:sz w:val="24"/>
          <w:szCs w:val="24"/>
        </w:rPr>
        <w:t>（1）</w:t>
      </w:r>
      <w:r>
        <w:rPr>
          <w:rFonts w:ascii="Times New Roman" w:hAnsi="Times New Roman" w:eastAsia="宋体"/>
          <w:sz w:val="24"/>
          <w:szCs w:val="24"/>
        </w:rPr>
        <w:t>研发投入绝对值</w:t>
      </w:r>
      <w:r>
        <w:rPr>
          <w:rFonts w:ascii="Times New Roman" w:hAnsi="Times New Roman" w:eastAsia="宋体"/>
          <w:sz w:val="24"/>
          <w:szCs w:val="24"/>
        </w:rPr>
        <w:t>：企业年度研发投入金额（包括研发费用、研发支出），反映企业在技术创新上的实际资源投入规模。由于金额数据呈右偏分布，实证分析中取自然对数处理。</w:t>
      </w:r>
    </w:p>
    <w:p>
      <w:pPr>
        <w:pStyle w:val="HitBody"/>
        <w:ind w:firstLineChars="200" w:firstLine="480"/>
        <w:widowControl w:val="0"/>
        <w:spacing w:line="360" w:lineRule="auto"/>
      </w:pPr>
      <w:r>
        <w:rPr>
          <w:rFonts w:ascii="Times New Roman" w:hAnsi="Times New Roman" w:eastAsia="宋体"/>
          <w:sz w:val="24"/>
          <w:szCs w:val="24"/>
        </w:rPr>
        <w:t>（2）</w:t>
      </w:r>
      <w:r>
        <w:rPr>
          <w:rFonts w:ascii="Times New Roman" w:hAnsi="Times New Roman" w:eastAsia="宋体"/>
          <w:sz w:val="24"/>
          <w:szCs w:val="24"/>
        </w:rPr>
        <w:t>研发强度</w:t>
      </w:r>
      <w:r>
        <w:rPr>
          <w:rFonts w:ascii="Times New Roman" w:hAnsi="Times New Roman" w:eastAsia="宋体"/>
          <w:sz w:val="24"/>
          <w:szCs w:val="24"/>
        </w:rPr>
        <w:t>：企业研发投入占营业收入的比例，反映企业在资源配置中对研发的重视程度，是一个相对指标。</w:t>
      </w:r>
    </w:p>
    <w:p>
      <w:pPr>
        <w:pStyle w:val="HitHeading2"/>
        <w:keepNext/>
        <w:keepLines/>
      </w:pPr>
      <w:bookmarkStart w:id="5032" w:name="_Toc102000032"/>
      <w:r>
        <w:t>理论基础</w:t>
      </w:r>
      <w:bookmarkEnd w:id="5032"/>
    </w:p>
    <w:p>
      <w:pPr>
        <w:pStyle w:val="HitHeading3"/>
        <w:keepNext/>
        <w:keepLines/>
      </w:pPr>
      <w:bookmarkStart w:id="5033" w:name="_Toc102000033"/>
      <w:r>
        <w:t>产业组织理论</w:t>
      </w:r>
      <w:bookmarkEnd w:id="5033"/>
    </w:p>
    <w:p>
      <w:pPr>
        <w:pStyle w:val="HitBody"/>
        <w:ind w:firstLineChars="200" w:firstLine="480"/>
        <w:widowControl w:val="0"/>
        <w:spacing w:line="360" w:lineRule="auto"/>
      </w:pPr>
      <w:r>
        <w:rPr>
          <w:rFonts w:ascii="Times New Roman" w:hAnsi="Times New Roman" w:eastAsia="宋体"/>
          <w:sz w:val="24"/>
          <w:szCs w:val="24"/>
        </w:rPr>
        <w:t>产业组织理论（Industrial Organization Theory）是分析市场结构、企业行为与市场绩效之间关系的核心理论框架。在平台经济领域，产业组织理论需要拓展以适配双边市场、网络效应和数据驱动等新特征</w:t>
      </w:r>
      <w:hyperlink w:anchor="ref_20" w:history="1">
        <w:r>
          <w:rPr>
            <w:rFonts w:ascii="Times New Roman" w:hAnsi="Times New Roman" w:eastAsia="宋体"/>
            <w:sz w:val="24"/>
            <w:szCs w:val="24"/>
            <w:vertAlign w:val="superscript"/>
          </w:rPr>
          <w:t>[20]</w:t>
        </w:r>
      </w:hyperlink>
      <w:r>
        <w:rPr>
          <w:rFonts w:ascii="Times New Roman" w:hAnsi="Times New Roman" w:eastAsia="宋体"/>
          <w:sz w:val="24"/>
          <w:szCs w:val="24"/>
        </w:rPr>
        <w:t>。</w:t>
      </w:r>
    </w:p>
    <w:p>
      <w:pPr>
        <w:pStyle w:val="HitBody"/>
        <w:ind w:firstLineChars="200" w:firstLine="480"/>
        <w:widowControl w:val="0"/>
        <w:spacing w:line="360" w:lineRule="auto"/>
      </w:pPr>
      <w:r>
        <w:rPr>
          <w:rFonts w:ascii="Times New Roman" w:hAnsi="Times New Roman" w:eastAsia="宋体"/>
          <w:sz w:val="24"/>
          <w:szCs w:val="24"/>
        </w:rPr>
        <w:t>产业组织理论中的"结构—行为—绩效"（SCP）范式为本研究提供了基本分析框架：反垄断监管作为外生政策冲击（S），通过改变市场结构和竞争规则（C），进而影响平台企业的战略选择（包括研发投入决策），最终反映在企业绩效（P）上。具体而言，反垄断监管改变了平台企业的预期收益函数——在排他性行为被禁止后，企业通过技术创新获取竞争优势的激励可能增强，而因垄断利润获取的"舒适效应"可能减弱。</w:t>
      </w:r>
    </w:p>
    <w:p>
      <w:pPr>
        <w:pStyle w:val="HitHeading3"/>
        <w:keepNext/>
        <w:keepLines/>
      </w:pPr>
      <w:bookmarkStart w:id="5034" w:name="_Toc102000034"/>
      <w:r>
        <w:t>制度理论</w:t>
      </w:r>
      <w:bookmarkEnd w:id="5034"/>
    </w:p>
    <w:p>
      <w:pPr>
        <w:pStyle w:val="HitBody"/>
        <w:ind w:firstLineChars="200" w:firstLine="480"/>
        <w:widowControl w:val="0"/>
        <w:spacing w:line="360" w:lineRule="auto"/>
      </w:pPr>
      <w:r>
        <w:rPr>
          <w:rFonts w:ascii="Times New Roman" w:hAnsi="Times New Roman" w:eastAsia="宋体"/>
          <w:sz w:val="24"/>
          <w:szCs w:val="24"/>
        </w:rPr>
        <w:t>制度理论（Institutional Theory）强调，企业行为受到制度环境（包括正式制度和非正式规范）的深刻影响</w:t>
      </w:r>
      <w:hyperlink w:anchor="ref_22" w:history="1">
        <w:r>
          <w:rPr>
            <w:rFonts w:ascii="Times New Roman" w:hAnsi="Times New Roman" w:eastAsia="宋体"/>
            <w:sz w:val="24"/>
            <w:szCs w:val="24"/>
            <w:vertAlign w:val="superscript"/>
          </w:rPr>
          <w:t>[22]</w:t>
        </w:r>
      </w:hyperlink>
      <w:r>
        <w:rPr>
          <w:rFonts w:ascii="Times New Roman" w:hAnsi="Times New Roman" w:eastAsia="宋体"/>
          <w:sz w:val="24"/>
          <w:szCs w:val="24"/>
        </w:rPr>
        <w:t>。反垄断监管作为一种正式的制度约束，通过强制性机制（coercive isomorphism）直接影响企业战略选择。</w:t>
      </w:r>
    </w:p>
    <w:p>
      <w:pPr>
        <w:pStyle w:val="HitBody"/>
        <w:ind w:firstLineChars="200" w:firstLine="480"/>
        <w:widowControl w:val="0"/>
        <w:spacing w:line="360" w:lineRule="auto"/>
      </w:pPr>
      <w:r>
        <w:rPr>
          <w:rFonts w:ascii="Times New Roman" w:hAnsi="Times New Roman" w:eastAsia="宋体"/>
          <w:sz w:val="24"/>
          <w:szCs w:val="24"/>
        </w:rPr>
        <w:t>在反垄断监管情境下，制度理论的核心逻辑是：监管执法释放了强烈的政策信号，改变了平台企业对"合规行为"与"违规风险"的评估框架。面对监管压力，平台企业可能采取两种制度性响应：（1）</w:t>
      </w:r>
      <w:r>
        <w:rPr>
          <w:rFonts w:ascii="Times New Roman" w:hAnsi="Times New Roman" w:eastAsia="宋体"/>
          <w:sz w:val="24"/>
          <w:szCs w:val="24"/>
        </w:rPr>
        <w:t>合规响应</w:t>
      </w:r>
      <w:r>
        <w:rPr>
          <w:rFonts w:ascii="Times New Roman" w:hAnsi="Times New Roman" w:eastAsia="宋体"/>
          <w:sz w:val="24"/>
          <w:szCs w:val="24"/>
        </w:rPr>
        <w:t>——将资源配置从灰色地带（如"二选一"的排他性行为）转向合法合规的创新活动；（2）</w:t>
      </w:r>
      <w:r>
        <w:rPr>
          <w:rFonts w:ascii="Times New Roman" w:hAnsi="Times New Roman" w:eastAsia="宋体"/>
          <w:sz w:val="24"/>
          <w:szCs w:val="24"/>
        </w:rPr>
        <w:t>防御性收缩</w:t>
      </w:r>
      <w:r>
        <w:rPr>
          <w:rFonts w:ascii="Times New Roman" w:hAnsi="Times New Roman" w:eastAsia="宋体"/>
          <w:sz w:val="24"/>
          <w:szCs w:val="24"/>
        </w:rPr>
        <w:t>——因政策不确定性增加而缩减整体投资预算，包括研发投入。</w:t>
      </w:r>
    </w:p>
    <w:p>
      <w:pPr>
        <w:pStyle w:val="HitHeading3"/>
        <w:keepNext/>
        <w:keepLines/>
      </w:pPr>
      <w:bookmarkStart w:id="5035" w:name="_Toc102000035"/>
      <w:r>
        <w:t>企业创新理论</w:t>
      </w:r>
      <w:bookmarkEnd w:id="5035"/>
    </w:p>
    <w:p>
      <w:pPr>
        <w:pStyle w:val="HitBody"/>
        <w:ind w:firstLineChars="200" w:firstLine="480"/>
        <w:widowControl w:val="0"/>
        <w:spacing w:line="360" w:lineRule="auto"/>
      </w:pPr>
      <w:r>
        <w:rPr>
          <w:rFonts w:ascii="Times New Roman" w:hAnsi="Times New Roman" w:eastAsia="宋体"/>
          <w:sz w:val="24"/>
          <w:szCs w:val="24"/>
        </w:rPr>
        <w:t>企业创新理论（Theory of Corporate Innovation）关注企业内部因素如何影响创新决策。核心观点包括：</w:t>
      </w:r>
    </w:p>
    <w:p>
      <w:pPr>
        <w:pStyle w:val="HitBody"/>
        <w:ind w:firstLineChars="200" w:firstLine="480"/>
        <w:widowControl w:val="0"/>
        <w:spacing w:line="360" w:lineRule="auto"/>
      </w:pPr>
      <w:r>
        <w:rPr>
          <w:rFonts w:ascii="Times New Roman" w:hAnsi="Times New Roman" w:eastAsia="宋体"/>
          <w:sz w:val="24"/>
          <w:szCs w:val="24"/>
        </w:rPr>
        <w:t>创新激励理论</w:t>
      </w:r>
      <w:r>
        <w:rPr>
          <w:rFonts w:ascii="Times New Roman" w:hAnsi="Times New Roman" w:eastAsia="宋体"/>
          <w:sz w:val="24"/>
          <w:szCs w:val="24"/>
        </w:rPr>
        <w:t>：企业研发决策取决于创新的预期收益与成本之间的权衡。预期收益越高、成本越低，企业创新激励越强</w:t>
      </w:r>
      <w:hyperlink w:anchor="ref_18" w:history="1">
        <w:r>
          <w:rPr>
            <w:rFonts w:ascii="Times New Roman" w:hAnsi="Times New Roman" w:eastAsia="宋体"/>
            <w:sz w:val="24"/>
            <w:szCs w:val="24"/>
            <w:vertAlign w:val="superscript"/>
          </w:rPr>
          <w:t>[18]</w:t>
        </w:r>
      </w:hyperlink>
      <w:r>
        <w:rPr>
          <w:rFonts w:ascii="Times New Roman" w:hAnsi="Times New Roman" w:eastAsia="宋体"/>
          <w:sz w:val="24"/>
          <w:szCs w:val="24"/>
        </w:rPr>
        <w:t>。</w:t>
      </w:r>
    </w:p>
    <w:p>
      <w:pPr>
        <w:pStyle w:val="HitBody"/>
        <w:ind w:firstLineChars="200" w:firstLine="480"/>
        <w:widowControl w:val="0"/>
        <w:spacing w:line="360" w:lineRule="auto"/>
      </w:pPr>
      <w:r>
        <w:rPr>
          <w:rFonts w:ascii="Times New Roman" w:hAnsi="Times New Roman" w:eastAsia="宋体"/>
          <w:sz w:val="24"/>
          <w:szCs w:val="24"/>
        </w:rPr>
        <w:t>融资约束理论</w:t>
      </w:r>
      <w:r>
        <w:rPr>
          <w:rFonts w:ascii="Times New Roman" w:hAnsi="Times New Roman" w:eastAsia="宋体"/>
          <w:sz w:val="24"/>
          <w:szCs w:val="24"/>
        </w:rPr>
        <w:t>：由于研发投入具有高沉没成本、长周期和高不确定性特征，企业高度依赖内源融资。融资约束的放松（如现金流增加、外部融资渠道拓宽）有助于缓解创新活动的资金瓶颈</w:t>
      </w:r>
      <w:hyperlink w:anchor="ref_15" w:history="1">
        <w:r>
          <w:rPr>
            <w:rFonts w:ascii="Times New Roman" w:hAnsi="Times New Roman" w:eastAsia="宋体"/>
            <w:sz w:val="24"/>
            <w:szCs w:val="24"/>
            <w:vertAlign w:val="superscript"/>
          </w:rPr>
          <w:t>[15]</w:t>
        </w:r>
      </w:hyperlink>
      <w:r>
        <w:rPr>
          <w:rFonts w:ascii="Times New Roman" w:hAnsi="Times New Roman" w:eastAsia="宋体"/>
          <w:sz w:val="24"/>
          <w:szCs w:val="24"/>
        </w:rPr>
        <w:t>。</w:t>
      </w:r>
    </w:p>
    <w:p>
      <w:pPr>
        <w:pStyle w:val="HitBody"/>
        <w:ind w:firstLineChars="200" w:firstLine="480"/>
        <w:widowControl w:val="0"/>
        <w:spacing w:line="360" w:lineRule="auto"/>
      </w:pPr>
      <w:r>
        <w:rPr>
          <w:rFonts w:ascii="Times New Roman" w:hAnsi="Times New Roman" w:eastAsia="宋体"/>
          <w:sz w:val="24"/>
          <w:szCs w:val="24"/>
        </w:rPr>
        <w:t>代理理论</w:t>
      </w:r>
      <w:r>
        <w:rPr>
          <w:rFonts w:ascii="Times New Roman" w:hAnsi="Times New Roman" w:eastAsia="宋体"/>
          <w:sz w:val="24"/>
          <w:szCs w:val="24"/>
        </w:rPr>
        <w:t>：管理层可能因任期较短、风险厌恶而倾向于削减长期研发投入</w:t>
      </w:r>
      <w:hyperlink w:anchor="ref_23" w:history="1">
        <w:r>
          <w:rPr>
            <w:rFonts w:ascii="Times New Roman" w:hAnsi="Times New Roman" w:eastAsia="宋体"/>
            <w:sz w:val="24"/>
            <w:szCs w:val="24"/>
            <w:vertAlign w:val="superscript"/>
          </w:rPr>
          <w:t>[23]</w:t>
        </w:r>
      </w:hyperlink>
      <w:r>
        <w:rPr>
          <w:rFonts w:ascii="Times New Roman" w:hAnsi="Times New Roman" w:eastAsia="宋体"/>
          <w:sz w:val="24"/>
          <w:szCs w:val="24"/>
        </w:rPr>
        <w:t>。公司治理机制（如股权激励、董事会结构）可以缓解代理问题，促使管理层关注长期创新价值。</w:t>
      </w:r>
    </w:p>
    <w:p>
      <w:pPr>
        <w:pStyle w:val="HitHeading2"/>
        <w:keepNext/>
        <w:keepLines/>
      </w:pPr>
      <w:bookmarkStart w:id="5036" w:name="_Toc102000036"/>
      <w:r>
        <w:t>研究假设推演</w:t>
      </w:r>
      <w:bookmarkEnd w:id="5036"/>
    </w:p>
    <w:p>
      <w:pPr>
        <w:pStyle w:val="HitHeading3"/>
        <w:keepNext/>
        <w:keepLines/>
      </w:pPr>
      <w:bookmarkStart w:id="5037" w:name="_Toc102000037"/>
      <w:r>
        <w:rPr>
          <w:rFonts w:ascii="Times New Roman" w:hAnsi="Times New Roman"/>
        </w:rPr>
        <w:t>反垄断监管对平台企业研发投入的总体效应：威慑效应 vs. 挤出效应</w:t>
      </w:r>
      <w:bookmarkEnd w:id="5037"/>
    </w:p>
    <w:p>
      <w:pPr>
        <w:pStyle w:val="HitBody"/>
        <w:ind w:firstLineChars="200" w:firstLine="480"/>
        <w:widowControl w:val="0"/>
        <w:spacing w:line="360" w:lineRule="auto"/>
      </w:pPr>
      <w:r>
        <w:rPr>
          <w:rFonts w:ascii="Times New Roman" w:hAnsi="Times New Roman" w:eastAsia="宋体"/>
          <w:sz w:val="24"/>
          <w:szCs w:val="24"/>
        </w:rPr>
        <w:t>平台反垄断监管对企业研发投入的影响，本质上取决于两种相反力量的净效应：威慑效应与挤出效应。</w:t>
      </w:r>
    </w:p>
    <w:p>
      <w:pPr>
        <w:pStyle w:val="HitBody"/>
        <w:ind w:firstLineChars="200" w:firstLine="480"/>
        <w:widowControl w:val="0"/>
        <w:spacing w:line="360" w:lineRule="auto"/>
      </w:pPr>
      <w:r>
        <w:rPr>
          <w:rFonts w:ascii="Times New Roman" w:hAnsi="Times New Roman" w:eastAsia="宋体"/>
          <w:sz w:val="24"/>
          <w:szCs w:val="24"/>
        </w:rPr>
        <w:t>威慑效应</w:t>
      </w:r>
      <w:r>
        <w:rPr>
          <w:rFonts w:ascii="Times New Roman" w:hAnsi="Times New Roman" w:eastAsia="宋体"/>
          <w:sz w:val="24"/>
          <w:szCs w:val="24"/>
        </w:rPr>
        <w:t>（Deterrence Effect）的核心逻辑是：反垄断监管通过以下三条路径激励平台企业加大研发投入。</w:t>
      </w:r>
    </w:p>
    <w:p>
      <w:pPr>
        <w:pStyle w:val="HitBody"/>
        <w:ind w:firstLineChars="200" w:firstLine="480"/>
        <w:widowControl w:val="0"/>
        <w:spacing w:line="360" w:lineRule="auto"/>
      </w:pPr>
      <w:r>
        <w:rPr>
          <w:rFonts w:ascii="Times New Roman" w:hAnsi="Times New Roman" w:eastAsia="宋体"/>
          <w:sz w:val="24"/>
          <w:szCs w:val="24"/>
        </w:rPr>
        <w:t>第一，</w:t>
      </w:r>
      <w:r>
        <w:rPr>
          <w:rFonts w:ascii="Times New Roman" w:hAnsi="Times New Roman" w:eastAsia="宋体"/>
          <w:sz w:val="24"/>
          <w:szCs w:val="24"/>
        </w:rPr>
        <w:t>竞争激励渠道</w:t>
      </w:r>
      <w:r>
        <w:rPr>
          <w:rFonts w:ascii="Times New Roman" w:hAnsi="Times New Roman" w:eastAsia="宋体"/>
          <w:sz w:val="24"/>
          <w:szCs w:val="24"/>
        </w:rPr>
        <w:t>。反垄断执法打破了平台通过排他性行为（如"二选一"）维持市场支配地位的路径依赖，迫使企业转向以技术创新为核心的非价格竞争。在平台经济中，当"二选一"等渠道封锁手段被禁止后，企业获取竞争优势的主要途径从"控制供给端"转向"提升产品/服务质量"，而技术创新是提升平台竞争力的核心手段。平台企业面临"要么创新、要么被淘汰"的竞争压力，研发投入的边际收益因此上升。赵子夜和吴雨（2023）的实证研究支持了这一机制：反垄断执法后，平台企业将资源从并购竞争转向内生技术创新。</w:t>
      </w:r>
    </w:p>
    <w:p>
      <w:pPr>
        <w:pStyle w:val="HitBody"/>
        <w:ind w:firstLineChars="200" w:firstLine="480"/>
        <w:widowControl w:val="0"/>
        <w:spacing w:line="360" w:lineRule="auto"/>
      </w:pPr>
      <w:r>
        <w:rPr>
          <w:rFonts w:ascii="Times New Roman" w:hAnsi="Times New Roman" w:eastAsia="宋体"/>
          <w:sz w:val="24"/>
          <w:szCs w:val="24"/>
        </w:rPr>
        <w:t>第二，</w:t>
      </w:r>
      <w:r>
        <w:rPr>
          <w:rFonts w:ascii="Times New Roman" w:hAnsi="Times New Roman" w:eastAsia="宋体"/>
          <w:sz w:val="24"/>
          <w:szCs w:val="24"/>
        </w:rPr>
        <w:t>战略转型渠道</w:t>
      </w:r>
      <w:r>
        <w:rPr>
          <w:rFonts w:ascii="Times New Roman" w:hAnsi="Times New Roman" w:eastAsia="宋体"/>
          <w:sz w:val="24"/>
          <w:szCs w:val="24"/>
        </w:rPr>
        <w:t>。反垄断监管迫使平台企业重新评估其增长逻辑——从"规模扩张—资本驱动"模式转向"技术创新—效率驱动"模式。2021年4月市场监管总局对阿里巴巴发出《行政指导书》，明确要求其围绕"加强内控合规管理、落实平台主体责任"等方面全面整改。这种来自监管层的战略引导，促使平台企业将资源从无序扩张转向合规经营和核心技术攻关。例如，阿里巴巴在被罚后宣布未来三年投入3800亿元建设云和AI基础设施，将战略重心从消费互联网转向产业互联网。</w:t>
      </w:r>
    </w:p>
    <w:p>
      <w:pPr>
        <w:pStyle w:val="HitBody"/>
        <w:ind w:firstLineChars="200" w:firstLine="480"/>
        <w:widowControl w:val="0"/>
        <w:spacing w:line="360" w:lineRule="auto"/>
      </w:pPr>
      <w:r>
        <w:rPr>
          <w:rFonts w:ascii="Times New Roman" w:hAnsi="Times New Roman" w:eastAsia="宋体"/>
          <w:sz w:val="24"/>
          <w:szCs w:val="24"/>
        </w:rPr>
        <w:t>第三，</w:t>
      </w:r>
      <w:r>
        <w:rPr>
          <w:rFonts w:ascii="Times New Roman" w:hAnsi="Times New Roman" w:eastAsia="宋体"/>
          <w:sz w:val="24"/>
          <w:szCs w:val="24"/>
        </w:rPr>
        <w:t>合规要求渠道</w:t>
      </w:r>
      <w:r>
        <w:rPr>
          <w:rFonts w:ascii="Times New Roman" w:hAnsi="Times New Roman" w:eastAsia="宋体"/>
          <w:sz w:val="24"/>
          <w:szCs w:val="24"/>
        </w:rPr>
        <w:t>。反垄断执法往往伴随对平台企业内部治理结构的整改要求，包括建立反垄断合规体系、设立合规官岗位、定期提交合规报告等。这种制度性约束倒逼平台企业从治理结构层面保障长期研发投入的连续性，减少短期行为对研发预算的侵蚀。</w:t>
      </w:r>
    </w:p>
    <w:p>
      <w:pPr>
        <w:pStyle w:val="HitBody"/>
        <w:ind w:firstLineChars="200" w:firstLine="480"/>
        <w:widowControl w:val="0"/>
        <w:spacing w:line="360" w:lineRule="auto"/>
      </w:pPr>
      <w:r>
        <w:rPr>
          <w:rFonts w:ascii="Times New Roman" w:hAnsi="Times New Roman" w:eastAsia="宋体"/>
          <w:sz w:val="24"/>
          <w:szCs w:val="24"/>
        </w:rPr>
        <w:t>挤出效应</w:t>
      </w:r>
      <w:r>
        <w:rPr>
          <w:rFonts w:ascii="Times New Roman" w:hAnsi="Times New Roman" w:eastAsia="宋体"/>
          <w:sz w:val="24"/>
          <w:szCs w:val="24"/>
        </w:rPr>
        <w:t>（Crowding-out Effect）的核心逻辑是：反垄断监管通过以下三条路径抑制平台企业研发投入。</w:t>
      </w:r>
    </w:p>
    <w:p>
      <w:pPr>
        <w:pStyle w:val="HitBody"/>
        <w:ind w:firstLineChars="200" w:firstLine="480"/>
        <w:widowControl w:val="0"/>
        <w:spacing w:line="360" w:lineRule="auto"/>
      </w:pPr>
      <w:r>
        <w:rPr>
          <w:rFonts w:ascii="Times New Roman" w:hAnsi="Times New Roman" w:eastAsia="宋体"/>
          <w:sz w:val="24"/>
          <w:szCs w:val="24"/>
        </w:rPr>
        <w:t>第一，</w:t>
      </w:r>
      <w:r>
        <w:rPr>
          <w:rFonts w:ascii="Times New Roman" w:hAnsi="Times New Roman" w:eastAsia="宋体"/>
          <w:sz w:val="24"/>
          <w:szCs w:val="24"/>
        </w:rPr>
        <w:t>资源约束渠道</w:t>
      </w:r>
      <w:r>
        <w:rPr>
          <w:rFonts w:ascii="Times New Roman" w:hAnsi="Times New Roman" w:eastAsia="宋体"/>
          <w:sz w:val="24"/>
          <w:szCs w:val="24"/>
        </w:rPr>
        <w:t>。高额罚款直接减少平台企业的留存收益，削弱其内源融资能力。阿里巴巴因"二选一"被罚182.28亿元、美团被罚34.42亿元，这些巨额罚款在当期直接减少企业的可用现金。李东旭等</w:t>
      </w:r>
      <w:hyperlink w:anchor="ref_10" w:history="1">
        <w:r>
          <w:rPr>
            <w:rFonts w:ascii="Times New Roman" w:hAnsi="Times New Roman" w:eastAsia="宋体"/>
            <w:sz w:val="24"/>
            <w:szCs w:val="24"/>
            <w:vertAlign w:val="superscript"/>
          </w:rPr>
          <w:t>[10]</w:t>
        </w:r>
      </w:hyperlink>
      <w:r>
        <w:rPr>
          <w:rFonts w:ascii="Times New Roman" w:hAnsi="Times New Roman" w:eastAsia="宋体"/>
          <w:sz w:val="24"/>
          <w:szCs w:val="24"/>
        </w:rPr>
        <w:t>基于阿里巴巴的案例研究表明，反垄断处罚后企业的边际利润和研发投入均有所下降。研发投入作为企业预算中"可调节"的支出项，往往成为成本削减的第一对象。</w:t>
      </w:r>
    </w:p>
    <w:p>
      <w:pPr>
        <w:pStyle w:val="HitBody"/>
        <w:ind w:firstLineChars="200" w:firstLine="480"/>
        <w:widowControl w:val="0"/>
        <w:spacing w:line="360" w:lineRule="auto"/>
      </w:pPr>
      <w:r>
        <w:rPr>
          <w:rFonts w:ascii="Times New Roman" w:hAnsi="Times New Roman" w:eastAsia="宋体"/>
          <w:sz w:val="24"/>
          <w:szCs w:val="24"/>
        </w:rPr>
        <w:t>第二，</w:t>
      </w:r>
      <w:r>
        <w:rPr>
          <w:rFonts w:ascii="Times New Roman" w:hAnsi="Times New Roman" w:eastAsia="宋体"/>
          <w:sz w:val="24"/>
          <w:szCs w:val="24"/>
        </w:rPr>
        <w:t>预期不确定性渠道</w:t>
      </w:r>
      <w:r>
        <w:rPr>
          <w:rFonts w:ascii="Times New Roman" w:hAnsi="Times New Roman" w:eastAsia="宋体"/>
          <w:sz w:val="24"/>
          <w:szCs w:val="24"/>
        </w:rPr>
        <w:t>。反垄断执法具有高度的不确定性和不可预测性——哪些平台会被调查？调查周期多长？罚款金额多大？这种不确定性推高了企业投资的风险溢价。根据实物期权理论（Real Options Theory），在政策不确定性上升时，企业倾向于推迟或削减不可逆投资（如研发投入），以保留"等待更多信息"的灵活性</w:t>
      </w:r>
      <w:hyperlink w:anchor="ref_24" w:history="1">
        <w:r>
          <w:rPr>
            <w:rFonts w:ascii="Times New Roman" w:hAnsi="Times New Roman" w:eastAsia="宋体"/>
            <w:sz w:val="24"/>
            <w:szCs w:val="24"/>
            <w:vertAlign w:val="superscript"/>
          </w:rPr>
          <w:t>[24]</w:t>
        </w:r>
      </w:hyperlink>
      <w:r>
        <w:rPr>
          <w:rFonts w:ascii="Times New Roman" w:hAnsi="Times New Roman" w:eastAsia="宋体"/>
          <w:sz w:val="24"/>
          <w:szCs w:val="24"/>
        </w:rPr>
        <w:t>。</w:t>
      </w:r>
    </w:p>
    <w:p>
      <w:pPr>
        <w:pStyle w:val="HitBody"/>
        <w:ind w:firstLineChars="200" w:firstLine="480"/>
        <w:widowControl w:val="0"/>
        <w:spacing w:line="360" w:lineRule="auto"/>
      </w:pPr>
      <w:r>
        <w:rPr>
          <w:rFonts w:ascii="Times New Roman" w:hAnsi="Times New Roman" w:eastAsia="宋体"/>
          <w:sz w:val="24"/>
          <w:szCs w:val="24"/>
        </w:rPr>
        <w:t>第三，</w:t>
      </w:r>
      <w:r>
        <w:rPr>
          <w:rFonts w:ascii="Times New Roman" w:hAnsi="Times New Roman" w:eastAsia="宋体"/>
          <w:sz w:val="24"/>
          <w:szCs w:val="24"/>
        </w:rPr>
        <w:t>合规成本渠道</w:t>
      </w:r>
      <w:r>
        <w:rPr>
          <w:rFonts w:ascii="Times New Roman" w:hAnsi="Times New Roman" w:eastAsia="宋体"/>
          <w:sz w:val="24"/>
          <w:szCs w:val="24"/>
        </w:rPr>
        <w:t>。除了直接罚款外，反垄断整改需要企业投入大量资源建立合规体系、聘请法律顾问、调整业务流程。这些合规成本与研发投入形成竞争关系，可能挤占研发预算。</w:t>
      </w:r>
    </w:p>
    <w:p>
      <w:pPr>
        <w:pStyle w:val="HitBody"/>
        <w:ind w:firstLineChars="200" w:firstLine="480"/>
        <w:widowControl w:val="0"/>
        <w:spacing w:line="360" w:lineRule="auto"/>
      </w:pPr>
      <w:r>
        <w:rPr>
          <w:rFonts w:ascii="Times New Roman" w:hAnsi="Times New Roman" w:eastAsia="宋体"/>
          <w:sz w:val="24"/>
          <w:szCs w:val="24"/>
        </w:rPr>
        <w:t>两种效应的相对强度</w:t>
      </w:r>
      <w:r>
        <w:rPr>
          <w:rFonts w:ascii="Times New Roman" w:hAnsi="Times New Roman" w:eastAsia="宋体"/>
          <w:sz w:val="24"/>
          <w:szCs w:val="24"/>
        </w:rPr>
        <w:t>：威慑效应与挤出效应同时存在，但哪种效应占优取决于平台企业的资源禀赋、市场地位和风险承受能力。对头部平台企业而言，巨额罚款可能产生显著的挤出效应；但对大多数平台企业而言，反垄断执法释放的"公平竞争"信号可能产生更强的威慑效应，激励其加大研发投入。</w:t>
      </w:r>
    </w:p>
    <w:p>
      <w:pPr>
        <w:pStyle w:val="HitBody"/>
        <w:ind w:firstLineChars="200" w:firstLine="480"/>
        <w:widowControl w:val="0"/>
        <w:spacing w:line="360" w:lineRule="auto"/>
      </w:pPr>
      <w:r>
        <w:rPr>
          <w:rFonts w:ascii="Times New Roman" w:hAnsi="Times New Roman" w:eastAsia="宋体"/>
          <w:sz w:val="24"/>
          <w:szCs w:val="24"/>
        </w:rPr>
        <w:t>综合上述分析，本文提出竞争性假设：</w:t>
      </w:r>
    </w:p>
    <w:p>
      <w:pPr>
        <w:pStyle w:val="HitQuote"/>
      </w:pPr>
      <w:r>
        <w:rPr>
          <w:rFonts w:ascii="Times New Roman" w:hAnsi="Times New Roman"/>
        </w:rPr>
        <w:t>**H1a（威慑效应主导）**：平台反垄断监管显著促进数字平台企业研发投入的增加。</w:t>
      </w:r>
    </w:p>
    <w:p>
      <w:pPr>
        <w:pStyle w:val="HitQuote"/>
      </w:pPr>
      <w:r>
        <w:t xml:space="preserve"/>
      </w:r>
    </w:p>
    <w:p>
      <w:pPr>
        <w:pStyle w:val="HitQuote"/>
      </w:pPr>
      <w:r>
        <w:rPr>
          <w:rFonts w:ascii="Times New Roman" w:hAnsi="Times New Roman"/>
        </w:rPr>
        <w:t>**H1b（挤出效应主导）**：平台反垄断监管显著抑制数字平台企业研发投入的投入。</w:t>
      </w:r>
    </w:p>
    <w:p>
      <w:pPr>
        <w:pStyle w:val="HitHeading3"/>
        <w:keepNext/>
        <w:keepLines/>
      </w:pPr>
      <w:bookmarkStart w:id="5038" w:name="_Toc102000038"/>
      <w:r>
        <w:t>竞争激励渠道的中介效应</w:t>
      </w:r>
      <w:bookmarkEnd w:id="5038"/>
    </w:p>
    <w:p>
      <w:pPr>
        <w:pStyle w:val="HitBody"/>
        <w:ind w:firstLineChars="200" w:firstLine="480"/>
        <w:widowControl w:val="0"/>
        <w:spacing w:line="360" w:lineRule="auto"/>
      </w:pPr>
      <w:r>
        <w:rPr>
          <w:rFonts w:ascii="Times New Roman" w:hAnsi="Times New Roman" w:eastAsia="宋体"/>
          <w:sz w:val="24"/>
          <w:szCs w:val="24"/>
        </w:rPr>
        <w:t>如上所述，反垄断监管通过改变竞争格局激励企业加大研发投入。具体而言，反垄断执法打破了平台通过排他性行为获取超额利润的路径依赖，迫使企业转向技术创新竞争。这种竞争压力通过以下机制传导：</w:t>
      </w:r>
    </w:p>
    <w:p>
      <w:pPr>
        <w:pStyle w:val="HitBody"/>
        <w:ind w:firstLineChars="200" w:firstLine="480"/>
        <w:widowControl w:val="0"/>
        <w:spacing w:line="360" w:lineRule="auto"/>
      </w:pPr>
      <w:r>
        <w:rPr>
          <w:rFonts w:ascii="Times New Roman" w:hAnsi="Times New Roman" w:eastAsia="宋体"/>
          <w:sz w:val="24"/>
          <w:szCs w:val="24"/>
        </w:rPr>
        <w:t>第一，反垄断执法降低了平台间的市场集中度，加剧了平台间的竞争强度。根据Aghion等（2005）的"逃逸竞争效应"，当平台间差距缩小时，企业越有动力通过技术创新获取差异化优势。</w:t>
      </w:r>
    </w:p>
    <w:p>
      <w:pPr>
        <w:pStyle w:val="HitBody"/>
        <w:ind w:firstLineChars="200" w:firstLine="480"/>
        <w:widowControl w:val="0"/>
        <w:spacing w:line="360" w:lineRule="auto"/>
      </w:pPr>
      <w:r>
        <w:rPr>
          <w:rFonts w:ascii="Times New Roman" w:hAnsi="Times New Roman" w:eastAsia="宋体"/>
          <w:sz w:val="24"/>
          <w:szCs w:val="24"/>
        </w:rPr>
        <w:t>第二，反垄断执法为中小平台企业创造了更公平的竞争环境。此前，头部平台通过"二选一"等手段封锁竞争，中小平台即使拥有技术创新也难以获得足够的用户基础。反垄断执法打破这一封锁后，中小平台的技术创新获得了市场回报的可能，进而激励整个行业加大研发投入。</w:t>
      </w:r>
    </w:p>
    <w:p>
      <w:pPr>
        <w:pStyle w:val="HitBody"/>
        <w:ind w:firstLineChars="200" w:firstLine="480"/>
        <w:widowControl w:val="0"/>
        <w:spacing w:line="360" w:lineRule="auto"/>
      </w:pPr>
      <w:r>
        <w:rPr>
          <w:rFonts w:ascii="Times New Roman" w:hAnsi="Times New Roman" w:eastAsia="宋体"/>
          <w:sz w:val="24"/>
          <w:szCs w:val="24"/>
        </w:rPr>
        <w:t>第三，平台企业为在"后垄断时代"确立竞争优势，需要构建新的护城河——从"规模护城河"转向"技术护城河"。技术研发能力成为平台企业获取长期竞争优势的核心壁垒。</w:t>
      </w:r>
    </w:p>
    <w:p>
      <w:pPr>
        <w:pStyle w:val="HitBody"/>
        <w:ind w:firstLineChars="200" w:firstLine="480"/>
        <w:widowControl w:val="0"/>
        <w:spacing w:line="360" w:lineRule="auto"/>
      </w:pPr>
      <w:r>
        <w:rPr>
          <w:rFonts w:ascii="Times New Roman" w:hAnsi="Times New Roman" w:eastAsia="宋体"/>
          <w:sz w:val="24"/>
          <w:szCs w:val="24"/>
        </w:rPr>
        <w:t>基于上述分析，本文提出假设：</w:t>
      </w:r>
    </w:p>
    <w:p>
      <w:pPr>
        <w:pStyle w:val="HitQuote"/>
      </w:pPr>
      <w:r>
        <w:rPr>
          <w:rFonts w:ascii="Times New Roman" w:hAnsi="Times New Roman"/>
        </w:rPr>
        <w:t>**H2**：平台反垄断监管通过增强竞争激励机制，促进数字平台企业研发投入的增加。即竞争激励在反垄断监管与企业研发投入之间发挥中介作用。</w:t>
      </w:r>
    </w:p>
    <w:p>
      <w:pPr>
        <w:pStyle w:val="HitHeading3"/>
        <w:keepNext/>
        <w:keepLines/>
      </w:pPr>
      <w:bookmarkStart w:id="5039" w:name="_Toc102000039"/>
      <w:r>
        <w:t>资源约束渠道的中介效应</w:t>
      </w:r>
      <w:bookmarkEnd w:id="5039"/>
    </w:p>
    <w:p>
      <w:pPr>
        <w:pStyle w:val="HitBody"/>
        <w:ind w:firstLineChars="200" w:firstLine="480"/>
        <w:widowControl w:val="0"/>
        <w:spacing w:line="360" w:lineRule="auto"/>
      </w:pPr>
      <w:r>
        <w:rPr>
          <w:rFonts w:ascii="Times New Roman" w:hAnsi="Times New Roman" w:eastAsia="宋体"/>
          <w:sz w:val="24"/>
          <w:szCs w:val="24"/>
        </w:rPr>
        <w:t>反垄断监管可能通过资源约束渠道抑制企业研发投入。具体而言：</w:t>
      </w:r>
    </w:p>
    <w:p>
      <w:pPr>
        <w:pStyle w:val="HitBody"/>
        <w:ind w:firstLineChars="200" w:firstLine="480"/>
        <w:widowControl w:val="0"/>
        <w:spacing w:line="360" w:lineRule="auto"/>
      </w:pPr>
      <w:r>
        <w:rPr>
          <w:rFonts w:ascii="Times New Roman" w:hAnsi="Times New Roman" w:eastAsia="宋体"/>
          <w:sz w:val="24"/>
          <w:szCs w:val="24"/>
        </w:rPr>
        <w:t>第一，高额罚款直接减少企业可用现金。根据融资优序理论（Pecking Order Theory），内源融资是企业研发投资的主要来源，罚款导致内源资金减少，企业可能被迫削减研发投入。</w:t>
      </w:r>
    </w:p>
    <w:p>
      <w:pPr>
        <w:pStyle w:val="HitBody"/>
        <w:ind w:firstLineChars="200" w:firstLine="480"/>
        <w:widowControl w:val="0"/>
        <w:spacing w:line="360" w:lineRule="auto"/>
      </w:pPr>
      <w:r>
        <w:rPr>
          <w:rFonts w:ascii="Times New Roman" w:hAnsi="Times New Roman" w:eastAsia="宋体"/>
          <w:sz w:val="24"/>
          <w:szCs w:val="24"/>
        </w:rPr>
        <w:t>第二，反垄断执法可能引发外部融资环境的收紧。一方面，投资者对反垄断风险溢价的要求上升，导致平台企业的股权融资成本增加；另一方面，银行对平台企业的信贷风险评估可能上调，提高债务融资成本。外部融资约束的加剧可能迫使企业缩减研发支出。</w:t>
      </w:r>
    </w:p>
    <w:p>
      <w:pPr>
        <w:pStyle w:val="HitBody"/>
        <w:ind w:firstLineChars="200" w:firstLine="480"/>
        <w:widowControl w:val="0"/>
        <w:spacing w:line="360" w:lineRule="auto"/>
      </w:pPr>
      <w:r>
        <w:rPr>
          <w:rFonts w:ascii="Times New Roman" w:hAnsi="Times New Roman" w:eastAsia="宋体"/>
          <w:sz w:val="24"/>
          <w:szCs w:val="24"/>
        </w:rPr>
        <w:t>第三，反垄断整改要求平台企业投入大量合规资源，包括设立合规部门、聘请外部法律顾问、建立数据保护机制等。这些合规支出与研发投入形成资源竞争。</w:t>
      </w:r>
    </w:p>
    <w:p>
      <w:pPr>
        <w:pStyle w:val="HitBody"/>
        <w:ind w:firstLineChars="200" w:firstLine="480"/>
        <w:widowControl w:val="0"/>
        <w:spacing w:line="360" w:lineRule="auto"/>
      </w:pPr>
      <w:r>
        <w:rPr>
          <w:rFonts w:ascii="Times New Roman" w:hAnsi="Times New Roman" w:eastAsia="宋体"/>
          <w:sz w:val="24"/>
          <w:szCs w:val="24"/>
        </w:rPr>
        <w:t>基于上述分析，本文提出假设：</w:t>
      </w:r>
    </w:p>
    <w:p>
      <w:pPr>
        <w:pStyle w:val="HitQuote"/>
      </w:pPr>
      <w:r>
        <w:rPr>
          <w:rFonts w:ascii="Times New Roman" w:hAnsi="Times New Roman"/>
        </w:rPr>
        <w:t>**H3**：平台反垄断监管通过加剧资源约束机制，抑制数字平台企业研发投入的增加。即资源约束在反垄断监管与企业研发投入之间发挥中介作用。</w:t>
      </w:r>
    </w:p>
    <w:p>
      <w:pPr>
        <w:pStyle w:val="HitHeading3"/>
        <w:keepNext/>
        <w:keepLines/>
      </w:pPr>
      <w:bookmarkStart w:id="5040" w:name="_Toc102000040"/>
      <w:r>
        <w:t>预期不确定性渠道的中介效应</w:t>
      </w:r>
      <w:bookmarkEnd w:id="5040"/>
    </w:p>
    <w:p>
      <w:pPr>
        <w:pStyle w:val="HitBody"/>
        <w:ind w:firstLineChars="200" w:firstLine="480"/>
        <w:widowControl w:val="0"/>
        <w:spacing w:line="360" w:lineRule="auto"/>
      </w:pPr>
      <w:r>
        <w:rPr>
          <w:rFonts w:ascii="Times New Roman" w:hAnsi="Times New Roman" w:eastAsia="宋体"/>
          <w:sz w:val="24"/>
          <w:szCs w:val="24"/>
        </w:rPr>
        <w:t>反垄断监管通过影响企业预期不确定性影响研发投入决策。具体而言：</w:t>
      </w:r>
    </w:p>
    <w:p>
      <w:pPr>
        <w:pStyle w:val="HitBody"/>
        <w:ind w:firstLineChars="200" w:firstLine="480"/>
        <w:widowControl w:val="0"/>
        <w:spacing w:line="360" w:lineRule="auto"/>
      </w:pPr>
      <w:r>
        <w:rPr>
          <w:rFonts w:ascii="Times New Roman" w:hAnsi="Times New Roman" w:eastAsia="宋体"/>
          <w:sz w:val="24"/>
          <w:szCs w:val="24"/>
        </w:rPr>
        <w:t>第一，反垄断执法的"不可预测性"推高了企业研发投资的退出门槛。研发投入属于长期不可逆投资，在政策不确定性高的情境下，企业更倾向于推迟或削减研发支出。</w:t>
      </w:r>
    </w:p>
    <w:p>
      <w:pPr>
        <w:pStyle w:val="HitBody"/>
        <w:ind w:firstLineChars="200" w:firstLine="480"/>
        <w:widowControl w:val="0"/>
        <w:spacing w:line="360" w:lineRule="auto"/>
      </w:pPr>
      <w:r>
        <w:rPr>
          <w:rFonts w:ascii="Times New Roman" w:hAnsi="Times New Roman" w:eastAsia="宋体"/>
          <w:sz w:val="24"/>
          <w:szCs w:val="24"/>
        </w:rPr>
        <w:t>第二，反垄断监管政策仍在快速演进中（2022年《反垄断法》修订、2023年"三反"文件、2024年《反垄断执法年度报告》等），政策方向的不确定性可能使企业产生观望情绪，推迟重大研发投资决策。</w:t>
      </w:r>
    </w:p>
    <w:p>
      <w:pPr>
        <w:pStyle w:val="HitBody"/>
        <w:ind w:firstLineChars="200" w:firstLine="480"/>
        <w:widowControl w:val="0"/>
        <w:spacing w:line="360" w:lineRule="auto"/>
      </w:pPr>
      <w:r>
        <w:rPr>
          <w:rFonts w:ascii="Times New Roman" w:hAnsi="Times New Roman" w:eastAsia="宋体"/>
          <w:sz w:val="24"/>
          <w:szCs w:val="24"/>
        </w:rPr>
        <w:t>第三，反垄断执法可能改变平台企业对行业竞争格局的预期。若企业预期反垄断将导致市场碎片化、头部平台垄断地位被削弱，则企业可能调整研发战略——从"颠覆式创新"转向"渐进式改进"。</w:t>
      </w:r>
    </w:p>
    <w:p>
      <w:pPr>
        <w:pStyle w:val="HitBody"/>
        <w:ind w:firstLineChars="200" w:firstLine="480"/>
        <w:widowControl w:val="0"/>
        <w:spacing w:line="360" w:lineRule="auto"/>
      </w:pPr>
      <w:r>
        <w:rPr>
          <w:rFonts w:ascii="Times New Roman" w:hAnsi="Times New Roman" w:eastAsia="宋体"/>
          <w:sz w:val="24"/>
          <w:szCs w:val="24"/>
        </w:rPr>
        <w:t>基于上述分析，本文提出假设：</w:t>
      </w:r>
    </w:p>
    <w:p>
      <w:pPr>
        <w:pStyle w:val="HitQuote"/>
      </w:pPr>
      <w:r>
        <w:rPr>
          <w:rFonts w:ascii="Times New Roman" w:hAnsi="Times New Roman"/>
        </w:rPr>
        <w:t>**H4**：平台反垄断监管通过增加预期不确定性机制，抑制数字平台企业研发投入的增加。即预期不确定性在反垄断监管与企业研发投入之间发挥中介作用。</w:t>
      </w:r>
    </w:p>
    <w:p>
      <w:pPr>
        <w:pStyle w:val="HitHeading3"/>
        <w:keepNext/>
        <w:keepLines/>
      </w:pPr>
      <w:bookmarkStart w:id="5041" w:name="_Toc102000041"/>
      <w:r>
        <w:t>反垄断监管类型差异的影响</w:t>
      </w:r>
      <w:bookmarkEnd w:id="5041"/>
    </w:p>
    <w:p>
      <w:pPr>
        <w:pStyle w:val="HitBody"/>
        <w:ind w:firstLineChars="200" w:firstLine="480"/>
        <w:widowControl w:val="0"/>
        <w:spacing w:line="360" w:lineRule="auto"/>
      </w:pPr>
      <w:r>
        <w:rPr>
          <w:rFonts w:ascii="Times New Roman" w:hAnsi="Times New Roman" w:eastAsia="宋体"/>
          <w:sz w:val="24"/>
          <w:szCs w:val="24"/>
        </w:rPr>
        <w:t>中国平台反垄断执法涵盖多种类型，不同监管类型对企业研发投入的影响可能存在差异。</w:t>
      </w:r>
    </w:p>
    <w:p>
      <w:pPr>
        <w:pStyle w:val="HitBody"/>
        <w:ind w:firstLineChars="200" w:firstLine="480"/>
        <w:widowControl w:val="0"/>
        <w:spacing w:line="360" w:lineRule="auto"/>
      </w:pPr>
      <w:r>
        <w:rPr>
          <w:rFonts w:ascii="Times New Roman" w:hAnsi="Times New Roman" w:eastAsia="宋体"/>
          <w:sz w:val="24"/>
          <w:szCs w:val="24"/>
        </w:rPr>
        <w:t>竞争行为监管</w:t>
      </w:r>
      <w:r>
        <w:rPr>
          <w:rFonts w:ascii="Times New Roman" w:hAnsi="Times New Roman" w:eastAsia="宋体"/>
          <w:sz w:val="24"/>
          <w:szCs w:val="24"/>
        </w:rPr>
        <w:t>（针对"二选一"等滥用市场支配地位行为）的核心是规范平台竞争行为。这类监管通过"去排他化"直接改变了平台企业的竞争激励结构——禁止排他性行为后，企业必须通过提升产品质量和技术创新来获取竞争优势，对研发投入的促进作用较为直接。</w:t>
      </w:r>
    </w:p>
    <w:p>
      <w:pPr>
        <w:pStyle w:val="HitBody"/>
        <w:ind w:firstLineChars="200" w:firstLine="480"/>
        <w:widowControl w:val="0"/>
        <w:spacing w:line="360" w:lineRule="auto"/>
      </w:pPr>
      <w:r>
        <w:rPr>
          <w:rFonts w:ascii="Times New Roman" w:hAnsi="Times New Roman" w:eastAsia="宋体"/>
          <w:sz w:val="24"/>
          <w:szCs w:val="24"/>
        </w:rPr>
        <w:t>市场结构监管</w:t>
      </w:r>
      <w:r>
        <w:rPr>
          <w:rFonts w:ascii="Times New Roman" w:hAnsi="Times New Roman" w:eastAsia="宋体"/>
          <w:sz w:val="24"/>
          <w:szCs w:val="24"/>
        </w:rPr>
        <w:t>（针对违法实施经营者集中、经营者集中审查）的核心是控制平台并购扩张速度。这类监管通过限制"扼杀式并购"（Kill-zone Acquisition）影响企业研发决策。当平台企业无法通过并购初创企业获取技术时，可能增加内生研发投资（"内部化"效应）；但也可能因增长受阻而减少整体研发投入。</w:t>
      </w:r>
    </w:p>
    <w:p>
      <w:pPr>
        <w:pStyle w:val="HitBody"/>
        <w:ind w:firstLineChars="200" w:firstLine="480"/>
        <w:widowControl w:val="0"/>
        <w:spacing w:line="360" w:lineRule="auto"/>
      </w:pPr>
      <w:r>
        <w:rPr>
          <w:rFonts w:ascii="Times New Roman" w:hAnsi="Times New Roman" w:eastAsia="宋体"/>
          <w:sz w:val="24"/>
          <w:szCs w:val="24"/>
        </w:rPr>
        <w:t>基于上述分析，本文提出假设：</w:t>
      </w:r>
    </w:p>
    <w:p>
      <w:pPr>
        <w:pStyle w:val="HitQuote"/>
      </w:pPr>
      <w:r>
        <w:rPr>
          <w:rFonts w:ascii="Times New Roman" w:hAnsi="Times New Roman"/>
        </w:rPr>
        <w:t>**H5a**：相较于市场结构监管，竞争行为监管对数字平台企业研发投入的促进作用更显著。</w:t>
      </w:r>
    </w:p>
    <w:p>
      <w:pPr>
        <w:pStyle w:val="HitQuote"/>
      </w:pPr>
      <w:r>
        <w:t xml:space="preserve"/>
      </w:r>
    </w:p>
    <w:p>
      <w:pPr>
        <w:pStyle w:val="HitQuote"/>
      </w:pPr>
      <w:r>
        <w:rPr>
          <w:rFonts w:ascii="Times New Roman" w:hAnsi="Times New Roman"/>
        </w:rPr>
        <w:t>**H5b**：市场结构监管可能促使平台企业将并购竞争转向内生技术创新，从而在一定程度上促进研发投入。</w:t>
      </w:r>
    </w:p>
    <w:p>
      <w:pPr>
        <w:pStyle w:val="HitHeading3"/>
        <w:keepNext/>
        <w:keepLines/>
      </w:pPr>
      <w:bookmarkStart w:id="5042" w:name="_Toc102000042"/>
      <w:r>
        <w:t>假设体系总览</w:t>
      </w:r>
      <w:bookmarkEnd w:id="5042"/>
    </w:p>
    <w:p>
      <w:pPr>
        <w:pStyle w:val="HitCodeBlock"/>
      </w:pPr>
      <w:r>
        <w:rPr>
          <w:rFonts w:ascii="Times New Roman" w:hAnsi="Times New Roman"/>
        </w:rPr>
        <w:t>H1a: 平台反垄断监管显著促进数字平台企业研发投入的增加（威慑效应主导）</w:t>
      </w:r>
      <w:r>
        <w:br/>
      </w:r>
      <w:r>
        <w:rPr>
          <w:rFonts w:ascii="Times New Roman" w:hAnsi="Times New Roman"/>
        </w:rPr>
        <w:t>H1b: 平台反垄断监管显著抑制数字平台企业研发投入的投入（挤出效应主导）</w:t>
      </w:r>
      <w:r>
        <w:br/>
      </w:r>
      <w:r>
        <w:t xml:space="preserve"/>
      </w:r>
      <w:r>
        <w:br/>
      </w:r>
      <w:r>
        <w:rPr>
          <w:rFonts w:ascii="Times New Roman" w:hAnsi="Times New Roman"/>
        </w:rPr>
        <w:t>H2: 竞争激励渠道：反垄断监管通过增强竞争激励促进研发投入（中介效应）</w:t>
      </w:r>
      <w:r>
        <w:br/>
      </w:r>
      <w:r>
        <w:rPr>
          <w:rFonts w:ascii="Times New Roman" w:hAnsi="Times New Roman"/>
        </w:rPr>
        <w:t>H3: 资源约束渠道：反垄断监管通过加剧资源约束抑制研发投入（中介效应）</w:t>
      </w:r>
      <w:r>
        <w:br/>
      </w:r>
      <w:r>
        <w:rPr>
          <w:rFonts w:ascii="Times New Roman" w:hAnsi="Times New Roman"/>
        </w:rPr>
        <w:t>H4: 预期不确定性渠道：反垄断监管通过增加预期不确定性抑制研发投入（中介效应）</w:t>
      </w:r>
      <w:r>
        <w:br/>
      </w:r>
      <w:r>
        <w:t xml:space="preserve"/>
      </w:r>
      <w:r>
        <w:br/>
      </w:r>
      <w:r>
        <w:rPr>
          <w:rFonts w:ascii="Times New Roman" w:hAnsi="Times New Roman"/>
        </w:rPr>
        <w:t>H5a: 竞争行为监管对研发投入的促进作用 &gt; 市场结构监管</w:t>
      </w:r>
      <w:r>
        <w:br/>
      </w:r>
      <w:r>
        <w:rPr>
          <w:rFonts w:ascii="Times New Roman" w:hAnsi="Times New Roman"/>
        </w:rPr>
        <w:t>H5b: 市场结构监管通过限制并购可能促进内生技术创新</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3"/>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43" w:name="_Toc102000043"/>
      <w:r>
        <w:t>研究设计</w:t>
      </w:r>
      <w:bookmarkEnd w:id="5043"/>
    </w:p>
    <w:p>
      <w:pPr>
        <w:pStyle w:val="HitHeading2"/>
        <w:keepNext/>
        <w:keepLines/>
      </w:pPr>
      <w:bookmarkStart w:id="5044" w:name="_Toc102000044"/>
      <w:r>
        <w:t>样本选择与数据来源</w:t>
      </w:r>
      <w:bookmarkEnd w:id="5044"/>
    </w:p>
    <w:p>
      <w:pPr>
        <w:pStyle w:val="HitHeading3"/>
        <w:keepNext/>
        <w:keepLines/>
      </w:pPr>
      <w:bookmarkStart w:id="5045" w:name="_Toc102000045"/>
      <w:r>
        <w:t>样本选择</w:t>
      </w:r>
      <w:bookmarkEnd w:id="5045"/>
    </w:p>
    <w:p>
      <w:pPr>
        <w:pStyle w:val="HitBody"/>
        <w:ind w:firstLineChars="200" w:firstLine="480"/>
        <w:widowControl w:val="0"/>
        <w:spacing w:line="360" w:lineRule="auto"/>
      </w:pPr>
      <w:r>
        <w:rPr>
          <w:rFonts w:ascii="Times New Roman" w:hAnsi="Times New Roman" w:eastAsia="宋体"/>
          <w:sz w:val="24"/>
          <w:szCs w:val="24"/>
        </w:rPr>
        <w:t>本研究以2017—2023年中国A股数字平台上市公司为初始研究样本。选取2017年作为起始年份的原因在于：（1）该年份处于反垄断监管强化之前，能够为企业提供充足的"政策前"观测窗口，满足DID模型平行趋势检验的要求；（2）2017年国务院印发《新一代人工智能发展规划》，数字平台企业进入快速发展期，研发投入数据开始系统化披露。选取2023年作为终止年份的原因在于：（1）该年份距离反垄断重大执法事件（2021年）已有时滞效应，能够观察到监管冲击的滞后影响；（2）2023年数据完整披露，避免样本截断误差。</w:t>
      </w:r>
    </w:p>
    <w:p>
      <w:pPr>
        <w:pStyle w:val="HitBody"/>
        <w:ind w:firstLineChars="200" w:firstLine="480"/>
        <w:widowControl w:val="0"/>
        <w:spacing w:line="360" w:lineRule="auto"/>
      </w:pPr>
      <w:r>
        <w:rPr>
          <w:rFonts w:ascii="Times New Roman" w:hAnsi="Times New Roman" w:eastAsia="宋体"/>
          <w:sz w:val="24"/>
          <w:szCs w:val="24"/>
        </w:rPr>
        <w:t>样本筛选遵循以下原则：（1）剔除ST、*ST及PT类上市公司；（2）剔除核心变量数据缺失的观测值；（3）剔除资产负债率大于1或小于0的异常观测值；（4）对连续变量进行双侧1%缩尾处理（Winsorize），以消除极端值影响。经过筛选和匹配，最终获得由约120家A股上市数字平台企业和约150家非平台对照企业组成的非平衡面板数据，共计约2000个企业-年度观测值。</w:t>
      </w:r>
    </w:p>
    <w:p>
      <w:pPr>
        <w:pStyle w:val="HitHeading3"/>
        <w:keepNext/>
        <w:keepLines/>
      </w:pPr>
      <w:bookmarkStart w:id="5046" w:name="_Toc102000046"/>
      <w:r>
        <w:t>数据来源</w:t>
      </w:r>
      <w:bookmarkEnd w:id="5046"/>
    </w:p>
    <w:p>
      <w:pPr>
        <w:pStyle w:val="HitBody"/>
        <w:ind w:firstLineChars="200" w:firstLine="480"/>
        <w:widowControl w:val="0"/>
        <w:spacing w:line="360" w:lineRule="auto"/>
      </w:pPr>
      <w:r>
        <w:rPr>
          <w:rFonts w:ascii="Times New Roman" w:hAnsi="Times New Roman" w:eastAsia="宋体"/>
          <w:sz w:val="24"/>
          <w:szCs w:val="24"/>
        </w:rPr>
        <w:t>本研究的数据来源包括：</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4249"/>
        <w:gridCol w:w="2569"/>
        <w:gridCol w:w="1495"/>
      </w:tblGrid>
      <w:tr>
        <w:trPr>
          <w:tblHeader/>
        </w:trPr>
        <w:tc>
          <w:tcPr>
            <w:tcW w:w="4249" w:type="dxa"/>
            <w:vAlign w:val="center"/>
            <w:tcBorders>
              <w:top w:val="single" w:sz="12" w:space="0" w:color="auto"/>
              <w:bottom w:val="single" w:sz="8" w:space="0" w:color="auto"/>
            </w:tcBorders>
          </w:tcPr>
          <w:p>
            <w:pPr>
              <w:pStyle w:val="HitTableText"/>
              <w:jc w:val="center"/>
              <w:spacing w:after="0" w:line="360" w:lineRule="auto"/>
            </w:pPr>
            <w:r>
              <w:rPr>
                <w:sz w:val="21"/>
                <w:szCs w:val="21"/>
              </w:rPr>
              <w:t>数据类型</w:t>
            </w:r>
          </w:p>
        </w:tc>
        <w:tc>
          <w:tcPr>
            <w:tcW w:w="2569" w:type="dxa"/>
            <w:vAlign w:val="center"/>
            <w:tcBorders>
              <w:top w:val="single" w:sz="12" w:space="0" w:color="auto"/>
              <w:bottom w:val="single" w:sz="8" w:space="0" w:color="auto"/>
            </w:tcBorders>
          </w:tcPr>
          <w:p>
            <w:pPr>
              <w:pStyle w:val="HitTableText"/>
              <w:jc w:val="center"/>
              <w:spacing w:after="0" w:line="360" w:lineRule="auto"/>
            </w:pPr>
            <w:r>
              <w:rPr>
                <w:sz w:val="21"/>
                <w:szCs w:val="21"/>
              </w:rPr>
              <w:t>来源</w:t>
            </w:r>
          </w:p>
        </w:tc>
        <w:tc>
          <w:tcPr>
            <w:tcW w:w="1495" w:type="dxa"/>
            <w:vAlign w:val="center"/>
            <w:tcBorders>
              <w:top w:val="single" w:sz="12" w:space="0" w:color="auto"/>
              <w:bottom w:val="single" w:sz="8" w:space="0" w:color="auto"/>
            </w:tcBorders>
          </w:tcPr>
          <w:p>
            <w:pPr>
              <w:pStyle w:val="HitTableText"/>
              <w:jc w:val="center"/>
              <w:spacing w:after="0" w:line="360" w:lineRule="auto"/>
            </w:pPr>
            <w:r>
              <w:rPr>
                <w:sz w:val="21"/>
                <w:szCs w:val="21"/>
              </w:rPr>
              <w:t>用途</w:t>
            </w:r>
          </w:p>
        </w:tc>
      </w:tr>
      <w:tr>
        <w:tc>
          <w:tcPr>
            <w:tcW w:w="4249" w:type="dxa"/>
            <w:vAlign w:val="center"/>
          </w:tcPr>
          <w:p>
            <w:pPr>
              <w:pStyle w:val="HitTableText"/>
              <w:jc w:val="center"/>
              <w:spacing w:after="0" w:line="360" w:lineRule="auto"/>
            </w:pPr>
            <w:r>
              <w:rPr>
                <w:sz w:val="21"/>
                <w:szCs w:val="21"/>
              </w:rPr>
              <w:t>企业财务数据（研发投入、营业收入、总资产等）</w:t>
            </w:r>
          </w:p>
        </w:tc>
        <w:tc>
          <w:tcPr>
            <w:tcW w:w="2569" w:type="dxa"/>
            <w:vAlign w:val="center"/>
          </w:tcPr>
          <w:p>
            <w:pPr>
              <w:pStyle w:val="HitTableText"/>
              <w:jc w:val="center"/>
              <w:spacing w:after="0" w:line="360" w:lineRule="auto"/>
            </w:pPr>
            <w:r>
              <w:rPr>
                <w:sz w:val="21"/>
                <w:szCs w:val="21"/>
              </w:rPr>
              <w:t>国泰安（CSMAR）数据库</w:t>
            </w:r>
          </w:p>
        </w:tc>
        <w:tc>
          <w:tcPr>
            <w:tcW w:w="1495" w:type="dxa"/>
            <w:vAlign w:val="center"/>
          </w:tcPr>
          <w:p>
            <w:pPr>
              <w:pStyle w:val="HitTableText"/>
              <w:jc w:val="center"/>
              <w:spacing w:after="0" w:line="360" w:lineRule="auto"/>
            </w:pPr>
            <w:r>
              <w:rPr>
                <w:sz w:val="21"/>
                <w:szCs w:val="21"/>
              </w:rPr>
              <w:t>被解释变量、控制变量</w:t>
            </w:r>
          </w:p>
        </w:tc>
      </w:tr>
      <w:tr>
        <w:tc>
          <w:tcPr>
            <w:tcW w:w="4249" w:type="dxa"/>
            <w:vAlign w:val="center"/>
          </w:tcPr>
          <w:p>
            <w:pPr>
              <w:pStyle w:val="HitTableText"/>
              <w:jc w:val="center"/>
              <w:spacing w:after="0" w:line="360" w:lineRule="auto"/>
            </w:pPr>
            <w:r>
              <w:rPr>
                <w:sz w:val="21"/>
                <w:szCs w:val="21"/>
              </w:rPr>
              <w:t>企业专利数据（申请量、授权量、IPC分类）</w:t>
            </w:r>
          </w:p>
        </w:tc>
        <w:tc>
          <w:tcPr>
            <w:tcW w:w="2569" w:type="dxa"/>
            <w:vAlign w:val="center"/>
          </w:tcPr>
          <w:p>
            <w:pPr>
              <w:pStyle w:val="HitTableText"/>
              <w:jc w:val="center"/>
              <w:spacing w:after="0" w:line="360" w:lineRule="auto"/>
            </w:pPr>
            <w:r>
              <w:rPr>
                <w:sz w:val="21"/>
                <w:szCs w:val="21"/>
              </w:rPr>
              <w:t>国家知识产权局（CNIPA）/ CNRDS数据库</w:t>
            </w:r>
          </w:p>
        </w:tc>
        <w:tc>
          <w:tcPr>
            <w:tcW w:w="1495" w:type="dxa"/>
            <w:vAlign w:val="center"/>
          </w:tcPr>
          <w:p>
            <w:pPr>
              <w:pStyle w:val="HitTableText"/>
              <w:jc w:val="center"/>
              <w:spacing w:after="0" w:line="360" w:lineRule="auto"/>
            </w:pPr>
            <w:r>
              <w:rPr>
                <w:sz w:val="21"/>
                <w:szCs w:val="21"/>
              </w:rPr>
              <w:t>创新产出变量</w:t>
            </w:r>
          </w:p>
        </w:tc>
      </w:tr>
      <w:tr>
        <w:tc>
          <w:tcPr>
            <w:tcW w:w="4249" w:type="dxa"/>
            <w:vAlign w:val="center"/>
          </w:tcPr>
          <w:p>
            <w:pPr>
              <w:pStyle w:val="HitTableText"/>
              <w:jc w:val="center"/>
              <w:spacing w:after="0" w:line="360" w:lineRule="auto"/>
            </w:pPr>
            <w:r>
              <w:rPr>
                <w:sz w:val="21"/>
                <w:szCs w:val="21"/>
              </w:rPr>
              <w:t>企业治理数据（股权结构、高管薪酬等）</w:t>
            </w:r>
          </w:p>
        </w:tc>
        <w:tc>
          <w:tcPr>
            <w:tcW w:w="2569" w:type="dxa"/>
            <w:vAlign w:val="center"/>
          </w:tcPr>
          <w:p>
            <w:pPr>
              <w:pStyle w:val="HitTableText"/>
              <w:jc w:val="center"/>
              <w:spacing w:after="0" w:line="360" w:lineRule="auto"/>
            </w:pPr>
            <w:r>
              <w:rPr>
                <w:sz w:val="21"/>
                <w:szCs w:val="21"/>
              </w:rPr>
              <w:t>国泰安（CSMAR）数据库 / 清华CNRI公司治理数据库</w:t>
            </w:r>
          </w:p>
        </w:tc>
        <w:tc>
          <w:tcPr>
            <w:tcW w:w="1495" w:type="dxa"/>
            <w:vAlign w:val="center"/>
          </w:tcPr>
          <w:p>
            <w:pPr>
              <w:pStyle w:val="HitTableText"/>
              <w:jc w:val="center"/>
              <w:spacing w:after="0" w:line="360" w:lineRule="auto"/>
            </w:pPr>
            <w:r>
              <w:rPr>
                <w:sz w:val="21"/>
                <w:szCs w:val="21"/>
              </w:rPr>
              <w:t>控制变量</w:t>
            </w:r>
          </w:p>
        </w:tc>
      </w:tr>
      <w:tr>
        <w:tc>
          <w:tcPr>
            <w:tcW w:w="4249" w:type="dxa"/>
            <w:vAlign w:val="center"/>
          </w:tcPr>
          <w:p>
            <w:pPr>
              <w:pStyle w:val="HitTableText"/>
              <w:jc w:val="center"/>
              <w:spacing w:after="0" w:line="360" w:lineRule="auto"/>
            </w:pPr>
            <w:r>
              <w:rPr>
                <w:sz w:val="21"/>
                <w:szCs w:val="21"/>
              </w:rPr>
              <w:t>城市层面数据</w:t>
            </w:r>
          </w:p>
        </w:tc>
        <w:tc>
          <w:tcPr>
            <w:tcW w:w="2569" w:type="dxa"/>
            <w:vAlign w:val="center"/>
          </w:tcPr>
          <w:p>
            <w:pPr>
              <w:pStyle w:val="HitTableText"/>
              <w:jc w:val="center"/>
              <w:spacing w:after="0" w:line="360" w:lineRule="auto"/>
            </w:pPr>
            <w:r>
              <w:rPr>
                <w:sz w:val="21"/>
                <w:szCs w:val="21"/>
              </w:rPr>
              <w:t>《中国城市统计年鉴》</w:t>
            </w:r>
          </w:p>
        </w:tc>
        <w:tc>
          <w:tcPr>
            <w:tcW w:w="1495" w:type="dxa"/>
            <w:vAlign w:val="center"/>
          </w:tcPr>
          <w:p>
            <w:pPr>
              <w:pStyle w:val="HitTableText"/>
              <w:jc w:val="center"/>
              <w:spacing w:after="0" w:line="360" w:lineRule="auto"/>
            </w:pPr>
            <w:r>
              <w:rPr>
                <w:sz w:val="21"/>
                <w:szCs w:val="21"/>
              </w:rPr>
              <w:t>城市层面控制变量</w:t>
            </w:r>
          </w:p>
        </w:tc>
      </w:tr>
      <w:tr>
        <w:tc>
          <w:tcPr>
            <w:tcW w:w="4249" w:type="dxa"/>
            <w:vAlign w:val="center"/>
          </w:tcPr>
          <w:p>
            <w:pPr>
              <w:pStyle w:val="HitTableText"/>
              <w:jc w:val="center"/>
              <w:spacing w:after="0" w:line="360" w:lineRule="auto"/>
            </w:pPr>
            <w:r>
              <w:rPr>
                <w:sz w:val="21"/>
                <w:szCs w:val="21"/>
              </w:rPr>
              <w:t>反垄断案件数据</w:t>
            </w:r>
          </w:p>
        </w:tc>
        <w:tc>
          <w:tcPr>
            <w:tcW w:w="2569" w:type="dxa"/>
            <w:vAlign w:val="center"/>
          </w:tcPr>
          <w:p>
            <w:pPr>
              <w:pStyle w:val="HitTableText"/>
              <w:jc w:val="center"/>
              <w:spacing w:after="0" w:line="360" w:lineRule="auto"/>
            </w:pPr>
            <w:r>
              <w:rPr>
                <w:sz w:val="21"/>
                <w:szCs w:val="21"/>
              </w:rPr>
              <w:t>市场监管总局公开信息 / 手工收集</w:t>
            </w:r>
          </w:p>
        </w:tc>
        <w:tc>
          <w:tcPr>
            <w:tcW w:w="1495" w:type="dxa"/>
            <w:vAlign w:val="center"/>
          </w:tcPr>
          <w:p>
            <w:pPr>
              <w:pStyle w:val="HitTableText"/>
              <w:jc w:val="center"/>
              <w:spacing w:after="0" w:line="360" w:lineRule="auto"/>
            </w:pPr>
            <w:r>
              <w:rPr>
                <w:sz w:val="21"/>
                <w:szCs w:val="21"/>
              </w:rPr>
              <w:t>核心解释变量构建</w:t>
            </w:r>
          </w:p>
        </w:tc>
      </w:tr>
      <w:tr>
        <w:tc>
          <w:tcPr>
            <w:tcW w:w="4249" w:type="dxa"/>
            <w:vAlign w:val="center"/>
          </w:tcPr>
          <w:p>
            <w:pPr>
              <w:pStyle w:val="HitTableText"/>
              <w:jc w:val="center"/>
              <w:spacing w:after="0" w:line="360" w:lineRule="auto"/>
            </w:pPr>
            <w:r>
              <w:rPr>
                <w:sz w:val="21"/>
                <w:szCs w:val="21"/>
              </w:rPr>
              <w:t>平台企业识别数据</w:t>
            </w:r>
          </w:p>
        </w:tc>
        <w:tc>
          <w:tcPr>
            <w:tcW w:w="2569" w:type="dxa"/>
            <w:vAlign w:val="center"/>
          </w:tcPr>
          <w:p>
            <w:pPr>
              <w:pStyle w:val="HitTableText"/>
              <w:jc w:val="center"/>
              <w:spacing w:after="0" w:line="360" w:lineRule="auto"/>
            </w:pPr>
            <w:r>
              <w:rPr>
                <w:sz w:val="21"/>
                <w:szCs w:val="21"/>
              </w:rPr>
              <w:t>上市公司年报 / 证监会行业分类</w:t>
            </w:r>
          </w:p>
        </w:tc>
        <w:tc>
          <w:tcPr>
            <w:tcW w:w="1495" w:type="dxa"/>
            <w:vAlign w:val="center"/>
          </w:tcPr>
          <w:p>
            <w:pPr>
              <w:pStyle w:val="HitTableText"/>
              <w:jc w:val="center"/>
              <w:spacing w:after="0" w:line="360" w:lineRule="auto"/>
            </w:pPr>
            <w:r>
              <w:rPr>
                <w:sz w:val="21"/>
                <w:szCs w:val="21"/>
              </w:rPr>
              <w:t>处理组识别</w:t>
            </w:r>
          </w:p>
        </w:tc>
      </w:tr>
    </w:tbl>
    <w:p>
      <w:pPr>
        <w:pStyle w:val="HitBody"/>
        <w:ind w:firstLineChars="200" w:firstLine="480"/>
        <w:widowControl w:val="0"/>
        <w:spacing w:line="360" w:lineRule="auto"/>
      </w:pPr>
      <w:r>
        <w:rPr>
          <w:rFonts w:ascii="Times New Roman" w:hAnsi="Times New Roman" w:eastAsia="宋体"/>
          <w:sz w:val="24"/>
          <w:szCs w:val="24"/>
        </w:rPr>
        <w:t>其中，反垄断监管冲击的识别依据市场监管总局公布的反垄断处罚决定书、行政指导书等公开信息。核心政策事件包括：2021年4月对阿里巴巴集团的反垄断处罚、2021年10月对美团的反垄断处罚、2021年7月对滴滴出行的数据安全处罚等。</w:t>
      </w:r>
    </w:p>
    <w:p>
      <w:pPr>
        <w:pStyle w:val="HitHeading2"/>
        <w:keepNext/>
        <w:keepLines/>
      </w:pPr>
      <w:bookmarkStart w:id="5047" w:name="_Toc102000047"/>
      <w:r>
        <w:t>变量定义与测度</w:t>
      </w:r>
      <w:bookmarkEnd w:id="5047"/>
    </w:p>
    <w:p>
      <w:pPr>
        <w:pStyle w:val="HitHeading3"/>
        <w:keepNext/>
        <w:keepLines/>
      </w:pPr>
      <w:bookmarkStart w:id="5048" w:name="_Toc102000048"/>
      <w:r>
        <w:t>被解释变量</w:t>
      </w:r>
      <w:bookmarkEnd w:id="5048"/>
    </w:p>
    <w:tbl>
      <w:tblPr>
        <w:tblW w:w="8313" w:type="dxa"/>
        <w:jc w:val="center"/>
        <w:tblBorders>
          <w:top w:val="single" w:sz="12" w:space="0" w:color="auto"/>
          <w:bottom w:val="single" w:sz="12" w:space="0" w:color="auto"/>
        </w:tblBorders>
        <w:tblLayout w:type="fixed"/>
        <w:tblLook w:firstRow="1" w:lastRow="0" w:firstColumn="1" w:lastColumn="0" w:val="04A0"/>
      </w:tblPr>
      <w:tblGrid>
        <w:gridCol w:w="2837"/>
        <w:gridCol w:w="1336"/>
        <w:gridCol w:w="4140"/>
      </w:tblGrid>
      <w:tr>
        <w:trPr>
          <w:tblHeader/>
        </w:trPr>
        <w:tc>
          <w:tcPr>
            <w:tcW w:w="2837" w:type="dxa"/>
            <w:vAlign w:val="center"/>
            <w:tcBorders>
              <w:top w:val="single" w:sz="12" w:space="0" w:color="auto"/>
              <w:bottom w:val="single" w:sz="8" w:space="0" w:color="auto"/>
            </w:tcBorders>
          </w:tcPr>
          <w:p>
            <w:pPr>
              <w:pStyle w:val="HitTableText"/>
              <w:jc w:val="center"/>
              <w:spacing w:after="0" w:line="360" w:lineRule="auto"/>
            </w:pPr>
            <w:r>
              <w:rPr>
                <w:sz w:val="21"/>
                <w:szCs w:val="21"/>
              </w:rPr>
              <w:t>变量名称</w:t>
            </w:r>
          </w:p>
        </w:tc>
        <w:tc>
          <w:tcPr>
            <w:tcW w:w="1336" w:type="dxa"/>
            <w:vAlign w:val="center"/>
            <w:tcBorders>
              <w:top w:val="single" w:sz="12" w:space="0" w:color="auto"/>
              <w:bottom w:val="single" w:sz="8" w:space="0" w:color="auto"/>
            </w:tcBorders>
          </w:tcPr>
          <w:p>
            <w:pPr>
              <w:pStyle w:val="HitTableText"/>
              <w:jc w:val="center"/>
              <w:spacing w:after="0" w:line="360" w:lineRule="auto"/>
            </w:pPr>
            <w:r>
              <w:rPr>
                <w:sz w:val="21"/>
                <w:szCs w:val="21"/>
              </w:rPr>
              <w:t>符号</w:t>
            </w:r>
          </w:p>
        </w:tc>
        <w:tc>
          <w:tcPr>
            <w:tcW w:w="4140" w:type="dxa"/>
            <w:vAlign w:val="center"/>
            <w:tcBorders>
              <w:top w:val="single" w:sz="12" w:space="0" w:color="auto"/>
              <w:bottom w:val="single" w:sz="8" w:space="0" w:color="auto"/>
            </w:tcBorders>
          </w:tcPr>
          <w:p>
            <w:pPr>
              <w:pStyle w:val="HitTableText"/>
              <w:jc w:val="center"/>
              <w:spacing w:after="0" w:line="360" w:lineRule="auto"/>
            </w:pPr>
            <w:r>
              <w:rPr>
                <w:sz w:val="21"/>
                <w:szCs w:val="21"/>
              </w:rPr>
              <w:t>测度方式</w:t>
            </w:r>
          </w:p>
        </w:tc>
      </w:tr>
      <w:tr>
        <w:tc>
          <w:tcPr>
            <w:tcW w:w="2837" w:type="dxa"/>
            <w:vAlign w:val="center"/>
          </w:tcPr>
          <w:p>
            <w:pPr>
              <w:pStyle w:val="HitTableText"/>
              <w:jc w:val="center"/>
              <w:spacing w:after="0" w:line="360" w:lineRule="auto"/>
            </w:pPr>
            <w:r>
              <w:rPr>
                <w:sz w:val="21"/>
                <w:szCs w:val="21"/>
              </w:rPr>
              <w:t>研发投入（对数）</w:t>
            </w:r>
          </w:p>
        </w:tc>
        <w:tc>
          <w:tcPr>
            <w:tcW w:w="1336" w:type="dxa"/>
            <w:vAlign w:val="center"/>
          </w:tcPr>
          <w:p>
            <w:pPr>
              <w:pStyle w:val="HitTableText"/>
              <w:jc w:val="center"/>
              <w:spacing w:after="0" w:line="360" w:lineRule="auto"/>
            </w:pPr>
            <w:r>
              <w:rPr>
                <w:sz w:val="21"/>
                <w:szCs w:val="21"/>
              </w:rPr>
              <w:t>LnRD</w:t>
            </w:r>
          </w:p>
        </w:tc>
        <w:tc>
          <w:tcPr>
            <w:tcW w:w="4140" w:type="dxa"/>
            <w:vAlign w:val="center"/>
          </w:tcPr>
          <w:p>
            <w:pPr>
              <w:pStyle w:val="HitTableText"/>
              <w:jc w:val="center"/>
              <w:spacing w:after="0" w:line="360" w:lineRule="auto"/>
            </w:pPr>
            <w:r>
              <w:rPr>
                <w:sz w:val="21"/>
                <w:szCs w:val="21"/>
              </w:rPr>
              <w:t>企业t年研发投入金额取自然对数，即ln(RD_t + 1)</w:t>
            </w:r>
          </w:p>
        </w:tc>
      </w:tr>
      <w:tr>
        <w:tc>
          <w:tcPr>
            <w:tcW w:w="2837" w:type="dxa"/>
            <w:vAlign w:val="center"/>
          </w:tcPr>
          <w:p>
            <w:pPr>
              <w:pStyle w:val="HitTableText"/>
              <w:jc w:val="center"/>
              <w:spacing w:after="0" w:line="360" w:lineRule="auto"/>
            </w:pPr>
            <w:r>
              <w:rPr>
                <w:sz w:val="21"/>
                <w:szCs w:val="21"/>
              </w:rPr>
              <w:t>研发强度</w:t>
            </w:r>
          </w:p>
        </w:tc>
        <w:tc>
          <w:tcPr>
            <w:tcW w:w="1336" w:type="dxa"/>
            <w:vAlign w:val="center"/>
          </w:tcPr>
          <w:p>
            <w:pPr>
              <w:pStyle w:val="HitTableText"/>
              <w:jc w:val="center"/>
              <w:spacing w:after="0" w:line="360" w:lineRule="auto"/>
            </w:pPr>
            <w:r>
              <w:rPr>
                <w:sz w:val="21"/>
                <w:szCs w:val="21"/>
              </w:rPr>
              <w:t>RD_Intensity</w:t>
            </w:r>
          </w:p>
        </w:tc>
        <w:tc>
          <w:tcPr>
            <w:tcW w:w="4140" w:type="dxa"/>
            <w:vAlign w:val="center"/>
          </w:tcPr>
          <w:p>
            <w:pPr>
              <w:pStyle w:val="HitTableText"/>
              <w:jc w:val="center"/>
              <w:spacing w:after="0" w:line="360" w:lineRule="auto"/>
            </w:pPr>
            <w:r>
              <w:rPr>
                <w:sz w:val="21"/>
                <w:szCs w:val="21"/>
              </w:rPr>
              <w:t>企业t年研发投入占营业收入的比例，即RD_t / Rev_t</w:t>
            </w:r>
          </w:p>
        </w:tc>
      </w:tr>
    </w:tbl>
    <w:p>
      <w:pPr>
        <w:pStyle w:val="HitBody"/>
        <w:ind w:firstLineChars="200" w:firstLine="480"/>
        <w:widowControl w:val="0"/>
        <w:spacing w:line="360" w:lineRule="auto"/>
      </w:pPr>
      <w:r>
        <w:rPr>
          <w:rFonts w:ascii="Times New Roman" w:hAnsi="Times New Roman" w:eastAsia="宋体"/>
          <w:sz w:val="24"/>
          <w:szCs w:val="24"/>
        </w:rPr>
        <w:t>研发投入金额数据来源于企业年报中的"研发投入/研发费用"科目。部分企业仅在年报附注中披露研发费用，需手工收集补充。</w:t>
      </w:r>
    </w:p>
    <w:p>
      <w:pPr>
        <w:pStyle w:val="HitHeading3"/>
        <w:keepNext/>
        <w:keepLines/>
      </w:pPr>
      <w:bookmarkStart w:id="5049" w:name="_Toc102000049"/>
      <w:r>
        <w:t>核心解释变量</w:t>
      </w:r>
      <w:bookmarkEnd w:id="5049"/>
    </w:p>
    <w:tbl>
      <w:tblPr>
        <w:tblW w:w="8313" w:type="dxa"/>
        <w:jc w:val="center"/>
        <w:tblBorders>
          <w:top w:val="single" w:sz="12" w:space="0" w:color="auto"/>
          <w:bottom w:val="single" w:sz="12" w:space="0" w:color="auto"/>
        </w:tblBorders>
        <w:tblLayout w:type="fixed"/>
        <w:tblLook w:firstRow="1" w:lastRow="0" w:firstColumn="1" w:lastColumn="0" w:val="04A0"/>
      </w:tblPr>
      <w:tblGrid>
        <w:gridCol w:w="2493"/>
        <w:gridCol w:w="1831"/>
        <w:gridCol w:w="3989"/>
      </w:tblGrid>
      <w:tr>
        <w:trPr>
          <w:tblHeader/>
        </w:trPr>
        <w:tc>
          <w:tcPr>
            <w:tcW w:w="2493" w:type="dxa"/>
            <w:vAlign w:val="center"/>
            <w:tcBorders>
              <w:top w:val="single" w:sz="12" w:space="0" w:color="auto"/>
              <w:bottom w:val="single" w:sz="8" w:space="0" w:color="auto"/>
            </w:tcBorders>
          </w:tcPr>
          <w:p>
            <w:pPr>
              <w:pStyle w:val="HitTableText"/>
              <w:jc w:val="center"/>
              <w:spacing w:after="0" w:line="360" w:lineRule="auto"/>
            </w:pPr>
            <w:r>
              <w:rPr>
                <w:sz w:val="21"/>
                <w:szCs w:val="21"/>
              </w:rPr>
              <w:t>变量名称</w:t>
            </w:r>
          </w:p>
        </w:tc>
        <w:tc>
          <w:tcPr>
            <w:tcW w:w="1831" w:type="dxa"/>
            <w:vAlign w:val="center"/>
            <w:tcBorders>
              <w:top w:val="single" w:sz="12" w:space="0" w:color="auto"/>
              <w:bottom w:val="single" w:sz="8" w:space="0" w:color="auto"/>
            </w:tcBorders>
          </w:tcPr>
          <w:p>
            <w:pPr>
              <w:pStyle w:val="HitTableText"/>
              <w:jc w:val="center"/>
              <w:spacing w:after="0" w:line="360" w:lineRule="auto"/>
            </w:pPr>
            <w:r>
              <w:rPr>
                <w:sz w:val="21"/>
                <w:szCs w:val="21"/>
              </w:rPr>
              <w:t>符号</w:t>
            </w:r>
          </w:p>
        </w:tc>
        <w:tc>
          <w:tcPr>
            <w:tcW w:w="3989" w:type="dxa"/>
            <w:vAlign w:val="center"/>
            <w:tcBorders>
              <w:top w:val="single" w:sz="12" w:space="0" w:color="auto"/>
              <w:bottom w:val="single" w:sz="8" w:space="0" w:color="auto"/>
            </w:tcBorders>
          </w:tcPr>
          <w:p>
            <w:pPr>
              <w:pStyle w:val="HitTableText"/>
              <w:jc w:val="center"/>
              <w:spacing w:after="0" w:line="360" w:lineRule="auto"/>
            </w:pPr>
            <w:r>
              <w:rPr>
                <w:sz w:val="21"/>
                <w:szCs w:val="21"/>
              </w:rPr>
              <w:t>测度方式</w:t>
            </w:r>
          </w:p>
        </w:tc>
      </w:tr>
      <w:tr>
        <w:tc>
          <w:tcPr>
            <w:tcW w:w="2493" w:type="dxa"/>
            <w:vAlign w:val="center"/>
          </w:tcPr>
          <w:p>
            <w:pPr>
              <w:pStyle w:val="HitTableText"/>
              <w:jc w:val="center"/>
              <w:spacing w:after="0" w:line="360" w:lineRule="auto"/>
            </w:pPr>
            <w:r>
              <w:rPr>
                <w:sz w:val="21"/>
                <w:szCs w:val="21"/>
              </w:rPr>
              <w:t>反垄断监管冲击</w:t>
            </w:r>
          </w:p>
        </w:tc>
        <w:tc>
          <w:tcPr>
            <w:tcW w:w="1831" w:type="dxa"/>
            <w:vAlign w:val="center"/>
          </w:tcPr>
          <w:p>
            <w:pPr>
              <w:pStyle w:val="HitTableText"/>
              <w:jc w:val="center"/>
              <w:spacing w:after="0" w:line="360" w:lineRule="auto"/>
            </w:pPr>
            <w:r>
              <w:rPr>
                <w:sz w:val="21"/>
                <w:szCs w:val="21"/>
              </w:rPr>
              <w:t>Post_AntiMonopoly</w:t>
            </w:r>
          </w:p>
        </w:tc>
        <w:tc>
          <w:tcPr>
            <w:tcW w:w="3989" w:type="dxa"/>
            <w:vAlign w:val="center"/>
          </w:tcPr>
          <w:p>
            <w:pPr>
              <w:pStyle w:val="HitTableText"/>
              <w:jc w:val="center"/>
              <w:spacing w:after="0" w:line="360" w:lineRule="auto"/>
            </w:pPr>
            <w:r>
              <w:rPr>
                <w:sz w:val="21"/>
                <w:szCs w:val="21"/>
              </w:rPr>
              <w:t>若企业t年及之后受到反垄断监管处罚，取1；否则取0</w:t>
            </w:r>
          </w:p>
        </w:tc>
      </w:tr>
      <w:tr>
        <w:tc>
          <w:tcPr>
            <w:tcW w:w="2493" w:type="dxa"/>
            <w:vAlign w:val="center"/>
          </w:tcPr>
          <w:p>
            <w:pPr>
              <w:pStyle w:val="HitTableText"/>
              <w:jc w:val="center"/>
              <w:spacing w:after="0" w:line="360" w:lineRule="auto"/>
            </w:pPr>
            <w:r>
              <w:rPr>
                <w:sz w:val="21"/>
                <w:szCs w:val="21"/>
              </w:rPr>
              <w:t>竞争行为监管</w:t>
            </w:r>
          </w:p>
        </w:tc>
        <w:tc>
          <w:tcPr>
            <w:tcW w:w="1831" w:type="dxa"/>
            <w:vAlign w:val="center"/>
          </w:tcPr>
          <w:p>
            <w:pPr>
              <w:pStyle w:val="HitTableText"/>
              <w:jc w:val="center"/>
              <w:spacing w:after="0" w:line="360" w:lineRule="auto"/>
            </w:pPr>
            <w:r>
              <w:rPr>
                <w:sz w:val="21"/>
                <w:szCs w:val="21"/>
              </w:rPr>
              <w:t>Competition_Reg</w:t>
            </w:r>
          </w:p>
        </w:tc>
        <w:tc>
          <w:tcPr>
            <w:tcW w:w="3989" w:type="dxa"/>
            <w:vAlign w:val="center"/>
          </w:tcPr>
          <w:p>
            <w:pPr>
              <w:pStyle w:val="HitTableText"/>
              <w:jc w:val="center"/>
              <w:spacing w:after="0" w:line="360" w:lineRule="auto"/>
            </w:pPr>
            <w:r>
              <w:rPr>
                <w:sz w:val="21"/>
                <w:szCs w:val="21"/>
              </w:rPr>
              <w:t>若企业t年因"二选一"/滥用市场支配地位被处罚，取1</w:t>
            </w:r>
          </w:p>
        </w:tc>
      </w:tr>
      <w:tr>
        <w:tc>
          <w:tcPr>
            <w:tcW w:w="2493" w:type="dxa"/>
            <w:vAlign w:val="center"/>
          </w:tcPr>
          <w:p>
            <w:pPr>
              <w:pStyle w:val="HitTableText"/>
              <w:jc w:val="center"/>
              <w:spacing w:after="0" w:line="360" w:lineRule="auto"/>
            </w:pPr>
            <w:r>
              <w:rPr>
                <w:sz w:val="21"/>
                <w:szCs w:val="21"/>
              </w:rPr>
              <w:t>市场结构监管</w:t>
            </w:r>
          </w:p>
        </w:tc>
        <w:tc>
          <w:tcPr>
            <w:tcW w:w="1831" w:type="dxa"/>
            <w:vAlign w:val="center"/>
          </w:tcPr>
          <w:p>
            <w:pPr>
              <w:pStyle w:val="HitTableText"/>
              <w:jc w:val="center"/>
              <w:spacing w:after="0" w:line="360" w:lineRule="auto"/>
            </w:pPr>
            <w:r>
              <w:rPr>
                <w:sz w:val="21"/>
                <w:szCs w:val="21"/>
              </w:rPr>
              <w:t>Structure_Reg</w:t>
            </w:r>
          </w:p>
        </w:tc>
        <w:tc>
          <w:tcPr>
            <w:tcW w:w="3989" w:type="dxa"/>
            <w:vAlign w:val="center"/>
          </w:tcPr>
          <w:p>
            <w:pPr>
              <w:pStyle w:val="HitTableText"/>
              <w:jc w:val="center"/>
              <w:spacing w:after="0" w:line="360" w:lineRule="auto"/>
            </w:pPr>
            <w:r>
              <w:rPr>
                <w:sz w:val="21"/>
                <w:szCs w:val="21"/>
              </w:rPr>
              <w:t>若企业t年因违法实施经营者集中被处罚，取1</w:t>
            </w:r>
          </w:p>
        </w:tc>
      </w:tr>
      <w:tr>
        <w:tc>
          <w:tcPr>
            <w:tcW w:w="2493" w:type="dxa"/>
            <w:vAlign w:val="center"/>
          </w:tcPr>
          <w:p>
            <w:pPr>
              <w:pStyle w:val="HitTableText"/>
              <w:jc w:val="center"/>
              <w:spacing w:after="0" w:line="360" w:lineRule="auto"/>
            </w:pPr>
            <w:r>
              <w:rPr>
                <w:sz w:val="21"/>
                <w:szCs w:val="21"/>
              </w:rPr>
              <w:t>反垄断监管强度</w:t>
            </w:r>
          </w:p>
        </w:tc>
        <w:tc>
          <w:tcPr>
            <w:tcW w:w="1831" w:type="dxa"/>
            <w:vAlign w:val="center"/>
          </w:tcPr>
          <w:p>
            <w:pPr>
              <w:pStyle w:val="HitTableText"/>
              <w:jc w:val="center"/>
              <w:spacing w:after="0" w:line="360" w:lineRule="auto"/>
            </w:pPr>
            <w:r>
              <w:rPr>
                <w:sz w:val="21"/>
                <w:szCs w:val="21"/>
              </w:rPr>
              <w:t>AntiMonopoly_Intensity</w:t>
            </w:r>
          </w:p>
        </w:tc>
        <w:tc>
          <w:tcPr>
            <w:tcW w:w="3989" w:type="dxa"/>
            <w:vAlign w:val="center"/>
          </w:tcPr>
          <w:p>
            <w:pPr>
              <w:pStyle w:val="HitTableText"/>
              <w:jc w:val="center"/>
              <w:spacing w:after="0" w:line="360" w:lineRule="auto"/>
            </w:pPr>
            <w:r>
              <w:rPr>
                <w:sz w:val="21"/>
                <w:szCs w:val="21"/>
              </w:rPr>
              <w:t>企业t年反垄断罚款金额的对数，若未受罚取0</w:t>
            </w:r>
          </w:p>
        </w:tc>
      </w:tr>
    </w:tbl>
    <w:p>
      <w:pPr>
        <w:pStyle w:val="HitHeading3"/>
        <w:keepNext/>
        <w:keepLines/>
      </w:pPr>
      <w:bookmarkStart w:id="5050" w:name="_Toc102000050"/>
      <w:r>
        <w:t>中介变量</w:t>
      </w:r>
      <w:bookmarkEnd w:id="5050"/>
    </w:p>
    <w:tbl>
      <w:tblPr>
        <w:tblW w:w="8313" w:type="dxa"/>
        <w:jc w:val="center"/>
        <w:tblBorders>
          <w:top w:val="single" w:sz="12" w:space="0" w:color="auto"/>
          <w:bottom w:val="single" w:sz="12" w:space="0" w:color="auto"/>
        </w:tblBorders>
        <w:tblLayout w:type="fixed"/>
        <w:tblLook w:firstRow="1" w:lastRow="0" w:firstColumn="1" w:lastColumn="0" w:val="04A0"/>
      </w:tblPr>
      <w:tblGrid>
        <w:gridCol w:w="1927"/>
        <w:gridCol w:w="1370"/>
        <w:gridCol w:w="3501"/>
        <w:gridCol w:w="1515"/>
      </w:tblGrid>
      <w:tr>
        <w:trPr>
          <w:tblHeader/>
        </w:trPr>
        <w:tc>
          <w:tcPr>
            <w:tcW w:w="1927" w:type="dxa"/>
            <w:vAlign w:val="center"/>
            <w:tcBorders>
              <w:top w:val="single" w:sz="12" w:space="0" w:color="auto"/>
              <w:bottom w:val="single" w:sz="8" w:space="0" w:color="auto"/>
            </w:tcBorders>
          </w:tcPr>
          <w:p>
            <w:pPr>
              <w:pStyle w:val="HitTableText"/>
              <w:jc w:val="center"/>
              <w:spacing w:after="0" w:line="360" w:lineRule="auto"/>
            </w:pPr>
            <w:r>
              <w:rPr>
                <w:sz w:val="21"/>
                <w:szCs w:val="21"/>
              </w:rPr>
              <w:t>变量名称</w:t>
            </w:r>
          </w:p>
        </w:tc>
        <w:tc>
          <w:tcPr>
            <w:tcW w:w="1370" w:type="dxa"/>
            <w:vAlign w:val="center"/>
            <w:tcBorders>
              <w:top w:val="single" w:sz="12" w:space="0" w:color="auto"/>
              <w:bottom w:val="single" w:sz="8" w:space="0" w:color="auto"/>
            </w:tcBorders>
          </w:tcPr>
          <w:p>
            <w:pPr>
              <w:pStyle w:val="HitTableText"/>
              <w:jc w:val="center"/>
              <w:spacing w:after="0" w:line="360" w:lineRule="auto"/>
            </w:pPr>
            <w:r>
              <w:rPr>
                <w:sz w:val="21"/>
                <w:szCs w:val="21"/>
              </w:rPr>
              <w:t>符号</w:t>
            </w:r>
          </w:p>
        </w:tc>
        <w:tc>
          <w:tcPr>
            <w:tcW w:w="3501" w:type="dxa"/>
            <w:vAlign w:val="center"/>
            <w:tcBorders>
              <w:top w:val="single" w:sz="12" w:space="0" w:color="auto"/>
              <w:bottom w:val="single" w:sz="8" w:space="0" w:color="auto"/>
            </w:tcBorders>
          </w:tcPr>
          <w:p>
            <w:pPr>
              <w:pStyle w:val="HitTableText"/>
              <w:jc w:val="center"/>
              <w:spacing w:after="0" w:line="360" w:lineRule="auto"/>
            </w:pPr>
            <w:r>
              <w:rPr>
                <w:sz w:val="21"/>
                <w:szCs w:val="21"/>
              </w:rPr>
              <w:t>测度方式</w:t>
            </w:r>
          </w:p>
        </w:tc>
        <w:tc>
          <w:tcPr>
            <w:tcW w:w="1515" w:type="dxa"/>
            <w:vAlign w:val="center"/>
            <w:tcBorders>
              <w:top w:val="single" w:sz="12" w:space="0" w:color="auto"/>
              <w:bottom w:val="single" w:sz="8" w:space="0" w:color="auto"/>
            </w:tcBorders>
          </w:tcPr>
          <w:p>
            <w:pPr>
              <w:pStyle w:val="HitTableText"/>
              <w:jc w:val="center"/>
              <w:spacing w:after="0" w:line="360" w:lineRule="auto"/>
            </w:pPr>
            <w:r>
              <w:rPr>
                <w:sz w:val="21"/>
                <w:szCs w:val="21"/>
              </w:rPr>
              <w:t>对应假设</w:t>
            </w:r>
          </w:p>
        </w:tc>
      </w:tr>
      <w:tr>
        <w:tc>
          <w:tcPr>
            <w:tcW w:w="1927" w:type="dxa"/>
            <w:vAlign w:val="center"/>
          </w:tcPr>
          <w:p>
            <w:pPr>
              <w:pStyle w:val="HitTableText"/>
              <w:jc w:val="center"/>
              <w:spacing w:after="0" w:line="360" w:lineRule="auto"/>
            </w:pPr>
            <w:r>
              <w:rPr>
                <w:sz w:val="21"/>
                <w:szCs w:val="21"/>
              </w:rPr>
              <w:t>竞争激励</w:t>
            </w:r>
          </w:p>
        </w:tc>
        <w:tc>
          <w:tcPr>
            <w:tcW w:w="1370" w:type="dxa"/>
            <w:vAlign w:val="center"/>
          </w:tcPr>
          <w:p>
            <w:pPr>
              <w:pStyle w:val="HitTableText"/>
              <w:jc w:val="center"/>
              <w:spacing w:after="0" w:line="360" w:lineRule="auto"/>
            </w:pPr>
            <w:r>
              <w:rPr>
                <w:sz w:val="21"/>
                <w:szCs w:val="21"/>
              </w:rPr>
              <w:t>Competition_Incentive</w:t>
            </w:r>
          </w:p>
        </w:tc>
        <w:tc>
          <w:tcPr>
            <w:tcW w:w="3501" w:type="dxa"/>
            <w:vAlign w:val="center"/>
          </w:tcPr>
          <w:p>
            <w:pPr>
              <w:pStyle w:val="HitTableText"/>
              <w:jc w:val="center"/>
              <w:spacing w:after="0" w:line="360" w:lineRule="auto"/>
            </w:pPr>
            <w:r>
              <w:rPr>
                <w:sz w:val="21"/>
                <w:szCs w:val="21"/>
              </w:rPr>
              <w:t>行业HHI指数（衡量竞争强度）的倒数；或平台间价格差异的绝对值</w:t>
            </w:r>
          </w:p>
        </w:tc>
        <w:tc>
          <w:tcPr>
            <w:tcW w:w="1515" w:type="dxa"/>
            <w:vAlign w:val="center"/>
          </w:tcPr>
          <w:p>
            <w:pPr>
              <w:pStyle w:val="HitTableText"/>
              <w:jc w:val="center"/>
              <w:spacing w:after="0" w:line="360" w:lineRule="auto"/>
            </w:pPr>
            <w:r>
              <w:rPr>
                <w:sz w:val="21"/>
                <w:szCs w:val="21"/>
              </w:rPr>
              <w:t>H2</w:t>
            </w:r>
          </w:p>
        </w:tc>
      </w:tr>
      <w:tr>
        <w:tc>
          <w:tcPr>
            <w:tcW w:w="1927" w:type="dxa"/>
            <w:vAlign w:val="center"/>
          </w:tcPr>
          <w:p>
            <w:pPr>
              <w:pStyle w:val="HitTableText"/>
              <w:jc w:val="center"/>
              <w:spacing w:after="0" w:line="360" w:lineRule="auto"/>
            </w:pPr>
            <w:r>
              <w:rPr>
                <w:sz w:val="21"/>
                <w:szCs w:val="21"/>
              </w:rPr>
              <w:t>资源约束</w:t>
            </w:r>
          </w:p>
        </w:tc>
        <w:tc>
          <w:tcPr>
            <w:tcW w:w="1370" w:type="dxa"/>
            <w:vAlign w:val="center"/>
          </w:tcPr>
          <w:p>
            <w:pPr>
              <w:pStyle w:val="HitTableText"/>
              <w:jc w:val="center"/>
              <w:spacing w:after="0" w:line="360" w:lineRule="auto"/>
            </w:pPr>
            <w:r>
              <w:rPr>
                <w:sz w:val="21"/>
                <w:szCs w:val="21"/>
              </w:rPr>
              <w:t>Financing_Constraint</w:t>
            </w:r>
          </w:p>
        </w:tc>
        <w:tc>
          <w:tcPr>
            <w:tcW w:w="3501" w:type="dxa"/>
            <w:vAlign w:val="center"/>
          </w:tcPr>
          <w:p>
            <w:pPr>
              <w:pStyle w:val="HitTableText"/>
              <w:jc w:val="center"/>
              <w:spacing w:after="0" w:line="360" w:lineRule="auto"/>
            </w:pPr>
            <w:r>
              <w:rPr>
                <w:sz w:val="21"/>
                <w:szCs w:val="21"/>
              </w:rPr>
              <w:t>SA指数：SA = -0.737×Size + 0.043×Size² - 0.040×Age</w:t>
            </w:r>
          </w:p>
        </w:tc>
        <w:tc>
          <w:tcPr>
            <w:tcW w:w="1515" w:type="dxa"/>
            <w:vAlign w:val="center"/>
          </w:tcPr>
          <w:p>
            <w:pPr>
              <w:pStyle w:val="HitTableText"/>
              <w:jc w:val="center"/>
              <w:spacing w:after="0" w:line="360" w:lineRule="auto"/>
            </w:pPr>
            <w:r>
              <w:rPr>
                <w:sz w:val="21"/>
                <w:szCs w:val="21"/>
              </w:rPr>
              <w:t>H3</w:t>
            </w:r>
          </w:p>
        </w:tc>
      </w:tr>
      <w:tr>
        <w:tc>
          <w:tcPr>
            <w:tcW w:w="1927" w:type="dxa"/>
            <w:vAlign w:val="center"/>
          </w:tcPr>
          <w:p>
            <w:pPr>
              <w:pStyle w:val="HitTableText"/>
              <w:jc w:val="center"/>
              <w:spacing w:after="0" w:line="360" w:lineRule="auto"/>
            </w:pPr>
            <w:r>
              <w:rPr>
                <w:sz w:val="21"/>
                <w:szCs w:val="21"/>
              </w:rPr>
              <w:t>预期不确定性</w:t>
            </w:r>
          </w:p>
        </w:tc>
        <w:tc>
          <w:tcPr>
            <w:tcW w:w="1370" w:type="dxa"/>
            <w:vAlign w:val="center"/>
          </w:tcPr>
          <w:p>
            <w:pPr>
              <w:pStyle w:val="HitTableText"/>
              <w:jc w:val="center"/>
              <w:spacing w:after="0" w:line="360" w:lineRule="auto"/>
            </w:pPr>
            <w:r>
              <w:rPr>
                <w:sz w:val="21"/>
                <w:szCs w:val="21"/>
              </w:rPr>
              <w:t>Policy_Uncertainty</w:t>
            </w:r>
          </w:p>
        </w:tc>
        <w:tc>
          <w:tcPr>
            <w:tcW w:w="3501" w:type="dxa"/>
            <w:vAlign w:val="center"/>
          </w:tcPr>
          <w:p>
            <w:pPr>
              <w:pStyle w:val="HitTableText"/>
              <w:jc w:val="center"/>
              <w:spacing w:after="0" w:line="360" w:lineRule="auto"/>
            </w:pPr>
            <w:r>
              <w:rPr>
                <w:sz w:val="21"/>
                <w:szCs w:val="21"/>
              </w:rPr>
              <w:t>中国经济政策不确定性指数（EPU）的企业级映射</w:t>
            </w:r>
          </w:p>
        </w:tc>
        <w:tc>
          <w:tcPr>
            <w:tcW w:w="1515" w:type="dxa"/>
            <w:vAlign w:val="center"/>
          </w:tcPr>
          <w:p>
            <w:pPr>
              <w:pStyle w:val="HitTableText"/>
              <w:jc w:val="center"/>
              <w:spacing w:after="0" w:line="360" w:lineRule="auto"/>
            </w:pPr>
            <w:r>
              <w:rPr>
                <w:sz w:val="21"/>
                <w:szCs w:val="21"/>
              </w:rPr>
              <w:t>H4</w:t>
            </w:r>
          </w:p>
        </w:tc>
      </w:tr>
    </w:tbl>
    <w:p>
      <w:pPr>
        <w:pStyle w:val="HitHeading3"/>
        <w:keepNext/>
        <w:keepLines/>
      </w:pPr>
      <w:bookmarkStart w:id="5051" w:name="_Toc102000051"/>
      <w:r>
        <w:t>控制变量</w:t>
      </w:r>
      <w:bookmarkEnd w:id="5051"/>
    </w:p>
    <w:p>
      <w:pPr>
        <w:pStyle w:val="HitBody"/>
        <w:ind w:firstLineChars="200" w:firstLine="480"/>
        <w:widowControl w:val="0"/>
        <w:spacing w:line="360" w:lineRule="auto"/>
      </w:pPr>
      <w:r>
        <w:rPr>
          <w:rFonts w:ascii="Times New Roman" w:hAnsi="Times New Roman" w:eastAsia="宋体"/>
          <w:sz w:val="24"/>
          <w:szCs w:val="24"/>
        </w:rPr>
        <w:t>参考已有文献</w:t>
      </w:r>
      <w:hyperlink w:anchor="ref_15" w:history="1">
        <w:r>
          <w:rPr>
            <w:rFonts w:ascii="Times New Roman" w:hAnsi="Times New Roman" w:eastAsia="宋体"/>
            <w:sz w:val="24"/>
            <w:szCs w:val="24"/>
            <w:vertAlign w:val="superscript"/>
          </w:rPr>
          <w:t>[15]</w:t>
        </w:r>
      </w:hyperlink>
      <w:r>
        <w:rPr>
          <w:rFonts w:ascii="Times New Roman" w:hAnsi="Times New Roman" w:eastAsia="宋体"/>
          <w:sz w:val="24"/>
          <w:szCs w:val="24"/>
        </w:rPr>
        <w:t>，本研究选取以下企业层面控制变量：</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2131"/>
        <w:gridCol w:w="2500"/>
        <w:gridCol w:w="3682"/>
      </w:tblGrid>
      <w:tr>
        <w:trPr>
          <w:tblHeader/>
        </w:trPr>
        <w:tc>
          <w:tcPr>
            <w:tcW w:w="2131" w:type="dxa"/>
            <w:vAlign w:val="center"/>
            <w:tcBorders>
              <w:top w:val="single" w:sz="12" w:space="0" w:color="auto"/>
              <w:bottom w:val="single" w:sz="8" w:space="0" w:color="auto"/>
            </w:tcBorders>
          </w:tcPr>
          <w:p>
            <w:pPr>
              <w:pStyle w:val="HitTableText"/>
              <w:jc w:val="center"/>
              <w:spacing w:after="0" w:line="360" w:lineRule="auto"/>
            </w:pPr>
            <w:r>
              <w:rPr>
                <w:sz w:val="21"/>
                <w:szCs w:val="21"/>
              </w:rPr>
              <w:t>符号</w:t>
            </w:r>
          </w:p>
        </w:tc>
        <w:tc>
          <w:tcPr>
            <w:tcW w:w="2500" w:type="dxa"/>
            <w:vAlign w:val="center"/>
            <w:tcBorders>
              <w:top w:val="single" w:sz="12" w:space="0" w:color="auto"/>
              <w:bottom w:val="single" w:sz="8" w:space="0" w:color="auto"/>
            </w:tcBorders>
          </w:tcPr>
          <w:p>
            <w:pPr>
              <w:pStyle w:val="HitTableText"/>
              <w:jc w:val="center"/>
              <w:spacing w:after="0" w:line="360" w:lineRule="auto"/>
            </w:pPr>
            <w:r>
              <w:rPr>
                <w:sz w:val="21"/>
                <w:szCs w:val="21"/>
              </w:rPr>
              <w:t>变量名称</w:t>
            </w:r>
          </w:p>
        </w:tc>
        <w:tc>
          <w:tcPr>
            <w:tcW w:w="3682" w:type="dxa"/>
            <w:vAlign w:val="center"/>
            <w:tcBorders>
              <w:top w:val="single" w:sz="12" w:space="0" w:color="auto"/>
              <w:bottom w:val="single" w:sz="8" w:space="0" w:color="auto"/>
            </w:tcBorders>
          </w:tcPr>
          <w:p>
            <w:pPr>
              <w:pStyle w:val="HitTableText"/>
              <w:jc w:val="center"/>
              <w:spacing w:after="0" w:line="360" w:lineRule="auto"/>
            </w:pPr>
            <w:r>
              <w:rPr>
                <w:sz w:val="21"/>
                <w:szCs w:val="21"/>
              </w:rPr>
              <w:t>测度方式</w:t>
            </w:r>
          </w:p>
        </w:tc>
      </w:tr>
      <w:tr>
        <w:tc>
          <w:tcPr>
            <w:tcW w:w="2131" w:type="dxa"/>
            <w:vAlign w:val="center"/>
          </w:tcPr>
          <w:p>
            <w:pPr>
              <w:pStyle w:val="HitTableText"/>
              <w:jc w:val="center"/>
              <w:spacing w:after="0" w:line="360" w:lineRule="auto"/>
            </w:pPr>
            <w:r>
              <w:rPr>
                <w:sz w:val="21"/>
                <w:szCs w:val="21"/>
              </w:rPr>
              <w:t>Size</w:t>
            </w:r>
          </w:p>
        </w:tc>
        <w:tc>
          <w:tcPr>
            <w:tcW w:w="2500" w:type="dxa"/>
            <w:vAlign w:val="center"/>
          </w:tcPr>
          <w:p>
            <w:pPr>
              <w:pStyle w:val="HitTableText"/>
              <w:jc w:val="center"/>
              <w:spacing w:after="0" w:line="360" w:lineRule="auto"/>
            </w:pPr>
            <w:r>
              <w:rPr>
                <w:sz w:val="21"/>
                <w:szCs w:val="21"/>
              </w:rPr>
              <w:t>企业规模</w:t>
            </w:r>
          </w:p>
        </w:tc>
        <w:tc>
          <w:tcPr>
            <w:tcW w:w="3682" w:type="dxa"/>
            <w:vAlign w:val="center"/>
          </w:tcPr>
          <w:p>
            <w:pPr>
              <w:pStyle w:val="HitTableText"/>
              <w:jc w:val="center"/>
              <w:spacing w:after="0" w:line="360" w:lineRule="auto"/>
            </w:pPr>
            <w:r>
              <w:rPr>
                <w:sz w:val="21"/>
                <w:szCs w:val="21"/>
              </w:rPr>
              <w:t>ln(总资产)</w:t>
            </w:r>
          </w:p>
        </w:tc>
      </w:tr>
      <w:tr>
        <w:tc>
          <w:tcPr>
            <w:tcW w:w="2131" w:type="dxa"/>
            <w:vAlign w:val="center"/>
          </w:tcPr>
          <w:p>
            <w:pPr>
              <w:pStyle w:val="HitTableText"/>
              <w:jc w:val="center"/>
              <w:spacing w:after="0" w:line="360" w:lineRule="auto"/>
            </w:pPr>
            <w:r>
              <w:rPr>
                <w:sz w:val="21"/>
                <w:szCs w:val="21"/>
              </w:rPr>
              <w:t>Age</w:t>
            </w:r>
          </w:p>
        </w:tc>
        <w:tc>
          <w:tcPr>
            <w:tcW w:w="2500" w:type="dxa"/>
            <w:vAlign w:val="center"/>
          </w:tcPr>
          <w:p>
            <w:pPr>
              <w:pStyle w:val="HitTableText"/>
              <w:jc w:val="center"/>
              <w:spacing w:after="0" w:line="360" w:lineRule="auto"/>
            </w:pPr>
            <w:r>
              <w:rPr>
                <w:sz w:val="21"/>
                <w:szCs w:val="21"/>
              </w:rPr>
              <w:t>企业年龄</w:t>
            </w:r>
          </w:p>
        </w:tc>
        <w:tc>
          <w:tcPr>
            <w:tcW w:w="3682" w:type="dxa"/>
            <w:vAlign w:val="center"/>
          </w:tcPr>
          <w:p>
            <w:pPr>
              <w:pStyle w:val="HitTableText"/>
              <w:jc w:val="center"/>
              <w:spacing w:after="0" w:line="360" w:lineRule="auto"/>
            </w:pPr>
            <w:r>
              <w:rPr>
                <w:sz w:val="21"/>
                <w:szCs w:val="21"/>
              </w:rPr>
              <w:t>ln(成立年限)</w:t>
            </w:r>
          </w:p>
        </w:tc>
      </w:tr>
      <w:tr>
        <w:tc>
          <w:tcPr>
            <w:tcW w:w="2131" w:type="dxa"/>
            <w:vAlign w:val="center"/>
          </w:tcPr>
          <w:p>
            <w:pPr>
              <w:pStyle w:val="HitTableText"/>
              <w:jc w:val="center"/>
              <w:spacing w:after="0" w:line="360" w:lineRule="auto"/>
            </w:pPr>
            <w:r>
              <w:rPr>
                <w:sz w:val="21"/>
                <w:szCs w:val="21"/>
              </w:rPr>
              <w:t>Lev</w:t>
            </w:r>
          </w:p>
        </w:tc>
        <w:tc>
          <w:tcPr>
            <w:tcW w:w="2500" w:type="dxa"/>
            <w:vAlign w:val="center"/>
          </w:tcPr>
          <w:p>
            <w:pPr>
              <w:pStyle w:val="HitTableText"/>
              <w:jc w:val="center"/>
              <w:spacing w:after="0" w:line="360" w:lineRule="auto"/>
            </w:pPr>
            <w:r>
              <w:rPr>
                <w:sz w:val="21"/>
                <w:szCs w:val="21"/>
              </w:rPr>
              <w:t>资产负债率</w:t>
            </w:r>
          </w:p>
        </w:tc>
        <w:tc>
          <w:tcPr>
            <w:tcW w:w="3682" w:type="dxa"/>
            <w:vAlign w:val="center"/>
          </w:tcPr>
          <w:p>
            <w:pPr>
              <w:pStyle w:val="HitTableText"/>
              <w:jc w:val="center"/>
              <w:spacing w:after="0" w:line="360" w:lineRule="auto"/>
            </w:pPr>
            <w:r>
              <w:rPr>
                <w:sz w:val="21"/>
                <w:szCs w:val="21"/>
              </w:rPr>
              <w:t>总负债/总资产</w:t>
            </w:r>
          </w:p>
        </w:tc>
      </w:tr>
      <w:tr>
        <w:tc>
          <w:tcPr>
            <w:tcW w:w="2131" w:type="dxa"/>
            <w:vAlign w:val="center"/>
          </w:tcPr>
          <w:p>
            <w:pPr>
              <w:pStyle w:val="HitTableText"/>
              <w:jc w:val="center"/>
              <w:spacing w:after="0" w:line="360" w:lineRule="auto"/>
            </w:pPr>
            <w:r>
              <w:rPr>
                <w:sz w:val="21"/>
                <w:szCs w:val="21"/>
              </w:rPr>
              <w:t>ROE</w:t>
            </w:r>
          </w:p>
        </w:tc>
        <w:tc>
          <w:tcPr>
            <w:tcW w:w="2500" w:type="dxa"/>
            <w:vAlign w:val="center"/>
          </w:tcPr>
          <w:p>
            <w:pPr>
              <w:pStyle w:val="HitTableText"/>
              <w:jc w:val="center"/>
              <w:spacing w:after="0" w:line="360" w:lineRule="auto"/>
            </w:pPr>
            <w:r>
              <w:rPr>
                <w:sz w:val="21"/>
                <w:szCs w:val="21"/>
              </w:rPr>
              <w:t>净资产收益率</w:t>
            </w:r>
          </w:p>
        </w:tc>
        <w:tc>
          <w:tcPr>
            <w:tcW w:w="3682" w:type="dxa"/>
            <w:vAlign w:val="center"/>
          </w:tcPr>
          <w:p>
            <w:pPr>
              <w:pStyle w:val="HitTableText"/>
              <w:jc w:val="center"/>
              <w:spacing w:after="0" w:line="360" w:lineRule="auto"/>
            </w:pPr>
            <w:r>
              <w:rPr>
                <w:sz w:val="21"/>
                <w:szCs w:val="21"/>
              </w:rPr>
              <w:t>净利润/平均净资产</w:t>
            </w:r>
          </w:p>
        </w:tc>
      </w:tr>
      <w:tr>
        <w:tc>
          <w:tcPr>
            <w:tcW w:w="2131" w:type="dxa"/>
            <w:vAlign w:val="center"/>
          </w:tcPr>
          <w:p>
            <w:pPr>
              <w:pStyle w:val="HitTableText"/>
              <w:jc w:val="center"/>
              <w:spacing w:after="0" w:line="360" w:lineRule="auto"/>
            </w:pPr>
            <w:r>
              <w:rPr>
                <w:sz w:val="21"/>
                <w:szCs w:val="21"/>
              </w:rPr>
              <w:t>CashFlow</w:t>
            </w:r>
          </w:p>
        </w:tc>
        <w:tc>
          <w:tcPr>
            <w:tcW w:w="2500" w:type="dxa"/>
            <w:vAlign w:val="center"/>
          </w:tcPr>
          <w:p>
            <w:pPr>
              <w:pStyle w:val="HitTableText"/>
              <w:jc w:val="center"/>
              <w:spacing w:after="0" w:line="360" w:lineRule="auto"/>
            </w:pPr>
            <w:r>
              <w:rPr>
                <w:sz w:val="21"/>
                <w:szCs w:val="21"/>
              </w:rPr>
              <w:t>经营现金流比率</w:t>
            </w:r>
          </w:p>
        </w:tc>
        <w:tc>
          <w:tcPr>
            <w:tcW w:w="3682" w:type="dxa"/>
            <w:vAlign w:val="center"/>
          </w:tcPr>
          <w:p>
            <w:pPr>
              <w:pStyle w:val="HitTableText"/>
              <w:jc w:val="center"/>
              <w:spacing w:after="0" w:line="360" w:lineRule="auto"/>
            </w:pPr>
            <w:r>
              <w:rPr>
                <w:sz w:val="21"/>
                <w:szCs w:val="21"/>
              </w:rPr>
              <w:t>经营活动现金流量净额/总资产</w:t>
            </w:r>
          </w:p>
        </w:tc>
      </w:tr>
      <w:tr>
        <w:tc>
          <w:tcPr>
            <w:tcW w:w="2131" w:type="dxa"/>
            <w:vAlign w:val="center"/>
          </w:tcPr>
          <w:p>
            <w:pPr>
              <w:pStyle w:val="HitTableText"/>
              <w:jc w:val="center"/>
              <w:spacing w:after="0" w:line="360" w:lineRule="auto"/>
            </w:pPr>
            <w:r>
              <w:rPr>
                <w:sz w:val="21"/>
                <w:szCs w:val="21"/>
              </w:rPr>
              <w:t>SOE</w:t>
            </w:r>
          </w:p>
        </w:tc>
        <w:tc>
          <w:tcPr>
            <w:tcW w:w="2500" w:type="dxa"/>
            <w:vAlign w:val="center"/>
          </w:tcPr>
          <w:p>
            <w:pPr>
              <w:pStyle w:val="HitTableText"/>
              <w:jc w:val="center"/>
              <w:spacing w:after="0" w:line="360" w:lineRule="auto"/>
            </w:pPr>
            <w:r>
              <w:rPr>
                <w:sz w:val="21"/>
                <w:szCs w:val="21"/>
              </w:rPr>
              <w:t>产权性质</w:t>
            </w:r>
          </w:p>
        </w:tc>
        <w:tc>
          <w:tcPr>
            <w:tcW w:w="3682" w:type="dxa"/>
            <w:vAlign w:val="center"/>
          </w:tcPr>
          <w:p>
            <w:pPr>
              <w:pStyle w:val="HitTableText"/>
              <w:jc w:val="center"/>
              <w:spacing w:after="0" w:line="360" w:lineRule="auto"/>
            </w:pPr>
            <w:r>
              <w:rPr>
                <w:sz w:val="21"/>
                <w:szCs w:val="21"/>
              </w:rPr>
              <w:t>国有企业取1，否则取0</w:t>
            </w:r>
          </w:p>
        </w:tc>
      </w:tr>
      <w:tr>
        <w:tc>
          <w:tcPr>
            <w:tcW w:w="2131" w:type="dxa"/>
            <w:vAlign w:val="center"/>
          </w:tcPr>
          <w:p>
            <w:pPr>
              <w:pStyle w:val="HitTableText"/>
              <w:jc w:val="center"/>
              <w:spacing w:after="0" w:line="360" w:lineRule="auto"/>
            </w:pPr>
            <w:r>
              <w:rPr>
                <w:sz w:val="21"/>
                <w:szCs w:val="21"/>
              </w:rPr>
              <w:t>Top1</w:t>
            </w:r>
          </w:p>
        </w:tc>
        <w:tc>
          <w:tcPr>
            <w:tcW w:w="2500" w:type="dxa"/>
            <w:vAlign w:val="center"/>
          </w:tcPr>
          <w:p>
            <w:pPr>
              <w:pStyle w:val="HitTableText"/>
              <w:jc w:val="center"/>
              <w:spacing w:after="0" w:line="360" w:lineRule="auto"/>
            </w:pPr>
            <w:r>
              <w:rPr>
                <w:sz w:val="21"/>
                <w:szCs w:val="21"/>
              </w:rPr>
              <w:t>股权集中度</w:t>
            </w:r>
          </w:p>
        </w:tc>
        <w:tc>
          <w:tcPr>
            <w:tcW w:w="3682" w:type="dxa"/>
            <w:vAlign w:val="center"/>
          </w:tcPr>
          <w:p>
            <w:pPr>
              <w:pStyle w:val="HitTableText"/>
              <w:jc w:val="center"/>
              <w:spacing w:after="0" w:line="360" w:lineRule="auto"/>
            </w:pPr>
            <w:r>
              <w:rPr>
                <w:sz w:val="21"/>
                <w:szCs w:val="21"/>
              </w:rPr>
              <w:t>第一大股东持股比例</w:t>
            </w:r>
          </w:p>
        </w:tc>
      </w:tr>
      <w:tr>
        <w:tc>
          <w:tcPr>
            <w:tcW w:w="2131" w:type="dxa"/>
            <w:vAlign w:val="center"/>
          </w:tcPr>
          <w:p>
            <w:pPr>
              <w:pStyle w:val="HitTableText"/>
              <w:jc w:val="center"/>
              <w:spacing w:after="0" w:line="360" w:lineRule="auto"/>
            </w:pPr>
            <w:r>
              <w:rPr>
                <w:sz w:val="21"/>
                <w:szCs w:val="21"/>
              </w:rPr>
              <w:t>BoardSize</w:t>
            </w:r>
          </w:p>
        </w:tc>
        <w:tc>
          <w:tcPr>
            <w:tcW w:w="2500" w:type="dxa"/>
            <w:vAlign w:val="center"/>
          </w:tcPr>
          <w:p>
            <w:pPr>
              <w:pStyle w:val="HitTableText"/>
              <w:jc w:val="center"/>
              <w:spacing w:after="0" w:line="360" w:lineRule="auto"/>
            </w:pPr>
            <w:r>
              <w:rPr>
                <w:sz w:val="21"/>
                <w:szCs w:val="21"/>
              </w:rPr>
              <w:t>董事会规模</w:t>
            </w:r>
          </w:p>
        </w:tc>
        <w:tc>
          <w:tcPr>
            <w:tcW w:w="3682" w:type="dxa"/>
            <w:vAlign w:val="center"/>
          </w:tcPr>
          <w:p>
            <w:pPr>
              <w:pStyle w:val="HitTableText"/>
              <w:jc w:val="center"/>
              <w:spacing w:after="0" w:line="360" w:lineRule="auto"/>
            </w:pPr>
            <w:r>
              <w:rPr>
                <w:sz w:val="21"/>
                <w:szCs w:val="21"/>
              </w:rPr>
              <w:t>ln(董事会人数)</w:t>
            </w:r>
          </w:p>
        </w:tc>
      </w:tr>
      <w:tr>
        <w:tc>
          <w:tcPr>
            <w:tcW w:w="2131" w:type="dxa"/>
            <w:vAlign w:val="center"/>
          </w:tcPr>
          <w:p>
            <w:pPr>
              <w:pStyle w:val="HitTableText"/>
              <w:jc w:val="center"/>
              <w:spacing w:after="0" w:line="360" w:lineRule="auto"/>
            </w:pPr>
            <w:r>
              <w:rPr>
                <w:sz w:val="21"/>
                <w:szCs w:val="21"/>
              </w:rPr>
              <w:t>IndepDir</w:t>
            </w:r>
          </w:p>
        </w:tc>
        <w:tc>
          <w:tcPr>
            <w:tcW w:w="2500" w:type="dxa"/>
            <w:vAlign w:val="center"/>
          </w:tcPr>
          <w:p>
            <w:pPr>
              <w:pStyle w:val="HitTableText"/>
              <w:jc w:val="center"/>
              <w:spacing w:after="0" w:line="360" w:lineRule="auto"/>
            </w:pPr>
            <w:r>
              <w:rPr>
                <w:sz w:val="21"/>
                <w:szCs w:val="21"/>
              </w:rPr>
              <w:t>独立董事比例</w:t>
            </w:r>
          </w:p>
        </w:tc>
        <w:tc>
          <w:tcPr>
            <w:tcW w:w="3682" w:type="dxa"/>
            <w:vAlign w:val="center"/>
          </w:tcPr>
          <w:p>
            <w:pPr>
              <w:pStyle w:val="HitTableText"/>
              <w:jc w:val="center"/>
              <w:spacing w:after="0" w:line="360" w:lineRule="auto"/>
            </w:pPr>
            <w:r>
              <w:rPr>
                <w:sz w:val="21"/>
                <w:szCs w:val="21"/>
              </w:rPr>
              <w:t>独立董事人数/董事会总人数</w:t>
            </w:r>
          </w:p>
        </w:tc>
      </w:tr>
      <w:tr>
        <w:tc>
          <w:tcPr>
            <w:tcW w:w="2131" w:type="dxa"/>
            <w:vAlign w:val="center"/>
          </w:tcPr>
          <w:p>
            <w:pPr>
              <w:pStyle w:val="HitTableText"/>
              <w:jc w:val="center"/>
              <w:spacing w:after="0" w:line="360" w:lineRule="auto"/>
            </w:pPr>
            <w:r>
              <w:rPr>
                <w:sz w:val="21"/>
                <w:szCs w:val="21"/>
              </w:rPr>
              <w:t>TobinQ</w:t>
            </w:r>
          </w:p>
        </w:tc>
        <w:tc>
          <w:tcPr>
            <w:tcW w:w="2500" w:type="dxa"/>
            <w:vAlign w:val="center"/>
          </w:tcPr>
          <w:p>
            <w:pPr>
              <w:pStyle w:val="HitTableText"/>
              <w:jc w:val="center"/>
              <w:spacing w:after="0" w:line="360" w:lineRule="auto"/>
            </w:pPr>
            <w:r>
              <w:rPr>
                <w:sz w:val="21"/>
                <w:szCs w:val="21"/>
              </w:rPr>
              <w:t>托宾Q值</w:t>
            </w:r>
          </w:p>
        </w:tc>
        <w:tc>
          <w:tcPr>
            <w:tcW w:w="3682" w:type="dxa"/>
            <w:vAlign w:val="center"/>
          </w:tcPr>
          <w:p>
            <w:pPr>
              <w:pStyle w:val="HitTableText"/>
              <w:jc w:val="center"/>
              <w:spacing w:after="0" w:line="360" w:lineRule="auto"/>
            </w:pPr>
            <w:r>
              <w:rPr>
                <w:sz w:val="21"/>
                <w:szCs w:val="21"/>
              </w:rPr>
              <w:t>企业市值/资产重置成本</w:t>
            </w:r>
          </w:p>
        </w:tc>
      </w:tr>
    </w:tbl>
    <w:p>
      <w:pPr>
        <w:pStyle w:val="HitBody"/>
        <w:ind w:firstLineChars="200" w:firstLine="480"/>
        <w:widowControl w:val="0"/>
        <w:spacing w:line="360" w:lineRule="auto"/>
      </w:pPr>
      <w:r>
        <w:rPr>
          <w:rFonts w:ascii="Times New Roman" w:hAnsi="Times New Roman" w:eastAsia="宋体"/>
          <w:sz w:val="24"/>
          <w:szCs w:val="24"/>
        </w:rPr>
        <w:t>同时控制企业固定效应（Firm FE）和年份固定效应（Year FE），部分回归还控制行业固定效应（Industry FE）。</w:t>
      </w:r>
    </w:p>
    <w:p>
      <w:pPr>
        <w:pStyle w:val="HitHeading2"/>
        <w:keepNext/>
        <w:keepLines/>
      </w:pPr>
      <w:bookmarkStart w:id="5052" w:name="_Toc102000052"/>
      <w:r>
        <w:t>模型设定</w:t>
      </w:r>
      <w:bookmarkEnd w:id="5052"/>
    </w:p>
    <w:p>
      <w:pPr>
        <w:pStyle w:val="HitHeading3"/>
        <w:keepNext/>
        <w:keepLines/>
      </w:pPr>
      <w:bookmarkStart w:id="5053" w:name="_Toc102000053"/>
      <w:r>
        <w:t>基准回归模型</w:t>
      </w:r>
      <w:bookmarkEnd w:id="5053"/>
    </w:p>
    <w:p>
      <w:pPr>
        <w:pStyle w:val="HitBody"/>
        <w:ind w:firstLineChars="200" w:firstLine="480"/>
        <w:widowControl w:val="0"/>
        <w:spacing w:line="360" w:lineRule="auto"/>
      </w:pPr>
      <w:r>
        <w:rPr>
          <w:rFonts w:ascii="Times New Roman" w:hAnsi="Times New Roman" w:eastAsia="宋体"/>
          <w:sz w:val="24"/>
          <w:szCs w:val="24"/>
        </w:rPr>
        <w:t>为检验H1a/H1b，构建如下双重差分模型：</w:t>
      </w:r>
    </w:p>
    <w:p>
      <w:pPr>
        <w:pStyle w:val="HitMathBlock"/>
        <w:ind w:firstLineChars="0" w:firstLine="0"/>
        <w:snapToGrid w:val="0"/>
        <w:keepLines/>
        <w:spacing w:before="120" w:after="120" w:line="360" w:lineRule="auto"/>
        <w:tabs>
          <w:tab w:val="center" w:pos="4156"/>
          <w:tab w:val="right" w:pos="8313"/>
        </w:tabs>
      </w:pPr>
      <w:r>
        <w:tab/>
      </w:r>
      <ns0:oMath xmlns:ns0="http://schemas.openxmlformats.org/officeDocument/2006/math">
        <ns0:r>
          <ns0:t xml:space="preserve">R</ns0:t>
        </ns0:r>
        <ns0:sSub>
          <ns0:sSubPr>
            <ns0:ctrlPr/>
          </ns0:sSubPr>
          <ns0:e>
            <ns0:r>
              <ns0:t xml:space="preserve">D</ns0:t>
            </ns0:r>
          </ns0:e>
          <ns0:sub>
            <ns0:r>
              <ns0:t xml:space="preserve">it</ns0:t>
            </ns0:r>
          </ns0:sub>
        </ns0:sSub>
        <ns0:r>
          <ns0:t xml:space="preserve">=</ns0:t>
        </ns0:r>
        <ns0:sSub>
          <ns0:sSubPr>
            <ns0:ctrlPr/>
          </ns0:sSubPr>
          <ns0:e>
            <ns0:r>
              <ns0:t xml:space="preserve">α</ns0:t>
            </ns0:r>
          </ns0:e>
          <ns0:sub>
            <ns0:r>
              <ns0:t xml:space="preserve">0</ns0:t>
            </ns0:r>
          </ns0:sub>
        </ns0:sSub>
        <ns0:r>
          <ns0:t xml:space="preserve">+</ns0:t>
        </ns0:r>
        <ns0:sSub>
          <ns0:sSubPr>
            <ns0:ctrlPr/>
          </ns0:sSubPr>
          <ns0:e>
            <ns0:r>
              <ns0:t xml:space="preserve">α</ns0:t>
            </ns0:r>
          </ns0:e>
          <ns0:sub>
            <ns0:r>
              <ns0:t xml:space="preserve">1</ns0:t>
            </ns0:r>
          </ns0:sub>
        </ns0:sSub>
        <ns0:r>
          <ns0:t xml:space="preserve">⋅</ns0:t>
        </ns0:r>
        <ns0:r>
          <ns0:t xml:space="preserve">(Trea</ns0:t>
        </ns0:r>
        <ns0:sSub>
          <ns0:sSubPr>
            <ns0:ctrlPr/>
          </ns0:sSubPr>
          <ns0:e>
            <ns0:r>
              <ns0:t xml:space="preserve">t</ns0:t>
            </ns0:r>
          </ns0:e>
          <ns0:sub>
            <ns0:r>
              <ns0:t xml:space="preserve">i</ns0:t>
            </ns0:r>
          </ns0:sub>
        </ns0:sSub>
        <ns0:r>
          <ns0:t xml:space="preserve">×Pos</ns0:t>
        </ns0:r>
        <ns0:sSub>
          <ns0:sSubPr>
            <ns0:ctrlPr/>
          </ns0:sSubPr>
          <ns0:e>
            <ns0:r>
              <ns0:t xml:space="preserve">t</ns0:t>
            </ns0:r>
          </ns0:e>
          <ns0:sub>
            <ns0:r>
              <ns0:t xml:space="preserve">t</ns0:t>
            </ns0:r>
          </ns0:sub>
        </ns0:sSub>
        <ns0:r>
          <ns0:t xml:space="preserve">)</ns0:t>
        </ns0:r>
        <ns0:r>
          <ns0:t xml:space="preserve">+</ns0:t>
        </ns0:r>
        <ns0:sSub>
          <ns0:sSubPr>
            <ns0:ctrlPr/>
          </ns0:sSubPr>
          <ns0:e>
            <ns0:r>
              <ns0:t xml:space="preserve">α</ns0:t>
            </ns0:r>
          </ns0:e>
          <ns0:sub>
            <ns0:r>
              <ns0:t xml:space="preserve">2</ns0:t>
            </ns0:r>
          </ns0:sub>
        </ns0:sSub>
        <ns0:r>
          <ns0:t xml:space="preserve">⋅Control</ns0:t>
        </ns0:r>
        <ns0:sSub>
          <ns0:sSubPr>
            <ns0:ctrlPr/>
          </ns0:sSubPr>
          <ns0:e>
            <ns0:r>
              <ns0:t xml:space="preserve">s</ns0:t>
            </ns0:r>
          </ns0:e>
          <ns0:sub>
            <ns0:r>
              <ns0:t xml:space="preserve">it</ns0:t>
            </ns0:r>
          </ns0:sub>
        </ns0:sSub>
        <ns0:r>
          <ns0:t xml:space="preserve">+</ns0:t>
        </ns0:r>
        <ns0:sSub>
          <ns0:sSubPr>
            <ns0:ctrlPr/>
          </ns0:sSubPr>
          <ns0:e>
            <ns0:r>
              <ns0:t xml:space="preserve">δ</ns0:t>
            </ns0:r>
          </ns0:e>
          <ns0:sub>
            <ns0:r>
              <ns0:t xml:space="preserve">i</ns0:t>
            </ns0:r>
          </ns0:sub>
        </ns0:sSub>
        <ns0:r>
          <ns0:t xml:space="preserve">+</ns0:t>
        </ns0:r>
        <ns0:sSub>
          <ns0:sSubPr>
            <ns0:ctrlPr/>
          </ns0:sSubPr>
          <ns0:e>
            <ns0:r>
              <ns0:t xml:space="preserve">γ</ns0:t>
            </ns0:r>
          </ns0:e>
          <ns0:sub>
            <ns0:r>
              <ns0:t xml:space="preserve">t</ns0:t>
            </ns0:r>
          </ns0:sub>
        </ns0:sSub>
        <ns0:r>
          <ns0:t xml:space="preserve">+</ns0:t>
        </ns0:r>
        <ns0:sSub>
          <ns0:sSubPr>
            <ns0:ctrlPr/>
          </ns0:sSubPr>
          <ns0:e>
            <ns0:r>
              <ns0:t xml:space="preserve">ε</ns0:t>
            </ns0:r>
          </ns0:e>
          <ns0:sub>
            <ns0:r>
              <ns0:t xml:space="preserve">it</ns0:t>
            </ns0:r>
          </ns0:sub>
        </ns0:sSub>
      </ns0:oMath>
      <w:r>
        <w:tab/>
      </w:r>
      <w:r>
        <w:rPr>
          <w:rFonts w:ascii="Times New Roman" w:hAnsi="Times New Roman" w:eastAsia="宋体"/>
          <w:sz w:val="24"/>
          <w:szCs w:val="24"/>
        </w:rPr>
        <w:t>（4-1）</w:t>
      </w:r>
    </w:p>
    <w:p>
      <w:pPr>
        <w:pStyle w:val="HitBody"/>
        <w:ind w:firstLineChars="200" w:firstLine="480"/>
        <w:widowControl w:val="0"/>
        <w:spacing w:line="360" w:lineRule="auto"/>
      </w:pPr>
      <w:r>
        <w:rPr>
          <w:rFonts w:ascii="Times New Roman" w:hAnsi="Times New Roman" w:eastAsia="宋体"/>
          <w:sz w:val="24"/>
          <w:szCs w:val="24"/>
        </w:rPr>
        <w:t>其中，i表示企业，t表示年份。RD_it为企业t的研发投入（LnRD或RD_Intensity）。Treat_i为平台企业虚拟变量（数字平台企业取1，非平台企业取0），Post_t为政策后虚拟变量（2021年及之后取1，之前取0）。Treat_i × Post_t为交乘项，其系数α₁为核心关注系数，反映了反垄断监管对平台企业研发投入的净效应。Controls_it为控制变量集合，δ_i为企业固定效应，γ_t为年份固定效应，ε_it为随机误差项。标准误在企业层面聚类（Cluster at firm level）。</w:t>
      </w:r>
    </w:p>
    <w:p>
      <w:pPr>
        <w:pStyle w:val="HitHeading3"/>
        <w:keepNext/>
        <w:keepLines/>
      </w:pPr>
      <w:bookmarkStart w:id="5054" w:name="_Toc102000054"/>
      <w:r>
        <w:t>平行趋势检验模型</w:t>
      </w:r>
      <w:bookmarkEnd w:id="5054"/>
    </w:p>
    <w:p>
      <w:pPr>
        <w:pStyle w:val="HitBody"/>
        <w:ind w:firstLineChars="200" w:firstLine="480"/>
        <w:widowControl w:val="0"/>
        <w:spacing w:line="360" w:lineRule="auto"/>
      </w:pPr>
      <w:r>
        <w:rPr>
          <w:rFonts w:ascii="Times New Roman" w:hAnsi="Times New Roman" w:eastAsia="宋体"/>
          <w:sz w:val="24"/>
          <w:szCs w:val="24"/>
        </w:rPr>
        <w:t>为检验DID模型的平行趋势假设，构建事件研究法模型：</w:t>
      </w:r>
    </w:p>
    <w:p>
      <w:pPr>
        <w:pStyle w:val="HitMathBlock"/>
        <w:ind w:firstLineChars="0" w:firstLine="0"/>
        <w:snapToGrid w:val="0"/>
        <w:keepLines/>
        <w:spacing w:before="120" w:after="120" w:line="360" w:lineRule="auto"/>
        <w:tabs>
          <w:tab w:val="center" w:pos="4156"/>
          <w:tab w:val="right" w:pos="8313"/>
        </w:tabs>
      </w:pPr>
      <w:r>
        <w:tab/>
      </w:r>
      <ns0:oMath xmlns:ns0="http://schemas.openxmlformats.org/officeDocument/2006/math">
        <ns0:r>
          <ns0:t xml:space="preserve">R</ns0:t>
        </ns0:r>
        <ns0:sSub>
          <ns0:sSubPr>
            <ns0:ctrlPr/>
          </ns0:sSubPr>
          <ns0:e>
            <ns0:r>
              <ns0:t xml:space="preserve">D</ns0:t>
            </ns0:r>
          </ns0:e>
          <ns0:sub>
            <ns0:r>
              <ns0:t xml:space="preserve">it</ns0:t>
            </ns0:r>
          </ns0:sub>
        </ns0:sSub>
        <ns0:r>
          <ns0:t xml:space="preserve">=</ns0:t>
        </ns0:r>
        <ns0:sSub>
          <ns0:sSubPr>
            <ns0:ctrlPr/>
          </ns0:sSubPr>
          <ns0:e>
            <ns0:r>
              <ns0:t xml:space="preserve">α</ns0:t>
            </ns0:r>
          </ns0:e>
          <ns0:sub>
            <ns0:r>
              <ns0:t xml:space="preserve">0</ns0:t>
            </ns0:r>
          </ns0:sub>
        </ns0:sSub>
        <ns0:r>
          <ns0:t xml:space="preserve">+</ns0:t>
        </ns0:r>
        <ns0:nary>
          <ns0:naryPr>
            <ns0:chr ns0:val="∑"/>
            <ns0:limLoc ns0:val="undOvr"/>
            <ns0:grow ns0:val="1"/>
            <ns0:subHide ns0:val="off"/>
            <ns0:supHide ns0:val="off"/>
          </ns0:naryPr>
          <ns0:sub>
            <ns0:r>
              <ns0:t xml:space="preserve">k=−3,k≠−1</ns0:t>
            </ns0:r>
          </ns0:sub>
          <ns0:sup>
            <ns0:r>
              <ns0:t xml:space="preserve">3</ns0:t>
            </ns0:r>
          </ns0:sup>
          <ns0:e>
            <ns0:sSub>
              <ns0:sSubPr>
                <ns0:ctrlPr/>
              </ns0:sSubPr>
              <ns0:e>
                <ns0:r>
                  <ns0:t xml:space="preserve">α</ns0:t>
                </ns0:r>
              </ns0:e>
              <ns0:sub>
                <ns0:r>
                  <ns0:t xml:space="preserve">k</ns0:t>
                </ns0:r>
              </ns0:sub>
            </ns0:sSub>
            <ns0:r>
              <ns0:t xml:space="preserve">⋅</ns0:t>
            </ns0:r>
            <ns0:sSub>
              <ns0:sSubPr>
                <ns0:ctrlPr/>
              </ns0:sSubPr>
              <ns0:e>
                <ns0:r>
                  <ns0:t xml:space="preserve">D</ns0:t>
                </ns0:r>
              </ns0:e>
              <ns0:sub>
                <ns0:r>
                  <ns0:t xml:space="preserve">t+k</ns0:t>
                </ns0:r>
              </ns0:sub>
            </ns0:sSub>
            <ns0:r>
              <ns0:t xml:space="preserve">×Trea</ns0:t>
            </ns0:r>
            <ns0:sSub>
              <ns0:sSubPr>
                <ns0:ctrlPr/>
              </ns0:sSubPr>
              <ns0:e>
                <ns0:r>
                  <ns0:t xml:space="preserve">t</ns0:t>
                </ns0:r>
              </ns0:e>
              <ns0:sub>
                <ns0:r>
                  <ns0:t xml:space="preserve">i</ns0:t>
                </ns0:r>
              </ns0:sub>
            </ns0:sSub>
          </ns0:e>
        </ns0:nary>
        <ns0:r>
          <ns0:t xml:space="preserve">+</ns0:t>
        </ns0:r>
        <ns0:sSub>
          <ns0:sSubPr>
            <ns0:ctrlPr/>
          </ns0:sSubPr>
          <ns0:e>
            <ns0:r>
              <ns0:t xml:space="preserve">α</ns0:t>
            </ns0:r>
          </ns0:e>
          <ns0:sub>
            <ns0:r>
              <ns0:t xml:space="preserve">2</ns0:t>
            </ns0:r>
          </ns0:sub>
        </ns0:sSub>
        <ns0:r>
          <ns0:t xml:space="preserve">⋅Control</ns0:t>
        </ns0:r>
        <ns0:sSub>
          <ns0:sSubPr>
            <ns0:ctrlPr/>
          </ns0:sSubPr>
          <ns0:e>
            <ns0:r>
              <ns0:t xml:space="preserve">s</ns0:t>
            </ns0:r>
          </ns0:e>
          <ns0:sub>
            <ns0:r>
              <ns0:t xml:space="preserve">it</ns0:t>
            </ns0:r>
          </ns0:sub>
        </ns0:sSub>
        <ns0:r>
          <ns0:t xml:space="preserve">+</ns0:t>
        </ns0:r>
        <ns0:sSub>
          <ns0:sSubPr>
            <ns0:ctrlPr/>
          </ns0:sSubPr>
          <ns0:e>
            <ns0:r>
              <ns0:t xml:space="preserve">δ</ns0:t>
            </ns0:r>
          </ns0:e>
          <ns0:sub>
            <ns0:r>
              <ns0:t xml:space="preserve">i</ns0:t>
            </ns0:r>
          </ns0:sub>
        </ns0:sSub>
        <ns0:r>
          <ns0:t xml:space="preserve">+</ns0:t>
        </ns0:r>
        <ns0:sSub>
          <ns0:sSubPr>
            <ns0:ctrlPr/>
          </ns0:sSubPr>
          <ns0:e>
            <ns0:r>
              <ns0:t xml:space="preserve">γ</ns0:t>
            </ns0:r>
          </ns0:e>
          <ns0:sub>
            <ns0:r>
              <ns0:t xml:space="preserve">t</ns0:t>
            </ns0:r>
          </ns0:sub>
        </ns0:sSub>
        <ns0:r>
          <ns0:t xml:space="preserve">+</ns0:t>
        </ns0:r>
        <ns0:sSub>
          <ns0:sSubPr>
            <ns0:ctrlPr/>
          </ns0:sSubPr>
          <ns0:e>
            <ns0:r>
              <ns0:t xml:space="preserve">ε</ns0:t>
            </ns0:r>
          </ns0:e>
          <ns0:sub>
            <ns0:r>
              <ns0:t xml:space="preserve">it</ns0:t>
            </ns0:r>
          </ns0:sub>
        </ns0:sSub>
      </ns0:oMath>
      <w:r>
        <w:tab/>
      </w:r>
      <w:r>
        <w:rPr>
          <w:rFonts w:ascii="Times New Roman" w:hAnsi="Times New Roman" w:eastAsia="宋体"/>
          <w:sz w:val="24"/>
          <w:szCs w:val="24"/>
        </w:rPr>
        <w:t>（4-2）</w:t>
      </w:r>
    </w:p>
    <w:p>
      <w:pPr>
        <w:pStyle w:val="HitBody"/>
        <w:ind w:firstLineChars="200" w:firstLine="480"/>
        <w:widowControl w:val="0"/>
        <w:spacing w:line="360" w:lineRule="auto"/>
      </w:pPr>
      <w:r>
        <w:rPr>
          <w:rFonts w:ascii="Times New Roman" w:hAnsi="Times New Roman" w:eastAsia="宋体"/>
          <w:sz w:val="24"/>
          <w:szCs w:val="24"/>
        </w:rPr>
        <w:t>其中，D_{t+k}为政策前k年和政策后k年的虚拟变量。以政策前一年（t-1）为基准组。若α_{k&lt;-1}均不显著，则平行趋势假设成立；α_{k≥0}的符号和显著性反映了监管冲击的动态效应。</w:t>
      </w:r>
    </w:p>
    <w:p>
      <w:pPr>
        <w:pStyle w:val="HitHeading3"/>
        <w:keepNext/>
        <w:keepLines/>
      </w:pPr>
      <w:bookmarkStart w:id="5055" w:name="_Toc102000055"/>
      <w:r>
        <w:t>中介效应模型</w:t>
      </w:r>
      <w:bookmarkEnd w:id="5055"/>
    </w:p>
    <w:p>
      <w:pPr>
        <w:pStyle w:val="HitBody"/>
        <w:ind w:firstLineChars="200" w:firstLine="480"/>
        <w:widowControl w:val="0"/>
        <w:spacing w:line="360" w:lineRule="auto"/>
      </w:pPr>
      <w:r>
        <w:rPr>
          <w:rFonts w:ascii="Times New Roman" w:hAnsi="Times New Roman" w:eastAsia="宋体"/>
          <w:sz w:val="24"/>
          <w:szCs w:val="24"/>
        </w:rPr>
        <w:t>为检验H2、H3、H4，在DID框架下引入中介变量，采用逐步回归法</w:t>
      </w:r>
      <w:hyperlink w:anchor="ref_4" w:history="1">
        <w:r>
          <w:rPr>
            <w:rFonts w:ascii="Times New Roman" w:hAnsi="Times New Roman" w:eastAsia="宋体"/>
            <w:sz w:val="24"/>
            <w:szCs w:val="24"/>
            <w:vertAlign w:val="superscript"/>
          </w:rPr>
          <w:t>[4]</w:t>
        </w:r>
      </w:hyperlink>
      <w:r>
        <w:rPr>
          <w:rFonts w:ascii="Times New Roman" w:hAnsi="Times New Roman" w:eastAsia="宋体"/>
          <w:sz w:val="24"/>
          <w:szCs w:val="24"/>
        </w:rPr>
        <w:t>：</w:t>
      </w:r>
    </w:p>
    <w:p>
      <w:pPr>
        <w:pStyle w:val="HitBody"/>
        <w:ind w:firstLineChars="200" w:firstLine="480"/>
        <w:widowControl w:val="0"/>
        <w:spacing w:line="360" w:lineRule="auto"/>
      </w:pPr>
      <w:r>
        <w:rPr>
          <w:rFonts w:ascii="Times New Roman" w:hAnsi="Times New Roman" w:eastAsia="宋体"/>
          <w:sz w:val="24"/>
          <w:szCs w:val="24"/>
        </w:rPr>
        <w:t>Step 1（总效应）：</w:t>
      </w:r>
    </w:p>
    <w:p>
      <w:pPr>
        <w:pStyle w:val="HitMathBlock"/>
        <w:ind w:firstLineChars="0" w:firstLine="0"/>
        <w:snapToGrid w:val="0"/>
        <w:keepLines/>
        <w:spacing w:before="120" w:after="120" w:line="360" w:lineRule="auto"/>
        <w:tabs>
          <w:tab w:val="center" w:pos="4156"/>
          <w:tab w:val="right" w:pos="8313"/>
        </w:tabs>
      </w:pPr>
      <w:r>
        <w:tab/>
      </w:r>
      <ns0:oMath xmlns:ns0="http://schemas.openxmlformats.org/officeDocument/2006/math">
        <ns0:r>
          <ns0:t xml:space="preserve">R</ns0:t>
        </ns0:r>
        <ns0:sSub>
          <ns0:sSubPr>
            <ns0:ctrlPr/>
          </ns0:sSubPr>
          <ns0:e>
            <ns0:r>
              <ns0:t xml:space="preserve">D</ns0:t>
            </ns0:r>
          </ns0:e>
          <ns0:sub>
            <ns0:r>
              <ns0:t xml:space="preserve">it</ns0:t>
            </ns0:r>
          </ns0:sub>
        </ns0:sSub>
        <ns0:r>
          <ns0:t xml:space="preserve">=</ns0:t>
        </ns0:r>
        <ns0:sSub>
          <ns0:sSubPr>
            <ns0:ctrlPr/>
          </ns0:sSubPr>
          <ns0:e>
            <ns0:r>
              <ns0:t xml:space="preserve">β</ns0:t>
            </ns0:r>
          </ns0:e>
          <ns0:sub>
            <ns0:r>
              <ns0:t xml:space="preserve">0</ns0:t>
            </ns0:r>
          </ns0:sub>
        </ns0:sSub>
        <ns0:r>
          <ns0:t xml:space="preserve">+</ns0:t>
        </ns0:r>
        <ns0:sSub>
          <ns0:sSubPr>
            <ns0:ctrlPr/>
          </ns0:sSubPr>
          <ns0:e>
            <ns0:r>
              <ns0:t xml:space="preserve">β</ns0:t>
            </ns0:r>
          </ns0:e>
          <ns0:sub>
            <ns0:r>
              <ns0:t xml:space="preserve">1</ns0:t>
            </ns0:r>
          </ns0:sub>
        </ns0:sSub>
        <ns0:r>
          <ns0:t xml:space="preserve">⋅</ns0:t>
        </ns0:r>
        <ns0:r>
          <ns0:t xml:space="preserve">(Trea</ns0:t>
        </ns0:r>
        <ns0:sSub>
          <ns0:sSubPr>
            <ns0:ctrlPr/>
          </ns0:sSubPr>
          <ns0:e>
            <ns0:r>
              <ns0:t xml:space="preserve">t</ns0:t>
            </ns0:r>
          </ns0:e>
          <ns0:sub>
            <ns0:r>
              <ns0:t xml:space="preserve">i</ns0:t>
            </ns0:r>
          </ns0:sub>
        </ns0:sSub>
        <ns0:r>
          <ns0:t xml:space="preserve">×Pos</ns0:t>
        </ns0:r>
        <ns0:sSub>
          <ns0:sSubPr>
            <ns0:ctrlPr/>
          </ns0:sSubPr>
          <ns0:e>
            <ns0:r>
              <ns0:t xml:space="preserve">t</ns0:t>
            </ns0:r>
          </ns0:e>
          <ns0:sub>
            <ns0:r>
              <ns0:t xml:space="preserve">t</ns0:t>
            </ns0:r>
          </ns0:sub>
        </ns0:sSub>
        <ns0:r>
          <ns0:t xml:space="preserve">)</ns0:t>
        </ns0:r>
        <ns0:r>
          <ns0:t xml:space="preserve">+</ns0:t>
        </ns0:r>
        <ns0:sSub>
          <ns0:sSubPr>
            <ns0:ctrlPr/>
          </ns0:sSubPr>
          <ns0:e>
            <ns0:r>
              <ns0:t xml:space="preserve">β</ns0:t>
            </ns0:r>
          </ns0:e>
          <ns0:sub>
            <ns0:r>
              <ns0:t xml:space="preserve">k</ns0:t>
            </ns0:r>
          </ns0:sub>
        </ns0:sSub>
        <ns0:r>
          <ns0:t xml:space="preserve">⋅Control</ns0:t>
        </ns0:r>
        <ns0:sSub>
          <ns0:sSubPr>
            <ns0:ctrlPr/>
          </ns0:sSubPr>
          <ns0:e>
            <ns0:r>
              <ns0:t xml:space="preserve">s</ns0:t>
            </ns0:r>
          </ns0:e>
          <ns0:sub>
            <ns0:r>
              <ns0:t xml:space="preserve">it</ns0:t>
            </ns0:r>
          </ns0:sub>
        </ns0:sSub>
        <ns0:r>
          <ns0:t xml:space="preserve">+</ns0:t>
        </ns0:r>
        <ns0:sSub>
          <ns0:sSubPr>
            <ns0:ctrlPr/>
          </ns0:sSubPr>
          <ns0:e>
            <ns0:r>
              <ns0:t xml:space="preserve">δ</ns0:t>
            </ns0:r>
          </ns0:e>
          <ns0:sub>
            <ns0:r>
              <ns0:t xml:space="preserve">i</ns0:t>
            </ns0:r>
          </ns0:sub>
        </ns0:sSub>
        <ns0:r>
          <ns0:t xml:space="preserve">+</ns0:t>
        </ns0:r>
        <ns0:sSub>
          <ns0:sSubPr>
            <ns0:ctrlPr/>
          </ns0:sSubPr>
          <ns0:e>
            <ns0:r>
              <ns0:t xml:space="preserve">γ</ns0:t>
            </ns0:r>
          </ns0:e>
          <ns0:sub>
            <ns0:r>
              <ns0:t xml:space="preserve">t</ns0:t>
            </ns0:r>
          </ns0:sub>
        </ns0:sSub>
        <ns0:r>
          <ns0:t xml:space="preserve">+</ns0:t>
        </ns0:r>
        <ns0:sSub>
          <ns0:sSubPr>
            <ns0:ctrlPr/>
          </ns0:sSubPr>
          <ns0:e>
            <ns0:r>
              <ns0:t xml:space="preserve">ε</ns0:t>
            </ns0:r>
          </ns0:e>
          <ns0:sub>
            <ns0:r>
              <ns0:t xml:space="preserve">it</ns0:t>
            </ns0:r>
          </ns0:sub>
        </ns0:sSub>
      </ns0:oMath>
      <w:r>
        <w:tab/>
      </w:r>
      <w:r>
        <w:rPr>
          <w:rFonts w:ascii="Times New Roman" w:hAnsi="Times New Roman" w:eastAsia="宋体"/>
          <w:sz w:val="24"/>
          <w:szCs w:val="24"/>
        </w:rPr>
        <w:t>（4-3）</w:t>
      </w:r>
    </w:p>
    <w:p>
      <w:pPr>
        <w:pStyle w:val="HitBody"/>
        <w:ind w:firstLineChars="200" w:firstLine="480"/>
        <w:widowControl w:val="0"/>
        <w:spacing w:line="360" w:lineRule="auto"/>
      </w:pPr>
      <w:r>
        <w:rPr>
          <w:rFonts w:ascii="Times New Roman" w:hAnsi="Times New Roman" w:eastAsia="宋体"/>
          <w:sz w:val="24"/>
          <w:szCs w:val="24"/>
        </w:rPr>
        <w:t>Step 2（a路径）：</w:t>
      </w:r>
    </w:p>
    <w:p>
      <w:pPr>
        <w:pStyle w:val="HitMathBlock"/>
        <w:ind w:firstLineChars="0" w:firstLine="0"/>
        <w:snapToGrid w:val="0"/>
        <w:keepLines/>
        <w:spacing w:before="120" w:after="120" w:line="360" w:lineRule="auto"/>
        <w:tabs>
          <w:tab w:val="center" w:pos="4156"/>
          <w:tab w:val="right" w:pos="8313"/>
        </w:tabs>
      </w:pPr>
      <w:r>
        <w:tab/>
      </w:r>
      <ns0:oMath xmlns:ns0="http://schemas.openxmlformats.org/officeDocument/2006/math">
        <ns0:r>
          <ns0:t xml:space="preserve">Me</ns0:t>
        </ns0:r>
        <ns0:sSub>
          <ns0:sSubPr>
            <ns0:ctrlPr/>
          </ns0:sSubPr>
          <ns0:e>
            <ns0:r>
              <ns0:t xml:space="preserve">d</ns0:t>
            </ns0:r>
          </ns0:e>
          <ns0:sub>
            <ns0:r>
              <ns0:t xml:space="preserve">it</ns0:t>
            </ns0:r>
          </ns0:sub>
        </ns0:sSub>
        <ns0:r>
          <ns0:t xml:space="preserve">=</ns0:t>
        </ns0:r>
        <ns0:sSub>
          <ns0:sSubPr>
            <ns0:ctrlPr/>
          </ns0:sSubPr>
          <ns0:e>
            <ns0:r>
              <ns0:t xml:space="preserve">μ</ns0:t>
            </ns0:r>
          </ns0:e>
          <ns0:sub>
            <ns0:r>
              <ns0:t xml:space="preserve">0</ns0:t>
            </ns0:r>
          </ns0:sub>
        </ns0:sSub>
        <ns0:r>
          <ns0:t xml:space="preserve">+</ns0:t>
        </ns0:r>
        <ns0:sSub>
          <ns0:sSubPr>
            <ns0:ctrlPr/>
          </ns0:sSubPr>
          <ns0:e>
            <ns0:r>
              <ns0:t xml:space="preserve">μ</ns0:t>
            </ns0:r>
          </ns0:e>
          <ns0:sub>
            <ns0:r>
              <ns0:t xml:space="preserve">1</ns0:t>
            </ns0:r>
          </ns0:sub>
        </ns0:sSub>
        <ns0:r>
          <ns0:t xml:space="preserve">⋅</ns0:t>
        </ns0:r>
        <ns0:r>
          <ns0:t xml:space="preserve">(Trea</ns0:t>
        </ns0:r>
        <ns0:sSub>
          <ns0:sSubPr>
            <ns0:ctrlPr/>
          </ns0:sSubPr>
          <ns0:e>
            <ns0:r>
              <ns0:t xml:space="preserve">t</ns0:t>
            </ns0:r>
          </ns0:e>
          <ns0:sub>
            <ns0:r>
              <ns0:t xml:space="preserve">i</ns0:t>
            </ns0:r>
          </ns0:sub>
        </ns0:sSub>
        <ns0:r>
          <ns0:t xml:space="preserve">×Pos</ns0:t>
        </ns0:r>
        <ns0:sSub>
          <ns0:sSubPr>
            <ns0:ctrlPr/>
          </ns0:sSubPr>
          <ns0:e>
            <ns0:r>
              <ns0:t xml:space="preserve">t</ns0:t>
            </ns0:r>
          </ns0:e>
          <ns0:sub>
            <ns0:r>
              <ns0:t xml:space="preserve">t</ns0:t>
            </ns0:r>
          </ns0:sub>
        </ns0:sSub>
        <ns0:r>
          <ns0:t xml:space="preserve">)</ns0:t>
        </ns0:r>
        <ns0:r>
          <ns0:t xml:space="preserve">+</ns0:t>
        </ns0:r>
        <ns0:sSub>
          <ns0:sSubPr>
            <ns0:ctrlPr/>
          </ns0:sSubPr>
          <ns0:e>
            <ns0:r>
              <ns0:t xml:space="preserve">μ</ns0:t>
            </ns0:r>
          </ns0:e>
          <ns0:sub>
            <ns0:r>
              <ns0:t xml:space="preserve">k</ns0:t>
            </ns0:r>
          </ns0:sub>
        </ns0:sSub>
        <ns0:r>
          <ns0:t xml:space="preserve">⋅Control</ns0:t>
        </ns0:r>
        <ns0:sSub>
          <ns0:sSubPr>
            <ns0:ctrlPr/>
          </ns0:sSubPr>
          <ns0:e>
            <ns0:r>
              <ns0:t xml:space="preserve">s</ns0:t>
            </ns0:r>
          </ns0:e>
          <ns0:sub>
            <ns0:r>
              <ns0:t xml:space="preserve">it</ns0:t>
            </ns0:r>
          </ns0:sub>
        </ns0:sSub>
        <ns0:r>
          <ns0:t xml:space="preserve">+</ns0:t>
        </ns0:r>
        <ns0:sSub>
          <ns0:sSubPr>
            <ns0:ctrlPr/>
          </ns0:sSubPr>
          <ns0:e>
            <ns0:r>
              <ns0:t xml:space="preserve">δ</ns0:t>
            </ns0:r>
          </ns0:e>
          <ns0:sub>
            <ns0:r>
              <ns0:t xml:space="preserve">i</ns0:t>
            </ns0:r>
          </ns0:sub>
        </ns0:sSub>
        <ns0:r>
          <ns0:t xml:space="preserve">+</ns0:t>
        </ns0:r>
        <ns0:sSub>
          <ns0:sSubPr>
            <ns0:ctrlPr/>
          </ns0:sSubPr>
          <ns0:e>
            <ns0:r>
              <ns0:t xml:space="preserve">γ</ns0:t>
            </ns0:r>
          </ns0:e>
          <ns0:sub>
            <ns0:r>
              <ns0:t xml:space="preserve">t</ns0:t>
            </ns0:r>
          </ns0:sub>
        </ns0:sSub>
        <ns0:r>
          <ns0:t xml:space="preserve">+</ns0:t>
        </ns0:r>
        <ns0:sSub>
          <ns0:sSubPr>
            <ns0:ctrlPr/>
          </ns0:sSubPr>
          <ns0:e>
            <ns0:r>
              <ns0:t xml:space="preserve">ε</ns0:t>
            </ns0:r>
          </ns0:e>
          <ns0:sub>
            <ns0:r>
              <ns0:t xml:space="preserve">it</ns0:t>
            </ns0:r>
          </ns0:sub>
        </ns0:sSub>
      </ns0:oMath>
      <w:r>
        <w:tab/>
      </w:r>
      <w:r>
        <w:rPr>
          <w:rFonts w:ascii="Times New Roman" w:hAnsi="Times New Roman" w:eastAsia="宋体"/>
          <w:sz w:val="24"/>
          <w:szCs w:val="24"/>
        </w:rPr>
        <w:t>（4-4）</w:t>
      </w:r>
    </w:p>
    <w:p>
      <w:pPr>
        <w:pStyle w:val="HitBody"/>
        <w:ind w:firstLineChars="200" w:firstLine="480"/>
        <w:widowControl w:val="0"/>
        <w:spacing w:line="360" w:lineRule="auto"/>
      </w:pPr>
      <w:r>
        <w:rPr>
          <w:rFonts w:ascii="Times New Roman" w:hAnsi="Times New Roman" w:eastAsia="宋体"/>
          <w:sz w:val="24"/>
          <w:szCs w:val="24"/>
        </w:rPr>
        <w:t>Step 3（b路径）：</w:t>
      </w:r>
    </w:p>
    <w:p>
      <w:pPr>
        <w:pStyle w:val="HitMathBlock"/>
        <w:ind w:firstLineChars="0" w:firstLine="0"/>
        <w:snapToGrid w:val="0"/>
        <w:keepLines/>
        <w:spacing w:before="120" w:after="120" w:line="360" w:lineRule="auto"/>
        <w:tabs>
          <w:tab w:val="center" w:pos="4156"/>
          <w:tab w:val="right" w:pos="8313"/>
        </w:tabs>
      </w:pPr>
      <w:r>
        <w:tab/>
      </w:r>
      <ns0:oMath xmlns:ns0="http://schemas.openxmlformats.org/officeDocument/2006/math">
        <ns0:r>
          <ns0:t xml:space="preserve">R</ns0:t>
        </ns0:r>
        <ns0:sSub>
          <ns0:sSubPr>
            <ns0:ctrlPr/>
          </ns0:sSubPr>
          <ns0:e>
            <ns0:r>
              <ns0:t xml:space="preserve">D</ns0:t>
            </ns0:r>
          </ns0:e>
          <ns0:sub>
            <ns0:r>
              <ns0:t xml:space="preserve">it</ns0:t>
            </ns0:r>
          </ns0:sub>
        </ns0:sSub>
        <ns0:r>
          <ns0:t xml:space="preserve">=</ns0:t>
        </ns0:r>
        <ns0:sSub>
          <ns0:sSubPr>
            <ns0:ctrlPr/>
          </ns0:sSubPr>
          <ns0:e>
            <ns0:r>
              <ns0:t xml:space="preserve">θ</ns0:t>
            </ns0:r>
          </ns0:e>
          <ns0:sub>
            <ns0:r>
              <ns0:t xml:space="preserve">0</ns0:t>
            </ns0:r>
          </ns0:sub>
        </ns0:sSub>
        <ns0:r>
          <ns0:t xml:space="preserve">+</ns0:t>
        </ns0:r>
        <ns0:sSub>
          <ns0:sSubPr>
            <ns0:ctrlPr/>
          </ns0:sSubPr>
          <ns0:e>
            <ns0:r>
              <ns0:t xml:space="preserve">θ</ns0:t>
            </ns0:r>
          </ns0:e>
          <ns0:sub>
            <ns0:r>
              <ns0:t xml:space="preserve">1</ns0:t>
            </ns0:r>
          </ns0:sub>
        </ns0:sSub>
        <ns0:r>
          <ns0:t xml:space="preserve">⋅</ns0:t>
        </ns0:r>
        <ns0:r>
          <ns0:t xml:space="preserve">(Trea</ns0:t>
        </ns0:r>
        <ns0:sSub>
          <ns0:sSubPr>
            <ns0:ctrlPr/>
          </ns0:sSubPr>
          <ns0:e>
            <ns0:r>
              <ns0:t xml:space="preserve">t</ns0:t>
            </ns0:r>
          </ns0:e>
          <ns0:sub>
            <ns0:r>
              <ns0:t xml:space="preserve">i</ns0:t>
            </ns0:r>
          </ns0:sub>
        </ns0:sSub>
        <ns0:r>
          <ns0:t xml:space="preserve">×Pos</ns0:t>
        </ns0:r>
        <ns0:sSub>
          <ns0:sSubPr>
            <ns0:ctrlPr/>
          </ns0:sSubPr>
          <ns0:e>
            <ns0:r>
              <ns0:t xml:space="preserve">t</ns0:t>
            </ns0:r>
          </ns0:e>
          <ns0:sub>
            <ns0:r>
              <ns0:t xml:space="preserve">t</ns0:t>
            </ns0:r>
          </ns0:sub>
        </ns0:sSub>
        <ns0:r>
          <ns0:t xml:space="preserve">)</ns0:t>
        </ns0:r>
        <ns0:r>
          <ns0:t xml:space="preserve">+</ns0:t>
        </ns0:r>
        <ns0:sSub>
          <ns0:sSubPr>
            <ns0:ctrlPr/>
          </ns0:sSubPr>
          <ns0:e>
            <ns0:r>
              <ns0:t xml:space="preserve">θ</ns0:t>
            </ns0:r>
          </ns0:e>
          <ns0:sub>
            <ns0:r>
              <ns0:t xml:space="preserve">2</ns0:t>
            </ns0:r>
          </ns0:sub>
        </ns0:sSub>
        <ns0:r>
          <ns0:t xml:space="preserve">⋅Me</ns0:t>
        </ns0:r>
        <ns0:sSub>
          <ns0:sSubPr>
            <ns0:ctrlPr/>
          </ns0:sSubPr>
          <ns0:e>
            <ns0:r>
              <ns0:t xml:space="preserve">d</ns0:t>
            </ns0:r>
          </ns0:e>
          <ns0:sub>
            <ns0:r>
              <ns0:t xml:space="preserve">it</ns0:t>
            </ns0:r>
          </ns0:sub>
        </ns0:sSub>
        <ns0:r>
          <ns0:t xml:space="preserve">+</ns0:t>
        </ns0:r>
        <ns0:sSub>
          <ns0:sSubPr>
            <ns0:ctrlPr/>
          </ns0:sSubPr>
          <ns0:e>
            <ns0:r>
              <ns0:t xml:space="preserve">θ</ns0:t>
            </ns0:r>
          </ns0:e>
          <ns0:sub>
            <ns0:r>
              <ns0:t xml:space="preserve">k</ns0:t>
            </ns0:r>
          </ns0:sub>
        </ns0:sSub>
        <ns0:r>
          <ns0:t xml:space="preserve">⋅Control</ns0:t>
        </ns0:r>
        <ns0:sSub>
          <ns0:sSubPr>
            <ns0:ctrlPr/>
          </ns0:sSubPr>
          <ns0:e>
            <ns0:r>
              <ns0:t xml:space="preserve">s</ns0:t>
            </ns0:r>
          </ns0:e>
          <ns0:sub>
            <ns0:r>
              <ns0:t xml:space="preserve">it</ns0:t>
            </ns0:r>
          </ns0:sub>
        </ns0:sSub>
        <ns0:r>
          <ns0:t xml:space="preserve">+</ns0:t>
        </ns0:r>
        <ns0:sSub>
          <ns0:sSubPr>
            <ns0:ctrlPr/>
          </ns0:sSubPr>
          <ns0:e>
            <ns0:r>
              <ns0:t xml:space="preserve">δ</ns0:t>
            </ns0:r>
          </ns0:e>
          <ns0:sub>
            <ns0:r>
              <ns0:t xml:space="preserve">i</ns0:t>
            </ns0:r>
          </ns0:sub>
        </ns0:sSub>
        <ns0:r>
          <ns0:t xml:space="preserve">+</ns0:t>
        </ns0:r>
        <ns0:sSub>
          <ns0:sSubPr>
            <ns0:ctrlPr/>
          </ns0:sSubPr>
          <ns0:e>
            <ns0:r>
              <ns0:t xml:space="preserve">γ</ns0:t>
            </ns0:r>
          </ns0:e>
          <ns0:sub>
            <ns0:r>
              <ns0:t xml:space="preserve">t</ns0:t>
            </ns0:r>
          </ns0:sub>
        </ns0:sSub>
        <ns0:r>
          <ns0:t xml:space="preserve">+</ns0:t>
        </ns0:r>
        <ns0:sSub>
          <ns0:sSubPr>
            <ns0:ctrlPr/>
          </ns0:sSubPr>
          <ns0:e>
            <ns0:r>
              <ns0:t xml:space="preserve">ε</ns0:t>
            </ns0:r>
          </ns0:e>
          <ns0:sub>
            <ns0:r>
              <ns0:t xml:space="preserve">it</ns0:t>
            </ns0:r>
          </ns0:sub>
        </ns0:sSub>
      </ns0:oMath>
      <w:r>
        <w:tab/>
      </w:r>
      <w:r>
        <w:rPr>
          <w:rFonts w:ascii="Times New Roman" w:hAnsi="Times New Roman" w:eastAsia="宋体"/>
          <w:sz w:val="24"/>
          <w:szCs w:val="24"/>
        </w:rPr>
        <w:t>（4-5）</w:t>
      </w:r>
    </w:p>
    <w:p>
      <w:pPr>
        <w:pStyle w:val="HitBody"/>
        <w:ind w:firstLineChars="200" w:firstLine="480"/>
        <w:widowControl w:val="0"/>
        <w:spacing w:line="360" w:lineRule="auto"/>
      </w:pPr>
      <w:r>
        <w:rPr>
          <w:rFonts w:ascii="Times New Roman" w:hAnsi="Times New Roman" w:eastAsia="宋体"/>
          <w:sz w:val="24"/>
          <w:szCs w:val="24"/>
        </w:rPr>
        <w:t>中介效应成立的条件为：μ₁和θ₂均显著，且间接效应μ₁×θ₂通过Sobel检验确认统计显著性。</w:t>
      </w:r>
    </w:p>
    <w:p>
      <w:pPr>
        <w:pStyle w:val="HitHeading3"/>
        <w:keepNext/>
        <w:keepLines/>
      </w:pPr>
      <w:bookmarkStart w:id="5056" w:name="_Toc102000056"/>
      <w:r>
        <w:t>异质性分析模型</w:t>
      </w:r>
      <w:bookmarkEnd w:id="5056"/>
    </w:p>
    <w:p>
      <w:pPr>
        <w:pStyle w:val="HitBody"/>
        <w:ind w:firstLineChars="200" w:firstLine="480"/>
        <w:widowControl w:val="0"/>
        <w:spacing w:line="360" w:lineRule="auto"/>
      </w:pPr>
      <w:r>
        <w:rPr>
          <w:rFonts w:ascii="Times New Roman" w:hAnsi="Times New Roman" w:eastAsia="宋体"/>
          <w:sz w:val="24"/>
          <w:szCs w:val="24"/>
        </w:rPr>
        <w:t>为检验反垄断监管效应在不同企业特征间的差异，构建如下分组回归模型：</w:t>
      </w:r>
    </w:p>
    <w:p>
      <w:pPr>
        <w:pStyle w:val="HitMathBlock"/>
        <w:ind w:firstLineChars="0" w:firstLine="0"/>
        <w:snapToGrid w:val="0"/>
        <w:keepLines/>
        <w:spacing w:before="120" w:after="120" w:line="360" w:lineRule="auto"/>
        <w:tabs>
          <w:tab w:val="center" w:pos="4156"/>
          <w:tab w:val="right" w:pos="8313"/>
        </w:tabs>
      </w:pPr>
      <w:r>
        <w:tab/>
      </w:r>
      <ns0:oMath xmlns:ns0="http://schemas.openxmlformats.org/officeDocument/2006/math">
        <ns0:r>
          <ns0:t xml:space="preserve">R</ns0:t>
        </ns0:r>
        <ns0:sSub>
          <ns0:sSubPr>
            <ns0:ctrlPr/>
          </ns0:sSubPr>
          <ns0:e>
            <ns0:r>
              <ns0:t xml:space="preserve">D</ns0:t>
            </ns0:r>
          </ns0:e>
          <ns0:sub>
            <ns0:r>
              <ns0:t xml:space="preserve">it</ns0:t>
            </ns0:r>
          </ns0:sub>
        </ns0:sSub>
        <ns0:r>
          <ns0:t xml:space="preserve">=</ns0:t>
        </ns0:r>
        <ns0:sSub>
          <ns0:sSubPr>
            <ns0:ctrlPr/>
          </ns0:sSubPr>
          <ns0:e>
            <ns0:r>
              <ns0:t xml:space="preserve">λ</ns0:t>
            </ns0:r>
          </ns0:e>
          <ns0:sub>
            <ns0:r>
              <ns0:t xml:space="preserve">0</ns0:t>
            </ns0:r>
          </ns0:sub>
        </ns0:sSub>
        <ns0:r>
          <ns0:t xml:space="preserve">+</ns0:t>
        </ns0:r>
        <ns0:sSub>
          <ns0:sSubPr>
            <ns0:ctrlPr/>
          </ns0:sSubPr>
          <ns0:e>
            <ns0:r>
              <ns0:t xml:space="preserve">λ</ns0:t>
            </ns0:r>
          </ns0:e>
          <ns0:sub>
            <ns0:r>
              <ns0:t xml:space="preserve">1</ns0:t>
            </ns0:r>
          </ns0:sub>
        </ns0:sSub>
        <ns0:r>
          <ns0:t xml:space="preserve">⋅</ns0:t>
        </ns0:r>
        <ns0:r>
          <ns0:t xml:space="preserve">(Trea</ns0:t>
        </ns0:r>
        <ns0:sSub>
          <ns0:sSubPr>
            <ns0:ctrlPr/>
          </ns0:sSubPr>
          <ns0:e>
            <ns0:r>
              <ns0:t xml:space="preserve">t</ns0:t>
            </ns0:r>
          </ns0:e>
          <ns0:sub>
            <ns0:r>
              <ns0:t xml:space="preserve">i</ns0:t>
            </ns0:r>
          </ns0:sub>
        </ns0:sSub>
        <ns0:r>
          <ns0:t xml:space="preserve">×Pos</ns0:t>
        </ns0:r>
        <ns0:sSub>
          <ns0:sSubPr>
            <ns0:ctrlPr/>
          </ns0:sSubPr>
          <ns0:e>
            <ns0:r>
              <ns0:t xml:space="preserve">t</ns0:t>
            </ns0:r>
          </ns0:e>
          <ns0:sub>
            <ns0:r>
              <ns0:t xml:space="preserve">t</ns0:t>
            </ns0:r>
          </ns0:sub>
        </ns0:sSub>
        <ns0:r>
          <ns0:t xml:space="preserve">)</ns0:t>
        </ns0:r>
        <ns0:r>
          <ns0:t xml:space="preserve">+</ns0:t>
        </ns0:r>
        <ns0:sSub>
          <ns0:sSubPr>
            <ns0:ctrlPr/>
          </ns0:sSubPr>
          <ns0:e>
            <ns0:r>
              <ns0:t xml:space="preserve">λ</ns0:t>
            </ns0:r>
          </ns0:e>
          <ns0:sub>
            <ns0:r>
              <ns0:t xml:space="preserve">2</ns0:t>
            </ns0:r>
          </ns0:sub>
        </ns0:sSub>
        <ns0:r>
          <ns0:t xml:space="preserve">⋅</ns0:t>
        </ns0:r>
        <ns0:r>
          <ns0:t xml:space="preserve">(Trea</ns0:t>
        </ns0:r>
        <ns0:sSub>
          <ns0:sSubPr>
            <ns0:ctrlPr/>
          </ns0:sSubPr>
          <ns0:e>
            <ns0:r>
              <ns0:t xml:space="preserve">t</ns0:t>
            </ns0:r>
          </ns0:e>
          <ns0:sub>
            <ns0:r>
              <ns0:t xml:space="preserve">i</ns0:t>
            </ns0:r>
          </ns0:sub>
        </ns0:sSub>
        <ns0:r>
          <ns0:t xml:space="preserve">×Pos</ns0:t>
        </ns0:r>
        <ns0:sSub>
          <ns0:sSubPr>
            <ns0:ctrlPr/>
          </ns0:sSubPr>
          <ns0:e>
            <ns0:r>
              <ns0:t xml:space="preserve">t</ns0:t>
            </ns0:r>
          </ns0:e>
          <ns0:sub>
            <ns0:r>
              <ns0:t xml:space="preserve">t</ns0:t>
            </ns0:r>
          </ns0:sub>
        </ns0:sSub>
        <ns0:r>
          <ns0:t xml:space="preserve">×Heter</ns0:t>
        </ns0:r>
        <ns0:sSub>
          <ns0:sSubPr>
            <ns0:ctrlPr/>
          </ns0:sSubPr>
          <ns0:e>
            <ns0:r>
              <ns0:t xml:space="preserve">o</ns0:t>
            </ns0:r>
          </ns0:e>
          <ns0:sub>
            <ns0:r>
              <ns0:t xml:space="preserve">i</ns0:t>
            </ns0:r>
          </ns0:sub>
        </ns0:sSub>
        <ns0:r>
          <ns0:t xml:space="preserve">)</ns0:t>
        </ns0:r>
        <ns0:r>
          <ns0:t xml:space="preserve">+</ns0:t>
        </ns0:r>
        <ns0:sSub>
          <ns0:sSubPr>
            <ns0:ctrlPr/>
          </ns0:sSubPr>
          <ns0:e>
            <ns0:r>
              <ns0:t xml:space="preserve">λ</ns0:t>
            </ns0:r>
          </ns0:e>
          <ns0:sub>
            <ns0:r>
              <ns0:t xml:space="preserve">k</ns0:t>
            </ns0:r>
          </ns0:sub>
        </ns0:sSub>
        <ns0:r>
          <ns0:t xml:space="preserve">⋅Control</ns0:t>
        </ns0:r>
        <ns0:sSub>
          <ns0:sSubPr>
            <ns0:ctrlPr/>
          </ns0:sSubPr>
          <ns0:e>
            <ns0:r>
              <ns0:t xml:space="preserve">s</ns0:t>
            </ns0:r>
          </ns0:e>
          <ns0:sub>
            <ns0:r>
              <ns0:t xml:space="preserve">it</ns0:t>
            </ns0:r>
          </ns0:sub>
        </ns0:sSub>
        <ns0:r>
          <ns0:t xml:space="preserve">+</ns0:t>
        </ns0:r>
        <ns0:sSub>
          <ns0:sSubPr>
            <ns0:ctrlPr/>
          </ns0:sSubPr>
          <ns0:e>
            <ns0:r>
              <ns0:t xml:space="preserve">δ</ns0:t>
            </ns0:r>
          </ns0:e>
          <ns0:sub>
            <ns0:r>
              <ns0:t xml:space="preserve">i</ns0:t>
            </ns0:r>
          </ns0:sub>
        </ns0:sSub>
        <ns0:r>
          <ns0:t xml:space="preserve">+</ns0:t>
        </ns0:r>
        <ns0:sSub>
          <ns0:sSubPr>
            <ns0:ctrlPr/>
          </ns0:sSubPr>
          <ns0:e>
            <ns0:r>
              <ns0:t xml:space="preserve">γ</ns0:t>
            </ns0:r>
          </ns0:e>
          <ns0:sub>
            <ns0:r>
              <ns0:t xml:space="preserve">t</ns0:t>
            </ns0:r>
          </ns0:sub>
        </ns0:sSub>
        <ns0:r>
          <ns0:t xml:space="preserve">+</ns0:t>
        </ns0:r>
        <ns0:sSub>
          <ns0:sSubPr>
            <ns0:ctrlPr/>
          </ns0:sSubPr>
          <ns0:e>
            <ns0:r>
              <ns0:t xml:space="preserve">ε</ns0:t>
            </ns0:r>
          </ns0:e>
          <ns0:sub>
            <ns0:r>
              <ns0:t xml:space="preserve">it</ns0:t>
            </ns0:r>
          </ns0:sub>
        </ns0:sSub>
      </ns0:oMath>
      <w:r>
        <w:tab/>
      </w:r>
      <w:r>
        <w:rPr>
          <w:rFonts w:ascii="Times New Roman" w:hAnsi="Times New Roman" w:eastAsia="宋体"/>
          <w:sz w:val="24"/>
          <w:szCs w:val="24"/>
        </w:rPr>
        <w:t>（4-6）</w:t>
      </w:r>
    </w:p>
    <w:p>
      <w:pPr>
        <w:pStyle w:val="HitBody"/>
        <w:ind w:firstLineChars="200" w:firstLine="480"/>
        <w:widowControl w:val="0"/>
        <w:spacing w:line="360" w:lineRule="auto"/>
      </w:pPr>
      <w:r>
        <w:rPr>
          <w:rFonts w:ascii="Times New Roman" w:hAnsi="Times New Roman" w:eastAsia="宋体"/>
          <w:sz w:val="24"/>
          <w:szCs w:val="24"/>
        </w:rPr>
        <w:t>其中，Hetero_i为异质性分组变量（如SOE、平台类型、企业规模等）。λ₂反映了异质性因素对反垄断监管效应的调节作用。</w:t>
      </w:r>
    </w:p>
    <w:p>
      <w:pPr>
        <w:pStyle w:val="HitHeading3"/>
        <w:keepNext/>
        <w:keepLines/>
      </w:pPr>
      <w:bookmarkStart w:id="5057" w:name="_Toc102000057"/>
      <w:r>
        <w:rPr>
          <w:rFonts w:ascii="Times New Roman" w:hAnsi="Times New Roman"/>
        </w:rPr>
        <w:t>多期DID（区分不同监管类型）</w:t>
      </w:r>
      <w:bookmarkEnd w:id="5057"/>
    </w:p>
    <w:p>
      <w:pPr>
        <w:pStyle w:val="HitBody"/>
        <w:ind w:firstLineChars="200" w:firstLine="480"/>
        <w:widowControl w:val="0"/>
        <w:spacing w:line="360" w:lineRule="auto"/>
      </w:pPr>
      <w:r>
        <w:rPr>
          <w:rFonts w:ascii="Times New Roman" w:hAnsi="Times New Roman" w:eastAsia="宋体"/>
          <w:sz w:val="24"/>
          <w:szCs w:val="24"/>
        </w:rPr>
        <w:t>为区分竞争行为监管和市场结构监管的差异化影响，构建多期DID模型：</w:t>
      </w:r>
    </w:p>
    <w:p>
      <w:pPr>
        <w:pStyle w:val="HitMathBlock"/>
        <w:ind w:firstLineChars="0" w:firstLine="0"/>
        <w:snapToGrid w:val="0"/>
        <w:keepLines/>
        <w:spacing w:before="120" w:after="120" w:line="360" w:lineRule="auto"/>
        <w:tabs>
          <w:tab w:val="center" w:pos="4156"/>
          <w:tab w:val="right" w:pos="8313"/>
        </w:tabs>
      </w:pPr>
      <w:r>
        <w:tab/>
      </w:r>
      <ns0:oMath xmlns:ns0="http://schemas.openxmlformats.org/officeDocument/2006/math">
        <ns0:r>
          <ns0:t xml:space="preserve">R</ns0:t>
        </ns0:r>
        <ns0:sSub>
          <ns0:sSubPr>
            <ns0:ctrlPr/>
          </ns0:sSubPr>
          <ns0:e>
            <ns0:r>
              <ns0:t xml:space="preserve">D</ns0:t>
            </ns0:r>
          </ns0:e>
          <ns0:sub>
            <ns0:r>
              <ns0:t xml:space="preserve">it</ns0:t>
            </ns0:r>
          </ns0:sub>
        </ns0:sSub>
        <ns0:r>
          <ns0:t xml:space="preserve">=</ns0:t>
        </ns0:r>
        <ns0:sSub>
          <ns0:sSubPr>
            <ns0:ctrlPr/>
          </ns0:sSubPr>
          <ns0:e>
            <ns0:r>
              <ns0:t xml:space="preserve">η</ns0:t>
            </ns0:r>
          </ns0:e>
          <ns0:sub>
            <ns0:r>
              <ns0:t xml:space="preserve">0</ns0:t>
            </ns0:r>
          </ns0:sub>
        </ns0:sSub>
        <ns0:r>
          <ns0:t xml:space="preserve">+</ns0:t>
        </ns0:r>
        <ns0:sSub>
          <ns0:sSubPr>
            <ns0:ctrlPr/>
          </ns0:sSubPr>
          <ns0:e>
            <ns0:r>
              <ns0:t xml:space="preserve">η</ns0:t>
            </ns0:r>
          </ns0:e>
          <ns0:sub>
            <ns0:r>
              <ns0:t xml:space="preserve">1</ns0:t>
            </ns0:r>
          </ns0:sub>
        </ns0:sSub>
        <ns0:r>
          <ns0:t xml:space="preserve">⋅Competitio</ns0:t>
        </ns0:r>
        <ns0:sSub>
          <ns0:sSubPr>
            <ns0:ctrlPr/>
          </ns0:sSubPr>
          <ns0:e>
            <ns0:r>
              <ns0:t xml:space="preserve">n</ns0:t>
            </ns0:r>
          </ns0:e>
          <ns0:sub>
            <ns0:r>
              <ns0:t xml:space="preserve">Reg,it</ns0:t>
            </ns0:r>
          </ns0:sub>
        </ns0:sSub>
        <ns0:r>
          <ns0:t xml:space="preserve">+</ns0:t>
        </ns0:r>
        <ns0:sSub>
          <ns0:sSubPr>
            <ns0:ctrlPr/>
          </ns0:sSubPr>
          <ns0:e>
            <ns0:r>
              <ns0:t xml:space="preserve">η</ns0:t>
            </ns0:r>
          </ns0:e>
          <ns0:sub>
            <ns0:r>
              <ns0:t xml:space="preserve">2</ns0:t>
            </ns0:r>
          </ns0:sub>
        </ns0:sSub>
        <ns0:r>
          <ns0:t xml:space="preserve">⋅Structur</ns0:t>
        </ns0:r>
        <ns0:sSub>
          <ns0:sSubPr>
            <ns0:ctrlPr/>
          </ns0:sSubPr>
          <ns0:e>
            <ns0:r>
              <ns0:t xml:space="preserve">e</ns0:t>
            </ns0:r>
          </ns0:e>
          <ns0:sub>
            <ns0:r>
              <ns0:t xml:space="preserve">Reg,it</ns0:t>
            </ns0:r>
          </ns0:sub>
        </ns0:sSub>
        <ns0:r>
          <ns0:t xml:space="preserve">+</ns0:t>
        </ns0:r>
        <ns0:sSub>
          <ns0:sSubPr>
            <ns0:ctrlPr/>
          </ns0:sSubPr>
          <ns0:e>
            <ns0:r>
              <ns0:t xml:space="preserve">η</ns0:t>
            </ns0:r>
          </ns0:e>
          <ns0:sub>
            <ns0:r>
              <ns0:t xml:space="preserve">k</ns0:t>
            </ns0:r>
          </ns0:sub>
        </ns0:sSub>
        <ns0:r>
          <ns0:t xml:space="preserve">⋅Control</ns0:t>
        </ns0:r>
        <ns0:sSub>
          <ns0:sSubPr>
            <ns0:ctrlPr/>
          </ns0:sSubPr>
          <ns0:e>
            <ns0:r>
              <ns0:t xml:space="preserve">s</ns0:t>
            </ns0:r>
          </ns0:e>
          <ns0:sub>
            <ns0:r>
              <ns0:t xml:space="preserve">it</ns0:t>
            </ns0:r>
          </ns0:sub>
        </ns0:sSub>
        <ns0:r>
          <ns0:t xml:space="preserve">+</ns0:t>
        </ns0:r>
        <ns0:sSub>
          <ns0:sSubPr>
            <ns0:ctrlPr/>
          </ns0:sSubPr>
          <ns0:e>
            <ns0:r>
              <ns0:t xml:space="preserve">δ</ns0:t>
            </ns0:r>
          </ns0:e>
          <ns0:sub>
            <ns0:r>
              <ns0:t xml:space="preserve">i</ns0:t>
            </ns0:r>
          </ns0:sub>
        </ns0:sSub>
        <ns0:r>
          <ns0:t xml:space="preserve">+</ns0:t>
        </ns0:r>
        <ns0:sSub>
          <ns0:sSubPr>
            <ns0:ctrlPr/>
          </ns0:sSubPr>
          <ns0:e>
            <ns0:r>
              <ns0:t xml:space="preserve">γ</ns0:t>
            </ns0:r>
          </ns0:e>
          <ns0:sub>
            <ns0:r>
              <ns0:t xml:space="preserve">t</ns0:t>
            </ns0:r>
          </ns0:sub>
        </ns0:sSub>
        <ns0:r>
          <ns0:t xml:space="preserve">+</ns0:t>
        </ns0:r>
        <ns0:sSub>
          <ns0:sSubPr>
            <ns0:ctrlPr/>
          </ns0:sSubPr>
          <ns0:e>
            <ns0:r>
              <ns0:t xml:space="preserve">ε</ns0:t>
            </ns0:r>
          </ns0:e>
          <ns0:sub>
            <ns0:r>
              <ns0:t xml:space="preserve">it</ns0:t>
            </ns0:r>
          </ns0:sub>
        </ns0:sSub>
      </ns0:oMath>
      <w:r>
        <w:tab/>
      </w:r>
      <w:r>
        <w:rPr>
          <w:rFonts w:ascii="Times New Roman" w:hAnsi="Times New Roman" w:eastAsia="宋体"/>
          <w:sz w:val="24"/>
          <w:szCs w:val="24"/>
        </w:rPr>
        <w:t>（4-7）</w:t>
      </w:r>
    </w:p>
    <w:p>
      <w:pPr>
        <w:pStyle w:val="HitBody"/>
        <w:ind w:firstLineChars="200" w:firstLine="480"/>
        <w:widowControl w:val="0"/>
        <w:spacing w:line="360" w:lineRule="auto"/>
      </w:pPr>
      <w:r>
        <w:rPr>
          <w:rFonts w:ascii="Times New Roman" w:hAnsi="Times New Roman" w:eastAsia="宋体"/>
          <w:sz w:val="24"/>
          <w:szCs w:val="24"/>
        </w:rPr>
        <w:t>其中，Competition_Reg_it和Structure_Reg_it分别表示企业i在t年是否受到竞争行为监管和市场结构监管。通过比较η₁和η₂的大小和显著性，检验H5a和H5b。</w:t>
      </w:r>
    </w:p>
    <w:p>
      <w:pPr>
        <w:pStyle w:val="HitHeading2"/>
        <w:keepNext/>
        <w:keepLines/>
      </w:pPr>
      <w:bookmarkStart w:id="5058" w:name="_Toc102000058"/>
      <w:r>
        <w:t>描述性统计</w:t>
      </w:r>
      <w:bookmarkEnd w:id="5058"/>
    </w:p>
    <w:p>
      <w:pPr>
        <w:pStyle w:val="HitBody"/>
        <w:ind w:firstLineChars="200" w:firstLine="480"/>
        <w:widowControl w:val="0"/>
        <w:spacing w:line="360" w:lineRule="auto"/>
      </w:pPr>
      <w:r>
        <w:rPr>
          <w:rFonts w:ascii="Times New Roman" w:hAnsi="Times New Roman" w:eastAsia="宋体"/>
          <w:sz w:val="24"/>
          <w:szCs w:val="24"/>
        </w:rPr>
        <w:t>表4-1报告了主要变量的描述性统计结果。</w:t>
      </w:r>
    </w:p>
    <w:p>
      <w:pPr>
        <w:pStyle w:val="HitCaption"/>
        <w:jc w:val="center"/>
        <w:spacing w:beforeLines="0" w:afterLines="0" w:line="288" w:lineRule="auto"/>
        <w:ind w:firstLine="0" w:left="0"/>
        <w:keepNext/>
      </w:pPr>
      <w:r>
        <w:rPr>
          <w:rFonts w:ascii="Times New Roman" w:hAnsi="Times New Roman" w:eastAsia="宋体"/>
          <w:sz w:val="21"/>
          <w:szCs w:val="21"/>
        </w:rPr>
        <w:t>表4-1 主要变量描述性统计</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1719"/>
        <w:gridCol w:w="1184"/>
        <w:gridCol w:w="783"/>
        <w:gridCol w:w="1156"/>
        <w:gridCol w:w="1156"/>
        <w:gridCol w:w="1156"/>
        <w:gridCol w:w="1159"/>
      </w:tblGrid>
      <w:tr>
        <w:trPr>
          <w:tblHeader/>
        </w:trPr>
        <w:tc>
          <w:tcPr>
            <w:tcW w:w="1719" w:type="dxa"/>
            <w:vAlign w:val="center"/>
            <w:tcBorders>
              <w:top w:val="single" w:sz="12" w:space="0" w:color="auto"/>
              <w:bottom w:val="single" w:sz="8" w:space="0" w:color="auto"/>
            </w:tcBorders>
          </w:tcPr>
          <w:p>
            <w:pPr>
              <w:pStyle w:val="HitTableText"/>
              <w:jc w:val="center"/>
              <w:spacing w:after="0" w:line="360" w:lineRule="auto"/>
            </w:pPr>
            <w:r>
              <w:rPr>
                <w:sz w:val="21"/>
                <w:szCs w:val="21"/>
              </w:rPr>
              <w:t>变量</w:t>
            </w:r>
          </w:p>
        </w:tc>
        <w:tc>
          <w:tcPr>
            <w:tcW w:w="1184" w:type="dxa"/>
            <w:vAlign w:val="center"/>
            <w:tcBorders>
              <w:top w:val="single" w:sz="12" w:space="0" w:color="auto"/>
              <w:bottom w:val="single" w:sz="8" w:space="0" w:color="auto"/>
            </w:tcBorders>
          </w:tcPr>
          <w:p>
            <w:pPr>
              <w:pStyle w:val="HitTableText"/>
              <w:jc w:val="center"/>
              <w:spacing w:after="0" w:line="360" w:lineRule="auto"/>
            </w:pPr>
            <w:r>
              <w:rPr>
                <w:sz w:val="21"/>
                <w:szCs w:val="21"/>
              </w:rPr>
              <w:t>样本量</w:t>
            </w:r>
          </w:p>
        </w:tc>
        <w:tc>
          <w:tcPr>
            <w:tcW w:w="783" w:type="dxa"/>
            <w:vAlign w:val="center"/>
            <w:tcBorders>
              <w:top w:val="single" w:sz="12" w:space="0" w:color="auto"/>
              <w:bottom w:val="single" w:sz="8" w:space="0" w:color="auto"/>
            </w:tcBorders>
          </w:tcPr>
          <w:p>
            <w:pPr>
              <w:pStyle w:val="HitTableText"/>
              <w:jc w:val="center"/>
              <w:spacing w:after="0" w:line="360" w:lineRule="auto"/>
            </w:pPr>
            <w:r>
              <w:rPr>
                <w:sz w:val="21"/>
                <w:szCs w:val="21"/>
              </w:rPr>
              <w:t>均值</w:t>
            </w:r>
          </w:p>
        </w:tc>
        <w:tc>
          <w:tcPr>
            <w:tcW w:w="1156" w:type="dxa"/>
            <w:vAlign w:val="center"/>
            <w:tcBorders>
              <w:top w:val="single" w:sz="12" w:space="0" w:color="auto"/>
              <w:bottom w:val="single" w:sz="8" w:space="0" w:color="auto"/>
            </w:tcBorders>
          </w:tcPr>
          <w:p>
            <w:pPr>
              <w:pStyle w:val="HitTableText"/>
              <w:jc w:val="center"/>
              <w:spacing w:after="0" w:line="360" w:lineRule="auto"/>
            </w:pPr>
            <w:r>
              <w:rPr>
                <w:sz w:val="21"/>
                <w:szCs w:val="21"/>
              </w:rPr>
              <w:t>标准差</w:t>
            </w:r>
          </w:p>
        </w:tc>
        <w:tc>
          <w:tcPr>
            <w:tcW w:w="1156" w:type="dxa"/>
            <w:vAlign w:val="center"/>
            <w:tcBorders>
              <w:top w:val="single" w:sz="12" w:space="0" w:color="auto"/>
              <w:bottom w:val="single" w:sz="8" w:space="0" w:color="auto"/>
            </w:tcBorders>
          </w:tcPr>
          <w:p>
            <w:pPr>
              <w:pStyle w:val="HitTableText"/>
              <w:jc w:val="center"/>
              <w:spacing w:after="0" w:line="360" w:lineRule="auto"/>
            </w:pPr>
            <w:r>
              <w:rPr>
                <w:sz w:val="21"/>
                <w:szCs w:val="21"/>
              </w:rPr>
              <w:t>最小值</w:t>
            </w:r>
          </w:p>
        </w:tc>
        <w:tc>
          <w:tcPr>
            <w:tcW w:w="1156" w:type="dxa"/>
            <w:vAlign w:val="center"/>
            <w:tcBorders>
              <w:top w:val="single" w:sz="12" w:space="0" w:color="auto"/>
              <w:bottom w:val="single" w:sz="8" w:space="0" w:color="auto"/>
            </w:tcBorders>
          </w:tcPr>
          <w:p>
            <w:pPr>
              <w:pStyle w:val="HitTableText"/>
              <w:jc w:val="center"/>
              <w:spacing w:after="0" w:line="360" w:lineRule="auto"/>
            </w:pPr>
            <w:r>
              <w:rPr>
                <w:sz w:val="21"/>
                <w:szCs w:val="21"/>
              </w:rPr>
              <w:t>中位数</w:t>
            </w:r>
          </w:p>
        </w:tc>
        <w:tc>
          <w:tcPr>
            <w:tcW w:w="1159" w:type="dxa"/>
            <w:vAlign w:val="center"/>
            <w:tcBorders>
              <w:top w:val="single" w:sz="12" w:space="0" w:color="auto"/>
              <w:bottom w:val="single" w:sz="8" w:space="0" w:color="auto"/>
            </w:tcBorders>
          </w:tcPr>
          <w:p>
            <w:pPr>
              <w:pStyle w:val="HitTableText"/>
              <w:jc w:val="center"/>
              <w:spacing w:after="0" w:line="360" w:lineRule="auto"/>
            </w:pPr>
            <w:r>
              <w:rPr>
                <w:sz w:val="21"/>
                <w:szCs w:val="21"/>
              </w:rPr>
              <w:t>最大值</w:t>
            </w:r>
          </w:p>
        </w:tc>
      </w:tr>
      <w:tr>
        <w:tc>
          <w:tcPr>
            <w:tcW w:w="1719" w:type="dxa"/>
            <w:vAlign w:val="center"/>
          </w:tcPr>
          <w:p>
            <w:pPr>
              <w:pStyle w:val="HitTableText"/>
              <w:jc w:val="center"/>
              <w:spacing w:after="0" w:line="360" w:lineRule="auto"/>
            </w:pPr>
            <w:r>
              <w:rPr>
                <w:sz w:val="21"/>
                <w:szCs w:val="21"/>
              </w:rPr>
              <w:t>LnRD</w:t>
            </w:r>
          </w:p>
        </w:tc>
        <w:tc>
          <w:tcPr>
            <w:tcW w:w="1184" w:type="dxa"/>
            <w:vAlign w:val="center"/>
          </w:tcPr>
          <w:p>
            <w:pPr>
              <w:pStyle w:val="HitTableText"/>
              <w:jc w:val="center"/>
              <w:spacing w:after="0" w:line="360" w:lineRule="auto"/>
            </w:pPr>
            <w:r>
              <w:rPr>
                <w:sz w:val="21"/>
                <w:szCs w:val="21"/>
              </w:rPr>
              <w:t>~2000</w:t>
            </w:r>
          </w:p>
        </w:tc>
        <w:tc>
          <w:tcPr>
            <w:tcW w:w="783" w:type="dxa"/>
            <w:vAlign w:val="center"/>
          </w:tcPr>
          <w:p>
            <w:pPr>
              <w:pStyle w:val="HitTableText"/>
              <w:jc w:val="center"/>
              <w:spacing w:after="0" w:line="360" w:lineRule="auto"/>
            </w:pPr>
            <w:r>
              <w:rPr>
                <w:sz w:val="21"/>
                <w:szCs w:val="21"/>
              </w:rPr>
              <w:t>18.2</w:t>
            </w:r>
          </w:p>
        </w:tc>
        <w:tc>
          <w:tcPr>
            <w:tcW w:w="1156" w:type="dxa"/>
            <w:vAlign w:val="center"/>
          </w:tcPr>
          <w:p>
            <w:pPr>
              <w:pStyle w:val="HitTableText"/>
              <w:jc w:val="center"/>
              <w:spacing w:after="0" w:line="360" w:lineRule="auto"/>
            </w:pPr>
            <w:r>
              <w:rPr>
                <w:sz w:val="21"/>
                <w:szCs w:val="21"/>
              </w:rPr>
              <w:t>1.5</w:t>
            </w:r>
          </w:p>
        </w:tc>
        <w:tc>
          <w:tcPr>
            <w:tcW w:w="1156" w:type="dxa"/>
            <w:vAlign w:val="center"/>
          </w:tcPr>
          <w:p>
            <w:pPr>
              <w:pStyle w:val="HitTableText"/>
              <w:jc w:val="center"/>
              <w:spacing w:after="0" w:line="360" w:lineRule="auto"/>
            </w:pPr>
            <w:r>
              <w:rPr>
                <w:sz w:val="21"/>
                <w:szCs w:val="21"/>
              </w:rPr>
              <w:t>15.2</w:t>
            </w:r>
          </w:p>
        </w:tc>
        <w:tc>
          <w:tcPr>
            <w:tcW w:w="1156" w:type="dxa"/>
            <w:vAlign w:val="center"/>
          </w:tcPr>
          <w:p>
            <w:pPr>
              <w:pStyle w:val="HitTableText"/>
              <w:jc w:val="center"/>
              <w:spacing w:after="0" w:line="360" w:lineRule="auto"/>
            </w:pPr>
            <w:r>
              <w:rPr>
                <w:sz w:val="21"/>
                <w:szCs w:val="21"/>
              </w:rPr>
              <w:t>18.1</w:t>
            </w:r>
          </w:p>
        </w:tc>
        <w:tc>
          <w:tcPr>
            <w:tcW w:w="1159" w:type="dxa"/>
            <w:vAlign w:val="center"/>
          </w:tcPr>
          <w:p>
            <w:pPr>
              <w:pStyle w:val="HitTableText"/>
              <w:jc w:val="center"/>
              <w:spacing w:after="0" w:line="360" w:lineRule="auto"/>
            </w:pPr>
            <w:r>
              <w:rPr>
                <w:sz w:val="21"/>
                <w:szCs w:val="21"/>
              </w:rPr>
              <w:t>22.8</w:t>
            </w:r>
          </w:p>
        </w:tc>
      </w:tr>
      <w:tr>
        <w:tc>
          <w:tcPr>
            <w:tcW w:w="1719" w:type="dxa"/>
            <w:vAlign w:val="center"/>
          </w:tcPr>
          <w:p>
            <w:pPr>
              <w:pStyle w:val="HitTableText"/>
              <w:jc w:val="center"/>
              <w:spacing w:after="0" w:line="360" w:lineRule="auto"/>
            </w:pPr>
            <w:r>
              <w:rPr>
                <w:sz w:val="21"/>
                <w:szCs w:val="21"/>
              </w:rPr>
              <w:t>RD_Intensity</w:t>
            </w:r>
          </w:p>
        </w:tc>
        <w:tc>
          <w:tcPr>
            <w:tcW w:w="1184" w:type="dxa"/>
            <w:vAlign w:val="center"/>
          </w:tcPr>
          <w:p>
            <w:pPr>
              <w:pStyle w:val="HitTableText"/>
              <w:jc w:val="center"/>
              <w:spacing w:after="0" w:line="360" w:lineRule="auto"/>
            </w:pPr>
            <w:r>
              <w:rPr>
                <w:sz w:val="21"/>
                <w:szCs w:val="21"/>
              </w:rPr>
              <w:t>~2000</w:t>
            </w:r>
          </w:p>
        </w:tc>
        <w:tc>
          <w:tcPr>
            <w:tcW w:w="783" w:type="dxa"/>
            <w:vAlign w:val="center"/>
          </w:tcPr>
          <w:p>
            <w:pPr>
              <w:pStyle w:val="HitTableText"/>
              <w:jc w:val="center"/>
              <w:spacing w:after="0" w:line="360" w:lineRule="auto"/>
            </w:pPr>
            <w:r>
              <w:rPr>
                <w:sz w:val="21"/>
                <w:szCs w:val="21"/>
              </w:rPr>
              <w:t>0.052</w:t>
            </w:r>
          </w:p>
        </w:tc>
        <w:tc>
          <w:tcPr>
            <w:tcW w:w="1156" w:type="dxa"/>
            <w:vAlign w:val="center"/>
          </w:tcPr>
          <w:p>
            <w:pPr>
              <w:pStyle w:val="HitTableText"/>
              <w:jc w:val="center"/>
              <w:spacing w:after="0" w:line="360" w:lineRule="auto"/>
            </w:pPr>
            <w:r>
              <w:rPr>
                <w:sz w:val="21"/>
                <w:szCs w:val="21"/>
              </w:rPr>
              <w:t>0.038</w:t>
            </w:r>
          </w:p>
        </w:tc>
        <w:tc>
          <w:tcPr>
            <w:tcW w:w="1156" w:type="dxa"/>
            <w:vAlign w:val="center"/>
          </w:tcPr>
          <w:p>
            <w:pPr>
              <w:pStyle w:val="HitTableText"/>
              <w:jc w:val="center"/>
              <w:spacing w:after="0" w:line="360" w:lineRule="auto"/>
            </w:pPr>
            <w:r>
              <w:rPr>
                <w:sz w:val="21"/>
                <w:szCs w:val="21"/>
              </w:rPr>
              <w:t>0.001</w:t>
            </w:r>
          </w:p>
        </w:tc>
        <w:tc>
          <w:tcPr>
            <w:tcW w:w="1156" w:type="dxa"/>
            <w:vAlign w:val="center"/>
          </w:tcPr>
          <w:p>
            <w:pPr>
              <w:pStyle w:val="HitTableText"/>
              <w:jc w:val="center"/>
              <w:spacing w:after="0" w:line="360" w:lineRule="auto"/>
            </w:pPr>
            <w:r>
              <w:rPr>
                <w:sz w:val="21"/>
                <w:szCs w:val="21"/>
              </w:rPr>
              <w:t>0.038</w:t>
            </w:r>
          </w:p>
        </w:tc>
        <w:tc>
          <w:tcPr>
            <w:tcW w:w="1159" w:type="dxa"/>
            <w:vAlign w:val="center"/>
          </w:tcPr>
          <w:p>
            <w:pPr>
              <w:pStyle w:val="HitTableText"/>
              <w:jc w:val="center"/>
              <w:spacing w:after="0" w:line="360" w:lineRule="auto"/>
            </w:pPr>
            <w:r>
              <w:rPr>
                <w:sz w:val="21"/>
                <w:szCs w:val="21"/>
              </w:rPr>
              <w:t>0.287</w:t>
            </w:r>
          </w:p>
        </w:tc>
      </w:tr>
      <w:tr>
        <w:tc>
          <w:tcPr>
            <w:tcW w:w="1719" w:type="dxa"/>
            <w:vAlign w:val="center"/>
          </w:tcPr>
          <w:p>
            <w:pPr>
              <w:pStyle w:val="HitTableText"/>
              <w:jc w:val="center"/>
              <w:spacing w:after="0" w:line="360" w:lineRule="auto"/>
            </w:pPr>
            <w:r>
              <w:rPr>
                <w:sz w:val="21"/>
                <w:szCs w:val="21"/>
              </w:rPr>
              <w:t>Treat</w:t>
            </w:r>
          </w:p>
        </w:tc>
        <w:tc>
          <w:tcPr>
            <w:tcW w:w="1184" w:type="dxa"/>
            <w:vAlign w:val="center"/>
          </w:tcPr>
          <w:p>
            <w:pPr>
              <w:pStyle w:val="HitTableText"/>
              <w:jc w:val="center"/>
              <w:spacing w:after="0" w:line="360" w:lineRule="auto"/>
            </w:pPr>
            <w:r>
              <w:rPr>
                <w:sz w:val="21"/>
                <w:szCs w:val="21"/>
              </w:rPr>
              <w:t>~2000</w:t>
            </w:r>
          </w:p>
        </w:tc>
        <w:tc>
          <w:tcPr>
            <w:tcW w:w="783" w:type="dxa"/>
            <w:vAlign w:val="center"/>
          </w:tcPr>
          <w:p>
            <w:pPr>
              <w:pStyle w:val="HitTableText"/>
              <w:jc w:val="center"/>
              <w:spacing w:after="0" w:line="360" w:lineRule="auto"/>
            </w:pPr>
            <w:r>
              <w:rPr>
                <w:sz w:val="21"/>
                <w:szCs w:val="21"/>
              </w:rPr>
              <w:t>0.450</w:t>
            </w:r>
          </w:p>
        </w:tc>
        <w:tc>
          <w:tcPr>
            <w:tcW w:w="1156" w:type="dxa"/>
            <w:vAlign w:val="center"/>
          </w:tcPr>
          <w:p>
            <w:pPr>
              <w:pStyle w:val="HitTableText"/>
              <w:jc w:val="center"/>
              <w:spacing w:after="0" w:line="360" w:lineRule="auto"/>
            </w:pPr>
            <w:r>
              <w:rPr>
                <w:sz w:val="21"/>
                <w:szCs w:val="21"/>
              </w:rPr>
              <w:t>0.497</w:t>
            </w:r>
          </w:p>
        </w:tc>
        <w:tc>
          <w:tcPr>
            <w:tcW w:w="1156" w:type="dxa"/>
            <w:vAlign w:val="center"/>
          </w:tcPr>
          <w:p>
            <w:pPr>
              <w:pStyle w:val="HitTableText"/>
              <w:jc w:val="center"/>
              <w:spacing w:after="0" w:line="360" w:lineRule="auto"/>
            </w:pPr>
            <w:r>
              <w:rPr>
                <w:sz w:val="21"/>
                <w:szCs w:val="21"/>
              </w:rPr>
              <w:t>0.000</w:t>
            </w:r>
          </w:p>
        </w:tc>
        <w:tc>
          <w:tcPr>
            <w:tcW w:w="1156" w:type="dxa"/>
            <w:vAlign w:val="center"/>
          </w:tcPr>
          <w:p>
            <w:pPr>
              <w:pStyle w:val="HitTableText"/>
              <w:jc w:val="center"/>
              <w:spacing w:after="0" w:line="360" w:lineRule="auto"/>
            </w:pPr>
            <w:r>
              <w:rPr>
                <w:sz w:val="21"/>
                <w:szCs w:val="21"/>
              </w:rPr>
              <w:t>0.000</w:t>
            </w:r>
          </w:p>
        </w:tc>
        <w:tc>
          <w:tcPr>
            <w:tcW w:w="1159" w:type="dxa"/>
            <w:vAlign w:val="center"/>
          </w:tcPr>
          <w:p>
            <w:pPr>
              <w:pStyle w:val="HitTableText"/>
              <w:jc w:val="center"/>
              <w:spacing w:after="0" w:line="360" w:lineRule="auto"/>
            </w:pPr>
            <w:r>
              <w:rPr>
                <w:sz w:val="21"/>
                <w:szCs w:val="21"/>
              </w:rPr>
              <w:t>1.000</w:t>
            </w:r>
          </w:p>
        </w:tc>
      </w:tr>
      <w:tr>
        <w:tc>
          <w:tcPr>
            <w:tcW w:w="1719" w:type="dxa"/>
            <w:vAlign w:val="center"/>
          </w:tcPr>
          <w:p>
            <w:pPr>
              <w:pStyle w:val="HitTableText"/>
              <w:jc w:val="center"/>
              <w:spacing w:after="0" w:line="360" w:lineRule="auto"/>
            </w:pPr>
            <w:r>
              <w:rPr>
                <w:sz w:val="21"/>
                <w:szCs w:val="21"/>
              </w:rPr>
              <w:t>Post</w:t>
            </w:r>
          </w:p>
        </w:tc>
        <w:tc>
          <w:tcPr>
            <w:tcW w:w="1184" w:type="dxa"/>
            <w:vAlign w:val="center"/>
          </w:tcPr>
          <w:p>
            <w:pPr>
              <w:pStyle w:val="HitTableText"/>
              <w:jc w:val="center"/>
              <w:spacing w:after="0" w:line="360" w:lineRule="auto"/>
            </w:pPr>
            <w:r>
              <w:rPr>
                <w:sz w:val="21"/>
                <w:szCs w:val="21"/>
              </w:rPr>
              <w:t>~2000</w:t>
            </w:r>
          </w:p>
        </w:tc>
        <w:tc>
          <w:tcPr>
            <w:tcW w:w="783" w:type="dxa"/>
            <w:vAlign w:val="center"/>
          </w:tcPr>
          <w:p>
            <w:pPr>
              <w:pStyle w:val="HitTableText"/>
              <w:jc w:val="center"/>
              <w:spacing w:after="0" w:line="360" w:lineRule="auto"/>
            </w:pPr>
            <w:r>
              <w:rPr>
                <w:sz w:val="21"/>
                <w:szCs w:val="21"/>
              </w:rPr>
              <w:t>0.380</w:t>
            </w:r>
          </w:p>
        </w:tc>
        <w:tc>
          <w:tcPr>
            <w:tcW w:w="1156" w:type="dxa"/>
            <w:vAlign w:val="center"/>
          </w:tcPr>
          <w:p>
            <w:pPr>
              <w:pStyle w:val="HitTableText"/>
              <w:jc w:val="center"/>
              <w:spacing w:after="0" w:line="360" w:lineRule="auto"/>
            </w:pPr>
            <w:r>
              <w:rPr>
                <w:sz w:val="21"/>
                <w:szCs w:val="21"/>
              </w:rPr>
              <w:t>0.485</w:t>
            </w:r>
          </w:p>
        </w:tc>
        <w:tc>
          <w:tcPr>
            <w:tcW w:w="1156" w:type="dxa"/>
            <w:vAlign w:val="center"/>
          </w:tcPr>
          <w:p>
            <w:pPr>
              <w:pStyle w:val="HitTableText"/>
              <w:jc w:val="center"/>
              <w:spacing w:after="0" w:line="360" w:lineRule="auto"/>
            </w:pPr>
            <w:r>
              <w:rPr>
                <w:sz w:val="21"/>
                <w:szCs w:val="21"/>
              </w:rPr>
              <w:t>0.000</w:t>
            </w:r>
          </w:p>
        </w:tc>
        <w:tc>
          <w:tcPr>
            <w:tcW w:w="1156" w:type="dxa"/>
            <w:vAlign w:val="center"/>
          </w:tcPr>
          <w:p>
            <w:pPr>
              <w:pStyle w:val="HitTableText"/>
              <w:jc w:val="center"/>
              <w:spacing w:after="0" w:line="360" w:lineRule="auto"/>
            </w:pPr>
            <w:r>
              <w:rPr>
                <w:sz w:val="21"/>
                <w:szCs w:val="21"/>
              </w:rPr>
              <w:t>0.000</w:t>
            </w:r>
          </w:p>
        </w:tc>
        <w:tc>
          <w:tcPr>
            <w:tcW w:w="1159" w:type="dxa"/>
            <w:vAlign w:val="center"/>
          </w:tcPr>
          <w:p>
            <w:pPr>
              <w:pStyle w:val="HitTableText"/>
              <w:jc w:val="center"/>
              <w:spacing w:after="0" w:line="360" w:lineRule="auto"/>
            </w:pPr>
            <w:r>
              <w:rPr>
                <w:sz w:val="21"/>
                <w:szCs w:val="21"/>
              </w:rPr>
              <w:t>1.000</w:t>
            </w:r>
          </w:p>
        </w:tc>
      </w:tr>
      <w:tr>
        <w:tc>
          <w:tcPr>
            <w:tcW w:w="1719" w:type="dxa"/>
            <w:vAlign w:val="center"/>
          </w:tcPr>
          <w:p>
            <w:pPr>
              <w:pStyle w:val="HitTableText"/>
              <w:jc w:val="center"/>
              <w:spacing w:after="0" w:line="360" w:lineRule="auto"/>
            </w:pPr>
            <w:r>
              <w:rPr>
                <w:sz w:val="21"/>
                <w:szCs w:val="21"/>
              </w:rPr>
              <w:t>Size</w:t>
            </w:r>
          </w:p>
        </w:tc>
        <w:tc>
          <w:tcPr>
            <w:tcW w:w="1184" w:type="dxa"/>
            <w:vAlign w:val="center"/>
          </w:tcPr>
          <w:p>
            <w:pPr>
              <w:pStyle w:val="HitTableText"/>
              <w:jc w:val="center"/>
              <w:spacing w:after="0" w:line="360" w:lineRule="auto"/>
            </w:pPr>
            <w:r>
              <w:rPr>
                <w:sz w:val="21"/>
                <w:szCs w:val="21"/>
              </w:rPr>
              <w:t>~2000</w:t>
            </w:r>
          </w:p>
        </w:tc>
        <w:tc>
          <w:tcPr>
            <w:tcW w:w="783" w:type="dxa"/>
            <w:vAlign w:val="center"/>
          </w:tcPr>
          <w:p>
            <w:pPr>
              <w:pStyle w:val="HitTableText"/>
              <w:jc w:val="center"/>
              <w:spacing w:after="0" w:line="360" w:lineRule="auto"/>
            </w:pPr>
            <w:r>
              <w:rPr>
                <w:sz w:val="21"/>
                <w:szCs w:val="21"/>
              </w:rPr>
              <w:t>22.5</w:t>
            </w:r>
          </w:p>
        </w:tc>
        <w:tc>
          <w:tcPr>
            <w:tcW w:w="1156" w:type="dxa"/>
            <w:vAlign w:val="center"/>
          </w:tcPr>
          <w:p>
            <w:pPr>
              <w:pStyle w:val="HitTableText"/>
              <w:jc w:val="center"/>
              <w:spacing w:after="0" w:line="360" w:lineRule="auto"/>
            </w:pPr>
            <w:r>
              <w:rPr>
                <w:sz w:val="21"/>
                <w:szCs w:val="21"/>
              </w:rPr>
              <w:t>1.3</w:t>
            </w:r>
          </w:p>
        </w:tc>
        <w:tc>
          <w:tcPr>
            <w:tcW w:w="1156" w:type="dxa"/>
            <w:vAlign w:val="center"/>
          </w:tcPr>
          <w:p>
            <w:pPr>
              <w:pStyle w:val="HitTableText"/>
              <w:jc w:val="center"/>
              <w:spacing w:after="0" w:line="360" w:lineRule="auto"/>
            </w:pPr>
            <w:r>
              <w:rPr>
                <w:sz w:val="21"/>
                <w:szCs w:val="21"/>
              </w:rPr>
              <w:t>19.8</w:t>
            </w:r>
          </w:p>
        </w:tc>
        <w:tc>
          <w:tcPr>
            <w:tcW w:w="1156" w:type="dxa"/>
            <w:vAlign w:val="center"/>
          </w:tcPr>
          <w:p>
            <w:pPr>
              <w:pStyle w:val="HitTableText"/>
              <w:jc w:val="center"/>
              <w:spacing w:after="0" w:line="360" w:lineRule="auto"/>
            </w:pPr>
            <w:r>
              <w:rPr>
                <w:sz w:val="21"/>
                <w:szCs w:val="21"/>
              </w:rPr>
              <w:t>22.3</w:t>
            </w:r>
          </w:p>
        </w:tc>
        <w:tc>
          <w:tcPr>
            <w:tcW w:w="1159" w:type="dxa"/>
            <w:vAlign w:val="center"/>
          </w:tcPr>
          <w:p>
            <w:pPr>
              <w:pStyle w:val="HitTableText"/>
              <w:jc w:val="center"/>
              <w:spacing w:after="0" w:line="360" w:lineRule="auto"/>
            </w:pPr>
            <w:r>
              <w:rPr>
                <w:sz w:val="21"/>
                <w:szCs w:val="21"/>
              </w:rPr>
              <w:t>27.2</w:t>
            </w:r>
          </w:p>
        </w:tc>
      </w:tr>
      <w:tr>
        <w:tc>
          <w:tcPr>
            <w:tcW w:w="1719" w:type="dxa"/>
            <w:vAlign w:val="center"/>
          </w:tcPr>
          <w:p>
            <w:pPr>
              <w:pStyle w:val="HitTableText"/>
              <w:jc w:val="center"/>
              <w:spacing w:after="0" w:line="360" w:lineRule="auto"/>
            </w:pPr>
            <w:r>
              <w:rPr>
                <w:sz w:val="21"/>
                <w:szCs w:val="21"/>
              </w:rPr>
              <w:t>Age</w:t>
            </w:r>
          </w:p>
        </w:tc>
        <w:tc>
          <w:tcPr>
            <w:tcW w:w="1184" w:type="dxa"/>
            <w:vAlign w:val="center"/>
          </w:tcPr>
          <w:p>
            <w:pPr>
              <w:pStyle w:val="HitTableText"/>
              <w:jc w:val="center"/>
              <w:spacing w:after="0" w:line="360" w:lineRule="auto"/>
            </w:pPr>
            <w:r>
              <w:rPr>
                <w:sz w:val="21"/>
                <w:szCs w:val="21"/>
              </w:rPr>
              <w:t>~2000</w:t>
            </w:r>
          </w:p>
        </w:tc>
        <w:tc>
          <w:tcPr>
            <w:tcW w:w="783" w:type="dxa"/>
            <w:vAlign w:val="center"/>
          </w:tcPr>
          <w:p>
            <w:pPr>
              <w:pStyle w:val="HitTableText"/>
              <w:jc w:val="center"/>
              <w:spacing w:after="0" w:line="360" w:lineRule="auto"/>
            </w:pPr>
            <w:r>
              <w:rPr>
                <w:sz w:val="21"/>
                <w:szCs w:val="21"/>
              </w:rPr>
              <w:t>15.8</w:t>
            </w:r>
          </w:p>
        </w:tc>
        <w:tc>
          <w:tcPr>
            <w:tcW w:w="1156" w:type="dxa"/>
            <w:vAlign w:val="center"/>
          </w:tcPr>
          <w:p>
            <w:pPr>
              <w:pStyle w:val="HitTableText"/>
              <w:jc w:val="center"/>
              <w:spacing w:after="0" w:line="360" w:lineRule="auto"/>
            </w:pPr>
            <w:r>
              <w:rPr>
                <w:sz w:val="21"/>
                <w:szCs w:val="21"/>
              </w:rPr>
              <w:t>6.2</w:t>
            </w:r>
          </w:p>
        </w:tc>
        <w:tc>
          <w:tcPr>
            <w:tcW w:w="1156" w:type="dxa"/>
            <w:vAlign w:val="center"/>
          </w:tcPr>
          <w:p>
            <w:pPr>
              <w:pStyle w:val="HitTableText"/>
              <w:jc w:val="center"/>
              <w:spacing w:after="0" w:line="360" w:lineRule="auto"/>
            </w:pPr>
            <w:r>
              <w:rPr>
                <w:sz w:val="21"/>
                <w:szCs w:val="21"/>
              </w:rPr>
              <w:t>3.2</w:t>
            </w:r>
          </w:p>
        </w:tc>
        <w:tc>
          <w:tcPr>
            <w:tcW w:w="1156" w:type="dxa"/>
            <w:vAlign w:val="center"/>
          </w:tcPr>
          <w:p>
            <w:pPr>
              <w:pStyle w:val="HitTableText"/>
              <w:jc w:val="center"/>
              <w:spacing w:after="0" w:line="360" w:lineRule="auto"/>
            </w:pPr>
            <w:r>
              <w:rPr>
                <w:sz w:val="21"/>
                <w:szCs w:val="21"/>
              </w:rPr>
              <w:t>14.5</w:t>
            </w:r>
          </w:p>
        </w:tc>
        <w:tc>
          <w:tcPr>
            <w:tcW w:w="1159" w:type="dxa"/>
            <w:vAlign w:val="center"/>
          </w:tcPr>
          <w:p>
            <w:pPr>
              <w:pStyle w:val="HitTableText"/>
              <w:jc w:val="center"/>
              <w:spacing w:after="0" w:line="360" w:lineRule="auto"/>
            </w:pPr>
            <w:r>
              <w:rPr>
                <w:sz w:val="21"/>
                <w:szCs w:val="21"/>
              </w:rPr>
              <w:t>38.6</w:t>
            </w:r>
          </w:p>
        </w:tc>
      </w:tr>
      <w:tr>
        <w:tc>
          <w:tcPr>
            <w:tcW w:w="1719" w:type="dxa"/>
            <w:vAlign w:val="center"/>
          </w:tcPr>
          <w:p>
            <w:pPr>
              <w:pStyle w:val="HitTableText"/>
              <w:jc w:val="center"/>
              <w:spacing w:after="0" w:line="360" w:lineRule="auto"/>
            </w:pPr>
            <w:r>
              <w:rPr>
                <w:sz w:val="21"/>
                <w:szCs w:val="21"/>
              </w:rPr>
              <w:t>Lev</w:t>
            </w:r>
          </w:p>
        </w:tc>
        <w:tc>
          <w:tcPr>
            <w:tcW w:w="1184" w:type="dxa"/>
            <w:vAlign w:val="center"/>
          </w:tcPr>
          <w:p>
            <w:pPr>
              <w:pStyle w:val="HitTableText"/>
              <w:jc w:val="center"/>
              <w:spacing w:after="0" w:line="360" w:lineRule="auto"/>
            </w:pPr>
            <w:r>
              <w:rPr>
                <w:sz w:val="21"/>
                <w:szCs w:val="21"/>
              </w:rPr>
              <w:t>~2000</w:t>
            </w:r>
          </w:p>
        </w:tc>
        <w:tc>
          <w:tcPr>
            <w:tcW w:w="783" w:type="dxa"/>
            <w:vAlign w:val="center"/>
          </w:tcPr>
          <w:p>
            <w:pPr>
              <w:pStyle w:val="HitTableText"/>
              <w:jc w:val="center"/>
              <w:spacing w:after="0" w:line="360" w:lineRule="auto"/>
            </w:pPr>
            <w:r>
              <w:rPr>
                <w:sz w:val="21"/>
                <w:szCs w:val="21"/>
              </w:rPr>
              <w:t>0.438</w:t>
            </w:r>
          </w:p>
        </w:tc>
        <w:tc>
          <w:tcPr>
            <w:tcW w:w="1156" w:type="dxa"/>
            <w:vAlign w:val="center"/>
          </w:tcPr>
          <w:p>
            <w:pPr>
              <w:pStyle w:val="HitTableText"/>
              <w:jc w:val="center"/>
              <w:spacing w:after="0" w:line="360" w:lineRule="auto"/>
            </w:pPr>
            <w:r>
              <w:rPr>
                <w:sz w:val="21"/>
                <w:szCs w:val="21"/>
              </w:rPr>
              <w:t>0.198</w:t>
            </w:r>
          </w:p>
        </w:tc>
        <w:tc>
          <w:tcPr>
            <w:tcW w:w="1156" w:type="dxa"/>
            <w:vAlign w:val="center"/>
          </w:tcPr>
          <w:p>
            <w:pPr>
              <w:pStyle w:val="HitTableText"/>
              <w:jc w:val="center"/>
              <w:spacing w:after="0" w:line="360" w:lineRule="auto"/>
            </w:pPr>
            <w:r>
              <w:rPr>
                <w:sz w:val="21"/>
                <w:szCs w:val="21"/>
              </w:rPr>
              <w:t>0.052</w:t>
            </w:r>
          </w:p>
        </w:tc>
        <w:tc>
          <w:tcPr>
            <w:tcW w:w="1156" w:type="dxa"/>
            <w:vAlign w:val="center"/>
          </w:tcPr>
          <w:p>
            <w:pPr>
              <w:pStyle w:val="HitTableText"/>
              <w:jc w:val="center"/>
              <w:spacing w:after="0" w:line="360" w:lineRule="auto"/>
            </w:pPr>
            <w:r>
              <w:rPr>
                <w:sz w:val="21"/>
                <w:szCs w:val="21"/>
              </w:rPr>
              <w:t>0.428</w:t>
            </w:r>
          </w:p>
        </w:tc>
        <w:tc>
          <w:tcPr>
            <w:tcW w:w="1159" w:type="dxa"/>
            <w:vAlign w:val="center"/>
          </w:tcPr>
          <w:p>
            <w:pPr>
              <w:pStyle w:val="HitTableText"/>
              <w:jc w:val="center"/>
              <w:spacing w:after="0" w:line="360" w:lineRule="auto"/>
            </w:pPr>
            <w:r>
              <w:rPr>
                <w:sz w:val="21"/>
                <w:szCs w:val="21"/>
              </w:rPr>
              <w:t>0.876</w:t>
            </w:r>
          </w:p>
        </w:tc>
      </w:tr>
      <w:tr>
        <w:tc>
          <w:tcPr>
            <w:tcW w:w="1719" w:type="dxa"/>
            <w:vAlign w:val="center"/>
          </w:tcPr>
          <w:p>
            <w:pPr>
              <w:pStyle w:val="HitTableText"/>
              <w:jc w:val="center"/>
              <w:spacing w:after="0" w:line="360" w:lineRule="auto"/>
            </w:pPr>
            <w:r>
              <w:rPr>
                <w:sz w:val="21"/>
                <w:szCs w:val="21"/>
              </w:rPr>
              <w:t>ROE</w:t>
            </w:r>
          </w:p>
        </w:tc>
        <w:tc>
          <w:tcPr>
            <w:tcW w:w="1184" w:type="dxa"/>
            <w:vAlign w:val="center"/>
          </w:tcPr>
          <w:p>
            <w:pPr>
              <w:pStyle w:val="HitTableText"/>
              <w:jc w:val="center"/>
              <w:spacing w:after="0" w:line="360" w:lineRule="auto"/>
            </w:pPr>
            <w:r>
              <w:rPr>
                <w:sz w:val="21"/>
                <w:szCs w:val="21"/>
              </w:rPr>
              <w:t>~2000</w:t>
            </w:r>
          </w:p>
        </w:tc>
        <w:tc>
          <w:tcPr>
            <w:tcW w:w="783" w:type="dxa"/>
            <w:vAlign w:val="center"/>
          </w:tcPr>
          <w:p>
            <w:pPr>
              <w:pStyle w:val="HitTableText"/>
              <w:jc w:val="center"/>
              <w:spacing w:after="0" w:line="360" w:lineRule="auto"/>
            </w:pPr>
            <w:r>
              <w:rPr>
                <w:sz w:val="21"/>
                <w:szCs w:val="21"/>
              </w:rPr>
              <w:t>0.058</w:t>
            </w:r>
          </w:p>
        </w:tc>
        <w:tc>
          <w:tcPr>
            <w:tcW w:w="1156" w:type="dxa"/>
            <w:vAlign w:val="center"/>
          </w:tcPr>
          <w:p>
            <w:pPr>
              <w:pStyle w:val="HitTableText"/>
              <w:jc w:val="center"/>
              <w:spacing w:after="0" w:line="360" w:lineRule="auto"/>
            </w:pPr>
            <w:r>
              <w:rPr>
                <w:sz w:val="21"/>
                <w:szCs w:val="21"/>
              </w:rPr>
              <w:t>0.087</w:t>
            </w:r>
          </w:p>
        </w:tc>
        <w:tc>
          <w:tcPr>
            <w:tcW w:w="1156" w:type="dxa"/>
            <w:vAlign w:val="center"/>
          </w:tcPr>
          <w:p>
            <w:pPr>
              <w:pStyle w:val="HitTableText"/>
              <w:jc w:val="center"/>
              <w:spacing w:after="0" w:line="360" w:lineRule="auto"/>
            </w:pPr>
            <w:r>
              <w:rPr>
                <w:sz w:val="21"/>
                <w:szCs w:val="21"/>
              </w:rPr>
              <w:t>-0.182</w:t>
            </w:r>
          </w:p>
        </w:tc>
        <w:tc>
          <w:tcPr>
            <w:tcW w:w="1156" w:type="dxa"/>
            <w:vAlign w:val="center"/>
          </w:tcPr>
          <w:p>
            <w:pPr>
              <w:pStyle w:val="HitTableText"/>
              <w:jc w:val="center"/>
              <w:spacing w:after="0" w:line="360" w:lineRule="auto"/>
            </w:pPr>
            <w:r>
              <w:rPr>
                <w:sz w:val="21"/>
                <w:szCs w:val="21"/>
              </w:rPr>
              <w:t>0.052</w:t>
            </w:r>
          </w:p>
        </w:tc>
        <w:tc>
          <w:tcPr>
            <w:tcW w:w="1159" w:type="dxa"/>
            <w:vAlign w:val="center"/>
          </w:tcPr>
          <w:p>
            <w:pPr>
              <w:pStyle w:val="HitTableText"/>
              <w:jc w:val="center"/>
              <w:spacing w:after="0" w:line="360" w:lineRule="auto"/>
            </w:pPr>
            <w:r>
              <w:rPr>
                <w:sz w:val="21"/>
                <w:szCs w:val="21"/>
              </w:rPr>
              <w:t>0.235</w:t>
            </w:r>
          </w:p>
        </w:tc>
      </w:tr>
      <w:tr>
        <w:tc>
          <w:tcPr>
            <w:tcW w:w="1719" w:type="dxa"/>
            <w:vAlign w:val="center"/>
          </w:tcPr>
          <w:p>
            <w:pPr>
              <w:pStyle w:val="HitTableText"/>
              <w:jc w:val="center"/>
              <w:spacing w:after="0" w:line="360" w:lineRule="auto"/>
            </w:pPr>
            <w:r>
              <w:rPr>
                <w:sz w:val="21"/>
                <w:szCs w:val="21"/>
              </w:rPr>
              <w:t>CashFlow</w:t>
            </w:r>
          </w:p>
        </w:tc>
        <w:tc>
          <w:tcPr>
            <w:tcW w:w="1184" w:type="dxa"/>
            <w:vAlign w:val="center"/>
          </w:tcPr>
          <w:p>
            <w:pPr>
              <w:pStyle w:val="HitTableText"/>
              <w:jc w:val="center"/>
              <w:spacing w:after="0" w:line="360" w:lineRule="auto"/>
            </w:pPr>
            <w:r>
              <w:rPr>
                <w:sz w:val="21"/>
                <w:szCs w:val="21"/>
              </w:rPr>
              <w:t>~2000</w:t>
            </w:r>
          </w:p>
        </w:tc>
        <w:tc>
          <w:tcPr>
            <w:tcW w:w="783" w:type="dxa"/>
            <w:vAlign w:val="center"/>
          </w:tcPr>
          <w:p>
            <w:pPr>
              <w:pStyle w:val="HitTableText"/>
              <w:jc w:val="center"/>
              <w:spacing w:after="0" w:line="360" w:lineRule="auto"/>
            </w:pPr>
            <w:r>
              <w:rPr>
                <w:sz w:val="21"/>
                <w:szCs w:val="21"/>
              </w:rPr>
              <w:t>0.045</w:t>
            </w:r>
          </w:p>
        </w:tc>
        <w:tc>
          <w:tcPr>
            <w:tcW w:w="1156" w:type="dxa"/>
            <w:vAlign w:val="center"/>
          </w:tcPr>
          <w:p>
            <w:pPr>
              <w:pStyle w:val="HitTableText"/>
              <w:jc w:val="center"/>
              <w:spacing w:after="0" w:line="360" w:lineRule="auto"/>
            </w:pPr>
            <w:r>
              <w:rPr>
                <w:sz w:val="21"/>
                <w:szCs w:val="21"/>
              </w:rPr>
              <w:t>0.062</w:t>
            </w:r>
          </w:p>
        </w:tc>
        <w:tc>
          <w:tcPr>
            <w:tcW w:w="1156" w:type="dxa"/>
            <w:vAlign w:val="center"/>
          </w:tcPr>
          <w:p>
            <w:pPr>
              <w:pStyle w:val="HitTableText"/>
              <w:jc w:val="center"/>
              <w:spacing w:after="0" w:line="360" w:lineRule="auto"/>
            </w:pPr>
            <w:r>
              <w:rPr>
                <w:sz w:val="21"/>
                <w:szCs w:val="21"/>
              </w:rPr>
              <w:t>-0.123</w:t>
            </w:r>
          </w:p>
        </w:tc>
        <w:tc>
          <w:tcPr>
            <w:tcW w:w="1156" w:type="dxa"/>
            <w:vAlign w:val="center"/>
          </w:tcPr>
          <w:p>
            <w:pPr>
              <w:pStyle w:val="HitTableText"/>
              <w:jc w:val="center"/>
              <w:spacing w:after="0" w:line="360" w:lineRule="auto"/>
            </w:pPr>
            <w:r>
              <w:rPr>
                <w:sz w:val="21"/>
                <w:szCs w:val="21"/>
              </w:rPr>
              <w:t>0.038</w:t>
            </w:r>
          </w:p>
        </w:tc>
        <w:tc>
          <w:tcPr>
            <w:tcW w:w="1159" w:type="dxa"/>
            <w:vAlign w:val="center"/>
          </w:tcPr>
          <w:p>
            <w:pPr>
              <w:pStyle w:val="HitTableText"/>
              <w:jc w:val="center"/>
              <w:spacing w:after="0" w:line="360" w:lineRule="auto"/>
            </w:pPr>
            <w:r>
              <w:rPr>
                <w:sz w:val="21"/>
                <w:szCs w:val="21"/>
              </w:rPr>
              <w:t>0.218</w:t>
            </w:r>
          </w:p>
        </w:tc>
      </w:tr>
      <w:tr>
        <w:tc>
          <w:tcPr>
            <w:tcW w:w="1719" w:type="dxa"/>
            <w:vAlign w:val="center"/>
          </w:tcPr>
          <w:p>
            <w:pPr>
              <w:pStyle w:val="HitTableText"/>
              <w:jc w:val="center"/>
              <w:spacing w:after="0" w:line="360" w:lineRule="auto"/>
            </w:pPr>
            <w:r>
              <w:rPr>
                <w:sz w:val="21"/>
                <w:szCs w:val="21"/>
              </w:rPr>
              <w:t>SOE</w:t>
            </w:r>
          </w:p>
        </w:tc>
        <w:tc>
          <w:tcPr>
            <w:tcW w:w="1184" w:type="dxa"/>
            <w:vAlign w:val="center"/>
          </w:tcPr>
          <w:p>
            <w:pPr>
              <w:pStyle w:val="HitTableText"/>
              <w:jc w:val="center"/>
              <w:spacing w:after="0" w:line="360" w:lineRule="auto"/>
            </w:pPr>
            <w:r>
              <w:rPr>
                <w:sz w:val="21"/>
                <w:szCs w:val="21"/>
              </w:rPr>
              <w:t>~2000</w:t>
            </w:r>
          </w:p>
        </w:tc>
        <w:tc>
          <w:tcPr>
            <w:tcW w:w="783" w:type="dxa"/>
            <w:vAlign w:val="center"/>
          </w:tcPr>
          <w:p>
            <w:pPr>
              <w:pStyle w:val="HitTableText"/>
              <w:jc w:val="center"/>
              <w:spacing w:after="0" w:line="360" w:lineRule="auto"/>
            </w:pPr>
            <w:r>
              <w:rPr>
                <w:sz w:val="21"/>
                <w:szCs w:val="21"/>
              </w:rPr>
              <w:t>0.360</w:t>
            </w:r>
          </w:p>
        </w:tc>
        <w:tc>
          <w:tcPr>
            <w:tcW w:w="1156" w:type="dxa"/>
            <w:vAlign w:val="center"/>
          </w:tcPr>
          <w:p>
            <w:pPr>
              <w:pStyle w:val="HitTableText"/>
              <w:jc w:val="center"/>
              <w:spacing w:after="0" w:line="360" w:lineRule="auto"/>
            </w:pPr>
            <w:r>
              <w:rPr>
                <w:sz w:val="21"/>
                <w:szCs w:val="21"/>
              </w:rPr>
              <w:t>0.480</w:t>
            </w:r>
          </w:p>
        </w:tc>
        <w:tc>
          <w:tcPr>
            <w:tcW w:w="1156" w:type="dxa"/>
            <w:vAlign w:val="center"/>
          </w:tcPr>
          <w:p>
            <w:pPr>
              <w:pStyle w:val="HitTableText"/>
              <w:jc w:val="center"/>
              <w:spacing w:after="0" w:line="360" w:lineRule="auto"/>
            </w:pPr>
            <w:r>
              <w:rPr>
                <w:sz w:val="21"/>
                <w:szCs w:val="21"/>
              </w:rPr>
              <w:t>0.000</w:t>
            </w:r>
          </w:p>
        </w:tc>
        <w:tc>
          <w:tcPr>
            <w:tcW w:w="1156" w:type="dxa"/>
            <w:vAlign w:val="center"/>
          </w:tcPr>
          <w:p>
            <w:pPr>
              <w:pStyle w:val="HitTableText"/>
              <w:jc w:val="center"/>
              <w:spacing w:after="0" w:line="360" w:lineRule="auto"/>
            </w:pPr>
            <w:r>
              <w:rPr>
                <w:sz w:val="21"/>
                <w:szCs w:val="21"/>
              </w:rPr>
              <w:t>0.000</w:t>
            </w:r>
          </w:p>
        </w:tc>
        <w:tc>
          <w:tcPr>
            <w:tcW w:w="1159" w:type="dxa"/>
            <w:vAlign w:val="center"/>
          </w:tcPr>
          <w:p>
            <w:pPr>
              <w:pStyle w:val="HitTableText"/>
              <w:jc w:val="center"/>
              <w:spacing w:after="0" w:line="360" w:lineRule="auto"/>
            </w:pPr>
            <w:r>
              <w:rPr>
                <w:sz w:val="21"/>
                <w:szCs w:val="21"/>
              </w:rPr>
              <w:t>1.000</w:t>
            </w:r>
          </w:p>
        </w:tc>
      </w:tr>
      <w:tr>
        <w:tc>
          <w:tcPr>
            <w:tcW w:w="1719" w:type="dxa"/>
            <w:vAlign w:val="center"/>
          </w:tcPr>
          <w:p>
            <w:pPr>
              <w:pStyle w:val="HitTableText"/>
              <w:jc w:val="center"/>
              <w:spacing w:after="0" w:line="360" w:lineRule="auto"/>
            </w:pPr>
            <w:r>
              <w:rPr>
                <w:sz w:val="21"/>
                <w:szCs w:val="21"/>
              </w:rPr>
              <w:t>Top1</w:t>
            </w:r>
          </w:p>
        </w:tc>
        <w:tc>
          <w:tcPr>
            <w:tcW w:w="1184" w:type="dxa"/>
            <w:vAlign w:val="center"/>
          </w:tcPr>
          <w:p>
            <w:pPr>
              <w:pStyle w:val="HitTableText"/>
              <w:jc w:val="center"/>
              <w:spacing w:after="0" w:line="360" w:lineRule="auto"/>
            </w:pPr>
            <w:r>
              <w:rPr>
                <w:sz w:val="21"/>
                <w:szCs w:val="21"/>
              </w:rPr>
              <w:t>~2000</w:t>
            </w:r>
          </w:p>
        </w:tc>
        <w:tc>
          <w:tcPr>
            <w:tcW w:w="783" w:type="dxa"/>
            <w:vAlign w:val="center"/>
          </w:tcPr>
          <w:p>
            <w:pPr>
              <w:pStyle w:val="HitTableText"/>
              <w:jc w:val="center"/>
              <w:spacing w:after="0" w:line="360" w:lineRule="auto"/>
            </w:pPr>
            <w:r>
              <w:rPr>
                <w:sz w:val="21"/>
                <w:szCs w:val="21"/>
              </w:rPr>
              <w:t>0.318</w:t>
            </w:r>
          </w:p>
        </w:tc>
        <w:tc>
          <w:tcPr>
            <w:tcW w:w="1156" w:type="dxa"/>
            <w:vAlign w:val="center"/>
          </w:tcPr>
          <w:p>
            <w:pPr>
              <w:pStyle w:val="HitTableText"/>
              <w:jc w:val="center"/>
              <w:spacing w:after="0" w:line="360" w:lineRule="auto"/>
            </w:pPr>
            <w:r>
              <w:rPr>
                <w:sz w:val="21"/>
                <w:szCs w:val="21"/>
              </w:rPr>
              <w:t>0.142</w:t>
            </w:r>
          </w:p>
        </w:tc>
        <w:tc>
          <w:tcPr>
            <w:tcW w:w="1156" w:type="dxa"/>
            <w:vAlign w:val="center"/>
          </w:tcPr>
          <w:p>
            <w:pPr>
              <w:pStyle w:val="HitTableText"/>
              <w:jc w:val="center"/>
              <w:spacing w:after="0" w:line="360" w:lineRule="auto"/>
            </w:pPr>
            <w:r>
              <w:rPr>
                <w:sz w:val="21"/>
                <w:szCs w:val="21"/>
              </w:rPr>
              <w:t>0.085</w:t>
            </w:r>
          </w:p>
        </w:tc>
        <w:tc>
          <w:tcPr>
            <w:tcW w:w="1156" w:type="dxa"/>
            <w:vAlign w:val="center"/>
          </w:tcPr>
          <w:p>
            <w:pPr>
              <w:pStyle w:val="HitTableText"/>
              <w:jc w:val="center"/>
              <w:spacing w:after="0" w:line="360" w:lineRule="auto"/>
            </w:pPr>
            <w:r>
              <w:rPr>
                <w:sz w:val="21"/>
                <w:szCs w:val="21"/>
              </w:rPr>
              <w:t>0.298</w:t>
            </w:r>
          </w:p>
        </w:tc>
        <w:tc>
          <w:tcPr>
            <w:tcW w:w="1159" w:type="dxa"/>
            <w:vAlign w:val="center"/>
          </w:tcPr>
          <w:p>
            <w:pPr>
              <w:pStyle w:val="HitTableText"/>
              <w:jc w:val="center"/>
              <w:spacing w:after="0" w:line="360" w:lineRule="auto"/>
            </w:pPr>
            <w:r>
              <w:rPr>
                <w:sz w:val="21"/>
                <w:szCs w:val="21"/>
              </w:rPr>
              <w:t>0.728</w:t>
            </w:r>
          </w:p>
        </w:tc>
      </w:tr>
      <w:tr>
        <w:tc>
          <w:tcPr>
            <w:tcW w:w="1719" w:type="dxa"/>
            <w:vAlign w:val="center"/>
          </w:tcPr>
          <w:p>
            <w:pPr>
              <w:pStyle w:val="HitTableText"/>
              <w:jc w:val="center"/>
              <w:spacing w:after="0" w:line="360" w:lineRule="auto"/>
            </w:pPr>
            <w:r>
              <w:rPr>
                <w:sz w:val="21"/>
                <w:szCs w:val="21"/>
              </w:rPr>
              <w:t>TobinQ</w:t>
            </w:r>
          </w:p>
        </w:tc>
        <w:tc>
          <w:tcPr>
            <w:tcW w:w="1184" w:type="dxa"/>
            <w:vAlign w:val="center"/>
          </w:tcPr>
          <w:p>
            <w:pPr>
              <w:pStyle w:val="HitTableText"/>
              <w:jc w:val="center"/>
              <w:spacing w:after="0" w:line="360" w:lineRule="auto"/>
            </w:pPr>
            <w:r>
              <w:rPr>
                <w:sz w:val="21"/>
                <w:szCs w:val="21"/>
              </w:rPr>
              <w:t>~2000</w:t>
            </w:r>
          </w:p>
        </w:tc>
        <w:tc>
          <w:tcPr>
            <w:tcW w:w="783" w:type="dxa"/>
            <w:vAlign w:val="center"/>
          </w:tcPr>
          <w:p>
            <w:pPr>
              <w:pStyle w:val="HitTableText"/>
              <w:jc w:val="center"/>
              <w:spacing w:after="0" w:line="360" w:lineRule="auto"/>
            </w:pPr>
            <w:r>
              <w:rPr>
                <w:sz w:val="21"/>
                <w:szCs w:val="21"/>
              </w:rPr>
              <w:t>2.85</w:t>
            </w:r>
          </w:p>
        </w:tc>
        <w:tc>
          <w:tcPr>
            <w:tcW w:w="1156" w:type="dxa"/>
            <w:vAlign w:val="center"/>
          </w:tcPr>
          <w:p>
            <w:pPr>
              <w:pStyle w:val="HitTableText"/>
              <w:jc w:val="center"/>
              <w:spacing w:after="0" w:line="360" w:lineRule="auto"/>
            </w:pPr>
            <w:r>
              <w:rPr>
                <w:sz w:val="21"/>
                <w:szCs w:val="21"/>
              </w:rPr>
              <w:t>1.62</w:t>
            </w:r>
          </w:p>
        </w:tc>
        <w:tc>
          <w:tcPr>
            <w:tcW w:w="1156" w:type="dxa"/>
            <w:vAlign w:val="center"/>
          </w:tcPr>
          <w:p>
            <w:pPr>
              <w:pStyle w:val="HitTableText"/>
              <w:jc w:val="center"/>
              <w:spacing w:after="0" w:line="360" w:lineRule="auto"/>
            </w:pPr>
            <w:r>
              <w:rPr>
                <w:sz w:val="21"/>
                <w:szCs w:val="21"/>
              </w:rPr>
              <w:t>0.82</w:t>
            </w:r>
          </w:p>
        </w:tc>
        <w:tc>
          <w:tcPr>
            <w:tcW w:w="1156" w:type="dxa"/>
            <w:vAlign w:val="center"/>
          </w:tcPr>
          <w:p>
            <w:pPr>
              <w:pStyle w:val="HitTableText"/>
              <w:jc w:val="center"/>
              <w:spacing w:after="0" w:line="360" w:lineRule="auto"/>
            </w:pPr>
            <w:r>
              <w:rPr>
                <w:sz w:val="21"/>
                <w:szCs w:val="21"/>
              </w:rPr>
              <w:t>2.41</w:t>
            </w:r>
          </w:p>
        </w:tc>
        <w:tc>
          <w:tcPr>
            <w:tcW w:w="1159" w:type="dxa"/>
            <w:vAlign w:val="center"/>
          </w:tcPr>
          <w:p>
            <w:pPr>
              <w:pStyle w:val="HitTableText"/>
              <w:jc w:val="center"/>
              <w:spacing w:after="0" w:line="360" w:lineRule="auto"/>
            </w:pPr>
            <w:r>
              <w:rPr>
                <w:sz w:val="21"/>
                <w:szCs w:val="21"/>
              </w:rPr>
              <w:t>12.58</w:t>
            </w:r>
          </w:p>
        </w:tc>
      </w:tr>
    </w:tbl>
    <w:p>
      <w:pPr>
        <w:pStyle w:val="HitQuote"/>
      </w:pPr>
      <w:r>
        <w:rPr>
          <w:rFonts w:ascii="Times New Roman" w:hAnsi="Times New Roman"/>
        </w:rPr>
        <w:t>注：Treat为处理组虚拟变量（平台企业=1），Post为政策后虚拟变量（2021年及之后=1）。以上统计量基于预实验数据，正式回归中将根据实际样本更新。</w:t>
      </w:r>
    </w:p>
    <w:p>
      <w:pPr>
        <w:pStyle w:val="HitBody"/>
        <w:ind w:firstLineChars="200" w:firstLine="480"/>
        <w:widowControl w:val="0"/>
        <w:spacing w:line="360" w:lineRule="auto"/>
      </w:pPr>
      <w:r>
        <w:rPr>
          <w:rFonts w:ascii="Times New Roman" w:hAnsi="Times New Roman" w:eastAsia="宋体"/>
          <w:sz w:val="24"/>
          <w:szCs w:val="24"/>
        </w:rPr>
        <w:t>从描述性统计可以看出：（1）样本企业的平均研发强度为5.2%，中位数为3.8%，表明数字平台企业存在明显的研发投入差异；（2）平台企业约占样本的45%，政策后观测值约占38%；（3）样本企业平均资产负债率为43.8%，处于相对稳健水平；（4）约36%的样本企业为国有企业，表明样本在所有制结构上具有较好的代表性。</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4"/>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59" w:name="_Toc102000059"/>
      <w:r>
        <w:t>实证结果与分析</w:t>
      </w:r>
      <w:bookmarkEnd w:id="5059"/>
    </w:p>
    <w:p>
      <w:pPr>
        <w:pStyle w:val="HitHeading2"/>
        <w:keepNext/>
        <w:keepLines/>
      </w:pPr>
      <w:bookmarkStart w:id="5060" w:name="_Toc102000060"/>
      <w:r>
        <w:t>基准回归结果</w:t>
      </w:r>
      <w:bookmarkEnd w:id="5060"/>
    </w:p>
    <w:p>
      <w:pPr>
        <w:pStyle w:val="HitHeading3"/>
        <w:keepNext/>
        <w:keepLines/>
      </w:pPr>
      <w:bookmarkStart w:id="5061" w:name="_Toc102000061"/>
      <w:r>
        <w:t>反垄断监管对研发投入的总体效应</w:t>
      </w:r>
      <w:bookmarkEnd w:id="5061"/>
    </w:p>
    <w:p>
      <w:pPr>
        <w:pStyle w:val="HitBody"/>
        <w:ind w:firstLineChars="200" w:firstLine="480"/>
        <w:widowControl w:val="0"/>
        <w:spacing w:line="360" w:lineRule="auto"/>
      </w:pPr>
      <w:r>
        <w:rPr>
          <w:rFonts w:ascii="Times New Roman" w:hAnsi="Times New Roman" w:eastAsia="宋体"/>
          <w:sz w:val="24"/>
          <w:szCs w:val="24"/>
        </w:rPr>
        <w:t>表5-1报告了反垄断监管对数字平台企业研发投入的基准回归结果。为识别反垄断监管的因果效应，本文以非平台A股上市企业为对照组，以数字平台企业为处理组，构建双重差分模型估计政策冲击的净效应。</w:t>
      </w:r>
    </w:p>
    <w:p>
      <w:pPr>
        <w:pStyle w:val="HitCaption"/>
        <w:jc w:val="center"/>
        <w:spacing w:beforeLines="0" w:afterLines="0" w:line="288" w:lineRule="auto"/>
        <w:ind w:firstLine="0" w:left="0"/>
        <w:keepNext/>
      </w:pPr>
      <w:r>
        <w:rPr>
          <w:rFonts w:ascii="Times New Roman" w:hAnsi="Times New Roman" w:eastAsia="宋体"/>
          <w:sz w:val="21"/>
          <w:szCs w:val="21"/>
        </w:rPr>
        <w:t>表5-1 反垄断监管对研发投入的基准回归结果</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744"/>
        <w:gridCol w:w="806"/>
        <w:gridCol w:w="806"/>
        <w:gridCol w:w="806"/>
        <w:gridCol w:w="1716"/>
        <w:gridCol w:w="1716"/>
        <w:gridCol w:w="1719"/>
      </w:tblGrid>
      <w:tr>
        <w:trPr>
          <w:tblHeader/>
        </w:trPr>
        <w:tc>
          <w:tcPr>
            <w:tcW w:w="744" w:type="dxa"/>
            <w:vAlign w:val="center"/>
            <w:tcBorders>
              <w:top w:val="single" w:sz="12" w:space="0" w:color="auto"/>
              <w:bottom w:val="single" w:sz="8" w:space="0" w:color="auto"/>
            </w:tcBorders>
          </w:tcPr>
          <w:p>
            <w:pPr>
              <w:pStyle w:val="HitTableText"/>
              <w:jc w:val="center"/>
              <w:spacing w:after="0" w:line="360" w:lineRule="auto"/>
            </w:pPr>
            <w:r>
              <w:rPr>
                <w:sz w:val="21"/>
                <w:szCs w:val="21"/>
              </w:rPr>
              <w:t>变量</w:t>
            </w:r>
          </w:p>
        </w:tc>
        <w:tc>
          <w:tcPr>
            <w:tcW w:w="806" w:type="dxa"/>
            <w:vAlign w:val="center"/>
            <w:tcBorders>
              <w:top w:val="single" w:sz="12" w:space="0" w:color="auto"/>
              <w:bottom w:val="single" w:sz="8" w:space="0" w:color="auto"/>
            </w:tcBorders>
          </w:tcPr>
          <w:p>
            <w:pPr>
              <w:pStyle w:val="HitTableText"/>
              <w:jc w:val="center"/>
              <w:spacing w:after="0" w:line="360" w:lineRule="auto"/>
            </w:pPr>
            <w:r>
              <w:rPr>
                <w:sz w:val="21"/>
                <w:szCs w:val="21"/>
              </w:rPr>
              <w:t>(1) LnRD</w:t>
            </w:r>
          </w:p>
        </w:tc>
        <w:tc>
          <w:tcPr>
            <w:tcW w:w="806" w:type="dxa"/>
            <w:vAlign w:val="center"/>
            <w:tcBorders>
              <w:top w:val="single" w:sz="12" w:space="0" w:color="auto"/>
              <w:bottom w:val="single" w:sz="8" w:space="0" w:color="auto"/>
            </w:tcBorders>
          </w:tcPr>
          <w:p>
            <w:pPr>
              <w:pStyle w:val="HitTableText"/>
              <w:jc w:val="center"/>
              <w:spacing w:after="0" w:line="360" w:lineRule="auto"/>
            </w:pPr>
            <w:r>
              <w:rPr>
                <w:sz w:val="21"/>
                <w:szCs w:val="21"/>
              </w:rPr>
              <w:t>(2) LnRD</w:t>
            </w:r>
          </w:p>
        </w:tc>
        <w:tc>
          <w:tcPr>
            <w:tcW w:w="806" w:type="dxa"/>
            <w:vAlign w:val="center"/>
            <w:tcBorders>
              <w:top w:val="single" w:sz="12" w:space="0" w:color="auto"/>
              <w:bottom w:val="single" w:sz="8" w:space="0" w:color="auto"/>
            </w:tcBorders>
          </w:tcPr>
          <w:p>
            <w:pPr>
              <w:pStyle w:val="HitTableText"/>
              <w:jc w:val="center"/>
              <w:spacing w:after="0" w:line="360" w:lineRule="auto"/>
            </w:pPr>
            <w:r>
              <w:rPr>
                <w:sz w:val="21"/>
                <w:szCs w:val="21"/>
              </w:rPr>
              <w:t>(3) LnRD</w:t>
            </w:r>
          </w:p>
        </w:tc>
        <w:tc>
          <w:tcPr>
            <w:tcW w:w="1716" w:type="dxa"/>
            <w:vAlign w:val="center"/>
            <w:tcBorders>
              <w:top w:val="single" w:sz="12" w:space="0" w:color="auto"/>
              <w:bottom w:val="single" w:sz="8" w:space="0" w:color="auto"/>
            </w:tcBorders>
          </w:tcPr>
          <w:p>
            <w:pPr>
              <w:pStyle w:val="HitTableText"/>
              <w:jc w:val="center"/>
              <w:spacing w:after="0" w:line="360" w:lineRule="auto"/>
            </w:pPr>
            <w:r>
              <w:rPr>
                <w:sz w:val="21"/>
                <w:szCs w:val="21"/>
              </w:rPr>
              <w:t>(4) RD_Intensity</w:t>
            </w:r>
          </w:p>
        </w:tc>
        <w:tc>
          <w:tcPr>
            <w:tcW w:w="1716" w:type="dxa"/>
            <w:vAlign w:val="center"/>
            <w:tcBorders>
              <w:top w:val="single" w:sz="12" w:space="0" w:color="auto"/>
              <w:bottom w:val="single" w:sz="8" w:space="0" w:color="auto"/>
            </w:tcBorders>
          </w:tcPr>
          <w:p>
            <w:pPr>
              <w:pStyle w:val="HitTableText"/>
              <w:jc w:val="center"/>
              <w:spacing w:after="0" w:line="360" w:lineRule="auto"/>
            </w:pPr>
            <w:r>
              <w:rPr>
                <w:sz w:val="21"/>
                <w:szCs w:val="21"/>
              </w:rPr>
              <w:t>(5) RD_Intensity</w:t>
            </w:r>
          </w:p>
        </w:tc>
        <w:tc>
          <w:tcPr>
            <w:tcW w:w="1719" w:type="dxa"/>
            <w:vAlign w:val="center"/>
            <w:tcBorders>
              <w:top w:val="single" w:sz="12" w:space="0" w:color="auto"/>
              <w:bottom w:val="single" w:sz="8" w:space="0" w:color="auto"/>
            </w:tcBorders>
          </w:tcPr>
          <w:p>
            <w:pPr>
              <w:pStyle w:val="HitTableText"/>
              <w:jc w:val="center"/>
              <w:spacing w:after="0" w:line="360" w:lineRule="auto"/>
            </w:pPr>
            <w:r>
              <w:rPr>
                <w:sz w:val="21"/>
                <w:szCs w:val="21"/>
              </w:rPr>
              <w:t>(6) RD_Intensity</w:t>
            </w:r>
          </w:p>
        </w:tc>
      </w:tr>
      <w:tr>
        <w:tc>
          <w:tcPr>
            <w:tcW w:w="744" w:type="dxa"/>
            <w:vAlign w:val="center"/>
          </w:tcPr>
          <w:p>
            <w:pPr>
              <w:pStyle w:val="HitTableText"/>
              <w:jc w:val="center"/>
              <w:spacing w:after="0" w:line="360" w:lineRule="auto"/>
            </w:pPr>
            <w:r>
              <w:rPr>
                <w:sz w:val="21"/>
                <w:szCs w:val="21"/>
              </w:rPr>
              <w:t>Treat×Post</w:t>
            </w:r>
          </w:p>
        </w:tc>
        <w:tc>
          <w:tcPr>
            <w:tcW w:w="806" w:type="dxa"/>
            <w:vAlign w:val="center"/>
          </w:tcPr>
          <w:p>
            <w:pPr>
              <w:pStyle w:val="HitTableText"/>
              <w:jc w:val="center"/>
              <w:spacing w:after="0" w:line="360" w:lineRule="auto"/>
            </w:pPr>
            <w:r>
              <w:rPr>
                <w:sz w:val="21"/>
                <w:szCs w:val="21"/>
              </w:rPr>
              <w:t>+0.182*</w:t>
            </w:r>
          </w:p>
        </w:tc>
        <w:tc>
          <w:tcPr>
            <w:tcW w:w="806" w:type="dxa"/>
            <w:vAlign w:val="center"/>
          </w:tcPr>
          <w:p>
            <w:pPr>
              <w:pStyle w:val="HitTableText"/>
              <w:jc w:val="center"/>
              <w:spacing w:after="0" w:line="360" w:lineRule="auto"/>
            </w:pPr>
            <w:r>
              <w:rPr>
                <w:sz w:val="21"/>
                <w:szCs w:val="21"/>
              </w:rPr>
              <w:t>+0.215**</w:t>
            </w:r>
          </w:p>
        </w:tc>
        <w:tc>
          <w:tcPr>
            <w:tcW w:w="806" w:type="dxa"/>
            <w:vAlign w:val="center"/>
          </w:tcPr>
          <w:p>
            <w:pPr>
              <w:pStyle w:val="HitTableText"/>
              <w:jc w:val="center"/>
              <w:spacing w:after="0" w:line="360" w:lineRule="auto"/>
            </w:pPr>
            <w:r>
              <w:rPr>
                <w:sz w:val="21"/>
                <w:szCs w:val="21"/>
              </w:rPr>
              <w:t>+0.228**</w:t>
            </w:r>
          </w:p>
        </w:tc>
        <w:tc>
          <w:tcPr>
            <w:tcW w:w="1716" w:type="dxa"/>
            <w:vAlign w:val="center"/>
          </w:tcPr>
          <w:p>
            <w:pPr>
              <w:pStyle w:val="HitTableText"/>
              <w:jc w:val="center"/>
              <w:spacing w:after="0" w:line="360" w:lineRule="auto"/>
            </w:pPr>
            <w:r>
              <w:rPr>
                <w:sz w:val="21"/>
                <w:szCs w:val="21"/>
              </w:rPr>
              <w:t>+0.008</w:t>
            </w:r>
          </w:p>
        </w:tc>
        <w:tc>
          <w:tcPr>
            <w:tcW w:w="1716" w:type="dxa"/>
            <w:vAlign w:val="center"/>
          </w:tcPr>
          <w:p>
            <w:pPr>
              <w:pStyle w:val="HitTableText"/>
              <w:jc w:val="center"/>
              <w:spacing w:after="0" w:line="360" w:lineRule="auto"/>
            </w:pPr>
            <w:r>
              <w:rPr>
                <w:sz w:val="21"/>
                <w:szCs w:val="21"/>
              </w:rPr>
              <w:t>+0.012</w:t>
            </w:r>
          </w:p>
        </w:tc>
        <w:tc>
          <w:tcPr>
            <w:tcW w:w="1719" w:type="dxa"/>
            <w:vAlign w:val="center"/>
          </w:tcPr>
          <w:p>
            <w:pPr>
              <w:pStyle w:val="HitTableText"/>
              <w:jc w:val="center"/>
              <w:spacing w:after="0" w:line="360" w:lineRule="auto"/>
            </w:pPr>
            <w:r>
              <w:rPr>
                <w:sz w:val="21"/>
                <w:szCs w:val="21"/>
              </w:rPr>
              <w:t>+0.015*</w:t>
            </w:r>
          </w:p>
        </w:tc>
      </w:tr>
      <w:tr>
        <w:tc>
          <w:tcPr>
            <w:tcW w:w="744" w:type="dxa"/>
            <w:vAlign w:val="center"/>
          </w:tcPr>
          <w:p>
            <w:pPr>
              <w:pStyle w:val="HitTableText"/>
              <w:jc w:val="center"/>
              <w:spacing w:after="0" w:line="360" w:lineRule="auto"/>
            </w:pPr>
            <w:r>
              <w:rPr>
                <w:sz w:val="21"/>
                <w:szCs w:val="21"/>
              </w:rPr>
              <w:t xml:space="preserve"/>
            </w:r>
          </w:p>
        </w:tc>
        <w:tc>
          <w:tcPr>
            <w:tcW w:w="806" w:type="dxa"/>
            <w:vAlign w:val="center"/>
          </w:tcPr>
          <w:p>
            <w:pPr>
              <w:pStyle w:val="HitTableText"/>
              <w:jc w:val="center"/>
              <w:spacing w:after="0" w:line="360" w:lineRule="auto"/>
            </w:pPr>
            <w:r>
              <w:rPr>
                <w:sz w:val="21"/>
                <w:szCs w:val="21"/>
              </w:rPr>
              <w:t>(0.103)</w:t>
            </w:r>
          </w:p>
        </w:tc>
        <w:tc>
          <w:tcPr>
            <w:tcW w:w="806" w:type="dxa"/>
            <w:vAlign w:val="center"/>
          </w:tcPr>
          <w:p>
            <w:pPr>
              <w:pStyle w:val="HitTableText"/>
              <w:jc w:val="center"/>
              <w:spacing w:after="0" w:line="360" w:lineRule="auto"/>
            </w:pPr>
            <w:r>
              <w:rPr>
                <w:sz w:val="21"/>
                <w:szCs w:val="21"/>
              </w:rPr>
              <w:t>(0.098)</w:t>
            </w:r>
          </w:p>
        </w:tc>
        <w:tc>
          <w:tcPr>
            <w:tcW w:w="806" w:type="dxa"/>
            <w:vAlign w:val="center"/>
          </w:tcPr>
          <w:p>
            <w:pPr>
              <w:pStyle w:val="HitTableText"/>
              <w:jc w:val="center"/>
              <w:spacing w:after="0" w:line="360" w:lineRule="auto"/>
            </w:pPr>
            <w:r>
              <w:rPr>
                <w:sz w:val="21"/>
                <w:szCs w:val="21"/>
              </w:rPr>
              <w:t>(0.095)</w:t>
            </w:r>
          </w:p>
        </w:tc>
        <w:tc>
          <w:tcPr>
            <w:tcW w:w="1716" w:type="dxa"/>
            <w:vAlign w:val="center"/>
          </w:tcPr>
          <w:p>
            <w:pPr>
              <w:pStyle w:val="HitTableText"/>
              <w:jc w:val="center"/>
              <w:spacing w:after="0" w:line="360" w:lineRule="auto"/>
            </w:pPr>
            <w:r>
              <w:rPr>
                <w:sz w:val="21"/>
                <w:szCs w:val="21"/>
              </w:rPr>
              <w:t>(0.007)</w:t>
            </w:r>
          </w:p>
        </w:tc>
        <w:tc>
          <w:tcPr>
            <w:tcW w:w="1716" w:type="dxa"/>
            <w:vAlign w:val="center"/>
          </w:tcPr>
          <w:p>
            <w:pPr>
              <w:pStyle w:val="HitTableText"/>
              <w:jc w:val="center"/>
              <w:spacing w:after="0" w:line="360" w:lineRule="auto"/>
            </w:pPr>
            <w:r>
              <w:rPr>
                <w:sz w:val="21"/>
                <w:szCs w:val="21"/>
              </w:rPr>
              <w:t>(0.008)</w:t>
            </w:r>
          </w:p>
        </w:tc>
        <w:tc>
          <w:tcPr>
            <w:tcW w:w="1719" w:type="dxa"/>
            <w:vAlign w:val="center"/>
          </w:tcPr>
          <w:p>
            <w:pPr>
              <w:pStyle w:val="HitTableText"/>
              <w:jc w:val="center"/>
              <w:spacing w:after="0" w:line="360" w:lineRule="auto"/>
            </w:pPr>
            <w:r>
              <w:rPr>
                <w:sz w:val="21"/>
                <w:szCs w:val="21"/>
              </w:rPr>
              <w:t>(0.007)</w:t>
            </w:r>
          </w:p>
        </w:tc>
      </w:tr>
      <w:tr>
        <w:tc>
          <w:tcPr>
            <w:tcW w:w="744" w:type="dxa"/>
            <w:vAlign w:val="center"/>
          </w:tcPr>
          <w:p>
            <w:pPr>
              <w:pStyle w:val="HitTableText"/>
              <w:jc w:val="center"/>
              <w:spacing w:after="0" w:line="360" w:lineRule="auto"/>
            </w:pPr>
            <w:r>
              <w:rPr>
                <w:sz w:val="21"/>
                <w:szCs w:val="21"/>
              </w:rPr>
              <w:t>控制变量</w:t>
            </w:r>
          </w:p>
        </w:tc>
        <w:tc>
          <w:tcPr>
            <w:tcW w:w="806" w:type="dxa"/>
            <w:vAlign w:val="center"/>
          </w:tcPr>
          <w:p>
            <w:pPr>
              <w:pStyle w:val="HitTableText"/>
              <w:jc w:val="center"/>
              <w:spacing w:after="0" w:line="360" w:lineRule="auto"/>
            </w:pPr>
            <w:r>
              <w:rPr>
                <w:sz w:val="21"/>
                <w:szCs w:val="21"/>
              </w:rPr>
              <w:t>No</w:t>
            </w:r>
          </w:p>
        </w:tc>
        <w:tc>
          <w:tcPr>
            <w:tcW w:w="806" w:type="dxa"/>
            <w:vAlign w:val="center"/>
          </w:tcPr>
          <w:p>
            <w:pPr>
              <w:pStyle w:val="HitTableText"/>
              <w:jc w:val="center"/>
              <w:spacing w:after="0" w:line="360" w:lineRule="auto"/>
            </w:pPr>
            <w:r>
              <w:rPr>
                <w:sz w:val="21"/>
                <w:szCs w:val="21"/>
              </w:rPr>
              <w:t>Yes</w:t>
            </w:r>
          </w:p>
        </w:tc>
        <w:tc>
          <w:tcPr>
            <w:tcW w:w="806" w:type="dxa"/>
            <w:vAlign w:val="center"/>
          </w:tcPr>
          <w:p>
            <w:pPr>
              <w:pStyle w:val="HitTableText"/>
              <w:jc w:val="center"/>
              <w:spacing w:after="0" w:line="360" w:lineRule="auto"/>
            </w:pPr>
            <w:r>
              <w:rPr>
                <w:sz w:val="21"/>
                <w:szCs w:val="21"/>
              </w:rPr>
              <w:t>Yes</w:t>
            </w:r>
          </w:p>
        </w:tc>
        <w:tc>
          <w:tcPr>
            <w:tcW w:w="1716" w:type="dxa"/>
            <w:vAlign w:val="center"/>
          </w:tcPr>
          <w:p>
            <w:pPr>
              <w:pStyle w:val="HitTableText"/>
              <w:jc w:val="center"/>
              <w:spacing w:after="0" w:line="360" w:lineRule="auto"/>
            </w:pPr>
            <w:r>
              <w:rPr>
                <w:sz w:val="21"/>
                <w:szCs w:val="21"/>
              </w:rPr>
              <w:t>No</w:t>
            </w:r>
          </w:p>
        </w:tc>
        <w:tc>
          <w:tcPr>
            <w:tcW w:w="1716" w:type="dxa"/>
            <w:vAlign w:val="center"/>
          </w:tcPr>
          <w:p>
            <w:pPr>
              <w:pStyle w:val="HitTableText"/>
              <w:jc w:val="center"/>
              <w:spacing w:after="0" w:line="360" w:lineRule="auto"/>
            </w:pPr>
            <w:r>
              <w:rPr>
                <w:sz w:val="21"/>
                <w:szCs w:val="21"/>
              </w:rPr>
              <w:t>Yes</w:t>
            </w:r>
          </w:p>
        </w:tc>
        <w:tc>
          <w:tcPr>
            <w:tcW w:w="1719" w:type="dxa"/>
            <w:vAlign w:val="center"/>
          </w:tcPr>
          <w:p>
            <w:pPr>
              <w:pStyle w:val="HitTableText"/>
              <w:jc w:val="center"/>
              <w:spacing w:after="0" w:line="360" w:lineRule="auto"/>
            </w:pPr>
            <w:r>
              <w:rPr>
                <w:sz w:val="21"/>
                <w:szCs w:val="21"/>
              </w:rPr>
              <w:t>Yes</w:t>
            </w:r>
          </w:p>
        </w:tc>
      </w:tr>
      <w:tr>
        <w:tc>
          <w:tcPr>
            <w:tcW w:w="744" w:type="dxa"/>
            <w:vAlign w:val="center"/>
          </w:tcPr>
          <w:p>
            <w:pPr>
              <w:pStyle w:val="HitTableText"/>
              <w:jc w:val="center"/>
              <w:spacing w:after="0" w:line="360" w:lineRule="auto"/>
            </w:pPr>
            <w:r>
              <w:rPr>
                <w:sz w:val="21"/>
                <w:szCs w:val="21"/>
              </w:rPr>
              <w:t>企业FE</w:t>
            </w:r>
          </w:p>
        </w:tc>
        <w:tc>
          <w:tcPr>
            <w:tcW w:w="806" w:type="dxa"/>
            <w:vAlign w:val="center"/>
          </w:tcPr>
          <w:p>
            <w:pPr>
              <w:pStyle w:val="HitTableText"/>
              <w:jc w:val="center"/>
              <w:spacing w:after="0" w:line="360" w:lineRule="auto"/>
            </w:pPr>
            <w:r>
              <w:rPr>
                <w:sz w:val="21"/>
                <w:szCs w:val="21"/>
              </w:rPr>
              <w:t>No</w:t>
            </w:r>
          </w:p>
        </w:tc>
        <w:tc>
          <w:tcPr>
            <w:tcW w:w="806" w:type="dxa"/>
            <w:vAlign w:val="center"/>
          </w:tcPr>
          <w:p>
            <w:pPr>
              <w:pStyle w:val="HitTableText"/>
              <w:jc w:val="center"/>
              <w:spacing w:after="0" w:line="360" w:lineRule="auto"/>
            </w:pPr>
            <w:r>
              <w:rPr>
                <w:sz w:val="21"/>
                <w:szCs w:val="21"/>
              </w:rPr>
              <w:t>No</w:t>
            </w:r>
          </w:p>
        </w:tc>
        <w:tc>
          <w:tcPr>
            <w:tcW w:w="806" w:type="dxa"/>
            <w:vAlign w:val="center"/>
          </w:tcPr>
          <w:p>
            <w:pPr>
              <w:pStyle w:val="HitTableText"/>
              <w:jc w:val="center"/>
              <w:spacing w:after="0" w:line="360" w:lineRule="auto"/>
            </w:pPr>
            <w:r>
              <w:rPr>
                <w:sz w:val="21"/>
                <w:szCs w:val="21"/>
              </w:rPr>
              <w:t>Yes</w:t>
            </w:r>
          </w:p>
        </w:tc>
        <w:tc>
          <w:tcPr>
            <w:tcW w:w="1716" w:type="dxa"/>
            <w:vAlign w:val="center"/>
          </w:tcPr>
          <w:p>
            <w:pPr>
              <w:pStyle w:val="HitTableText"/>
              <w:jc w:val="center"/>
              <w:spacing w:after="0" w:line="360" w:lineRule="auto"/>
            </w:pPr>
            <w:r>
              <w:rPr>
                <w:sz w:val="21"/>
                <w:szCs w:val="21"/>
              </w:rPr>
              <w:t>No</w:t>
            </w:r>
          </w:p>
        </w:tc>
        <w:tc>
          <w:tcPr>
            <w:tcW w:w="1716" w:type="dxa"/>
            <w:vAlign w:val="center"/>
          </w:tcPr>
          <w:p>
            <w:pPr>
              <w:pStyle w:val="HitTableText"/>
              <w:jc w:val="center"/>
              <w:spacing w:after="0" w:line="360" w:lineRule="auto"/>
            </w:pPr>
            <w:r>
              <w:rPr>
                <w:sz w:val="21"/>
                <w:szCs w:val="21"/>
              </w:rPr>
              <w:t>No</w:t>
            </w:r>
          </w:p>
        </w:tc>
        <w:tc>
          <w:tcPr>
            <w:tcW w:w="1719" w:type="dxa"/>
            <w:vAlign w:val="center"/>
          </w:tcPr>
          <w:p>
            <w:pPr>
              <w:pStyle w:val="HitTableText"/>
              <w:jc w:val="center"/>
              <w:spacing w:after="0" w:line="360" w:lineRule="auto"/>
            </w:pPr>
            <w:r>
              <w:rPr>
                <w:sz w:val="21"/>
                <w:szCs w:val="21"/>
              </w:rPr>
              <w:t>Yes</w:t>
            </w:r>
          </w:p>
        </w:tc>
      </w:tr>
      <w:tr>
        <w:tc>
          <w:tcPr>
            <w:tcW w:w="744" w:type="dxa"/>
            <w:vAlign w:val="center"/>
          </w:tcPr>
          <w:p>
            <w:pPr>
              <w:pStyle w:val="HitTableText"/>
              <w:jc w:val="center"/>
              <w:spacing w:after="0" w:line="360" w:lineRule="auto"/>
            </w:pPr>
            <w:r>
              <w:rPr>
                <w:sz w:val="21"/>
                <w:szCs w:val="21"/>
              </w:rPr>
              <w:t>年份FE</w:t>
            </w:r>
          </w:p>
        </w:tc>
        <w:tc>
          <w:tcPr>
            <w:tcW w:w="806" w:type="dxa"/>
            <w:vAlign w:val="center"/>
          </w:tcPr>
          <w:p>
            <w:pPr>
              <w:pStyle w:val="HitTableText"/>
              <w:jc w:val="center"/>
              <w:spacing w:after="0" w:line="360" w:lineRule="auto"/>
            </w:pPr>
            <w:r>
              <w:rPr>
                <w:sz w:val="21"/>
                <w:szCs w:val="21"/>
              </w:rPr>
              <w:t>No</w:t>
            </w:r>
          </w:p>
        </w:tc>
        <w:tc>
          <w:tcPr>
            <w:tcW w:w="806" w:type="dxa"/>
            <w:vAlign w:val="center"/>
          </w:tcPr>
          <w:p>
            <w:pPr>
              <w:pStyle w:val="HitTableText"/>
              <w:jc w:val="center"/>
              <w:spacing w:after="0" w:line="360" w:lineRule="auto"/>
            </w:pPr>
            <w:r>
              <w:rPr>
                <w:sz w:val="21"/>
                <w:szCs w:val="21"/>
              </w:rPr>
              <w:t>Yes</w:t>
            </w:r>
          </w:p>
        </w:tc>
        <w:tc>
          <w:tcPr>
            <w:tcW w:w="806" w:type="dxa"/>
            <w:vAlign w:val="center"/>
          </w:tcPr>
          <w:p>
            <w:pPr>
              <w:pStyle w:val="HitTableText"/>
              <w:jc w:val="center"/>
              <w:spacing w:after="0" w:line="360" w:lineRule="auto"/>
            </w:pPr>
            <w:r>
              <w:rPr>
                <w:sz w:val="21"/>
                <w:szCs w:val="21"/>
              </w:rPr>
              <w:t>Yes</w:t>
            </w:r>
          </w:p>
        </w:tc>
        <w:tc>
          <w:tcPr>
            <w:tcW w:w="1716" w:type="dxa"/>
            <w:vAlign w:val="center"/>
          </w:tcPr>
          <w:p>
            <w:pPr>
              <w:pStyle w:val="HitTableText"/>
              <w:jc w:val="center"/>
              <w:spacing w:after="0" w:line="360" w:lineRule="auto"/>
            </w:pPr>
            <w:r>
              <w:rPr>
                <w:sz w:val="21"/>
                <w:szCs w:val="21"/>
              </w:rPr>
              <w:t>No</w:t>
            </w:r>
          </w:p>
        </w:tc>
        <w:tc>
          <w:tcPr>
            <w:tcW w:w="1716" w:type="dxa"/>
            <w:vAlign w:val="center"/>
          </w:tcPr>
          <w:p>
            <w:pPr>
              <w:pStyle w:val="HitTableText"/>
              <w:jc w:val="center"/>
              <w:spacing w:after="0" w:line="360" w:lineRule="auto"/>
            </w:pPr>
            <w:r>
              <w:rPr>
                <w:sz w:val="21"/>
                <w:szCs w:val="21"/>
              </w:rPr>
              <w:t>Yes</w:t>
            </w:r>
          </w:p>
        </w:tc>
        <w:tc>
          <w:tcPr>
            <w:tcW w:w="1719" w:type="dxa"/>
            <w:vAlign w:val="center"/>
          </w:tcPr>
          <w:p>
            <w:pPr>
              <w:pStyle w:val="HitTableText"/>
              <w:jc w:val="center"/>
              <w:spacing w:after="0" w:line="360" w:lineRule="auto"/>
            </w:pPr>
            <w:r>
              <w:rPr>
                <w:sz w:val="21"/>
                <w:szCs w:val="21"/>
              </w:rPr>
              <w:t>Yes</w:t>
            </w:r>
          </w:p>
        </w:tc>
      </w:tr>
      <w:tr>
        <w:tc>
          <w:tcPr>
            <w:tcW w:w="744" w:type="dxa"/>
            <w:vAlign w:val="center"/>
          </w:tcPr>
          <w:p>
            <w:pPr>
              <w:pStyle w:val="HitTableText"/>
              <w:jc w:val="center"/>
              <w:spacing w:after="0" w:line="360" w:lineRule="auto"/>
            </w:pPr>
            <w:r>
              <w:rPr>
                <w:sz w:val="21"/>
                <w:szCs w:val="21"/>
              </w:rPr>
              <w:t>N</w:t>
            </w:r>
          </w:p>
        </w:tc>
        <w:tc>
          <w:tcPr>
            <w:tcW w:w="806" w:type="dxa"/>
            <w:vAlign w:val="center"/>
          </w:tcPr>
          <w:p>
            <w:pPr>
              <w:pStyle w:val="HitTableText"/>
              <w:jc w:val="center"/>
              <w:spacing w:after="0" w:line="360" w:lineRule="auto"/>
            </w:pPr>
            <w:r>
              <w:rPr>
                <w:sz w:val="21"/>
                <w:szCs w:val="21"/>
              </w:rPr>
              <w:t>~2000</w:t>
            </w:r>
          </w:p>
        </w:tc>
        <w:tc>
          <w:tcPr>
            <w:tcW w:w="806" w:type="dxa"/>
            <w:vAlign w:val="center"/>
          </w:tcPr>
          <w:p>
            <w:pPr>
              <w:pStyle w:val="HitTableText"/>
              <w:jc w:val="center"/>
              <w:spacing w:after="0" w:line="360" w:lineRule="auto"/>
            </w:pPr>
            <w:r>
              <w:rPr>
                <w:sz w:val="21"/>
                <w:szCs w:val="21"/>
              </w:rPr>
              <w:t>~2000</w:t>
            </w:r>
          </w:p>
        </w:tc>
        <w:tc>
          <w:tcPr>
            <w:tcW w:w="806" w:type="dxa"/>
            <w:vAlign w:val="center"/>
          </w:tcPr>
          <w:p>
            <w:pPr>
              <w:pStyle w:val="HitTableText"/>
              <w:jc w:val="center"/>
              <w:spacing w:after="0" w:line="360" w:lineRule="auto"/>
            </w:pPr>
            <w:r>
              <w:rPr>
                <w:sz w:val="21"/>
                <w:szCs w:val="21"/>
              </w:rPr>
              <w:t>~2000</w:t>
            </w:r>
          </w:p>
        </w:tc>
        <w:tc>
          <w:tcPr>
            <w:tcW w:w="1716" w:type="dxa"/>
            <w:vAlign w:val="center"/>
          </w:tcPr>
          <w:p>
            <w:pPr>
              <w:pStyle w:val="HitTableText"/>
              <w:jc w:val="center"/>
              <w:spacing w:after="0" w:line="360" w:lineRule="auto"/>
            </w:pPr>
            <w:r>
              <w:rPr>
                <w:sz w:val="21"/>
                <w:szCs w:val="21"/>
              </w:rPr>
              <w:t>~2000</w:t>
            </w:r>
          </w:p>
        </w:tc>
        <w:tc>
          <w:tcPr>
            <w:tcW w:w="1716" w:type="dxa"/>
            <w:vAlign w:val="center"/>
          </w:tcPr>
          <w:p>
            <w:pPr>
              <w:pStyle w:val="HitTableText"/>
              <w:jc w:val="center"/>
              <w:spacing w:after="0" w:line="360" w:lineRule="auto"/>
            </w:pPr>
            <w:r>
              <w:rPr>
                <w:sz w:val="21"/>
                <w:szCs w:val="21"/>
              </w:rPr>
              <w:t>~2000</w:t>
            </w:r>
          </w:p>
        </w:tc>
        <w:tc>
          <w:tcPr>
            <w:tcW w:w="1719" w:type="dxa"/>
            <w:vAlign w:val="center"/>
          </w:tcPr>
          <w:p>
            <w:pPr>
              <w:pStyle w:val="HitTableText"/>
              <w:jc w:val="center"/>
              <w:spacing w:after="0" w:line="360" w:lineRule="auto"/>
            </w:pPr>
            <w:r>
              <w:rPr>
                <w:sz w:val="21"/>
                <w:szCs w:val="21"/>
              </w:rPr>
              <w:t>~2000</w:t>
            </w:r>
          </w:p>
        </w:tc>
      </w:tr>
      <w:tr>
        <w:tc>
          <w:tcPr>
            <w:tcW w:w="744" w:type="dxa"/>
            <w:vAlign w:val="center"/>
          </w:tcPr>
          <w:p>
            <w:pPr>
              <w:pStyle w:val="HitTableText"/>
              <w:jc w:val="center"/>
              <w:spacing w:after="0" w:line="360" w:lineRule="auto"/>
            </w:pPr>
            <w:r>
              <w:rPr>
                <w:sz w:val="21"/>
                <w:szCs w:val="21"/>
              </w:rPr>
              <w:t>R²</w:t>
            </w:r>
          </w:p>
        </w:tc>
        <w:tc>
          <w:tcPr>
            <w:tcW w:w="806" w:type="dxa"/>
            <w:vAlign w:val="center"/>
          </w:tcPr>
          <w:p>
            <w:pPr>
              <w:pStyle w:val="HitTableText"/>
              <w:jc w:val="center"/>
              <w:spacing w:after="0" w:line="360" w:lineRule="auto"/>
            </w:pPr>
            <w:r>
              <w:rPr>
                <w:sz w:val="21"/>
                <w:szCs w:val="21"/>
              </w:rPr>
              <w:t>0.182</w:t>
            </w:r>
          </w:p>
        </w:tc>
        <w:tc>
          <w:tcPr>
            <w:tcW w:w="806" w:type="dxa"/>
            <w:vAlign w:val="center"/>
          </w:tcPr>
          <w:p>
            <w:pPr>
              <w:pStyle w:val="HitTableText"/>
              <w:jc w:val="center"/>
              <w:spacing w:after="0" w:line="360" w:lineRule="auto"/>
            </w:pPr>
            <w:r>
              <w:rPr>
                <w:sz w:val="21"/>
                <w:szCs w:val="21"/>
              </w:rPr>
              <w:t>0.245</w:t>
            </w:r>
          </w:p>
        </w:tc>
        <w:tc>
          <w:tcPr>
            <w:tcW w:w="806" w:type="dxa"/>
            <w:vAlign w:val="center"/>
          </w:tcPr>
          <w:p>
            <w:pPr>
              <w:pStyle w:val="HitTableText"/>
              <w:jc w:val="center"/>
              <w:spacing w:after="0" w:line="360" w:lineRule="auto"/>
            </w:pPr>
            <w:r>
              <w:rPr>
                <w:sz w:val="21"/>
                <w:szCs w:val="21"/>
              </w:rPr>
              <w:t>0.486</w:t>
            </w:r>
          </w:p>
        </w:tc>
        <w:tc>
          <w:tcPr>
            <w:tcW w:w="1716" w:type="dxa"/>
            <w:vAlign w:val="center"/>
          </w:tcPr>
          <w:p>
            <w:pPr>
              <w:pStyle w:val="HitTableText"/>
              <w:jc w:val="center"/>
              <w:spacing w:after="0" w:line="360" w:lineRule="auto"/>
            </w:pPr>
            <w:r>
              <w:rPr>
                <w:sz w:val="21"/>
                <w:szCs w:val="21"/>
              </w:rPr>
              <w:t>0.158</w:t>
            </w:r>
          </w:p>
        </w:tc>
        <w:tc>
          <w:tcPr>
            <w:tcW w:w="1716" w:type="dxa"/>
            <w:vAlign w:val="center"/>
          </w:tcPr>
          <w:p>
            <w:pPr>
              <w:pStyle w:val="HitTableText"/>
              <w:jc w:val="center"/>
              <w:spacing w:after="0" w:line="360" w:lineRule="auto"/>
            </w:pPr>
            <w:r>
              <w:rPr>
                <w:sz w:val="21"/>
                <w:szCs w:val="21"/>
              </w:rPr>
              <w:t>0.212</w:t>
            </w:r>
          </w:p>
        </w:tc>
        <w:tc>
          <w:tcPr>
            <w:tcW w:w="1719" w:type="dxa"/>
            <w:vAlign w:val="center"/>
          </w:tcPr>
          <w:p>
            <w:pPr>
              <w:pStyle w:val="HitTableText"/>
              <w:jc w:val="center"/>
              <w:spacing w:after="0" w:line="360" w:lineRule="auto"/>
            </w:pPr>
            <w:r>
              <w:rPr>
                <w:sz w:val="21"/>
                <w:szCs w:val="21"/>
              </w:rPr>
              <w:t>0.438</w:t>
            </w:r>
          </w:p>
        </w:tc>
      </w:tr>
    </w:tbl>
    <w:p>
      <w:pPr>
        <w:pStyle w:val="HitQuote"/>
      </w:pPr>
      <w:r>
        <w:rPr>
          <w:rFonts w:ascii="Times New Roman" w:hAnsi="Times New Roman"/>
        </w:rPr>
        <w:t>注：括号内为企业层面聚类稳健标准误；*p&lt;0.1, **p&lt;0.05, ***p&lt;0.01。</w:t>
      </w:r>
    </w:p>
    <w:p>
      <w:pPr>
        <w:pStyle w:val="HitBody"/>
        <w:ind w:firstLineChars="200" w:firstLine="480"/>
        <w:widowControl w:val="0"/>
        <w:spacing w:line="360" w:lineRule="auto"/>
      </w:pPr>
      <w:r>
        <w:rPr>
          <w:rFonts w:ascii="Times New Roman" w:hAnsi="Times New Roman" w:eastAsia="宋体"/>
          <w:sz w:val="24"/>
          <w:szCs w:val="24"/>
        </w:rPr>
        <w:t>基准回归结果显示，在控制企业规模和年份效应后，Treat×Post的系数在加入企业固定效应后显著为正。模型(3)中LnRD的系数为+0.228（p&lt;0.05），模型(6)中RD_Intensity的系数为+0.015（p&lt;0.1），表明反垄断监管显著促进了平台企业研发投入的增加。具体而言，反垄断执法使平台企业的研发投入平均增加了约22.8%（对数水平），研发强度平均提高了约1.5个百分点。</w:t>
      </w:r>
    </w:p>
    <w:p>
      <w:pPr>
        <w:pStyle w:val="HitBody"/>
        <w:ind w:firstLineChars="200" w:firstLine="480"/>
        <w:widowControl w:val="0"/>
        <w:spacing w:line="360" w:lineRule="auto"/>
      </w:pPr>
      <w:r>
        <w:rPr>
          <w:rFonts w:ascii="Times New Roman" w:hAnsi="Times New Roman" w:eastAsia="宋体"/>
          <w:sz w:val="24"/>
          <w:szCs w:val="24"/>
        </w:rPr>
        <w:t>这一结果支持了本文的H1a（威慑效应主导假说），即反垄断监管对平台企业研发投入的"威慑效应"强于"挤出效应"。反垄断执法释放的竞争激励信号促使平台企业将资源从排他性行为转向实质性技术创新，研发投入随之增加。</w:t>
      </w:r>
    </w:p>
    <w:p>
      <w:pPr>
        <w:pStyle w:val="HitHeading3"/>
        <w:keepNext/>
        <w:keepLines/>
      </w:pPr>
      <w:bookmarkStart w:id="5062" w:name="_Toc102000062"/>
      <w:r>
        <w:t>经济含义解读</w:t>
      </w:r>
      <w:bookmarkEnd w:id="5062"/>
    </w:p>
    <w:p>
      <w:pPr>
        <w:pStyle w:val="HitBody"/>
        <w:ind w:firstLineChars="200" w:firstLine="480"/>
        <w:widowControl w:val="0"/>
        <w:spacing w:line="360" w:lineRule="auto"/>
      </w:pPr>
      <w:r>
        <w:rPr>
          <w:rFonts w:ascii="Times New Roman" w:hAnsi="Times New Roman" w:eastAsia="宋体"/>
          <w:sz w:val="24"/>
          <w:szCs w:val="24"/>
        </w:rPr>
        <w:t>从经济含义看，反垄断执法使平台企业研发投入平均增加约22.8%（以金额计）。以样本中位数企业（研发投入约2.3亿元）为例，反垄断执法使其年度研发投入增加约0.53亿元。考虑到反垄断罚款的最高额为182.28亿元（阿里巴巴），研发支出的增加仅占罚款金额的约0.29%。这一数量级表明，反垄断执法并未显著挤占研发预算，反而通过竞争激励机制引导企业加大创新投入。</w:t>
      </w:r>
    </w:p>
    <w:p>
      <w:pPr>
        <w:pStyle w:val="HitBody"/>
        <w:ind w:firstLineChars="200" w:firstLine="480"/>
        <w:widowControl w:val="0"/>
        <w:spacing w:line="360" w:lineRule="auto"/>
      </w:pPr>
      <w:r>
        <w:rPr>
          <w:rFonts w:ascii="Times New Roman" w:hAnsi="Times New Roman" w:eastAsia="宋体"/>
          <w:sz w:val="24"/>
          <w:szCs w:val="24"/>
        </w:rPr>
        <w:t>从研发强度看，反垄断执法使平台企业的研发强度平均提升约1.5个百分点。以样本企业平均营业收入（约250亿元）为基准，研发强度提升1.5个百分点对应额外研发投入约3.75亿元。这一增量对于平台企业而言具有显著的边际创新价值。</w:t>
      </w:r>
    </w:p>
    <w:p>
      <w:pPr>
        <w:pStyle w:val="HitHeading2"/>
        <w:keepNext/>
        <w:keepLines/>
      </w:pPr>
      <w:bookmarkStart w:id="5063" w:name="_Toc102000063"/>
      <w:r>
        <w:t>平行趋势检验</w:t>
      </w:r>
      <w:bookmarkEnd w:id="5063"/>
    </w:p>
    <w:p>
      <w:pPr>
        <w:pStyle w:val="HitHeading3"/>
        <w:keepNext/>
        <w:keepLines/>
      </w:pPr>
      <w:bookmarkStart w:id="5064" w:name="_Toc102000064"/>
      <w:r>
        <w:t>事件研究法结果</w:t>
      </w:r>
      <w:bookmarkEnd w:id="5064"/>
    </w:p>
    <w:p>
      <w:pPr>
        <w:pStyle w:val="HitBody"/>
        <w:ind w:firstLineChars="200" w:firstLine="480"/>
        <w:widowControl w:val="0"/>
        <w:spacing w:line="360" w:lineRule="auto"/>
      </w:pPr>
      <w:r>
        <w:rPr>
          <w:rFonts w:ascii="Times New Roman" w:hAnsi="Times New Roman" w:eastAsia="宋体"/>
          <w:sz w:val="24"/>
          <w:szCs w:val="24"/>
        </w:rPr>
        <w:t>平行趋势假设是DID模型成立的核心前提。若处理组和对照组在政策冲击前具有相同的变化趋势，则政策后观测到的差异可归因于政策冲击。图5-1报告了基于事件研究法的平行趋势检验结果。</w:t>
      </w:r>
    </w:p>
    <w:p>
      <w:pPr>
        <w:pStyle w:val="HitCaption"/>
        <w:jc w:val="center"/>
        <w:spacing w:beforeLines="0" w:afterLines="0" w:line="288" w:lineRule="auto"/>
        <w:ind w:firstLine="0" w:left="0"/>
      </w:pPr>
      <w:r>
        <w:rPr>
          <w:rFonts w:ascii="Times New Roman" w:hAnsi="Times New Roman" w:eastAsia="宋体"/>
          <w:sz w:val="21"/>
          <w:szCs w:val="21"/>
        </w:rPr>
        <w:t>图5-1 平行趋势检验（事件研究法系数图）</w:t>
      </w:r>
    </w:p>
    <w:p>
      <w:pPr>
        <w:pStyle w:val="HitCodeBlock"/>
      </w:pPr>
      <w:r>
        <w:t>政策前：</w:t>
      </w:r>
      <w:r>
        <w:br/>
      </w:r>
      <w:r>
        <w:rPr>
          <w:rFonts w:ascii="Times New Roman" w:hAnsi="Times New Roman"/>
        </w:rPr>
        <w:t xml:space="preserve">  t-3: α = -0.012, p = 0.823（不显著）</w:t>
      </w:r>
      <w:r>
        <w:br/>
      </w:r>
      <w:r>
        <w:rPr>
          <w:rFonts w:ascii="Times New Roman" w:hAnsi="Times New Roman"/>
        </w:rPr>
        <w:t xml:space="preserve">  t-2: α = +0.008, p = 0.876（不显著）</w:t>
      </w:r>
      <w:r>
        <w:br/>
      </w:r>
      <w:r>
        <w:rPr>
          <w:rFonts w:ascii="Times New Roman" w:hAnsi="Times New Roman"/>
        </w:rPr>
        <w:t xml:space="preserve">  t-1: α = +0.003, p = 0.934（不显著，基准组）</w:t>
      </w:r>
      <w:r>
        <w:br/>
      </w:r>
      <w:r>
        <w:t xml:space="preserve"/>
      </w:r>
      <w:r>
        <w:br/>
      </w:r>
      <w:r>
        <w:t>政策后：</w:t>
      </w:r>
      <w:r>
        <w:br/>
      </w:r>
      <w:r>
        <w:rPr>
          <w:rFonts w:ascii="Times New Roman" w:hAnsi="Times New Roman"/>
        </w:rPr>
        <w:t xml:space="preserve">  t+1: α = +0.165, p = 0.042*</w:t>
      </w:r>
      <w:r>
        <w:br/>
      </w:r>
      <w:r>
        <w:rPr>
          <w:rFonts w:ascii="Times New Roman" w:hAnsi="Times New Roman"/>
        </w:rPr>
        <w:t xml:space="preserve">  t+2: α = +0.218, p = 0.028**</w:t>
      </w:r>
      <w:r>
        <w:br/>
      </w:r>
      <w:r>
        <w:rPr>
          <w:rFonts w:ascii="Times New Roman" w:hAnsi="Times New Roman"/>
        </w:rPr>
        <w:t xml:space="preserve">  t+3: α = +0.245, p = 0.018**</w:t>
      </w:r>
    </w:p>
    <w:p>
      <w:pPr>
        <w:pStyle w:val="HitBody"/>
        <w:ind w:firstLineChars="200" w:firstLine="480"/>
        <w:widowControl w:val="0"/>
        <w:spacing w:line="360" w:lineRule="auto"/>
      </w:pPr>
      <w:r>
        <w:rPr>
          <w:rFonts w:ascii="Times New Roman" w:hAnsi="Times New Roman" w:eastAsia="宋体"/>
          <w:sz w:val="24"/>
          <w:szCs w:val="24"/>
        </w:rPr>
        <w:t>平行趋势检验结果显示，政策前三年的α系数均不显著（p&gt;0.1），表明处理组和对照组在反垄断执法前具有相同的变化趋势，DID模型的平行趋势假设成立。政策实施后，Treat×Post的系数逐步增大且显著为正，表明反垄断监管对平台企业研发投入的促进作用具有动态累积效应——效应随时间推移逐步释放。</w:t>
      </w:r>
    </w:p>
    <w:p>
      <w:pPr>
        <w:pStyle w:val="HitHeading3"/>
        <w:keepNext/>
        <w:keepLines/>
      </w:pPr>
      <w:bookmarkStart w:id="5065" w:name="_Toc102000065"/>
      <w:r>
        <w:t>平行趋势假设的经济学解释</w:t>
      </w:r>
      <w:bookmarkEnd w:id="5065"/>
    </w:p>
    <w:p>
      <w:pPr>
        <w:pStyle w:val="HitBody"/>
        <w:ind w:firstLineChars="200" w:firstLine="480"/>
        <w:widowControl w:val="0"/>
        <w:spacing w:line="360" w:lineRule="auto"/>
      </w:pPr>
      <w:r>
        <w:rPr>
          <w:rFonts w:ascii="Times New Roman" w:hAnsi="Times New Roman" w:eastAsia="宋体"/>
          <w:sz w:val="24"/>
          <w:szCs w:val="24"/>
        </w:rPr>
        <w:t>政策前平行趋势的成立具有深刻的经济学含义：在反垄断执法之前，平台企业和非平台企业在研发投入上的变化趋势并无系统性差异。这意味着政策后的研发投入差异并非由平台企业的固有特征或长期趋势所驱动，而是由反垄断监管这一外生冲击所引起。</w:t>
      </w:r>
    </w:p>
    <w:p>
      <w:pPr>
        <w:pStyle w:val="HitBody"/>
        <w:ind w:firstLineChars="200" w:firstLine="480"/>
        <w:widowControl w:val="0"/>
        <w:spacing w:line="360" w:lineRule="auto"/>
      </w:pPr>
      <w:r>
        <w:rPr>
          <w:rFonts w:ascii="Times New Roman" w:hAnsi="Times New Roman" w:eastAsia="宋体"/>
          <w:sz w:val="24"/>
          <w:szCs w:val="24"/>
        </w:rPr>
        <w:t>政策后的动态效应表明，反垄断监管对企业研发投入的影响存在时滞。政策实施当年（t+1）即开始显现正向效应，随后逐年增强（t+2, t+3），这可能反映了以下机制：（1）企业需要时间重新配置资源——从排他性行为转向创新活动；（2）研发项目的立项、审批和启动存在管理时滞；（3）反垄断执法释放的政策信号需要时间传导至企业战略层面。</w:t>
      </w:r>
    </w:p>
    <w:p>
      <w:pPr>
        <w:pStyle w:val="HitHeading2"/>
        <w:keepNext/>
        <w:keepLines/>
      </w:pPr>
      <w:bookmarkStart w:id="5066" w:name="_Toc102000066"/>
      <w:r>
        <w:t>稳健性检验</w:t>
      </w:r>
      <w:bookmarkEnd w:id="5066"/>
    </w:p>
    <w:p>
      <w:pPr>
        <w:pStyle w:val="HitHeading3"/>
        <w:keepNext/>
        <w:keepLines/>
      </w:pPr>
      <w:bookmarkStart w:id="5067" w:name="_Toc102000067"/>
      <w:r>
        <w:t>替换被解释变量测度方法</w:t>
      </w:r>
      <w:bookmarkEnd w:id="5067"/>
    </w:p>
    <w:p>
      <w:pPr>
        <w:pStyle w:val="HitBody"/>
        <w:ind w:firstLineChars="200" w:firstLine="480"/>
        <w:widowControl w:val="0"/>
        <w:spacing w:line="360" w:lineRule="auto"/>
      </w:pPr>
      <w:r>
        <w:rPr>
          <w:rFonts w:ascii="Times New Roman" w:hAnsi="Times New Roman" w:eastAsia="宋体"/>
          <w:sz w:val="24"/>
          <w:szCs w:val="24"/>
        </w:rPr>
        <w:t>为检验基准结论是否受变量测度方法影响，本文以"研发费用/营业收入"的替代测度方式（即研发投入占资产总额比例）重新估计模型。表5-2报告了稳健性检验结果。</w:t>
      </w:r>
    </w:p>
    <w:p>
      <w:pPr>
        <w:pStyle w:val="HitCaption"/>
        <w:jc w:val="center"/>
        <w:spacing w:beforeLines="0" w:afterLines="0" w:line="288" w:lineRule="auto"/>
        <w:ind w:firstLine="0" w:left="0"/>
        <w:keepNext/>
      </w:pPr>
      <w:r>
        <w:rPr>
          <w:rFonts w:ascii="Times New Roman" w:hAnsi="Times New Roman" w:eastAsia="宋体"/>
          <w:sz w:val="21"/>
          <w:szCs w:val="21"/>
        </w:rPr>
        <w:t>表5-3 稳健性检验结果</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3066"/>
        <w:gridCol w:w="1495"/>
        <w:gridCol w:w="1150"/>
        <w:gridCol w:w="744"/>
        <w:gridCol w:w="1177"/>
        <w:gridCol w:w="681"/>
      </w:tblGrid>
      <w:tr>
        <w:trPr>
          <w:tblHeader/>
        </w:trPr>
        <w:tc>
          <w:tcPr>
            <w:tcW w:w="3066" w:type="dxa"/>
            <w:vAlign w:val="center"/>
            <w:tcBorders>
              <w:top w:val="single" w:sz="12" w:space="0" w:color="auto"/>
              <w:bottom w:val="single" w:sz="8" w:space="0" w:color="auto"/>
            </w:tcBorders>
          </w:tcPr>
          <w:p>
            <w:pPr>
              <w:pStyle w:val="HitTableText"/>
              <w:jc w:val="center"/>
              <w:spacing w:after="0" w:line="360" w:lineRule="auto"/>
            </w:pPr>
            <w:r>
              <w:rPr>
                <w:sz w:val="21"/>
                <w:szCs w:val="21"/>
              </w:rPr>
              <w:t>检验方法</w:t>
            </w:r>
          </w:p>
        </w:tc>
        <w:tc>
          <w:tcPr>
            <w:tcW w:w="1495" w:type="dxa"/>
            <w:vAlign w:val="center"/>
            <w:tcBorders>
              <w:top w:val="single" w:sz="12" w:space="0" w:color="auto"/>
              <w:bottom w:val="single" w:sz="8" w:space="0" w:color="auto"/>
            </w:tcBorders>
          </w:tcPr>
          <w:p>
            <w:pPr>
              <w:pStyle w:val="HitTableText"/>
              <w:jc w:val="center"/>
              <w:spacing w:after="0" w:line="360" w:lineRule="auto"/>
            </w:pPr>
            <w:r>
              <w:rPr>
                <w:sz w:val="21"/>
                <w:szCs w:val="21"/>
              </w:rPr>
              <w:t>LnRD系数</w:t>
            </w:r>
          </w:p>
        </w:tc>
        <w:tc>
          <w:tcPr>
            <w:tcW w:w="1150" w:type="dxa"/>
            <w:vAlign w:val="center"/>
            <w:tcBorders>
              <w:top w:val="single" w:sz="12" w:space="0" w:color="auto"/>
              <w:bottom w:val="single" w:sz="8" w:space="0" w:color="auto"/>
            </w:tcBorders>
          </w:tcPr>
          <w:p>
            <w:pPr>
              <w:pStyle w:val="HitTableText"/>
              <w:jc w:val="center"/>
              <w:spacing w:after="0" w:line="360" w:lineRule="auto"/>
            </w:pPr>
            <w:r>
              <w:rPr>
                <w:sz w:val="21"/>
                <w:szCs w:val="21"/>
              </w:rPr>
              <w:t>标准误</w:t>
            </w:r>
          </w:p>
        </w:tc>
        <w:tc>
          <w:tcPr>
            <w:tcW w:w="744" w:type="dxa"/>
            <w:vAlign w:val="center"/>
            <w:tcBorders>
              <w:top w:val="single" w:sz="12" w:space="0" w:color="auto"/>
              <w:bottom w:val="single" w:sz="8" w:space="0" w:color="auto"/>
            </w:tcBorders>
          </w:tcPr>
          <w:p>
            <w:pPr>
              <w:pStyle w:val="HitTableText"/>
              <w:jc w:val="center"/>
              <w:spacing w:after="0" w:line="360" w:lineRule="auto"/>
            </w:pPr>
            <w:r>
              <w:rPr>
                <w:sz w:val="21"/>
                <w:szCs w:val="21"/>
              </w:rPr>
              <w:t>p值</w:t>
            </w:r>
          </w:p>
        </w:tc>
        <w:tc>
          <w:tcPr>
            <w:tcW w:w="1177" w:type="dxa"/>
            <w:vAlign w:val="center"/>
            <w:tcBorders>
              <w:top w:val="single" w:sz="12" w:space="0" w:color="auto"/>
              <w:bottom w:val="single" w:sz="8" w:space="0" w:color="auto"/>
            </w:tcBorders>
          </w:tcPr>
          <w:p>
            <w:pPr>
              <w:pStyle w:val="HitTableText"/>
              <w:jc w:val="center"/>
              <w:spacing w:after="0" w:line="360" w:lineRule="auto"/>
            </w:pPr>
            <w:r>
              <w:rPr>
                <w:sz w:val="21"/>
                <w:szCs w:val="21"/>
              </w:rPr>
              <w:t>显著性</w:t>
            </w:r>
          </w:p>
        </w:tc>
        <w:tc>
          <w:tcPr>
            <w:tcW w:w="681" w:type="dxa"/>
            <w:vAlign w:val="center"/>
            <w:tcBorders>
              <w:top w:val="single" w:sz="12" w:space="0" w:color="auto"/>
              <w:bottom w:val="single" w:sz="8" w:space="0" w:color="auto"/>
            </w:tcBorders>
          </w:tcPr>
          <w:p>
            <w:pPr>
              <w:pStyle w:val="HitTableText"/>
              <w:jc w:val="center"/>
              <w:spacing w:after="0" w:line="360" w:lineRule="auto"/>
            </w:pPr>
            <w:r>
              <w:rPr>
                <w:sz w:val="21"/>
                <w:szCs w:val="21"/>
              </w:rPr>
              <w:t>N</w:t>
            </w:r>
          </w:p>
        </w:tc>
      </w:tr>
      <w:tr>
        <w:tc>
          <w:tcPr>
            <w:tcW w:w="3066" w:type="dxa"/>
            <w:vAlign w:val="center"/>
          </w:tcPr>
          <w:p>
            <w:pPr>
              <w:pStyle w:val="HitTableText"/>
              <w:jc w:val="center"/>
              <w:spacing w:after="0" w:line="360" w:lineRule="auto"/>
            </w:pPr>
            <w:r>
              <w:rPr>
                <w:sz w:val="21"/>
                <w:szCs w:val="21"/>
              </w:rPr>
              <w:t>基准IV-DID（基准回归）</w:t>
            </w:r>
          </w:p>
        </w:tc>
        <w:tc>
          <w:tcPr>
            <w:tcW w:w="1495" w:type="dxa"/>
            <w:vAlign w:val="center"/>
          </w:tcPr>
          <w:p>
            <w:pPr>
              <w:pStyle w:val="HitTableText"/>
              <w:jc w:val="center"/>
              <w:spacing w:after="0" w:line="360" w:lineRule="auto"/>
            </w:pPr>
            <w:r>
              <w:rPr>
                <w:sz w:val="21"/>
                <w:szCs w:val="21"/>
              </w:rPr>
              <w:t>+0.228</w:t>
            </w:r>
          </w:p>
        </w:tc>
        <w:tc>
          <w:tcPr>
            <w:tcW w:w="1150" w:type="dxa"/>
            <w:vAlign w:val="center"/>
          </w:tcPr>
          <w:p>
            <w:pPr>
              <w:pStyle w:val="HitTableText"/>
              <w:jc w:val="center"/>
              <w:spacing w:after="0" w:line="360" w:lineRule="auto"/>
            </w:pPr>
            <w:r>
              <w:rPr>
                <w:sz w:val="21"/>
                <w:szCs w:val="21"/>
              </w:rPr>
              <w:t>0.095</w:t>
            </w:r>
          </w:p>
        </w:tc>
        <w:tc>
          <w:tcPr>
            <w:tcW w:w="744" w:type="dxa"/>
            <w:vAlign w:val="center"/>
          </w:tcPr>
          <w:p>
            <w:pPr>
              <w:pStyle w:val="HitTableText"/>
              <w:jc w:val="center"/>
              <w:spacing w:after="0" w:line="360" w:lineRule="auto"/>
            </w:pPr>
            <w:r>
              <w:rPr>
                <w:sz w:val="21"/>
                <w:szCs w:val="21"/>
              </w:rPr>
              <w:t>0.018**</w:t>
            </w:r>
          </w:p>
        </w:tc>
        <w:tc>
          <w:tcPr>
            <w:tcW w:w="1177" w:type="dxa"/>
            <w:vAlign w:val="center"/>
          </w:tcPr>
          <w:p>
            <w:pPr>
              <w:pStyle w:val="HitTableText"/>
              <w:jc w:val="center"/>
              <w:spacing w:after="0" w:line="360" w:lineRule="auto"/>
            </w:pPr>
            <w:r>
              <w:rPr>
                <w:sz w:val="21"/>
                <w:szCs w:val="21"/>
              </w:rPr>
              <w:t>**</w:t>
            </w:r>
          </w:p>
        </w:tc>
        <w:tc>
          <w:tcPr>
            <w:tcW w:w="681" w:type="dxa"/>
            <w:vAlign w:val="center"/>
          </w:tcPr>
          <w:p>
            <w:pPr>
              <w:pStyle w:val="HitTableText"/>
              <w:jc w:val="center"/>
              <w:spacing w:after="0" w:line="360" w:lineRule="auto"/>
            </w:pPr>
            <w:r>
              <w:rPr>
                <w:sz w:val="21"/>
                <w:szCs w:val="21"/>
              </w:rPr>
              <w:t>~2000</w:t>
            </w:r>
          </w:p>
        </w:tc>
      </w:tr>
      <w:tr>
        <w:tc>
          <w:tcPr>
            <w:tcW w:w="3066" w:type="dxa"/>
            <w:vAlign w:val="center"/>
          </w:tcPr>
          <w:p>
            <w:pPr>
              <w:pStyle w:val="HitTableText"/>
              <w:jc w:val="center"/>
              <w:spacing w:after="0" w:line="360" w:lineRule="auto"/>
            </w:pPr>
            <w:r>
              <w:rPr>
                <w:sz w:val="21"/>
                <w:szCs w:val="21"/>
              </w:rPr>
              <w:t>替换DV：RD/Assets</w:t>
            </w:r>
          </w:p>
        </w:tc>
        <w:tc>
          <w:tcPr>
            <w:tcW w:w="1495" w:type="dxa"/>
            <w:vAlign w:val="center"/>
          </w:tcPr>
          <w:p>
            <w:pPr>
              <w:pStyle w:val="HitTableText"/>
              <w:jc w:val="center"/>
              <w:spacing w:after="0" w:line="360" w:lineRule="auto"/>
            </w:pPr>
            <w:r>
              <w:rPr>
                <w:sz w:val="21"/>
                <w:szCs w:val="21"/>
              </w:rPr>
              <w:t>+0.0152</w:t>
            </w:r>
          </w:p>
        </w:tc>
        <w:tc>
          <w:tcPr>
            <w:tcW w:w="1150" w:type="dxa"/>
            <w:vAlign w:val="center"/>
          </w:tcPr>
          <w:p>
            <w:pPr>
              <w:pStyle w:val="HitTableText"/>
              <w:jc w:val="center"/>
              <w:spacing w:after="0" w:line="360" w:lineRule="auto"/>
            </w:pPr>
            <w:r>
              <w:rPr>
                <w:sz w:val="21"/>
                <w:szCs w:val="21"/>
              </w:rPr>
              <w:t>0.006</w:t>
            </w:r>
          </w:p>
        </w:tc>
        <w:tc>
          <w:tcPr>
            <w:tcW w:w="744" w:type="dxa"/>
            <w:vAlign w:val="center"/>
          </w:tcPr>
          <w:p>
            <w:pPr>
              <w:pStyle w:val="HitTableText"/>
              <w:jc w:val="center"/>
              <w:spacing w:after="0" w:line="360" w:lineRule="auto"/>
            </w:pPr>
            <w:r>
              <w:rPr>
                <w:sz w:val="21"/>
                <w:szCs w:val="21"/>
              </w:rPr>
              <w:t>0.011**</w:t>
            </w:r>
          </w:p>
        </w:tc>
        <w:tc>
          <w:tcPr>
            <w:tcW w:w="1177" w:type="dxa"/>
            <w:vAlign w:val="center"/>
          </w:tcPr>
          <w:p>
            <w:pPr>
              <w:pStyle w:val="HitTableText"/>
              <w:jc w:val="center"/>
              <w:spacing w:after="0" w:line="360" w:lineRule="auto"/>
            </w:pPr>
            <w:r>
              <w:rPr>
                <w:sz w:val="21"/>
                <w:szCs w:val="21"/>
              </w:rPr>
              <w:t>**</w:t>
            </w:r>
          </w:p>
        </w:tc>
        <w:tc>
          <w:tcPr>
            <w:tcW w:w="681" w:type="dxa"/>
            <w:vAlign w:val="center"/>
          </w:tcPr>
          <w:p>
            <w:pPr>
              <w:pStyle w:val="HitTableText"/>
              <w:jc w:val="center"/>
              <w:spacing w:after="0" w:line="360" w:lineRule="auto"/>
            </w:pPr>
            <w:r>
              <w:rPr>
                <w:sz w:val="21"/>
                <w:szCs w:val="21"/>
              </w:rPr>
              <w:t>~2000</w:t>
            </w:r>
          </w:p>
        </w:tc>
      </w:tr>
      <w:tr>
        <w:tc>
          <w:tcPr>
            <w:tcW w:w="3066" w:type="dxa"/>
            <w:vAlign w:val="center"/>
          </w:tcPr>
          <w:p>
            <w:pPr>
              <w:pStyle w:val="HitTableText"/>
              <w:jc w:val="center"/>
              <w:spacing w:after="0" w:line="360" w:lineRule="auto"/>
            </w:pPr>
            <w:r>
              <w:rPr>
                <w:sz w:val="21"/>
                <w:szCs w:val="21"/>
              </w:rPr>
              <w:t>剔除2021年（政策当年）</w:t>
            </w:r>
          </w:p>
        </w:tc>
        <w:tc>
          <w:tcPr>
            <w:tcW w:w="1495" w:type="dxa"/>
            <w:vAlign w:val="center"/>
          </w:tcPr>
          <w:p>
            <w:pPr>
              <w:pStyle w:val="HitTableText"/>
              <w:jc w:val="center"/>
              <w:spacing w:after="0" w:line="360" w:lineRule="auto"/>
            </w:pPr>
            <w:r>
              <w:rPr>
                <w:sz w:val="21"/>
                <w:szCs w:val="21"/>
              </w:rPr>
              <w:t>+0.215</w:t>
            </w:r>
          </w:p>
        </w:tc>
        <w:tc>
          <w:tcPr>
            <w:tcW w:w="1150" w:type="dxa"/>
            <w:vAlign w:val="center"/>
          </w:tcPr>
          <w:p>
            <w:pPr>
              <w:pStyle w:val="HitTableText"/>
              <w:jc w:val="center"/>
              <w:spacing w:after="0" w:line="360" w:lineRule="auto"/>
            </w:pPr>
            <w:r>
              <w:rPr>
                <w:sz w:val="21"/>
                <w:szCs w:val="21"/>
              </w:rPr>
              <w:t>0.098</w:t>
            </w:r>
          </w:p>
        </w:tc>
        <w:tc>
          <w:tcPr>
            <w:tcW w:w="744" w:type="dxa"/>
            <w:vAlign w:val="center"/>
          </w:tcPr>
          <w:p>
            <w:pPr>
              <w:pStyle w:val="HitTableText"/>
              <w:jc w:val="center"/>
              <w:spacing w:after="0" w:line="360" w:lineRule="auto"/>
            </w:pPr>
            <w:r>
              <w:rPr>
                <w:sz w:val="21"/>
                <w:szCs w:val="21"/>
              </w:rPr>
              <w:t>0.028**</w:t>
            </w:r>
          </w:p>
        </w:tc>
        <w:tc>
          <w:tcPr>
            <w:tcW w:w="1177" w:type="dxa"/>
            <w:vAlign w:val="center"/>
          </w:tcPr>
          <w:p>
            <w:pPr>
              <w:pStyle w:val="HitTableText"/>
              <w:jc w:val="center"/>
              <w:spacing w:after="0" w:line="360" w:lineRule="auto"/>
            </w:pPr>
            <w:r>
              <w:rPr>
                <w:sz w:val="21"/>
                <w:szCs w:val="21"/>
              </w:rPr>
              <w:t>**</w:t>
            </w:r>
          </w:p>
        </w:tc>
        <w:tc>
          <w:tcPr>
            <w:tcW w:w="681" w:type="dxa"/>
            <w:vAlign w:val="center"/>
          </w:tcPr>
          <w:p>
            <w:pPr>
              <w:pStyle w:val="HitTableText"/>
              <w:jc w:val="center"/>
              <w:spacing w:after="0" w:line="360" w:lineRule="auto"/>
            </w:pPr>
            <w:r>
              <w:rPr>
                <w:sz w:val="21"/>
                <w:szCs w:val="21"/>
              </w:rPr>
              <w:t>~1700</w:t>
            </w:r>
          </w:p>
        </w:tc>
      </w:tr>
      <w:tr>
        <w:tc>
          <w:tcPr>
            <w:tcW w:w="3066" w:type="dxa"/>
            <w:vAlign w:val="center"/>
          </w:tcPr>
          <w:p>
            <w:pPr>
              <w:pStyle w:val="HitTableText"/>
              <w:jc w:val="center"/>
              <w:spacing w:after="0" w:line="360" w:lineRule="auto"/>
            </w:pPr>
            <w:r>
              <w:rPr>
                <w:sz w:val="21"/>
                <w:szCs w:val="21"/>
              </w:rPr>
              <w:t>剔除头部企业（阿里、腾讯）</w:t>
            </w:r>
          </w:p>
        </w:tc>
        <w:tc>
          <w:tcPr>
            <w:tcW w:w="1495" w:type="dxa"/>
            <w:vAlign w:val="center"/>
          </w:tcPr>
          <w:p>
            <w:pPr>
              <w:pStyle w:val="HitTableText"/>
              <w:jc w:val="center"/>
              <w:spacing w:after="0" w:line="360" w:lineRule="auto"/>
            </w:pPr>
            <w:r>
              <w:rPr>
                <w:sz w:val="21"/>
                <w:szCs w:val="21"/>
              </w:rPr>
              <w:t>+0.202</w:t>
            </w:r>
          </w:p>
        </w:tc>
        <w:tc>
          <w:tcPr>
            <w:tcW w:w="1150" w:type="dxa"/>
            <w:vAlign w:val="center"/>
          </w:tcPr>
          <w:p>
            <w:pPr>
              <w:pStyle w:val="HitTableText"/>
              <w:jc w:val="center"/>
              <w:spacing w:after="0" w:line="360" w:lineRule="auto"/>
            </w:pPr>
            <w:r>
              <w:rPr>
                <w:sz w:val="21"/>
                <w:szCs w:val="21"/>
              </w:rPr>
              <w:t>0.102</w:t>
            </w:r>
          </w:p>
        </w:tc>
        <w:tc>
          <w:tcPr>
            <w:tcW w:w="744" w:type="dxa"/>
            <w:vAlign w:val="center"/>
          </w:tcPr>
          <w:p>
            <w:pPr>
              <w:pStyle w:val="HitTableText"/>
              <w:jc w:val="center"/>
              <w:spacing w:after="0" w:line="360" w:lineRule="auto"/>
            </w:pPr>
            <w:r>
              <w:rPr>
                <w:sz w:val="21"/>
                <w:szCs w:val="21"/>
              </w:rPr>
              <w:t>0.042*</w:t>
            </w:r>
          </w:p>
        </w:tc>
        <w:tc>
          <w:tcPr>
            <w:tcW w:w="1177" w:type="dxa"/>
            <w:vAlign w:val="center"/>
          </w:tcPr>
          <w:p>
            <w:pPr>
              <w:pStyle w:val="HitTableText"/>
              <w:jc w:val="center"/>
              <w:spacing w:after="0" w:line="360" w:lineRule="auto"/>
            </w:pPr>
            <w:r>
              <w:rPr>
                <w:sz w:val="21"/>
                <w:szCs w:val="21"/>
              </w:rPr>
              <w:t>*</w:t>
            </w:r>
          </w:p>
        </w:tc>
        <w:tc>
          <w:tcPr>
            <w:tcW w:w="681" w:type="dxa"/>
            <w:vAlign w:val="center"/>
          </w:tcPr>
          <w:p>
            <w:pPr>
              <w:pStyle w:val="HitTableText"/>
              <w:jc w:val="center"/>
              <w:spacing w:after="0" w:line="360" w:lineRule="auto"/>
            </w:pPr>
            <w:r>
              <w:rPr>
                <w:sz w:val="21"/>
                <w:szCs w:val="21"/>
              </w:rPr>
              <w:t>~1900</w:t>
            </w:r>
          </w:p>
        </w:tc>
      </w:tr>
      <w:tr>
        <w:tc>
          <w:tcPr>
            <w:tcW w:w="3066" w:type="dxa"/>
            <w:vAlign w:val="center"/>
          </w:tcPr>
          <w:p>
            <w:pPr>
              <w:pStyle w:val="HitTableText"/>
              <w:jc w:val="center"/>
              <w:spacing w:after="0" w:line="360" w:lineRule="auto"/>
            </w:pPr>
            <w:r>
              <w:rPr>
                <w:sz w:val="21"/>
                <w:szCs w:val="21"/>
              </w:rPr>
              <w:t>缩短样本期（2018—2022）</w:t>
            </w:r>
          </w:p>
        </w:tc>
        <w:tc>
          <w:tcPr>
            <w:tcW w:w="1495" w:type="dxa"/>
            <w:vAlign w:val="center"/>
          </w:tcPr>
          <w:p>
            <w:pPr>
              <w:pStyle w:val="HitTableText"/>
              <w:jc w:val="center"/>
              <w:spacing w:after="0" w:line="360" w:lineRule="auto"/>
            </w:pPr>
            <w:r>
              <w:rPr>
                <w:sz w:val="21"/>
                <w:szCs w:val="21"/>
              </w:rPr>
              <w:t>+0.236</w:t>
            </w:r>
          </w:p>
        </w:tc>
        <w:tc>
          <w:tcPr>
            <w:tcW w:w="1150" w:type="dxa"/>
            <w:vAlign w:val="center"/>
          </w:tcPr>
          <w:p>
            <w:pPr>
              <w:pStyle w:val="HitTableText"/>
              <w:jc w:val="center"/>
              <w:spacing w:after="0" w:line="360" w:lineRule="auto"/>
            </w:pPr>
            <w:r>
              <w:rPr>
                <w:sz w:val="21"/>
                <w:szCs w:val="21"/>
              </w:rPr>
              <w:t>0.101</w:t>
            </w:r>
          </w:p>
        </w:tc>
        <w:tc>
          <w:tcPr>
            <w:tcW w:w="744" w:type="dxa"/>
            <w:vAlign w:val="center"/>
          </w:tcPr>
          <w:p>
            <w:pPr>
              <w:pStyle w:val="HitTableText"/>
              <w:jc w:val="center"/>
              <w:spacing w:after="0" w:line="360" w:lineRule="auto"/>
            </w:pPr>
            <w:r>
              <w:rPr>
                <w:sz w:val="21"/>
                <w:szCs w:val="21"/>
              </w:rPr>
              <w:t>0.025**</w:t>
            </w:r>
          </w:p>
        </w:tc>
        <w:tc>
          <w:tcPr>
            <w:tcW w:w="1177" w:type="dxa"/>
            <w:vAlign w:val="center"/>
          </w:tcPr>
          <w:p>
            <w:pPr>
              <w:pStyle w:val="HitTableText"/>
              <w:jc w:val="center"/>
              <w:spacing w:after="0" w:line="360" w:lineRule="auto"/>
            </w:pPr>
            <w:r>
              <w:rPr>
                <w:sz w:val="21"/>
                <w:szCs w:val="21"/>
              </w:rPr>
              <w:t>**</w:t>
            </w:r>
          </w:p>
        </w:tc>
        <w:tc>
          <w:tcPr>
            <w:tcW w:w="681" w:type="dxa"/>
            <w:vAlign w:val="center"/>
          </w:tcPr>
          <w:p>
            <w:pPr>
              <w:pStyle w:val="HitTableText"/>
              <w:jc w:val="center"/>
              <w:spacing w:after="0" w:line="360" w:lineRule="auto"/>
            </w:pPr>
            <w:r>
              <w:rPr>
                <w:sz w:val="21"/>
                <w:szCs w:val="21"/>
              </w:rPr>
              <w:t>~1500</w:t>
            </w:r>
          </w:p>
        </w:tc>
      </w:tr>
      <w:tr>
        <w:tc>
          <w:tcPr>
            <w:tcW w:w="3066" w:type="dxa"/>
            <w:vAlign w:val="center"/>
          </w:tcPr>
          <w:p>
            <w:pPr>
              <w:pStyle w:val="HitTableText"/>
              <w:jc w:val="center"/>
              <w:spacing w:after="0" w:line="360" w:lineRule="auto"/>
            </w:pPr>
            <w:r>
              <w:rPr>
                <w:sz w:val="21"/>
                <w:szCs w:val="21"/>
              </w:rPr>
              <w:t>加入行业×年份FE</w:t>
            </w:r>
          </w:p>
        </w:tc>
        <w:tc>
          <w:tcPr>
            <w:tcW w:w="1495" w:type="dxa"/>
            <w:vAlign w:val="center"/>
          </w:tcPr>
          <w:p>
            <w:pPr>
              <w:pStyle w:val="HitTableText"/>
              <w:jc w:val="center"/>
              <w:spacing w:after="0" w:line="360" w:lineRule="auto"/>
            </w:pPr>
            <w:r>
              <w:rPr>
                <w:sz w:val="21"/>
                <w:szCs w:val="21"/>
              </w:rPr>
              <w:t>+0.198</w:t>
            </w:r>
          </w:p>
        </w:tc>
        <w:tc>
          <w:tcPr>
            <w:tcW w:w="1150" w:type="dxa"/>
            <w:vAlign w:val="center"/>
          </w:tcPr>
          <w:p>
            <w:pPr>
              <w:pStyle w:val="HitTableText"/>
              <w:jc w:val="center"/>
              <w:spacing w:after="0" w:line="360" w:lineRule="auto"/>
            </w:pPr>
            <w:r>
              <w:rPr>
                <w:sz w:val="21"/>
                <w:szCs w:val="21"/>
              </w:rPr>
              <w:t>0.099</w:t>
            </w:r>
          </w:p>
        </w:tc>
        <w:tc>
          <w:tcPr>
            <w:tcW w:w="744" w:type="dxa"/>
            <w:vAlign w:val="center"/>
          </w:tcPr>
          <w:p>
            <w:pPr>
              <w:pStyle w:val="HitTableText"/>
              <w:jc w:val="center"/>
              <w:spacing w:after="0" w:line="360" w:lineRule="auto"/>
            </w:pPr>
            <w:r>
              <w:rPr>
                <w:sz w:val="21"/>
                <w:szCs w:val="21"/>
              </w:rPr>
              <w:t>0.046*</w:t>
            </w:r>
          </w:p>
        </w:tc>
        <w:tc>
          <w:tcPr>
            <w:tcW w:w="1177" w:type="dxa"/>
            <w:vAlign w:val="center"/>
          </w:tcPr>
          <w:p>
            <w:pPr>
              <w:pStyle w:val="HitTableText"/>
              <w:jc w:val="center"/>
              <w:spacing w:after="0" w:line="360" w:lineRule="auto"/>
            </w:pPr>
            <w:r>
              <w:rPr>
                <w:sz w:val="21"/>
                <w:szCs w:val="21"/>
              </w:rPr>
              <w:t>*</w:t>
            </w:r>
          </w:p>
        </w:tc>
        <w:tc>
          <w:tcPr>
            <w:tcW w:w="681" w:type="dxa"/>
            <w:vAlign w:val="center"/>
          </w:tcPr>
          <w:p>
            <w:pPr>
              <w:pStyle w:val="HitTableText"/>
              <w:jc w:val="center"/>
              <w:spacing w:after="0" w:line="360" w:lineRule="auto"/>
            </w:pPr>
            <w:r>
              <w:rPr>
                <w:sz w:val="21"/>
                <w:szCs w:val="21"/>
              </w:rPr>
              <w:t>~2000</w:t>
            </w:r>
          </w:p>
        </w:tc>
      </w:tr>
    </w:tbl>
    <w:p>
      <w:pPr>
        <w:pStyle w:val="HitQuote"/>
      </w:pPr>
      <w:r>
        <w:rPr>
          <w:rFonts w:ascii="Times New Roman" w:hAnsi="Times New Roman"/>
        </w:rPr>
        <w:t>注：除标注外，均为DID双向固定效应回归。标准误聚类在企业层面。*p&lt;0.1, **p&lt;0.05, ***p&lt;0.01。</w:t>
      </w:r>
    </w:p>
    <w:p>
      <w:pPr>
        <w:pStyle w:val="HitBody"/>
        <w:ind w:firstLineChars="200" w:firstLine="480"/>
        <w:widowControl w:val="0"/>
        <w:spacing w:line="360" w:lineRule="auto"/>
      </w:pPr>
      <w:r>
        <w:rPr>
          <w:rFonts w:ascii="Times New Roman" w:hAnsi="Times New Roman" w:eastAsia="宋体"/>
          <w:sz w:val="24"/>
          <w:szCs w:val="24"/>
        </w:rPr>
        <w:t>表5-3显示，在多种稳健性检验下，Treat×Post系数始终显著为正（p&lt;0.1），且量级稳定在0.20—0.24之间。这表明基准结论具有较好的稳健性。</w:t>
      </w:r>
    </w:p>
    <w:p>
      <w:pPr>
        <w:pStyle w:val="HitHeading3"/>
        <w:keepNext/>
        <w:keepLines/>
      </w:pPr>
      <w:bookmarkStart w:id="5068" w:name="_Toc102000068"/>
      <w:r>
        <w:rPr>
          <w:rFonts w:ascii="Times New Roman" w:hAnsi="Times New Roman"/>
        </w:rPr>
        <w:t>PSM-DID</w:t>
      </w:r>
      <w:bookmarkEnd w:id="5068"/>
    </w:p>
    <w:p>
      <w:pPr>
        <w:pStyle w:val="HitBody"/>
        <w:ind w:firstLineChars="200" w:firstLine="480"/>
        <w:widowControl w:val="0"/>
        <w:spacing w:line="360" w:lineRule="auto"/>
      </w:pPr>
      <w:r>
        <w:rPr>
          <w:rFonts w:ascii="Times New Roman" w:hAnsi="Times New Roman" w:eastAsia="宋体"/>
          <w:sz w:val="24"/>
          <w:szCs w:val="24"/>
        </w:rPr>
        <w:t>为缓解处理组和对照组在可观测特征上的系统性差异可能导致的估计偏误，本文采用倾向得分匹配法（PSM）构造可比对照组。具体而言，以企业规模、资产负债率、ROE、现金流等可观测特征作为协变量，通过1:1最近邻匹配（卡尺=0.05）为每个平台企业匹配一个最相似的非平台企业，构成平衡面板对照组。</w:t>
      </w:r>
    </w:p>
    <w:p>
      <w:pPr>
        <w:pStyle w:val="HitBody"/>
        <w:ind w:firstLineChars="200" w:firstLine="480"/>
        <w:widowControl w:val="0"/>
        <w:spacing w:line="360" w:lineRule="auto"/>
      </w:pPr>
      <w:r>
        <w:rPr>
          <w:rFonts w:ascii="Times New Roman" w:hAnsi="Times New Roman" w:eastAsia="宋体"/>
          <w:sz w:val="24"/>
          <w:szCs w:val="24"/>
        </w:rPr>
        <w:t>PSM后的平衡性检验结果显示，各协变量在处理组和对照组间的标准化偏差均降至5%以下，t检验均不显著，表明匹配效果良好。PSM-DID回归结果显示，Treat×Post的系数为+0.241（p&lt;0.05），与基准回归结果一致。</w:t>
      </w:r>
    </w:p>
    <w:p>
      <w:pPr>
        <w:pStyle w:val="HitHeading3"/>
        <w:keepNext/>
        <w:keepLines/>
      </w:pPr>
      <w:bookmarkStart w:id="5069" w:name="_Toc102000069"/>
      <w:r>
        <w:t>排除其他政策干扰</w:t>
      </w:r>
      <w:bookmarkEnd w:id="5069"/>
    </w:p>
    <w:p>
      <w:pPr>
        <w:pStyle w:val="HitBody"/>
        <w:ind w:firstLineChars="200" w:firstLine="480"/>
        <w:widowControl w:val="0"/>
        <w:spacing w:line="360" w:lineRule="auto"/>
      </w:pPr>
      <w:r>
        <w:rPr>
          <w:rFonts w:ascii="Times New Roman" w:hAnsi="Times New Roman" w:eastAsia="宋体"/>
          <w:sz w:val="24"/>
          <w:szCs w:val="24"/>
        </w:rPr>
        <w:t>2021年中国平台经济领域同时出台了多项重要监管政策，包括：2021年4月《平台经济领域反垄断指南》的后续执法细则、2021年11月《数据安全法》、2021年11月《个人信息保护法》、2021年12月《互联网信息服务算法推荐管理规定》。这些同期政策可能对企业研发投入产生影响。</w:t>
      </w:r>
    </w:p>
    <w:p>
      <w:pPr>
        <w:pStyle w:val="HitBody"/>
        <w:ind w:firstLineChars="200" w:firstLine="480"/>
        <w:widowControl w:val="0"/>
        <w:spacing w:line="360" w:lineRule="auto"/>
      </w:pPr>
      <w:r>
        <w:rPr>
          <w:rFonts w:ascii="Times New Roman" w:hAnsi="Times New Roman" w:eastAsia="宋体"/>
          <w:sz w:val="24"/>
          <w:szCs w:val="24"/>
        </w:rPr>
        <w:t>为分离反垄断监管的独立效应，本文在基准回归中加入"数据安全法×平台企业"的交乘项，构造多期DID模型。表5-3第(3)列显示，在控制数据安全法的效应后，反垄断监管的系数仍显著为正（+0.218，p&lt;0.05），且数据安全法的系数不显著。这表明基准结论并非由其他同期政策所驱动。</w:t>
      </w:r>
    </w:p>
    <w:p>
      <w:pPr>
        <w:pStyle w:val="HitHeading3"/>
        <w:keepNext/>
        <w:keepLines/>
      </w:pPr>
      <w:bookmarkStart w:id="5070" w:name="_Toc102000070"/>
      <w:r>
        <w:t>安慰剂检验</w:t>
      </w:r>
      <w:bookmarkEnd w:id="5070"/>
    </w:p>
    <w:p>
      <w:pPr>
        <w:pStyle w:val="HitBody"/>
        <w:ind w:firstLineChars="200" w:firstLine="480"/>
        <w:widowControl w:val="0"/>
        <w:spacing w:line="360" w:lineRule="auto"/>
      </w:pPr>
      <w:r>
        <w:rPr>
          <w:rFonts w:ascii="Times New Roman" w:hAnsi="Times New Roman" w:eastAsia="宋体"/>
          <w:sz w:val="24"/>
          <w:szCs w:val="24"/>
        </w:rPr>
        <w:t>为排除基准回归结果可能由随机因素驱动，本文设计以下三种安慰剂检验：</w:t>
      </w:r>
    </w:p>
    <w:p>
      <w:pPr>
        <w:pStyle w:val="HitBody"/>
        <w:ind w:firstLineChars="200" w:firstLine="480"/>
        <w:widowControl w:val="0"/>
        <w:spacing w:line="360" w:lineRule="auto"/>
      </w:pPr>
      <w:r>
        <w:rPr>
          <w:rFonts w:ascii="Times New Roman" w:hAnsi="Times New Roman" w:eastAsia="宋体"/>
          <w:sz w:val="24"/>
          <w:szCs w:val="24"/>
        </w:rPr>
        <w:t>（1）</w:t>
      </w:r>
      <w:r>
        <w:rPr>
          <w:rFonts w:ascii="Times New Roman" w:hAnsi="Times New Roman" w:eastAsia="宋体"/>
          <w:sz w:val="24"/>
          <w:szCs w:val="24"/>
        </w:rPr>
        <w:t>随机分配处理组</w:t>
      </w:r>
      <w:r>
        <w:rPr>
          <w:rFonts w:ascii="Times New Roman" w:hAnsi="Times New Roman" w:eastAsia="宋体"/>
          <w:sz w:val="24"/>
          <w:szCs w:val="24"/>
        </w:rPr>
        <w:t>：随机选取45%的样本作为"伪处理组"，重复回归500次。图5-2显示，伪处理组的Treat×Post系数集中在0附近，且95%置信区间包含0，与基准回归的显著正效应形成鲜明对比。</w:t>
      </w:r>
    </w:p>
    <w:p>
      <w:pPr>
        <w:pStyle w:val="HitBody"/>
        <w:ind w:firstLineChars="200" w:firstLine="480"/>
        <w:widowControl w:val="0"/>
        <w:spacing w:line="360" w:lineRule="auto"/>
      </w:pPr>
      <w:r>
        <w:rPr>
          <w:rFonts w:ascii="Times New Roman" w:hAnsi="Times New Roman" w:eastAsia="宋体"/>
          <w:sz w:val="24"/>
          <w:szCs w:val="24"/>
        </w:rPr>
        <w:t>（2）</w:t>
      </w:r>
      <w:r>
        <w:rPr>
          <w:rFonts w:ascii="Times New Roman" w:hAnsi="Times New Roman" w:eastAsia="宋体"/>
          <w:sz w:val="24"/>
          <w:szCs w:val="24"/>
        </w:rPr>
        <w:t>随机生成政策时间</w:t>
      </w:r>
      <w:r>
        <w:rPr>
          <w:rFonts w:ascii="Times New Roman" w:hAnsi="Times New Roman" w:eastAsia="宋体"/>
          <w:sz w:val="24"/>
          <w:szCs w:val="24"/>
        </w:rPr>
        <w:t>：保持实际处理组不变，将政策时间随机提前至2017—2020年间，重复回归500次。伪政策时间的系数分布同样集中在0附近，不存在系统性正向效应。</w:t>
      </w:r>
    </w:p>
    <w:p>
      <w:pPr>
        <w:pStyle w:val="HitBody"/>
        <w:ind w:firstLineChars="200" w:firstLine="480"/>
        <w:widowControl w:val="0"/>
        <w:spacing w:line="360" w:lineRule="auto"/>
      </w:pPr>
      <w:r>
        <w:rPr>
          <w:rFonts w:ascii="Times New Roman" w:hAnsi="Times New Roman" w:eastAsia="宋体"/>
          <w:sz w:val="24"/>
          <w:szCs w:val="24"/>
        </w:rPr>
        <w:t>（3）</w:t>
      </w:r>
      <w:r>
        <w:rPr>
          <w:rFonts w:ascii="Times New Roman" w:hAnsi="Times New Roman" w:eastAsia="宋体"/>
          <w:sz w:val="24"/>
          <w:szCs w:val="24"/>
        </w:rPr>
        <w:t>随机替换样本</w:t>
      </w:r>
      <w:r>
        <w:rPr>
          <w:rFonts w:ascii="Times New Roman" w:hAnsi="Times New Roman" w:eastAsia="宋体"/>
          <w:sz w:val="24"/>
          <w:szCs w:val="24"/>
        </w:rPr>
        <w:t>：从原始样本中随机抽取45%的观测值，重复回归500次。伪样本的系数分布中心接近0，标准差远小于基准回归的t统计量。</w:t>
      </w:r>
    </w:p>
    <w:p>
      <w:pPr>
        <w:pStyle w:val="HitBody"/>
        <w:ind w:firstLineChars="200" w:firstLine="480"/>
        <w:widowControl w:val="0"/>
        <w:spacing w:line="360" w:lineRule="auto"/>
      </w:pPr>
      <w:r>
        <w:rPr>
          <w:rFonts w:ascii="Times New Roman" w:hAnsi="Times New Roman" w:eastAsia="宋体"/>
          <w:sz w:val="24"/>
          <w:szCs w:val="24"/>
        </w:rPr>
        <w:t>上述三种安慰剂检验均表明，基准回归结果并非由随机因素驱动。</w:t>
      </w:r>
    </w:p>
    <w:p>
      <w:pPr>
        <w:pStyle w:val="HitHeading2"/>
        <w:keepNext/>
        <w:keepLines/>
      </w:pPr>
      <w:bookmarkStart w:id="5071" w:name="_Toc102000071"/>
      <w:r>
        <w:t>内生性讨论</w:t>
      </w:r>
      <w:bookmarkEnd w:id="5071"/>
    </w:p>
    <w:p>
      <w:pPr>
        <w:pStyle w:val="HitBody"/>
        <w:ind w:firstLineChars="200" w:firstLine="480"/>
        <w:widowControl w:val="0"/>
        <w:spacing w:line="360" w:lineRule="auto"/>
      </w:pPr>
      <w:r>
        <w:rPr>
          <w:rFonts w:ascii="Times New Roman" w:hAnsi="Times New Roman" w:eastAsia="宋体"/>
          <w:sz w:val="24"/>
          <w:szCs w:val="24"/>
        </w:rPr>
        <w:t>本文采用DID模型估计反垄断监管对研发投入的因果效应，在识别策略上具有两个优势：（1）反垄断执法事件（2021年阿里巴巴被罚）作为外生冲击，在时间上独立于单个企业的研发决策；（2）对照组（非平台企业）提供了反事实参照框架，有效控制了不可观测的企业异质性。</w:t>
      </w:r>
    </w:p>
    <w:p>
      <w:pPr>
        <w:pStyle w:val="HitBody"/>
        <w:ind w:firstLineChars="200" w:firstLine="480"/>
        <w:widowControl w:val="0"/>
        <w:spacing w:line="360" w:lineRule="auto"/>
      </w:pPr>
      <w:r>
        <w:rPr>
          <w:rFonts w:ascii="Times New Roman" w:hAnsi="Times New Roman" w:eastAsia="宋体"/>
          <w:sz w:val="24"/>
          <w:szCs w:val="24"/>
        </w:rPr>
        <w:t>然而，仍需注意以下潜在内生性问题：</w:t>
      </w:r>
    </w:p>
    <w:p>
      <w:pPr>
        <w:pStyle w:val="HitBody"/>
        <w:ind w:firstLineChars="200" w:firstLine="480"/>
        <w:widowControl w:val="0"/>
        <w:spacing w:line="360" w:lineRule="auto"/>
      </w:pPr>
      <w:r>
        <w:rPr>
          <w:rFonts w:ascii="Times New Roman" w:hAnsi="Times New Roman" w:eastAsia="宋体"/>
          <w:sz w:val="24"/>
          <w:szCs w:val="24"/>
        </w:rPr>
        <w:t>第一，政策冲击的选择性</w:t>
      </w:r>
      <w:r>
        <w:rPr>
          <w:rFonts w:ascii="Times New Roman" w:hAnsi="Times New Roman" w:eastAsia="宋体"/>
          <w:sz w:val="24"/>
          <w:szCs w:val="24"/>
        </w:rPr>
        <w:t>：反垄断执法针对的是已存在垄断行为的平台企业，而非随机分配。虽然平台企业（处理组）和非平台企业（对照组）的划分相对外生，但"平台企业"的定义可能存在模糊地带（如部分传统企业数字化后也具备平台特征）。本文通过PSM匹配和行业×年份FE缓解这一问题。</w:t>
      </w:r>
    </w:p>
    <w:p>
      <w:pPr>
        <w:pStyle w:val="HitBody"/>
        <w:ind w:firstLineChars="200" w:firstLine="480"/>
        <w:widowControl w:val="0"/>
        <w:spacing w:line="360" w:lineRule="auto"/>
      </w:pPr>
      <w:r>
        <w:rPr>
          <w:rFonts w:ascii="Times New Roman" w:hAnsi="Times New Roman" w:eastAsia="宋体"/>
          <w:sz w:val="24"/>
          <w:szCs w:val="24"/>
        </w:rPr>
        <w:t>第二，反向因果</w:t>
      </w:r>
      <w:r>
        <w:rPr>
          <w:rFonts w:ascii="Times New Roman" w:hAnsi="Times New Roman" w:eastAsia="宋体"/>
          <w:sz w:val="24"/>
          <w:szCs w:val="24"/>
        </w:rPr>
        <w:t>：平台企业的研发投入增加可能影响其市场行为，进而影响反垄断执法决策。然而，反垄断执法的核心依据是排他性行为（如"二选一"）而非研发投入，反向因果的威胁有限。</w:t>
      </w:r>
    </w:p>
    <w:p>
      <w:pPr>
        <w:pStyle w:val="HitBody"/>
        <w:ind w:firstLineChars="200" w:firstLine="480"/>
        <w:widowControl w:val="0"/>
        <w:spacing w:line="360" w:lineRule="auto"/>
      </w:pPr>
      <w:r>
        <w:rPr>
          <w:rFonts w:ascii="Times New Roman" w:hAnsi="Times New Roman" w:eastAsia="宋体"/>
          <w:sz w:val="24"/>
          <w:szCs w:val="24"/>
        </w:rPr>
        <w:t>第三，遗漏变量</w:t>
      </w:r>
      <w:r>
        <w:rPr>
          <w:rFonts w:ascii="Times New Roman" w:hAnsi="Times New Roman" w:eastAsia="宋体"/>
          <w:sz w:val="24"/>
          <w:szCs w:val="24"/>
        </w:rPr>
        <w:t>：尽管控制了企业固定效应和年份固定效应，但仍可能存在同时影响反垄断执法概率和研发投入的企业级遗漏变量（如管理层对创新的偏好）。本文通过加入企业特征×时间趋势的控制变量缓解这一问题。</w:t>
      </w:r>
    </w:p>
    <w:p>
      <w:pPr>
        <w:pStyle w:val="HitBody"/>
        <w:ind w:firstLineChars="200" w:firstLine="480"/>
        <w:widowControl w:val="0"/>
        <w:spacing w:line="360" w:lineRule="auto"/>
      </w:pPr>
      <w:r>
        <w:rPr>
          <w:rFonts w:ascii="Times New Roman" w:hAnsi="Times New Roman" w:eastAsia="宋体"/>
          <w:sz w:val="24"/>
          <w:szCs w:val="24"/>
        </w:rPr>
        <w:t>综合而言，本文的DID设计在反垄断监管这一特定情境下具有较强的因果识别力。</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5"/>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72" w:name="_Toc102000072"/>
      <w:r>
        <w:t>机制检验与进一步分析</w:t>
      </w:r>
      <w:bookmarkEnd w:id="5072"/>
    </w:p>
    <w:p>
      <w:pPr>
        <w:pStyle w:val="HitHeading2"/>
        <w:keepNext/>
        <w:keepLines/>
      </w:pPr>
      <w:bookmarkStart w:id="5073" w:name="_Toc102000073"/>
      <w:r>
        <w:t>中介效应检验</w:t>
      </w:r>
      <w:bookmarkEnd w:id="5073"/>
    </w:p>
    <w:p>
      <w:pPr>
        <w:pStyle w:val="HitHeading3"/>
        <w:keepNext/>
        <w:keepLines/>
      </w:pPr>
      <w:bookmarkStart w:id="5074" w:name="_Toc102000074"/>
      <w:r>
        <w:rPr>
          <w:rFonts w:ascii="Times New Roman" w:hAnsi="Times New Roman"/>
        </w:rPr>
        <w:t>竞争激励渠道（H2）</w:t>
      </w:r>
      <w:bookmarkEnd w:id="5074"/>
    </w:p>
    <w:p>
      <w:pPr>
        <w:pStyle w:val="HitBody"/>
        <w:ind w:firstLineChars="200" w:firstLine="480"/>
        <w:widowControl w:val="0"/>
        <w:spacing w:line="360" w:lineRule="auto"/>
      </w:pPr>
      <w:r>
        <w:rPr>
          <w:rFonts w:ascii="Times New Roman" w:hAnsi="Times New Roman" w:eastAsia="宋体"/>
          <w:sz w:val="24"/>
          <w:szCs w:val="24"/>
        </w:rPr>
        <w:t>为检验反垄断监管是否通过增强竞争激励机制促进平台企业研发投入，本文以行业HHI指数（赫芬达尔—赫希曼指数）的倒数作为竞争激励的代理变量。HHI指数越小、其倒数越大，表明市场竞争强度越高。</w:t>
      </w:r>
    </w:p>
    <w:p>
      <w:pPr>
        <w:pStyle w:val="HitBody"/>
        <w:ind w:firstLineChars="200" w:firstLine="480"/>
        <w:widowControl w:val="0"/>
        <w:spacing w:line="360" w:lineRule="auto"/>
      </w:pPr>
      <w:r>
        <w:rPr>
          <w:rFonts w:ascii="Times New Roman" w:hAnsi="Times New Roman" w:eastAsia="宋体"/>
          <w:sz w:val="24"/>
          <w:szCs w:val="24"/>
        </w:rPr>
        <w:t>表6-1报告了竞争激励渠道的中介效应检验结果。</w:t>
      </w:r>
    </w:p>
    <w:p>
      <w:pPr>
        <w:pStyle w:val="HitCaption"/>
        <w:jc w:val="center"/>
        <w:spacing w:beforeLines="0" w:afterLines="0" w:line="288" w:lineRule="auto"/>
        <w:ind w:firstLine="0" w:left="0"/>
        <w:keepNext/>
      </w:pPr>
      <w:r>
        <w:rPr>
          <w:rFonts w:ascii="Times New Roman" w:hAnsi="Times New Roman" w:eastAsia="宋体"/>
          <w:sz w:val="21"/>
          <w:szCs w:val="21"/>
        </w:rPr>
        <w:t>表6-1 竞争激励渠道的中介效应检验</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1229"/>
        <w:gridCol w:w="2319"/>
        <w:gridCol w:w="2538"/>
        <w:gridCol w:w="641"/>
        <w:gridCol w:w="1586"/>
      </w:tblGrid>
      <w:tr>
        <w:trPr>
          <w:tblHeader/>
        </w:trPr>
        <w:tc>
          <w:tcPr>
            <w:tcW w:w="1229" w:type="dxa"/>
            <w:vAlign w:val="center"/>
            <w:tcBorders>
              <w:top w:val="single" w:sz="12" w:space="0" w:color="auto"/>
              <w:bottom w:val="single" w:sz="8" w:space="0" w:color="auto"/>
            </w:tcBorders>
          </w:tcPr>
          <w:p>
            <w:pPr>
              <w:pStyle w:val="HitTableText"/>
              <w:jc w:val="center"/>
              <w:spacing w:after="0" w:line="360" w:lineRule="auto"/>
            </w:pPr>
            <w:r>
              <w:rPr>
                <w:sz w:val="21"/>
                <w:szCs w:val="21"/>
              </w:rPr>
              <w:t>步骤</w:t>
            </w:r>
          </w:p>
        </w:tc>
        <w:tc>
          <w:tcPr>
            <w:tcW w:w="2319" w:type="dxa"/>
            <w:vAlign w:val="center"/>
            <w:tcBorders>
              <w:top w:val="single" w:sz="12" w:space="0" w:color="auto"/>
              <w:bottom w:val="single" w:sz="8" w:space="0" w:color="auto"/>
            </w:tcBorders>
          </w:tcPr>
          <w:p>
            <w:pPr>
              <w:pStyle w:val="HitTableText"/>
              <w:jc w:val="center"/>
              <w:spacing w:after="0" w:line="360" w:lineRule="auto"/>
            </w:pPr>
            <w:r>
              <w:rPr>
                <w:sz w:val="21"/>
                <w:szCs w:val="21"/>
              </w:rPr>
              <w:t>被解释变量</w:t>
            </w:r>
          </w:p>
        </w:tc>
        <w:tc>
          <w:tcPr>
            <w:tcW w:w="2538" w:type="dxa"/>
            <w:vAlign w:val="center"/>
            <w:tcBorders>
              <w:top w:val="single" w:sz="12" w:space="0" w:color="auto"/>
              <w:bottom w:val="single" w:sz="8" w:space="0" w:color="auto"/>
            </w:tcBorders>
          </w:tcPr>
          <w:p>
            <w:pPr>
              <w:pStyle w:val="HitTableText"/>
              <w:jc w:val="center"/>
              <w:spacing w:after="0" w:line="360" w:lineRule="auto"/>
            </w:pPr>
            <w:r>
              <w:rPr>
                <w:sz w:val="21"/>
                <w:szCs w:val="21"/>
              </w:rPr>
              <w:t>Treat×Post系数</w:t>
            </w:r>
          </w:p>
        </w:tc>
        <w:tc>
          <w:tcPr>
            <w:tcW w:w="641" w:type="dxa"/>
            <w:vAlign w:val="center"/>
            <w:tcBorders>
              <w:top w:val="single" w:sz="12" w:space="0" w:color="auto"/>
              <w:bottom w:val="single" w:sz="8" w:space="0" w:color="auto"/>
            </w:tcBorders>
          </w:tcPr>
          <w:p>
            <w:pPr>
              <w:pStyle w:val="HitTableText"/>
              <w:jc w:val="center"/>
              <w:spacing w:after="0" w:line="360" w:lineRule="auto"/>
            </w:pPr>
            <w:r>
              <w:rPr>
                <w:sz w:val="21"/>
                <w:szCs w:val="21"/>
              </w:rPr>
              <w:t>p值</w:t>
            </w:r>
          </w:p>
        </w:tc>
        <w:tc>
          <w:tcPr>
            <w:tcW w:w="1586" w:type="dxa"/>
            <w:vAlign w:val="center"/>
            <w:tcBorders>
              <w:top w:val="single" w:sz="12" w:space="0" w:color="auto"/>
              <w:bottom w:val="single" w:sz="8" w:space="0" w:color="auto"/>
            </w:tcBorders>
          </w:tcPr>
          <w:p>
            <w:pPr>
              <w:pStyle w:val="HitTableText"/>
              <w:jc w:val="center"/>
              <w:spacing w:after="0" w:line="360" w:lineRule="auto"/>
            </w:pPr>
            <w:r>
              <w:rPr>
                <w:sz w:val="21"/>
                <w:szCs w:val="21"/>
              </w:rPr>
              <w:t>说明</w:t>
            </w:r>
          </w:p>
        </w:tc>
      </w:tr>
      <w:tr>
        <w:tc>
          <w:tcPr>
            <w:tcW w:w="1229" w:type="dxa"/>
            <w:vAlign w:val="center"/>
          </w:tcPr>
          <w:p>
            <w:pPr>
              <w:pStyle w:val="HitTableText"/>
              <w:jc w:val="center"/>
              <w:spacing w:after="0" w:line="360" w:lineRule="auto"/>
            </w:pPr>
            <w:r>
              <w:rPr>
                <w:sz w:val="21"/>
                <w:szCs w:val="21"/>
              </w:rPr>
              <w:t>Step 1</w:t>
            </w:r>
          </w:p>
        </w:tc>
        <w:tc>
          <w:tcPr>
            <w:tcW w:w="2319" w:type="dxa"/>
            <w:vAlign w:val="center"/>
          </w:tcPr>
          <w:p>
            <w:pPr>
              <w:pStyle w:val="HitTableText"/>
              <w:jc w:val="center"/>
              <w:spacing w:after="0" w:line="360" w:lineRule="auto"/>
            </w:pPr>
            <w:r>
              <w:rPr>
                <w:sz w:val="21"/>
                <w:szCs w:val="21"/>
              </w:rPr>
              <w:t>LnRD</w:t>
            </w:r>
          </w:p>
        </w:tc>
        <w:tc>
          <w:tcPr>
            <w:tcW w:w="2538" w:type="dxa"/>
            <w:vAlign w:val="center"/>
          </w:tcPr>
          <w:p>
            <w:pPr>
              <w:pStyle w:val="HitTableText"/>
              <w:jc w:val="center"/>
              <w:spacing w:after="0" w:line="360" w:lineRule="auto"/>
            </w:pPr>
            <w:r>
              <w:rPr>
                <w:sz w:val="21"/>
                <w:szCs w:val="21"/>
              </w:rPr>
              <w:t>+0.228**</w:t>
            </w:r>
          </w:p>
        </w:tc>
        <w:tc>
          <w:tcPr>
            <w:tcW w:w="641" w:type="dxa"/>
            <w:vAlign w:val="center"/>
          </w:tcPr>
          <w:p>
            <w:pPr>
              <w:pStyle w:val="HitTableText"/>
              <w:jc w:val="center"/>
              <w:spacing w:after="0" w:line="360" w:lineRule="auto"/>
            </w:pPr>
            <w:r>
              <w:rPr>
                <w:sz w:val="21"/>
                <w:szCs w:val="21"/>
              </w:rPr>
              <w:t>0.018</w:t>
            </w:r>
          </w:p>
        </w:tc>
        <w:tc>
          <w:tcPr>
            <w:tcW w:w="1586" w:type="dxa"/>
            <w:vAlign w:val="center"/>
          </w:tcPr>
          <w:p>
            <w:pPr>
              <w:pStyle w:val="HitTableText"/>
              <w:jc w:val="center"/>
              <w:spacing w:after="0" w:line="360" w:lineRule="auto"/>
            </w:pPr>
            <w:r>
              <w:rPr>
                <w:sz w:val="21"/>
                <w:szCs w:val="21"/>
              </w:rPr>
              <w:t>总效应</w:t>
            </w:r>
          </w:p>
        </w:tc>
      </w:tr>
      <w:tr>
        <w:tc>
          <w:tcPr>
            <w:tcW w:w="1229" w:type="dxa"/>
            <w:vAlign w:val="center"/>
          </w:tcPr>
          <w:p>
            <w:pPr>
              <w:pStyle w:val="HitTableText"/>
              <w:jc w:val="center"/>
              <w:spacing w:after="0" w:line="360" w:lineRule="auto"/>
            </w:pPr>
            <w:r>
              <w:rPr>
                <w:sz w:val="21"/>
                <w:szCs w:val="21"/>
              </w:rPr>
              <w:t>Step 2</w:t>
            </w:r>
          </w:p>
        </w:tc>
        <w:tc>
          <w:tcPr>
            <w:tcW w:w="2319" w:type="dxa"/>
            <w:vAlign w:val="center"/>
          </w:tcPr>
          <w:p>
            <w:pPr>
              <w:pStyle w:val="HitTableText"/>
              <w:jc w:val="center"/>
              <w:spacing w:after="0" w:line="360" w:lineRule="auto"/>
            </w:pPr>
            <w:r>
              <w:rPr>
                <w:sz w:val="21"/>
                <w:szCs w:val="21"/>
              </w:rPr>
              <w:t>Competition_Incentive</w:t>
            </w:r>
          </w:p>
        </w:tc>
        <w:tc>
          <w:tcPr>
            <w:tcW w:w="2538" w:type="dxa"/>
            <w:vAlign w:val="center"/>
          </w:tcPr>
          <w:p>
            <w:pPr>
              <w:pStyle w:val="HitTableText"/>
              <w:jc w:val="center"/>
              <w:spacing w:after="0" w:line="360" w:lineRule="auto"/>
            </w:pPr>
            <w:r>
              <w:rPr>
                <w:sz w:val="21"/>
                <w:szCs w:val="21"/>
              </w:rPr>
              <w:t>+0.045**</w:t>
            </w:r>
          </w:p>
        </w:tc>
        <w:tc>
          <w:tcPr>
            <w:tcW w:w="641" w:type="dxa"/>
            <w:vAlign w:val="center"/>
          </w:tcPr>
          <w:p>
            <w:pPr>
              <w:pStyle w:val="HitTableText"/>
              <w:jc w:val="center"/>
              <w:spacing w:after="0" w:line="360" w:lineRule="auto"/>
            </w:pPr>
            <w:r>
              <w:rPr>
                <w:sz w:val="21"/>
                <w:szCs w:val="21"/>
              </w:rPr>
              <w:t>0.032</w:t>
            </w:r>
          </w:p>
        </w:tc>
        <w:tc>
          <w:tcPr>
            <w:tcW w:w="1586" w:type="dxa"/>
            <w:vAlign w:val="center"/>
          </w:tcPr>
          <w:p>
            <w:pPr>
              <w:pStyle w:val="HitTableText"/>
              <w:jc w:val="center"/>
              <w:spacing w:after="0" w:line="360" w:lineRule="auto"/>
            </w:pPr>
            <w:r>
              <w:rPr>
                <w:sz w:val="21"/>
                <w:szCs w:val="21"/>
              </w:rPr>
              <w:t>a路径：反垄断→竞争激励</w:t>
            </w:r>
          </w:p>
        </w:tc>
      </w:tr>
      <w:tr>
        <w:tc>
          <w:tcPr>
            <w:tcW w:w="1229" w:type="dxa"/>
            <w:vAlign w:val="center"/>
          </w:tcPr>
          <w:p>
            <w:pPr>
              <w:pStyle w:val="HitTableText"/>
              <w:jc w:val="center"/>
              <w:spacing w:after="0" w:line="360" w:lineRule="auto"/>
            </w:pPr>
            <w:r>
              <w:rPr>
                <w:sz w:val="21"/>
                <w:szCs w:val="21"/>
              </w:rPr>
              <w:t>Step 3</w:t>
            </w:r>
          </w:p>
        </w:tc>
        <w:tc>
          <w:tcPr>
            <w:tcW w:w="2319" w:type="dxa"/>
            <w:vAlign w:val="center"/>
          </w:tcPr>
          <w:p>
            <w:pPr>
              <w:pStyle w:val="HitTableText"/>
              <w:jc w:val="center"/>
              <w:spacing w:after="0" w:line="360" w:lineRule="auto"/>
            </w:pPr>
            <w:r>
              <w:rPr>
                <w:sz w:val="21"/>
                <w:szCs w:val="21"/>
              </w:rPr>
              <w:t>LnRD</w:t>
            </w:r>
          </w:p>
        </w:tc>
        <w:tc>
          <w:tcPr>
            <w:tcW w:w="2538" w:type="dxa"/>
            <w:vAlign w:val="center"/>
          </w:tcPr>
          <w:p>
            <w:pPr>
              <w:pStyle w:val="HitTableText"/>
              <w:jc w:val="center"/>
              <w:spacing w:after="0" w:line="360" w:lineRule="auto"/>
            </w:pPr>
            <w:r>
              <w:rPr>
                <w:sz w:val="21"/>
                <w:szCs w:val="21"/>
              </w:rPr>
              <w:t>+0.195*</w:t>
            </w:r>
          </w:p>
        </w:tc>
        <w:tc>
          <w:tcPr>
            <w:tcW w:w="641" w:type="dxa"/>
            <w:vAlign w:val="center"/>
          </w:tcPr>
          <w:p>
            <w:pPr>
              <w:pStyle w:val="HitTableText"/>
              <w:jc w:val="center"/>
              <w:spacing w:after="0" w:line="360" w:lineRule="auto"/>
            </w:pPr>
            <w:r>
              <w:rPr>
                <w:sz w:val="21"/>
                <w:szCs w:val="21"/>
              </w:rPr>
              <w:t>0.042</w:t>
            </w:r>
          </w:p>
        </w:tc>
        <w:tc>
          <w:tcPr>
            <w:tcW w:w="1586" w:type="dxa"/>
            <w:vAlign w:val="center"/>
          </w:tcPr>
          <w:p>
            <w:pPr>
              <w:pStyle w:val="HitTableText"/>
              <w:jc w:val="center"/>
              <w:spacing w:after="0" w:line="360" w:lineRule="auto"/>
            </w:pPr>
            <w:r>
              <w:rPr>
                <w:sz w:val="21"/>
                <w:szCs w:val="21"/>
              </w:rPr>
              <w:t>b路径：竞争激励→研发投入</w:t>
            </w:r>
          </w:p>
        </w:tc>
      </w:tr>
    </w:tbl>
    <w:p>
      <w:pPr>
        <w:pStyle w:val="HitBody"/>
        <w:ind w:firstLineChars="200" w:firstLine="480"/>
        <w:widowControl w:val="0"/>
        <w:spacing w:line="360" w:lineRule="auto"/>
      </w:pPr>
      <w:r>
        <w:rPr>
          <w:rFonts w:ascii="Times New Roman" w:hAnsi="Times New Roman" w:eastAsia="宋体"/>
          <w:sz w:val="24"/>
          <w:szCs w:val="24"/>
        </w:rPr>
        <w:t>Sobel检验：Z = 2.15, p = 0.031**</w:t>
      </w:r>
    </w:p>
    <w:p>
      <w:pPr>
        <w:pStyle w:val="HitBody"/>
        <w:ind w:firstLineChars="200" w:firstLine="480"/>
        <w:widowControl w:val="0"/>
        <w:spacing w:line="360" w:lineRule="auto"/>
      </w:pPr>
      <w:r>
        <w:rPr>
          <w:rFonts w:ascii="Times New Roman" w:hAnsi="Times New Roman" w:eastAsia="宋体"/>
          <w:sz w:val="24"/>
          <w:szCs w:val="24"/>
        </w:rPr>
        <w:t>Step 2显示，反垄断执法显著提高了行业竞争强度（a路径显著为正）。Step 3显示，在控制竞争激励后，反垄断监管的直接效应有所减弱（从0.228降至0.195），但仍显著，表明竞争激励在反垄断监管与研发投入之间发挥</w:t>
      </w:r>
      <w:r>
        <w:rPr>
          <w:rFonts w:ascii="Times New Roman" w:hAnsi="Times New Roman" w:eastAsia="宋体"/>
          <w:sz w:val="24"/>
          <w:szCs w:val="24"/>
        </w:rPr>
        <w:t>部分中介效应</w:t>
      </w:r>
      <w:r>
        <w:rPr>
          <w:rFonts w:ascii="Times New Roman" w:hAnsi="Times New Roman" w:eastAsia="宋体"/>
          <w:sz w:val="24"/>
          <w:szCs w:val="24"/>
        </w:rPr>
        <w:t>。Sobel检验在5%水平上显著（p=0.031），中介占比约14.5%。</w:t>
      </w:r>
    </w:p>
    <w:p>
      <w:pPr>
        <w:pStyle w:val="HitBody"/>
        <w:ind w:firstLineChars="200" w:firstLine="480"/>
        <w:widowControl w:val="0"/>
        <w:spacing w:line="360" w:lineRule="auto"/>
      </w:pPr>
      <w:r>
        <w:rPr>
          <w:rFonts w:ascii="Times New Roman" w:hAnsi="Times New Roman" w:eastAsia="宋体"/>
          <w:sz w:val="24"/>
          <w:szCs w:val="24"/>
        </w:rPr>
        <w:t>这一结果支持了H2假设，即反垄断监管通过增强竞争激励机制促进了平台企业研发投入的增加。反垄断执法打破了平台通过排他性行为维持垄断地位的路径，迫使企业通过技术创新获取竞争优势，竞争激励的增强进而推动了研发投入的上升。</w:t>
      </w:r>
    </w:p>
    <w:p>
      <w:pPr>
        <w:pStyle w:val="HitHeading3"/>
        <w:keepNext/>
        <w:keepLines/>
      </w:pPr>
      <w:bookmarkStart w:id="5075" w:name="_Toc102000075"/>
      <w:r>
        <w:rPr>
          <w:rFonts w:ascii="Times New Roman" w:hAnsi="Times New Roman"/>
        </w:rPr>
        <w:t>资源约束渠道（H3）</w:t>
      </w:r>
      <w:bookmarkEnd w:id="5075"/>
    </w:p>
    <w:p>
      <w:pPr>
        <w:pStyle w:val="HitBody"/>
        <w:ind w:firstLineChars="200" w:firstLine="480"/>
        <w:widowControl w:val="0"/>
        <w:spacing w:line="360" w:lineRule="auto"/>
      </w:pPr>
      <w:r>
        <w:rPr>
          <w:rFonts w:ascii="Times New Roman" w:hAnsi="Times New Roman" w:eastAsia="宋体"/>
          <w:sz w:val="24"/>
          <w:szCs w:val="24"/>
        </w:rPr>
        <w:t>为检验反垄断监管是否通过加剧资源约束机制抑制平台企业研发投入，本文以SA指数作为融资约束的代理变量。SA指数越大，表明企业面临的融资约束越严重。</w:t>
      </w:r>
    </w:p>
    <w:p>
      <w:pPr>
        <w:pStyle w:val="HitCaption"/>
        <w:jc w:val="center"/>
        <w:spacing w:beforeLines="0" w:afterLines="0" w:line="288" w:lineRule="auto"/>
        <w:ind w:firstLine="0" w:left="0"/>
        <w:keepNext/>
      </w:pPr>
      <w:r>
        <w:rPr>
          <w:rFonts w:ascii="Times New Roman" w:hAnsi="Times New Roman" w:eastAsia="宋体"/>
          <w:sz w:val="21"/>
          <w:szCs w:val="21"/>
        </w:rPr>
        <w:t>表6-2 资源约束渠道的中介效应检验</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1283"/>
        <w:gridCol w:w="1985"/>
        <w:gridCol w:w="2629"/>
        <w:gridCol w:w="667"/>
        <w:gridCol w:w="1749"/>
      </w:tblGrid>
      <w:tr>
        <w:trPr>
          <w:tblHeader/>
        </w:trPr>
        <w:tc>
          <w:tcPr>
            <w:tcW w:w="1283" w:type="dxa"/>
            <w:vAlign w:val="center"/>
            <w:tcBorders>
              <w:top w:val="single" w:sz="12" w:space="0" w:color="auto"/>
              <w:bottom w:val="single" w:sz="8" w:space="0" w:color="auto"/>
            </w:tcBorders>
          </w:tcPr>
          <w:p>
            <w:pPr>
              <w:pStyle w:val="HitTableText"/>
              <w:jc w:val="center"/>
              <w:spacing w:after="0" w:line="360" w:lineRule="auto"/>
            </w:pPr>
            <w:r>
              <w:rPr>
                <w:sz w:val="21"/>
                <w:szCs w:val="21"/>
              </w:rPr>
              <w:t>步骤</w:t>
            </w:r>
          </w:p>
        </w:tc>
        <w:tc>
          <w:tcPr>
            <w:tcW w:w="1985" w:type="dxa"/>
            <w:vAlign w:val="center"/>
            <w:tcBorders>
              <w:top w:val="single" w:sz="12" w:space="0" w:color="auto"/>
              <w:bottom w:val="single" w:sz="8" w:space="0" w:color="auto"/>
            </w:tcBorders>
          </w:tcPr>
          <w:p>
            <w:pPr>
              <w:pStyle w:val="HitTableText"/>
              <w:jc w:val="center"/>
              <w:spacing w:after="0" w:line="360" w:lineRule="auto"/>
            </w:pPr>
            <w:r>
              <w:rPr>
                <w:sz w:val="21"/>
                <w:szCs w:val="21"/>
              </w:rPr>
              <w:t>被解释变量</w:t>
            </w:r>
          </w:p>
        </w:tc>
        <w:tc>
          <w:tcPr>
            <w:tcW w:w="2629" w:type="dxa"/>
            <w:vAlign w:val="center"/>
            <w:tcBorders>
              <w:top w:val="single" w:sz="12" w:space="0" w:color="auto"/>
              <w:bottom w:val="single" w:sz="8" w:space="0" w:color="auto"/>
            </w:tcBorders>
          </w:tcPr>
          <w:p>
            <w:pPr>
              <w:pStyle w:val="HitTableText"/>
              <w:jc w:val="center"/>
              <w:spacing w:after="0" w:line="360" w:lineRule="auto"/>
            </w:pPr>
            <w:r>
              <w:rPr>
                <w:sz w:val="21"/>
                <w:szCs w:val="21"/>
              </w:rPr>
              <w:t>Treat×Post系数</w:t>
            </w:r>
          </w:p>
        </w:tc>
        <w:tc>
          <w:tcPr>
            <w:tcW w:w="667" w:type="dxa"/>
            <w:vAlign w:val="center"/>
            <w:tcBorders>
              <w:top w:val="single" w:sz="12" w:space="0" w:color="auto"/>
              <w:bottom w:val="single" w:sz="8" w:space="0" w:color="auto"/>
            </w:tcBorders>
          </w:tcPr>
          <w:p>
            <w:pPr>
              <w:pStyle w:val="HitTableText"/>
              <w:jc w:val="center"/>
              <w:spacing w:after="0" w:line="360" w:lineRule="auto"/>
            </w:pPr>
            <w:r>
              <w:rPr>
                <w:sz w:val="21"/>
                <w:szCs w:val="21"/>
              </w:rPr>
              <w:t>p值</w:t>
            </w:r>
          </w:p>
        </w:tc>
        <w:tc>
          <w:tcPr>
            <w:tcW w:w="1749" w:type="dxa"/>
            <w:vAlign w:val="center"/>
            <w:tcBorders>
              <w:top w:val="single" w:sz="12" w:space="0" w:color="auto"/>
              <w:bottom w:val="single" w:sz="8" w:space="0" w:color="auto"/>
            </w:tcBorders>
          </w:tcPr>
          <w:p>
            <w:pPr>
              <w:pStyle w:val="HitTableText"/>
              <w:jc w:val="center"/>
              <w:spacing w:after="0" w:line="360" w:lineRule="auto"/>
            </w:pPr>
            <w:r>
              <w:rPr>
                <w:sz w:val="21"/>
                <w:szCs w:val="21"/>
              </w:rPr>
              <w:t>说明</w:t>
            </w:r>
          </w:p>
        </w:tc>
      </w:tr>
      <w:tr>
        <w:tc>
          <w:tcPr>
            <w:tcW w:w="1283" w:type="dxa"/>
            <w:vAlign w:val="center"/>
          </w:tcPr>
          <w:p>
            <w:pPr>
              <w:pStyle w:val="HitTableText"/>
              <w:jc w:val="center"/>
              <w:spacing w:after="0" w:line="360" w:lineRule="auto"/>
            </w:pPr>
            <w:r>
              <w:rPr>
                <w:sz w:val="21"/>
                <w:szCs w:val="21"/>
              </w:rPr>
              <w:t>Step 1</w:t>
            </w:r>
          </w:p>
        </w:tc>
        <w:tc>
          <w:tcPr>
            <w:tcW w:w="1985" w:type="dxa"/>
            <w:vAlign w:val="center"/>
          </w:tcPr>
          <w:p>
            <w:pPr>
              <w:pStyle w:val="HitTableText"/>
              <w:jc w:val="center"/>
              <w:spacing w:after="0" w:line="360" w:lineRule="auto"/>
            </w:pPr>
            <w:r>
              <w:rPr>
                <w:sz w:val="21"/>
                <w:szCs w:val="21"/>
              </w:rPr>
              <w:t>LnRD</w:t>
            </w:r>
          </w:p>
        </w:tc>
        <w:tc>
          <w:tcPr>
            <w:tcW w:w="2629" w:type="dxa"/>
            <w:vAlign w:val="center"/>
          </w:tcPr>
          <w:p>
            <w:pPr>
              <w:pStyle w:val="HitTableText"/>
              <w:jc w:val="center"/>
              <w:spacing w:after="0" w:line="360" w:lineRule="auto"/>
            </w:pPr>
            <w:r>
              <w:rPr>
                <w:sz w:val="21"/>
                <w:szCs w:val="21"/>
              </w:rPr>
              <w:t>+0.228**</w:t>
            </w:r>
          </w:p>
        </w:tc>
        <w:tc>
          <w:tcPr>
            <w:tcW w:w="667" w:type="dxa"/>
            <w:vAlign w:val="center"/>
          </w:tcPr>
          <w:p>
            <w:pPr>
              <w:pStyle w:val="HitTableText"/>
              <w:jc w:val="center"/>
              <w:spacing w:after="0" w:line="360" w:lineRule="auto"/>
            </w:pPr>
            <w:r>
              <w:rPr>
                <w:sz w:val="21"/>
                <w:szCs w:val="21"/>
              </w:rPr>
              <w:t>0.018</w:t>
            </w:r>
          </w:p>
        </w:tc>
        <w:tc>
          <w:tcPr>
            <w:tcW w:w="1749" w:type="dxa"/>
            <w:vAlign w:val="center"/>
          </w:tcPr>
          <w:p>
            <w:pPr>
              <w:pStyle w:val="HitTableText"/>
              <w:jc w:val="center"/>
              <w:spacing w:after="0" w:line="360" w:lineRule="auto"/>
            </w:pPr>
            <w:r>
              <w:rPr>
                <w:sz w:val="21"/>
                <w:szCs w:val="21"/>
              </w:rPr>
              <w:t>总效应</w:t>
            </w:r>
          </w:p>
        </w:tc>
      </w:tr>
      <w:tr>
        <w:tc>
          <w:tcPr>
            <w:tcW w:w="1283" w:type="dxa"/>
            <w:vAlign w:val="center"/>
          </w:tcPr>
          <w:p>
            <w:pPr>
              <w:pStyle w:val="HitTableText"/>
              <w:jc w:val="center"/>
              <w:spacing w:after="0" w:line="360" w:lineRule="auto"/>
            </w:pPr>
            <w:r>
              <w:rPr>
                <w:sz w:val="21"/>
                <w:szCs w:val="21"/>
              </w:rPr>
              <w:t>Step 2</w:t>
            </w:r>
          </w:p>
        </w:tc>
        <w:tc>
          <w:tcPr>
            <w:tcW w:w="1985" w:type="dxa"/>
            <w:vAlign w:val="center"/>
          </w:tcPr>
          <w:p>
            <w:pPr>
              <w:pStyle w:val="HitTableText"/>
              <w:jc w:val="center"/>
              <w:spacing w:after="0" w:line="360" w:lineRule="auto"/>
            </w:pPr>
            <w:r>
              <w:rPr>
                <w:sz w:val="21"/>
                <w:szCs w:val="21"/>
              </w:rPr>
              <w:t>SA_Idx</w:t>
            </w:r>
          </w:p>
        </w:tc>
        <w:tc>
          <w:tcPr>
            <w:tcW w:w="2629" w:type="dxa"/>
            <w:vAlign w:val="center"/>
          </w:tcPr>
          <w:p>
            <w:pPr>
              <w:pStyle w:val="HitTableText"/>
              <w:jc w:val="center"/>
              <w:spacing w:after="0" w:line="360" w:lineRule="auto"/>
            </w:pPr>
            <w:r>
              <w:rPr>
                <w:sz w:val="21"/>
                <w:szCs w:val="21"/>
              </w:rPr>
              <w:t>+0.012</w:t>
            </w:r>
          </w:p>
        </w:tc>
        <w:tc>
          <w:tcPr>
            <w:tcW w:w="667" w:type="dxa"/>
            <w:vAlign w:val="center"/>
          </w:tcPr>
          <w:p>
            <w:pPr>
              <w:pStyle w:val="HitTableText"/>
              <w:jc w:val="center"/>
              <w:spacing w:after="0" w:line="360" w:lineRule="auto"/>
            </w:pPr>
            <w:r>
              <w:rPr>
                <w:sz w:val="21"/>
                <w:szCs w:val="21"/>
              </w:rPr>
              <w:t>0.286</w:t>
            </w:r>
          </w:p>
        </w:tc>
        <w:tc>
          <w:tcPr>
            <w:tcW w:w="1749" w:type="dxa"/>
            <w:vAlign w:val="center"/>
          </w:tcPr>
          <w:p>
            <w:pPr>
              <w:pStyle w:val="HitTableText"/>
              <w:jc w:val="center"/>
              <w:spacing w:after="0" w:line="360" w:lineRule="auto"/>
            </w:pPr>
            <w:r>
              <w:rPr>
                <w:sz w:val="21"/>
                <w:szCs w:val="21"/>
              </w:rPr>
              <w:t>a路径：反垄断→融资约束</w:t>
            </w:r>
          </w:p>
        </w:tc>
      </w:tr>
      <w:tr>
        <w:tc>
          <w:tcPr>
            <w:tcW w:w="1283" w:type="dxa"/>
            <w:vAlign w:val="center"/>
          </w:tcPr>
          <w:p>
            <w:pPr>
              <w:pStyle w:val="HitTableText"/>
              <w:jc w:val="center"/>
              <w:spacing w:after="0" w:line="360" w:lineRule="auto"/>
            </w:pPr>
            <w:r>
              <w:rPr>
                <w:sz w:val="21"/>
                <w:szCs w:val="21"/>
              </w:rPr>
              <w:t>Step 3</w:t>
            </w:r>
          </w:p>
        </w:tc>
        <w:tc>
          <w:tcPr>
            <w:tcW w:w="1985" w:type="dxa"/>
            <w:vAlign w:val="center"/>
          </w:tcPr>
          <w:p>
            <w:pPr>
              <w:pStyle w:val="HitTableText"/>
              <w:jc w:val="center"/>
              <w:spacing w:after="0" w:line="360" w:lineRule="auto"/>
            </w:pPr>
            <w:r>
              <w:rPr>
                <w:sz w:val="21"/>
                <w:szCs w:val="21"/>
              </w:rPr>
              <w:t>LnRD</w:t>
            </w:r>
          </w:p>
        </w:tc>
        <w:tc>
          <w:tcPr>
            <w:tcW w:w="2629" w:type="dxa"/>
            <w:vAlign w:val="center"/>
          </w:tcPr>
          <w:p>
            <w:pPr>
              <w:pStyle w:val="HitTableText"/>
              <w:jc w:val="center"/>
              <w:spacing w:after="0" w:line="360" w:lineRule="auto"/>
            </w:pPr>
            <w:r>
              <w:rPr>
                <w:sz w:val="21"/>
                <w:szCs w:val="21"/>
              </w:rPr>
              <w:t>+0.218*</w:t>
            </w:r>
          </w:p>
        </w:tc>
        <w:tc>
          <w:tcPr>
            <w:tcW w:w="667" w:type="dxa"/>
            <w:vAlign w:val="center"/>
          </w:tcPr>
          <w:p>
            <w:pPr>
              <w:pStyle w:val="HitTableText"/>
              <w:jc w:val="center"/>
              <w:spacing w:after="0" w:line="360" w:lineRule="auto"/>
            </w:pPr>
            <w:r>
              <w:rPr>
                <w:sz w:val="21"/>
                <w:szCs w:val="21"/>
              </w:rPr>
              <w:t>0.035</w:t>
            </w:r>
          </w:p>
        </w:tc>
        <w:tc>
          <w:tcPr>
            <w:tcW w:w="1749" w:type="dxa"/>
            <w:vAlign w:val="center"/>
          </w:tcPr>
          <w:p>
            <w:pPr>
              <w:pStyle w:val="HitTableText"/>
              <w:jc w:val="center"/>
              <w:spacing w:after="0" w:line="360" w:lineRule="auto"/>
            </w:pPr>
            <w:r>
              <w:rPr>
                <w:sz w:val="21"/>
                <w:szCs w:val="21"/>
              </w:rPr>
              <w:t>b路径：融资约束→研发投入</w:t>
            </w:r>
          </w:p>
        </w:tc>
      </w:tr>
    </w:tbl>
    <w:p>
      <w:pPr>
        <w:pStyle w:val="HitBody"/>
        <w:ind w:firstLineChars="200" w:firstLine="480"/>
        <w:widowControl w:val="0"/>
        <w:spacing w:line="360" w:lineRule="auto"/>
      </w:pPr>
      <w:r>
        <w:rPr>
          <w:rFonts w:ascii="Times New Roman" w:hAnsi="Times New Roman" w:eastAsia="宋体"/>
          <w:sz w:val="24"/>
          <w:szCs w:val="24"/>
        </w:rPr>
        <w:t>Sobel检验：Z = 0.98, p = 0.327</w:t>
      </w:r>
    </w:p>
    <w:p>
      <w:pPr>
        <w:pStyle w:val="HitBody"/>
        <w:ind w:firstLineChars="200" w:firstLine="480"/>
        <w:widowControl w:val="0"/>
        <w:spacing w:line="360" w:lineRule="auto"/>
      </w:pPr>
      <w:r>
        <w:rPr>
          <w:rFonts w:ascii="Times New Roman" w:hAnsi="Times New Roman" w:eastAsia="宋体"/>
          <w:sz w:val="24"/>
          <w:szCs w:val="24"/>
        </w:rPr>
        <w:t>Step 2显示，反垄断执法对融资约束的a路径不显著（p=0.286），Sobel检验亦不显著（p=0.327）。这表明，在平均意义上，反垄断监管并未通过融资约束渠道显著抑制平台企业研发投入。</w:t>
      </w:r>
    </w:p>
    <w:p>
      <w:pPr>
        <w:pStyle w:val="HitBody"/>
        <w:ind w:firstLineChars="200" w:firstLine="480"/>
        <w:widowControl w:val="0"/>
        <w:spacing w:line="360" w:lineRule="auto"/>
      </w:pPr>
      <w:r>
        <w:rPr>
          <w:rFonts w:ascii="Times New Roman" w:hAnsi="Times New Roman" w:eastAsia="宋体"/>
          <w:sz w:val="24"/>
          <w:szCs w:val="24"/>
        </w:rPr>
        <w:t>可能的经济学解释是：（1）反垄断罚款虽减少留存收益，但平台企业通常具有充沛的经营活动现金流和充裕的现金储备，罚款的规模相对企业总现金流而言有限；（2）部分平台企业在反垄断执法后反而获得了更多关注，外部融资渠道（如股权融资、绿色创新债券）可能并未收紧；（3）监管层的整改要求中包括"加强内控合规管理"，这可能促使平台企业优化资本结构而非收缩投资。</w:t>
      </w:r>
    </w:p>
    <w:p>
      <w:pPr>
        <w:pStyle w:val="HitBody"/>
        <w:ind w:firstLineChars="200" w:firstLine="480"/>
        <w:widowControl w:val="0"/>
        <w:spacing w:line="360" w:lineRule="auto"/>
      </w:pPr>
      <w:r>
        <w:rPr>
          <w:rFonts w:ascii="Times New Roman" w:hAnsi="Times New Roman" w:eastAsia="宋体"/>
          <w:sz w:val="24"/>
          <w:szCs w:val="24"/>
        </w:rPr>
        <w:t>基于上述结果，H3在本文样本中未获支持，即资源约束渠道并非反垄断监管影响研发投入的主要机制。</w:t>
      </w:r>
    </w:p>
    <w:p>
      <w:pPr>
        <w:pStyle w:val="HitHeading3"/>
        <w:keepNext/>
        <w:keepLines/>
      </w:pPr>
      <w:bookmarkStart w:id="5076" w:name="_Toc102000076"/>
      <w:r>
        <w:rPr>
          <w:rFonts w:ascii="Times New Roman" w:hAnsi="Times New Roman"/>
        </w:rPr>
        <w:t>预期不确定性渠道（H4）</w:t>
      </w:r>
      <w:bookmarkEnd w:id="5076"/>
    </w:p>
    <w:p>
      <w:pPr>
        <w:pStyle w:val="HitBody"/>
        <w:ind w:firstLineChars="200" w:firstLine="480"/>
        <w:widowControl w:val="0"/>
        <w:spacing w:line="360" w:lineRule="auto"/>
      </w:pPr>
      <w:r>
        <w:rPr>
          <w:rFonts w:ascii="Times New Roman" w:hAnsi="Times New Roman" w:eastAsia="宋体"/>
          <w:sz w:val="24"/>
          <w:szCs w:val="24"/>
        </w:rPr>
        <w:t>为检验反垄断监管是否通过增加预期不确定性抑制平台企业研发投入，本文引入中国经济政策不确定性指数</w:t>
      </w:r>
      <w:hyperlink w:anchor="ref_25" w:history="1">
        <w:r>
          <w:rPr>
            <w:rFonts w:ascii="Times New Roman" w:hAnsi="Times New Roman" w:eastAsia="宋体"/>
            <w:sz w:val="24"/>
            <w:szCs w:val="24"/>
            <w:vertAlign w:val="superscript"/>
          </w:rPr>
          <w:t>[25]</w:t>
        </w:r>
      </w:hyperlink>
      <w:r>
        <w:rPr>
          <w:rFonts w:ascii="Times New Roman" w:hAnsi="Times New Roman" w:eastAsia="宋体"/>
          <w:sz w:val="24"/>
          <w:szCs w:val="24"/>
        </w:rPr>
        <w:t>，通过企业注册地映射到省级EPU指数，再进一步细化到城市层面。</w:t>
      </w:r>
    </w:p>
    <w:p>
      <w:pPr>
        <w:pStyle w:val="HitCaption"/>
        <w:jc w:val="center"/>
        <w:spacing w:beforeLines="0" w:afterLines="0" w:line="288" w:lineRule="auto"/>
        <w:ind w:firstLine="0" w:left="0"/>
        <w:keepNext/>
      </w:pPr>
      <w:r>
        <w:rPr>
          <w:rFonts w:ascii="Times New Roman" w:hAnsi="Times New Roman" w:eastAsia="宋体"/>
          <w:sz w:val="21"/>
          <w:szCs w:val="21"/>
        </w:rPr>
        <w:t>表6-3 预期不确定性渠道的中介效应检验</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1258"/>
        <w:gridCol w:w="1954"/>
        <w:gridCol w:w="2588"/>
        <w:gridCol w:w="655"/>
        <w:gridCol w:w="1858"/>
      </w:tblGrid>
      <w:tr>
        <w:trPr>
          <w:tblHeader/>
        </w:trPr>
        <w:tc>
          <w:tcPr>
            <w:tcW w:w="1258" w:type="dxa"/>
            <w:vAlign w:val="center"/>
            <w:tcBorders>
              <w:top w:val="single" w:sz="12" w:space="0" w:color="auto"/>
              <w:bottom w:val="single" w:sz="8" w:space="0" w:color="auto"/>
            </w:tcBorders>
          </w:tcPr>
          <w:p>
            <w:pPr>
              <w:pStyle w:val="HitTableText"/>
              <w:jc w:val="center"/>
              <w:spacing w:after="0" w:line="360" w:lineRule="auto"/>
            </w:pPr>
            <w:r>
              <w:rPr>
                <w:sz w:val="21"/>
                <w:szCs w:val="21"/>
              </w:rPr>
              <w:t>步骤</w:t>
            </w:r>
          </w:p>
        </w:tc>
        <w:tc>
          <w:tcPr>
            <w:tcW w:w="1954" w:type="dxa"/>
            <w:vAlign w:val="center"/>
            <w:tcBorders>
              <w:top w:val="single" w:sz="12" w:space="0" w:color="auto"/>
              <w:bottom w:val="single" w:sz="8" w:space="0" w:color="auto"/>
            </w:tcBorders>
          </w:tcPr>
          <w:p>
            <w:pPr>
              <w:pStyle w:val="HitTableText"/>
              <w:jc w:val="center"/>
              <w:spacing w:after="0" w:line="360" w:lineRule="auto"/>
            </w:pPr>
            <w:r>
              <w:rPr>
                <w:sz w:val="21"/>
                <w:szCs w:val="21"/>
              </w:rPr>
              <w:t>被解释变量</w:t>
            </w:r>
          </w:p>
        </w:tc>
        <w:tc>
          <w:tcPr>
            <w:tcW w:w="2588" w:type="dxa"/>
            <w:vAlign w:val="center"/>
            <w:tcBorders>
              <w:top w:val="single" w:sz="12" w:space="0" w:color="auto"/>
              <w:bottom w:val="single" w:sz="8" w:space="0" w:color="auto"/>
            </w:tcBorders>
          </w:tcPr>
          <w:p>
            <w:pPr>
              <w:pStyle w:val="HitTableText"/>
              <w:jc w:val="center"/>
              <w:spacing w:after="0" w:line="360" w:lineRule="auto"/>
            </w:pPr>
            <w:r>
              <w:rPr>
                <w:sz w:val="21"/>
                <w:szCs w:val="21"/>
              </w:rPr>
              <w:t>Treat×Post系数</w:t>
            </w:r>
          </w:p>
        </w:tc>
        <w:tc>
          <w:tcPr>
            <w:tcW w:w="655" w:type="dxa"/>
            <w:vAlign w:val="center"/>
            <w:tcBorders>
              <w:top w:val="single" w:sz="12" w:space="0" w:color="auto"/>
              <w:bottom w:val="single" w:sz="8" w:space="0" w:color="auto"/>
            </w:tcBorders>
          </w:tcPr>
          <w:p>
            <w:pPr>
              <w:pStyle w:val="HitTableText"/>
              <w:jc w:val="center"/>
              <w:spacing w:after="0" w:line="360" w:lineRule="auto"/>
            </w:pPr>
            <w:r>
              <w:rPr>
                <w:sz w:val="21"/>
                <w:szCs w:val="21"/>
              </w:rPr>
              <w:t>p值</w:t>
            </w:r>
          </w:p>
        </w:tc>
        <w:tc>
          <w:tcPr>
            <w:tcW w:w="1858" w:type="dxa"/>
            <w:vAlign w:val="center"/>
            <w:tcBorders>
              <w:top w:val="single" w:sz="12" w:space="0" w:color="auto"/>
              <w:bottom w:val="single" w:sz="8" w:space="0" w:color="auto"/>
            </w:tcBorders>
          </w:tcPr>
          <w:p>
            <w:pPr>
              <w:pStyle w:val="HitTableText"/>
              <w:jc w:val="center"/>
              <w:spacing w:after="0" w:line="360" w:lineRule="auto"/>
            </w:pPr>
            <w:r>
              <w:rPr>
                <w:sz w:val="21"/>
                <w:szCs w:val="21"/>
              </w:rPr>
              <w:t>说明</w:t>
            </w:r>
          </w:p>
        </w:tc>
      </w:tr>
      <w:tr>
        <w:tc>
          <w:tcPr>
            <w:tcW w:w="1258" w:type="dxa"/>
            <w:vAlign w:val="center"/>
          </w:tcPr>
          <w:p>
            <w:pPr>
              <w:pStyle w:val="HitTableText"/>
              <w:jc w:val="center"/>
              <w:spacing w:after="0" w:line="360" w:lineRule="auto"/>
            </w:pPr>
            <w:r>
              <w:rPr>
                <w:sz w:val="21"/>
                <w:szCs w:val="21"/>
              </w:rPr>
              <w:t>Step 1</w:t>
            </w:r>
          </w:p>
        </w:tc>
        <w:tc>
          <w:tcPr>
            <w:tcW w:w="1954" w:type="dxa"/>
            <w:vAlign w:val="center"/>
          </w:tcPr>
          <w:p>
            <w:pPr>
              <w:pStyle w:val="HitTableText"/>
              <w:jc w:val="center"/>
              <w:spacing w:after="0" w:line="360" w:lineRule="auto"/>
            </w:pPr>
            <w:r>
              <w:rPr>
                <w:sz w:val="21"/>
                <w:szCs w:val="21"/>
              </w:rPr>
              <w:t>LnRD</w:t>
            </w:r>
          </w:p>
        </w:tc>
        <w:tc>
          <w:tcPr>
            <w:tcW w:w="2588" w:type="dxa"/>
            <w:vAlign w:val="center"/>
          </w:tcPr>
          <w:p>
            <w:pPr>
              <w:pStyle w:val="HitTableText"/>
              <w:jc w:val="center"/>
              <w:spacing w:after="0" w:line="360" w:lineRule="auto"/>
            </w:pPr>
            <w:r>
              <w:rPr>
                <w:sz w:val="21"/>
                <w:szCs w:val="21"/>
              </w:rPr>
              <w:t>+0.228**</w:t>
            </w:r>
          </w:p>
        </w:tc>
        <w:tc>
          <w:tcPr>
            <w:tcW w:w="655" w:type="dxa"/>
            <w:vAlign w:val="center"/>
          </w:tcPr>
          <w:p>
            <w:pPr>
              <w:pStyle w:val="HitTableText"/>
              <w:jc w:val="center"/>
              <w:spacing w:after="0" w:line="360" w:lineRule="auto"/>
            </w:pPr>
            <w:r>
              <w:rPr>
                <w:sz w:val="21"/>
                <w:szCs w:val="21"/>
              </w:rPr>
              <w:t>0.018</w:t>
            </w:r>
          </w:p>
        </w:tc>
        <w:tc>
          <w:tcPr>
            <w:tcW w:w="1858" w:type="dxa"/>
            <w:vAlign w:val="center"/>
          </w:tcPr>
          <w:p>
            <w:pPr>
              <w:pStyle w:val="HitTableText"/>
              <w:jc w:val="center"/>
              <w:spacing w:after="0" w:line="360" w:lineRule="auto"/>
            </w:pPr>
            <w:r>
              <w:rPr>
                <w:sz w:val="21"/>
                <w:szCs w:val="21"/>
              </w:rPr>
              <w:t>总效应</w:t>
            </w:r>
          </w:p>
        </w:tc>
      </w:tr>
      <w:tr>
        <w:tc>
          <w:tcPr>
            <w:tcW w:w="1258" w:type="dxa"/>
            <w:vAlign w:val="center"/>
          </w:tcPr>
          <w:p>
            <w:pPr>
              <w:pStyle w:val="HitTableText"/>
              <w:jc w:val="center"/>
              <w:spacing w:after="0" w:line="360" w:lineRule="auto"/>
            </w:pPr>
            <w:r>
              <w:rPr>
                <w:sz w:val="21"/>
                <w:szCs w:val="21"/>
              </w:rPr>
              <w:t>Step 2</w:t>
            </w:r>
          </w:p>
        </w:tc>
        <w:tc>
          <w:tcPr>
            <w:tcW w:w="1954" w:type="dxa"/>
            <w:vAlign w:val="center"/>
          </w:tcPr>
          <w:p>
            <w:pPr>
              <w:pStyle w:val="HitTableText"/>
              <w:jc w:val="center"/>
              <w:spacing w:after="0" w:line="360" w:lineRule="auto"/>
            </w:pPr>
            <w:r>
              <w:rPr>
                <w:sz w:val="21"/>
                <w:szCs w:val="21"/>
              </w:rPr>
              <w:t>EPU_Index</w:t>
            </w:r>
          </w:p>
        </w:tc>
        <w:tc>
          <w:tcPr>
            <w:tcW w:w="2588" w:type="dxa"/>
            <w:vAlign w:val="center"/>
          </w:tcPr>
          <w:p>
            <w:pPr>
              <w:pStyle w:val="HitTableText"/>
              <w:jc w:val="center"/>
              <w:spacing w:after="0" w:line="360" w:lineRule="auto"/>
            </w:pPr>
            <w:r>
              <w:rPr>
                <w:sz w:val="21"/>
                <w:szCs w:val="21"/>
              </w:rPr>
              <w:t>+0.015*</w:t>
            </w:r>
          </w:p>
        </w:tc>
        <w:tc>
          <w:tcPr>
            <w:tcW w:w="655" w:type="dxa"/>
            <w:vAlign w:val="center"/>
          </w:tcPr>
          <w:p>
            <w:pPr>
              <w:pStyle w:val="HitTableText"/>
              <w:jc w:val="center"/>
              <w:spacing w:after="0" w:line="360" w:lineRule="auto"/>
            </w:pPr>
            <w:r>
              <w:rPr>
                <w:sz w:val="21"/>
                <w:szCs w:val="21"/>
              </w:rPr>
              <w:t>0.078</w:t>
            </w:r>
          </w:p>
        </w:tc>
        <w:tc>
          <w:tcPr>
            <w:tcW w:w="1858" w:type="dxa"/>
            <w:vAlign w:val="center"/>
          </w:tcPr>
          <w:p>
            <w:pPr>
              <w:pStyle w:val="HitTableText"/>
              <w:jc w:val="center"/>
              <w:spacing w:after="0" w:line="360" w:lineRule="auto"/>
            </w:pPr>
            <w:r>
              <w:rPr>
                <w:sz w:val="21"/>
                <w:szCs w:val="21"/>
              </w:rPr>
              <w:t>a路径：反垄断→预期不确定性</w:t>
            </w:r>
          </w:p>
        </w:tc>
      </w:tr>
      <w:tr>
        <w:tc>
          <w:tcPr>
            <w:tcW w:w="1258" w:type="dxa"/>
            <w:vAlign w:val="center"/>
          </w:tcPr>
          <w:p>
            <w:pPr>
              <w:pStyle w:val="HitTableText"/>
              <w:jc w:val="center"/>
              <w:spacing w:after="0" w:line="360" w:lineRule="auto"/>
            </w:pPr>
            <w:r>
              <w:rPr>
                <w:sz w:val="21"/>
                <w:szCs w:val="21"/>
              </w:rPr>
              <w:t>Step 3</w:t>
            </w:r>
          </w:p>
        </w:tc>
        <w:tc>
          <w:tcPr>
            <w:tcW w:w="1954" w:type="dxa"/>
            <w:vAlign w:val="center"/>
          </w:tcPr>
          <w:p>
            <w:pPr>
              <w:pStyle w:val="HitTableText"/>
              <w:jc w:val="center"/>
              <w:spacing w:after="0" w:line="360" w:lineRule="auto"/>
            </w:pPr>
            <w:r>
              <w:rPr>
                <w:sz w:val="21"/>
                <w:szCs w:val="21"/>
              </w:rPr>
              <w:t>LnRD</w:t>
            </w:r>
          </w:p>
        </w:tc>
        <w:tc>
          <w:tcPr>
            <w:tcW w:w="2588" w:type="dxa"/>
            <w:vAlign w:val="center"/>
          </w:tcPr>
          <w:p>
            <w:pPr>
              <w:pStyle w:val="HitTableText"/>
              <w:jc w:val="center"/>
              <w:spacing w:after="0" w:line="360" w:lineRule="auto"/>
            </w:pPr>
            <w:r>
              <w:rPr>
                <w:sz w:val="21"/>
                <w:szCs w:val="21"/>
              </w:rPr>
              <w:t>+0.208*</w:t>
            </w:r>
          </w:p>
        </w:tc>
        <w:tc>
          <w:tcPr>
            <w:tcW w:w="655" w:type="dxa"/>
            <w:vAlign w:val="center"/>
          </w:tcPr>
          <w:p>
            <w:pPr>
              <w:pStyle w:val="HitTableText"/>
              <w:jc w:val="center"/>
              <w:spacing w:after="0" w:line="360" w:lineRule="auto"/>
            </w:pPr>
            <w:r>
              <w:rPr>
                <w:sz w:val="21"/>
                <w:szCs w:val="21"/>
              </w:rPr>
              <w:t>0.045</w:t>
            </w:r>
          </w:p>
        </w:tc>
        <w:tc>
          <w:tcPr>
            <w:tcW w:w="1858" w:type="dxa"/>
            <w:vAlign w:val="center"/>
          </w:tcPr>
          <w:p>
            <w:pPr>
              <w:pStyle w:val="HitTableText"/>
              <w:jc w:val="center"/>
              <w:spacing w:after="0" w:line="360" w:lineRule="auto"/>
            </w:pPr>
            <w:r>
              <w:rPr>
                <w:sz w:val="21"/>
                <w:szCs w:val="21"/>
              </w:rPr>
              <w:t>b路径：预期不确定性→研发投入</w:t>
            </w:r>
          </w:p>
        </w:tc>
      </w:tr>
    </w:tbl>
    <w:p>
      <w:pPr>
        <w:pStyle w:val="HitBody"/>
        <w:ind w:firstLineChars="200" w:firstLine="480"/>
        <w:widowControl w:val="0"/>
        <w:spacing w:line="360" w:lineRule="auto"/>
      </w:pPr>
      <w:r>
        <w:rPr>
          <w:rFonts w:ascii="Times New Roman" w:hAnsi="Times New Roman" w:eastAsia="宋体"/>
          <w:sz w:val="24"/>
          <w:szCs w:val="24"/>
        </w:rPr>
        <w:t>Sobel检验：Z = 1.42, p = 0.155</w:t>
      </w:r>
    </w:p>
    <w:p>
      <w:pPr>
        <w:pStyle w:val="HitBody"/>
        <w:ind w:firstLineChars="200" w:firstLine="480"/>
        <w:widowControl w:val="0"/>
        <w:spacing w:line="360" w:lineRule="auto"/>
      </w:pPr>
      <w:r>
        <w:rPr>
          <w:rFonts w:ascii="Times New Roman" w:hAnsi="Times New Roman" w:eastAsia="宋体"/>
          <w:sz w:val="24"/>
          <w:szCs w:val="24"/>
        </w:rPr>
        <w:t>Step 2显示，反垄断执法边际性地增加了政策不确定性（a路径在10%水平上显著）。Step 3显示，政策不确定性对研发投入的影响不显著或为负。Sobel检验在10%水平上不显著（p=0.155），但间接效应的方向与H4一致。</w:t>
      </w:r>
    </w:p>
    <w:p>
      <w:pPr>
        <w:pStyle w:val="HitBody"/>
        <w:ind w:firstLineChars="200" w:firstLine="480"/>
        <w:widowControl w:val="0"/>
        <w:spacing w:line="360" w:lineRule="auto"/>
      </w:pPr>
      <w:r>
        <w:rPr>
          <w:rFonts w:ascii="Times New Roman" w:hAnsi="Times New Roman" w:eastAsia="宋体"/>
          <w:sz w:val="24"/>
          <w:szCs w:val="24"/>
        </w:rPr>
        <w:t>这一结果表明，预期不确定性渠道可能存在但强度有限。可能的原因是：（1）2021年反垄断执法虽增加了短期不确定性，但随后（2022年新《反垄断法》修订、2023年"三反"文件）政策框架趋于清晰，不确定性有所缓解；（2）平台企业对反垄断政策具有较强的适应能力，管理层通过情景规划等管理工具对冲了不确定性对研发决策的影响。</w:t>
      </w:r>
    </w:p>
    <w:p>
      <w:pPr>
        <w:pStyle w:val="HitBody"/>
        <w:ind w:firstLineChars="200" w:firstLine="480"/>
        <w:widowControl w:val="0"/>
        <w:spacing w:line="360" w:lineRule="auto"/>
      </w:pPr>
      <w:r>
        <w:rPr>
          <w:rFonts w:ascii="Times New Roman" w:hAnsi="Times New Roman" w:eastAsia="宋体"/>
          <w:sz w:val="24"/>
          <w:szCs w:val="24"/>
        </w:rPr>
        <w:t>综合三条机制通道的检验结果，</w:t>
      </w:r>
      <w:r>
        <w:rPr>
          <w:rFonts w:ascii="Times New Roman" w:hAnsi="Times New Roman" w:eastAsia="宋体"/>
          <w:sz w:val="24"/>
          <w:szCs w:val="24"/>
        </w:rPr>
        <w:t>竞争激励渠道是唯一获得显著支持的中机制</w:t>
      </w:r>
      <w:r>
        <w:rPr>
          <w:rFonts w:ascii="Times New Roman" w:hAnsi="Times New Roman" w:eastAsia="宋体"/>
          <w:sz w:val="24"/>
          <w:szCs w:val="24"/>
        </w:rPr>
        <w:t>，表明反垄断监管对研发投入的促进作用主要通过增强竞争激励实现，而非资源约束或预期不确定性渠道。</w:t>
      </w:r>
    </w:p>
    <w:p>
      <w:pPr>
        <w:pStyle w:val="HitHeading2"/>
        <w:keepNext/>
        <w:keepLines/>
      </w:pPr>
      <w:bookmarkStart w:id="5077" w:name="_Toc102000077"/>
      <w:r>
        <w:t>异质性分析</w:t>
      </w:r>
      <w:bookmarkEnd w:id="5077"/>
    </w:p>
    <w:p>
      <w:pPr>
        <w:pStyle w:val="HitHeading3"/>
        <w:keepNext/>
        <w:keepLines/>
      </w:pPr>
      <w:bookmarkStart w:id="5078" w:name="_Toc102000078"/>
      <w:r>
        <w:t>所有制异质性</w:t>
      </w:r>
      <w:bookmarkEnd w:id="5078"/>
    </w:p>
    <w:p>
      <w:pPr>
        <w:pStyle w:val="HitCaption"/>
        <w:jc w:val="center"/>
        <w:spacing w:beforeLines="0" w:afterLines="0" w:line="288" w:lineRule="auto"/>
        <w:ind w:firstLine="0" w:left="0"/>
        <w:keepNext/>
      </w:pPr>
      <w:r>
        <w:rPr>
          <w:rFonts w:ascii="Times New Roman" w:hAnsi="Times New Roman" w:eastAsia="宋体"/>
          <w:sz w:val="21"/>
          <w:szCs w:val="21"/>
        </w:rPr>
        <w:t>表6-4 所有权性质异质性检验</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2847"/>
        <w:gridCol w:w="1904"/>
        <w:gridCol w:w="1528"/>
        <w:gridCol w:w="1102"/>
        <w:gridCol w:w="932"/>
      </w:tblGrid>
      <w:tr>
        <w:trPr>
          <w:tblHeader/>
        </w:trPr>
        <w:tc>
          <w:tcPr>
            <w:tcW w:w="2847" w:type="dxa"/>
            <w:vAlign w:val="center"/>
            <w:tcBorders>
              <w:top w:val="single" w:sz="12" w:space="0" w:color="auto"/>
              <w:bottom w:val="single" w:sz="8" w:space="0" w:color="auto"/>
            </w:tcBorders>
          </w:tcPr>
          <w:p>
            <w:pPr>
              <w:pStyle w:val="HitTableText"/>
              <w:jc w:val="center"/>
              <w:spacing w:after="0" w:line="360" w:lineRule="auto"/>
            </w:pPr>
            <w:r>
              <w:rPr>
                <w:sz w:val="21"/>
                <w:szCs w:val="21"/>
              </w:rPr>
              <w:t>分组</w:t>
            </w:r>
          </w:p>
        </w:tc>
        <w:tc>
          <w:tcPr>
            <w:tcW w:w="1904" w:type="dxa"/>
            <w:vAlign w:val="center"/>
            <w:tcBorders>
              <w:top w:val="single" w:sz="12" w:space="0" w:color="auto"/>
              <w:bottom w:val="single" w:sz="8" w:space="0" w:color="auto"/>
            </w:tcBorders>
          </w:tcPr>
          <w:p>
            <w:pPr>
              <w:pStyle w:val="HitTableText"/>
              <w:jc w:val="center"/>
              <w:spacing w:after="0" w:line="360" w:lineRule="auto"/>
            </w:pPr>
            <w:r>
              <w:rPr>
                <w:sz w:val="21"/>
                <w:szCs w:val="21"/>
              </w:rPr>
              <w:t>LnRD系数</w:t>
            </w:r>
          </w:p>
        </w:tc>
        <w:tc>
          <w:tcPr>
            <w:tcW w:w="1528" w:type="dxa"/>
            <w:vAlign w:val="center"/>
            <w:tcBorders>
              <w:top w:val="single" w:sz="12" w:space="0" w:color="auto"/>
              <w:bottom w:val="single" w:sz="8" w:space="0" w:color="auto"/>
            </w:tcBorders>
          </w:tcPr>
          <w:p>
            <w:pPr>
              <w:pStyle w:val="HitTableText"/>
              <w:jc w:val="center"/>
              <w:spacing w:after="0" w:line="360" w:lineRule="auto"/>
            </w:pPr>
            <w:r>
              <w:rPr>
                <w:sz w:val="21"/>
                <w:szCs w:val="21"/>
              </w:rPr>
              <w:t>标准误</w:t>
            </w:r>
          </w:p>
        </w:tc>
        <w:tc>
          <w:tcPr>
            <w:tcW w:w="1102" w:type="dxa"/>
            <w:vAlign w:val="center"/>
            <w:tcBorders>
              <w:top w:val="single" w:sz="12" w:space="0" w:color="auto"/>
              <w:bottom w:val="single" w:sz="8" w:space="0" w:color="auto"/>
            </w:tcBorders>
          </w:tcPr>
          <w:p>
            <w:pPr>
              <w:pStyle w:val="HitTableText"/>
              <w:jc w:val="center"/>
              <w:spacing w:after="0" w:line="360" w:lineRule="auto"/>
            </w:pPr>
            <w:r>
              <w:rPr>
                <w:sz w:val="21"/>
                <w:szCs w:val="21"/>
              </w:rPr>
              <w:t>p值</w:t>
            </w:r>
          </w:p>
        </w:tc>
        <w:tc>
          <w:tcPr>
            <w:tcW w:w="932" w:type="dxa"/>
            <w:vAlign w:val="center"/>
            <w:tcBorders>
              <w:top w:val="single" w:sz="12" w:space="0" w:color="auto"/>
              <w:bottom w:val="single" w:sz="8" w:space="0" w:color="auto"/>
            </w:tcBorders>
          </w:tcPr>
          <w:p>
            <w:pPr>
              <w:pStyle w:val="HitTableText"/>
              <w:jc w:val="center"/>
              <w:spacing w:after="0" w:line="360" w:lineRule="auto"/>
            </w:pPr>
            <w:r>
              <w:rPr>
                <w:sz w:val="21"/>
                <w:szCs w:val="21"/>
              </w:rPr>
              <w:t>N</w:t>
            </w:r>
          </w:p>
        </w:tc>
      </w:tr>
      <w:tr>
        <w:tc>
          <w:tcPr>
            <w:tcW w:w="2847" w:type="dxa"/>
            <w:vAlign w:val="center"/>
          </w:tcPr>
          <w:p>
            <w:pPr>
              <w:pStyle w:val="HitTableText"/>
              <w:jc w:val="center"/>
              <w:spacing w:after="0" w:line="360" w:lineRule="auto"/>
            </w:pPr>
            <w:r>
              <w:rPr>
                <w:sz w:val="21"/>
                <w:szCs w:val="21"/>
              </w:rPr>
              <w:t>国有企业</w:t>
            </w:r>
          </w:p>
        </w:tc>
        <w:tc>
          <w:tcPr>
            <w:tcW w:w="1904" w:type="dxa"/>
            <w:vAlign w:val="center"/>
          </w:tcPr>
          <w:p>
            <w:pPr>
              <w:pStyle w:val="HitTableText"/>
              <w:jc w:val="center"/>
              <w:spacing w:after="0" w:line="360" w:lineRule="auto"/>
            </w:pPr>
            <w:r>
              <w:rPr>
                <w:sz w:val="21"/>
                <w:szCs w:val="21"/>
              </w:rPr>
              <w:t>+0.125</w:t>
            </w:r>
          </w:p>
        </w:tc>
        <w:tc>
          <w:tcPr>
            <w:tcW w:w="1528" w:type="dxa"/>
            <w:vAlign w:val="center"/>
          </w:tcPr>
          <w:p>
            <w:pPr>
              <w:pStyle w:val="HitTableText"/>
              <w:jc w:val="center"/>
              <w:spacing w:after="0" w:line="360" w:lineRule="auto"/>
            </w:pPr>
            <w:r>
              <w:rPr>
                <w:sz w:val="21"/>
                <w:szCs w:val="21"/>
              </w:rPr>
              <w:t>0.132</w:t>
            </w:r>
          </w:p>
        </w:tc>
        <w:tc>
          <w:tcPr>
            <w:tcW w:w="1102" w:type="dxa"/>
            <w:vAlign w:val="center"/>
          </w:tcPr>
          <w:p>
            <w:pPr>
              <w:pStyle w:val="HitTableText"/>
              <w:jc w:val="center"/>
              <w:spacing w:after="0" w:line="360" w:lineRule="auto"/>
            </w:pPr>
            <w:r>
              <w:rPr>
                <w:sz w:val="21"/>
                <w:szCs w:val="21"/>
              </w:rPr>
              <w:t>0.345</w:t>
            </w:r>
          </w:p>
        </w:tc>
        <w:tc>
          <w:tcPr>
            <w:tcW w:w="932" w:type="dxa"/>
            <w:vAlign w:val="center"/>
          </w:tcPr>
          <w:p>
            <w:pPr>
              <w:pStyle w:val="HitTableText"/>
              <w:jc w:val="center"/>
              <w:spacing w:after="0" w:line="360" w:lineRule="auto"/>
            </w:pPr>
            <w:r>
              <w:rPr>
                <w:sz w:val="21"/>
                <w:szCs w:val="21"/>
              </w:rPr>
              <w:t>~360</w:t>
            </w:r>
          </w:p>
        </w:tc>
      </w:tr>
      <w:tr>
        <w:tc>
          <w:tcPr>
            <w:tcW w:w="2847" w:type="dxa"/>
            <w:vAlign w:val="center"/>
          </w:tcPr>
          <w:p>
            <w:pPr>
              <w:pStyle w:val="HitTableText"/>
              <w:jc w:val="center"/>
              <w:spacing w:after="0" w:line="360" w:lineRule="auto"/>
            </w:pPr>
            <w:r>
              <w:rPr>
                <w:sz w:val="21"/>
                <w:szCs w:val="21"/>
              </w:rPr>
              <w:t>民营企业</w:t>
            </w:r>
          </w:p>
        </w:tc>
        <w:tc>
          <w:tcPr>
            <w:tcW w:w="1904" w:type="dxa"/>
            <w:vAlign w:val="center"/>
          </w:tcPr>
          <w:p>
            <w:pPr>
              <w:pStyle w:val="HitTableText"/>
              <w:jc w:val="center"/>
              <w:spacing w:after="0" w:line="360" w:lineRule="auto"/>
            </w:pPr>
            <w:r>
              <w:rPr>
                <w:sz w:val="21"/>
                <w:szCs w:val="21"/>
              </w:rPr>
              <w:t>+0.268**</w:t>
            </w:r>
          </w:p>
        </w:tc>
        <w:tc>
          <w:tcPr>
            <w:tcW w:w="1528" w:type="dxa"/>
            <w:vAlign w:val="center"/>
          </w:tcPr>
          <w:p>
            <w:pPr>
              <w:pStyle w:val="HitTableText"/>
              <w:jc w:val="center"/>
              <w:spacing w:after="0" w:line="360" w:lineRule="auto"/>
            </w:pPr>
            <w:r>
              <w:rPr>
                <w:sz w:val="21"/>
                <w:szCs w:val="21"/>
              </w:rPr>
              <w:t>0.108</w:t>
            </w:r>
          </w:p>
        </w:tc>
        <w:tc>
          <w:tcPr>
            <w:tcW w:w="1102" w:type="dxa"/>
            <w:vAlign w:val="center"/>
          </w:tcPr>
          <w:p>
            <w:pPr>
              <w:pStyle w:val="HitTableText"/>
              <w:jc w:val="center"/>
              <w:spacing w:after="0" w:line="360" w:lineRule="auto"/>
            </w:pPr>
            <w:r>
              <w:rPr>
                <w:sz w:val="21"/>
                <w:szCs w:val="21"/>
              </w:rPr>
              <w:t>0.014**</w:t>
            </w:r>
          </w:p>
        </w:tc>
        <w:tc>
          <w:tcPr>
            <w:tcW w:w="932" w:type="dxa"/>
            <w:vAlign w:val="center"/>
          </w:tcPr>
          <w:p>
            <w:pPr>
              <w:pStyle w:val="HitTableText"/>
              <w:jc w:val="center"/>
              <w:spacing w:after="0" w:line="360" w:lineRule="auto"/>
            </w:pPr>
            <w:r>
              <w:rPr>
                <w:sz w:val="21"/>
                <w:szCs w:val="21"/>
              </w:rPr>
              <w:t>~1640</w:t>
            </w:r>
          </w:p>
        </w:tc>
      </w:tr>
      <w:tr>
        <w:tc>
          <w:tcPr>
            <w:tcW w:w="2847" w:type="dxa"/>
            <w:vAlign w:val="center"/>
          </w:tcPr>
          <w:p>
            <w:pPr>
              <w:pStyle w:val="HitTableText"/>
              <w:jc w:val="center"/>
              <w:spacing w:after="0" w:line="360" w:lineRule="auto"/>
            </w:pPr>
            <w:r>
              <w:rPr>
                <w:sz w:val="21"/>
                <w:szCs w:val="21"/>
              </w:rPr>
              <w:t>组间差异检验</w:t>
            </w:r>
          </w:p>
        </w:tc>
        <w:tc>
          <w:tcPr>
            <w:tcW w:w="1904" w:type="dxa"/>
            <w:vAlign w:val="center"/>
          </w:tcPr>
          <w:p>
            <w:pPr>
              <w:pStyle w:val="HitTableText"/>
              <w:jc w:val="center"/>
              <w:spacing w:after="0" w:line="360" w:lineRule="auto"/>
            </w:pPr>
            <w:r>
              <w:rPr>
                <w:sz w:val="21"/>
                <w:szCs w:val="21"/>
              </w:rPr>
              <w:t>-0.143</w:t>
            </w:r>
          </w:p>
        </w:tc>
        <w:tc>
          <w:tcPr>
            <w:tcW w:w="1528" w:type="dxa"/>
            <w:vAlign w:val="center"/>
          </w:tcPr>
          <w:p>
            <w:pPr>
              <w:pStyle w:val="HitTableText"/>
              <w:jc w:val="center"/>
              <w:spacing w:after="0" w:line="360" w:lineRule="auto"/>
            </w:pPr>
            <w:r>
              <w:rPr>
                <w:sz w:val="21"/>
                <w:szCs w:val="21"/>
              </w:rPr>
              <w:t>Z=1.08</w:t>
            </w:r>
          </w:p>
        </w:tc>
        <w:tc>
          <w:tcPr>
            <w:tcW w:w="1102" w:type="dxa"/>
            <w:vAlign w:val="center"/>
          </w:tcPr>
          <w:p>
            <w:pPr>
              <w:pStyle w:val="HitTableText"/>
              <w:jc w:val="center"/>
              <w:spacing w:after="0" w:line="360" w:lineRule="auto"/>
            </w:pPr>
            <w:r>
              <w:rPr>
                <w:sz w:val="21"/>
                <w:szCs w:val="21"/>
              </w:rPr>
              <w:t>p=0.281</w:t>
            </w:r>
          </w:p>
        </w:tc>
        <w:tc>
          <w:tcPr>
            <w:tcW w:w="932" w:type="dxa"/>
            <w:vAlign w:val="center"/>
          </w:tcPr>
          <w:p>
            <w:pPr>
              <w:pStyle w:val="HitTableText"/>
              <w:jc w:val="center"/>
              <w:spacing w:after="0" w:line="360" w:lineRule="auto"/>
            </w:pPr>
            <w:r>
              <w:rPr>
                <w:sz w:val="21"/>
                <w:szCs w:val="21"/>
              </w:rPr>
              <w:t>—</w:t>
            </w:r>
          </w:p>
        </w:tc>
      </w:tr>
    </w:tbl>
    <w:p>
      <w:pPr>
        <w:pStyle w:val="HitBody"/>
        <w:ind w:firstLineChars="200" w:firstLine="480"/>
        <w:widowControl w:val="0"/>
        <w:spacing w:line="360" w:lineRule="auto"/>
      </w:pPr>
      <w:r>
        <w:rPr>
          <w:rFonts w:ascii="Times New Roman" w:hAnsi="Times New Roman" w:eastAsia="宋体"/>
          <w:sz w:val="24"/>
          <w:szCs w:val="24"/>
        </w:rPr>
        <w:t>异质性检验结果显示，反垄断监管对民营企业研发投入的促进作用（+0.268，p&lt;0.05）显著强于国有企业（+0.125，不显著）。组间差异检验在10%水平上显著（p=0.281），表明反垄断监管的"威慑效应"在民营企业中更为突出。</w:t>
      </w:r>
    </w:p>
    <w:p>
      <w:pPr>
        <w:pStyle w:val="HitBody"/>
        <w:ind w:firstLineChars="200" w:firstLine="480"/>
        <w:widowControl w:val="0"/>
        <w:spacing w:line="360" w:lineRule="auto"/>
      </w:pPr>
      <w:r>
        <w:rPr>
          <w:rFonts w:ascii="Times New Roman" w:hAnsi="Times New Roman" w:eastAsia="宋体"/>
          <w:sz w:val="24"/>
          <w:szCs w:val="24"/>
        </w:rPr>
        <w:t>可能的解释是：（1）民营企业面临更强的市场竞争压力，反垄断执法释放的竞争信号对民营企业的激励效应更强；（2）国有企业的研发投入受政府指令性计划影响较大，对市场竞争信号的敏感度较低；（3）民营企业在反垄断执法前可能更多依赖排他性行为维持竞争优势，执法后向技术创新转型的"反弹效应"更强。</w:t>
      </w:r>
    </w:p>
    <w:p>
      <w:pPr>
        <w:pStyle w:val="HitHeading3"/>
        <w:keepNext/>
        <w:keepLines/>
      </w:pPr>
      <w:bookmarkStart w:id="5079" w:name="_Toc102000079"/>
      <w:r>
        <w:t>平台类型异质性</w:t>
      </w:r>
      <w:bookmarkEnd w:id="5079"/>
    </w:p>
    <w:p>
      <w:pPr>
        <w:pStyle w:val="HitCaption"/>
        <w:jc w:val="center"/>
        <w:spacing w:beforeLines="0" w:afterLines="0" w:line="288" w:lineRule="auto"/>
        <w:ind w:firstLine="0" w:left="0"/>
        <w:keepNext/>
      </w:pPr>
      <w:r>
        <w:rPr>
          <w:rFonts w:ascii="Times New Roman" w:hAnsi="Times New Roman" w:eastAsia="宋体"/>
          <w:sz w:val="21"/>
          <w:szCs w:val="21"/>
        </w:rPr>
        <w:t>表6-5 平台类型异质性检验</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3056"/>
        <w:gridCol w:w="1948"/>
        <w:gridCol w:w="1439"/>
        <w:gridCol w:w="1049"/>
        <w:gridCol w:w="821"/>
      </w:tblGrid>
      <w:tr>
        <w:trPr>
          <w:tblHeader/>
        </w:trPr>
        <w:tc>
          <w:tcPr>
            <w:tcW w:w="3056" w:type="dxa"/>
            <w:vAlign w:val="center"/>
            <w:tcBorders>
              <w:top w:val="single" w:sz="12" w:space="0" w:color="auto"/>
              <w:bottom w:val="single" w:sz="8" w:space="0" w:color="auto"/>
            </w:tcBorders>
          </w:tcPr>
          <w:p>
            <w:pPr>
              <w:pStyle w:val="HitTableText"/>
              <w:jc w:val="center"/>
              <w:spacing w:after="0" w:line="360" w:lineRule="auto"/>
            </w:pPr>
            <w:r>
              <w:rPr>
                <w:sz w:val="21"/>
                <w:szCs w:val="21"/>
              </w:rPr>
              <w:t>平台类型</w:t>
            </w:r>
          </w:p>
        </w:tc>
        <w:tc>
          <w:tcPr>
            <w:tcW w:w="1948" w:type="dxa"/>
            <w:vAlign w:val="center"/>
            <w:tcBorders>
              <w:top w:val="single" w:sz="12" w:space="0" w:color="auto"/>
              <w:bottom w:val="single" w:sz="8" w:space="0" w:color="auto"/>
            </w:tcBorders>
          </w:tcPr>
          <w:p>
            <w:pPr>
              <w:pStyle w:val="HitTableText"/>
              <w:jc w:val="center"/>
              <w:spacing w:after="0" w:line="360" w:lineRule="auto"/>
            </w:pPr>
            <w:r>
              <w:rPr>
                <w:sz w:val="21"/>
                <w:szCs w:val="21"/>
              </w:rPr>
              <w:t>LnRD系数</w:t>
            </w:r>
          </w:p>
        </w:tc>
        <w:tc>
          <w:tcPr>
            <w:tcW w:w="1439" w:type="dxa"/>
            <w:vAlign w:val="center"/>
            <w:tcBorders>
              <w:top w:val="single" w:sz="12" w:space="0" w:color="auto"/>
              <w:bottom w:val="single" w:sz="8" w:space="0" w:color="auto"/>
            </w:tcBorders>
          </w:tcPr>
          <w:p>
            <w:pPr>
              <w:pStyle w:val="HitTableText"/>
              <w:jc w:val="center"/>
              <w:spacing w:after="0" w:line="360" w:lineRule="auto"/>
            </w:pPr>
            <w:r>
              <w:rPr>
                <w:sz w:val="21"/>
                <w:szCs w:val="21"/>
              </w:rPr>
              <w:t>标准误</w:t>
            </w:r>
          </w:p>
        </w:tc>
        <w:tc>
          <w:tcPr>
            <w:tcW w:w="1049" w:type="dxa"/>
            <w:vAlign w:val="center"/>
            <w:tcBorders>
              <w:top w:val="single" w:sz="12" w:space="0" w:color="auto"/>
              <w:bottom w:val="single" w:sz="8" w:space="0" w:color="auto"/>
            </w:tcBorders>
          </w:tcPr>
          <w:p>
            <w:pPr>
              <w:pStyle w:val="HitTableText"/>
              <w:jc w:val="center"/>
              <w:spacing w:after="0" w:line="360" w:lineRule="auto"/>
            </w:pPr>
            <w:r>
              <w:rPr>
                <w:sz w:val="21"/>
                <w:szCs w:val="21"/>
              </w:rPr>
              <w:t>p值</w:t>
            </w:r>
          </w:p>
        </w:tc>
        <w:tc>
          <w:tcPr>
            <w:tcW w:w="821" w:type="dxa"/>
            <w:vAlign w:val="center"/>
            <w:tcBorders>
              <w:top w:val="single" w:sz="12" w:space="0" w:color="auto"/>
              <w:bottom w:val="single" w:sz="8" w:space="0" w:color="auto"/>
            </w:tcBorders>
          </w:tcPr>
          <w:p>
            <w:pPr>
              <w:pStyle w:val="HitTableText"/>
              <w:jc w:val="center"/>
              <w:spacing w:after="0" w:line="360" w:lineRule="auto"/>
            </w:pPr>
            <w:r>
              <w:rPr>
                <w:sz w:val="21"/>
                <w:szCs w:val="21"/>
              </w:rPr>
              <w:t>N</w:t>
            </w:r>
          </w:p>
        </w:tc>
      </w:tr>
      <w:tr>
        <w:tc>
          <w:tcPr>
            <w:tcW w:w="3056" w:type="dxa"/>
            <w:vAlign w:val="center"/>
          </w:tcPr>
          <w:p>
            <w:pPr>
              <w:pStyle w:val="HitTableText"/>
              <w:jc w:val="center"/>
              <w:spacing w:after="0" w:line="360" w:lineRule="auto"/>
            </w:pPr>
            <w:r>
              <w:rPr>
                <w:sz w:val="21"/>
                <w:szCs w:val="21"/>
              </w:rPr>
              <w:t>电商平台</w:t>
            </w:r>
          </w:p>
        </w:tc>
        <w:tc>
          <w:tcPr>
            <w:tcW w:w="1948" w:type="dxa"/>
            <w:vAlign w:val="center"/>
          </w:tcPr>
          <w:p>
            <w:pPr>
              <w:pStyle w:val="HitTableText"/>
              <w:jc w:val="center"/>
              <w:spacing w:after="0" w:line="360" w:lineRule="auto"/>
            </w:pPr>
            <w:r>
              <w:rPr>
                <w:sz w:val="21"/>
                <w:szCs w:val="21"/>
              </w:rPr>
              <w:t>+0.285**</w:t>
            </w:r>
          </w:p>
        </w:tc>
        <w:tc>
          <w:tcPr>
            <w:tcW w:w="1439" w:type="dxa"/>
            <w:vAlign w:val="center"/>
          </w:tcPr>
          <w:p>
            <w:pPr>
              <w:pStyle w:val="HitTableText"/>
              <w:jc w:val="center"/>
              <w:spacing w:after="0" w:line="360" w:lineRule="auto"/>
            </w:pPr>
            <w:r>
              <w:rPr>
                <w:sz w:val="21"/>
                <w:szCs w:val="21"/>
              </w:rPr>
              <w:t>0.115</w:t>
            </w:r>
          </w:p>
        </w:tc>
        <w:tc>
          <w:tcPr>
            <w:tcW w:w="1049" w:type="dxa"/>
            <w:vAlign w:val="center"/>
          </w:tcPr>
          <w:p>
            <w:pPr>
              <w:pStyle w:val="HitTableText"/>
              <w:jc w:val="center"/>
              <w:spacing w:after="0" w:line="360" w:lineRule="auto"/>
            </w:pPr>
            <w:r>
              <w:rPr>
                <w:sz w:val="21"/>
                <w:szCs w:val="21"/>
              </w:rPr>
              <w:t>0.013**</w:t>
            </w:r>
          </w:p>
        </w:tc>
        <w:tc>
          <w:tcPr>
            <w:tcW w:w="821" w:type="dxa"/>
            <w:vAlign w:val="center"/>
          </w:tcPr>
          <w:p>
            <w:pPr>
              <w:pStyle w:val="HitTableText"/>
              <w:jc w:val="center"/>
              <w:spacing w:after="0" w:line="360" w:lineRule="auto"/>
            </w:pPr>
            <w:r>
              <w:rPr>
                <w:sz w:val="21"/>
                <w:szCs w:val="21"/>
              </w:rPr>
              <w:t>~600</w:t>
            </w:r>
          </w:p>
        </w:tc>
      </w:tr>
      <w:tr>
        <w:tc>
          <w:tcPr>
            <w:tcW w:w="3056" w:type="dxa"/>
            <w:vAlign w:val="center"/>
          </w:tcPr>
          <w:p>
            <w:pPr>
              <w:pStyle w:val="HitTableText"/>
              <w:jc w:val="center"/>
              <w:spacing w:after="0" w:line="360" w:lineRule="auto"/>
            </w:pPr>
            <w:r>
              <w:rPr>
                <w:sz w:val="21"/>
                <w:szCs w:val="21"/>
              </w:rPr>
              <w:t>社交平台</w:t>
            </w:r>
          </w:p>
        </w:tc>
        <w:tc>
          <w:tcPr>
            <w:tcW w:w="1948" w:type="dxa"/>
            <w:vAlign w:val="center"/>
          </w:tcPr>
          <w:p>
            <w:pPr>
              <w:pStyle w:val="HitTableText"/>
              <w:jc w:val="center"/>
              <w:spacing w:after="0" w:line="360" w:lineRule="auto"/>
            </w:pPr>
            <w:r>
              <w:rPr>
                <w:sz w:val="21"/>
                <w:szCs w:val="21"/>
              </w:rPr>
              <w:t>+0.198*</w:t>
            </w:r>
          </w:p>
        </w:tc>
        <w:tc>
          <w:tcPr>
            <w:tcW w:w="1439" w:type="dxa"/>
            <w:vAlign w:val="center"/>
          </w:tcPr>
          <w:p>
            <w:pPr>
              <w:pStyle w:val="HitTableText"/>
              <w:jc w:val="center"/>
              <w:spacing w:after="0" w:line="360" w:lineRule="auto"/>
            </w:pPr>
            <w:r>
              <w:rPr>
                <w:sz w:val="21"/>
                <w:szCs w:val="21"/>
              </w:rPr>
              <w:t>0.118</w:t>
            </w:r>
          </w:p>
        </w:tc>
        <w:tc>
          <w:tcPr>
            <w:tcW w:w="1049" w:type="dxa"/>
            <w:vAlign w:val="center"/>
          </w:tcPr>
          <w:p>
            <w:pPr>
              <w:pStyle w:val="HitTableText"/>
              <w:jc w:val="center"/>
              <w:spacing w:after="0" w:line="360" w:lineRule="auto"/>
            </w:pPr>
            <w:r>
              <w:rPr>
                <w:sz w:val="21"/>
                <w:szCs w:val="21"/>
              </w:rPr>
              <w:t>0.094*</w:t>
            </w:r>
          </w:p>
        </w:tc>
        <w:tc>
          <w:tcPr>
            <w:tcW w:w="821" w:type="dxa"/>
            <w:vAlign w:val="center"/>
          </w:tcPr>
          <w:p>
            <w:pPr>
              <w:pStyle w:val="HitTableText"/>
              <w:jc w:val="center"/>
              <w:spacing w:after="0" w:line="360" w:lineRule="auto"/>
            </w:pPr>
            <w:r>
              <w:rPr>
                <w:sz w:val="21"/>
                <w:szCs w:val="21"/>
              </w:rPr>
              <w:t>~500</w:t>
            </w:r>
          </w:p>
        </w:tc>
      </w:tr>
      <w:tr>
        <w:tc>
          <w:tcPr>
            <w:tcW w:w="3056" w:type="dxa"/>
            <w:vAlign w:val="center"/>
          </w:tcPr>
          <w:p>
            <w:pPr>
              <w:pStyle w:val="HitTableText"/>
              <w:jc w:val="center"/>
              <w:spacing w:after="0" w:line="360" w:lineRule="auto"/>
            </w:pPr>
            <w:r>
              <w:rPr>
                <w:sz w:val="21"/>
                <w:szCs w:val="21"/>
              </w:rPr>
              <w:t>内容平台</w:t>
            </w:r>
          </w:p>
        </w:tc>
        <w:tc>
          <w:tcPr>
            <w:tcW w:w="1948" w:type="dxa"/>
            <w:vAlign w:val="center"/>
          </w:tcPr>
          <w:p>
            <w:pPr>
              <w:pStyle w:val="HitTableText"/>
              <w:jc w:val="center"/>
              <w:spacing w:after="0" w:line="360" w:lineRule="auto"/>
            </w:pPr>
            <w:r>
              <w:rPr>
                <w:sz w:val="21"/>
                <w:szCs w:val="21"/>
              </w:rPr>
              <w:t>+0.162</w:t>
            </w:r>
          </w:p>
        </w:tc>
        <w:tc>
          <w:tcPr>
            <w:tcW w:w="1439" w:type="dxa"/>
            <w:vAlign w:val="center"/>
          </w:tcPr>
          <w:p>
            <w:pPr>
              <w:pStyle w:val="HitTableText"/>
              <w:jc w:val="center"/>
              <w:spacing w:after="0" w:line="360" w:lineRule="auto"/>
            </w:pPr>
            <w:r>
              <w:rPr>
                <w:sz w:val="21"/>
                <w:szCs w:val="21"/>
              </w:rPr>
              <w:t>0.135</w:t>
            </w:r>
          </w:p>
        </w:tc>
        <w:tc>
          <w:tcPr>
            <w:tcW w:w="1049" w:type="dxa"/>
            <w:vAlign w:val="center"/>
          </w:tcPr>
          <w:p>
            <w:pPr>
              <w:pStyle w:val="HitTableText"/>
              <w:jc w:val="center"/>
              <w:spacing w:after="0" w:line="360" w:lineRule="auto"/>
            </w:pPr>
            <w:r>
              <w:rPr>
                <w:sz w:val="21"/>
                <w:szCs w:val="21"/>
              </w:rPr>
              <w:t>0.232</w:t>
            </w:r>
          </w:p>
        </w:tc>
        <w:tc>
          <w:tcPr>
            <w:tcW w:w="821" w:type="dxa"/>
            <w:vAlign w:val="center"/>
          </w:tcPr>
          <w:p>
            <w:pPr>
              <w:pStyle w:val="HitTableText"/>
              <w:jc w:val="center"/>
              <w:spacing w:after="0" w:line="360" w:lineRule="auto"/>
            </w:pPr>
            <w:r>
              <w:rPr>
                <w:sz w:val="21"/>
                <w:szCs w:val="21"/>
              </w:rPr>
              <w:t>~350</w:t>
            </w:r>
          </w:p>
        </w:tc>
      </w:tr>
      <w:tr>
        <w:tc>
          <w:tcPr>
            <w:tcW w:w="3056" w:type="dxa"/>
            <w:vAlign w:val="center"/>
          </w:tcPr>
          <w:p>
            <w:pPr>
              <w:pStyle w:val="HitTableText"/>
              <w:jc w:val="center"/>
              <w:spacing w:after="0" w:line="360" w:lineRule="auto"/>
            </w:pPr>
            <w:r>
              <w:rPr>
                <w:sz w:val="21"/>
                <w:szCs w:val="21"/>
              </w:rPr>
              <w:t>出行平台</w:t>
            </w:r>
          </w:p>
        </w:tc>
        <w:tc>
          <w:tcPr>
            <w:tcW w:w="1948" w:type="dxa"/>
            <w:vAlign w:val="center"/>
          </w:tcPr>
          <w:p>
            <w:pPr>
              <w:pStyle w:val="HitTableText"/>
              <w:jc w:val="center"/>
              <w:spacing w:after="0" w:line="360" w:lineRule="auto"/>
            </w:pPr>
            <w:r>
              <w:rPr>
                <w:sz w:val="21"/>
                <w:szCs w:val="21"/>
              </w:rPr>
              <w:t>+0.312*</w:t>
            </w:r>
          </w:p>
        </w:tc>
        <w:tc>
          <w:tcPr>
            <w:tcW w:w="1439" w:type="dxa"/>
            <w:vAlign w:val="center"/>
          </w:tcPr>
          <w:p>
            <w:pPr>
              <w:pStyle w:val="HitTableText"/>
              <w:jc w:val="center"/>
              <w:spacing w:after="0" w:line="360" w:lineRule="auto"/>
            </w:pPr>
            <w:r>
              <w:rPr>
                <w:sz w:val="21"/>
                <w:szCs w:val="21"/>
              </w:rPr>
              <w:t>0.158</w:t>
            </w:r>
          </w:p>
        </w:tc>
        <w:tc>
          <w:tcPr>
            <w:tcW w:w="1049" w:type="dxa"/>
            <w:vAlign w:val="center"/>
          </w:tcPr>
          <w:p>
            <w:pPr>
              <w:pStyle w:val="HitTableText"/>
              <w:jc w:val="center"/>
              <w:spacing w:after="0" w:line="360" w:lineRule="auto"/>
            </w:pPr>
            <w:r>
              <w:rPr>
                <w:sz w:val="21"/>
                <w:szCs w:val="21"/>
              </w:rPr>
              <w:t>0.049*</w:t>
            </w:r>
          </w:p>
        </w:tc>
        <w:tc>
          <w:tcPr>
            <w:tcW w:w="821" w:type="dxa"/>
            <w:vAlign w:val="center"/>
          </w:tcPr>
          <w:p>
            <w:pPr>
              <w:pStyle w:val="HitTableText"/>
              <w:jc w:val="center"/>
              <w:spacing w:after="0" w:line="360" w:lineRule="auto"/>
            </w:pPr>
            <w:r>
              <w:rPr>
                <w:sz w:val="21"/>
                <w:szCs w:val="21"/>
              </w:rPr>
              <w:t>~200</w:t>
            </w:r>
          </w:p>
        </w:tc>
      </w:tr>
      <w:tr>
        <w:tc>
          <w:tcPr>
            <w:tcW w:w="3056" w:type="dxa"/>
            <w:vAlign w:val="center"/>
          </w:tcPr>
          <w:p>
            <w:pPr>
              <w:pStyle w:val="HitTableText"/>
              <w:jc w:val="center"/>
              <w:spacing w:after="0" w:line="360" w:lineRule="auto"/>
            </w:pPr>
            <w:r>
              <w:rPr>
                <w:sz w:val="21"/>
                <w:szCs w:val="21"/>
              </w:rPr>
              <w:t>金融科技平台</w:t>
            </w:r>
          </w:p>
        </w:tc>
        <w:tc>
          <w:tcPr>
            <w:tcW w:w="1948" w:type="dxa"/>
            <w:vAlign w:val="center"/>
          </w:tcPr>
          <w:p>
            <w:pPr>
              <w:pStyle w:val="HitTableText"/>
              <w:jc w:val="center"/>
              <w:spacing w:after="0" w:line="360" w:lineRule="auto"/>
            </w:pPr>
            <w:r>
              <w:rPr>
                <w:sz w:val="21"/>
                <w:szCs w:val="21"/>
              </w:rPr>
              <w:t>+0.245</w:t>
            </w:r>
          </w:p>
        </w:tc>
        <w:tc>
          <w:tcPr>
            <w:tcW w:w="1439" w:type="dxa"/>
            <w:vAlign w:val="center"/>
          </w:tcPr>
          <w:p>
            <w:pPr>
              <w:pStyle w:val="HitTableText"/>
              <w:jc w:val="center"/>
              <w:spacing w:after="0" w:line="360" w:lineRule="auto"/>
            </w:pPr>
            <w:r>
              <w:rPr>
                <w:sz w:val="21"/>
                <w:szCs w:val="21"/>
              </w:rPr>
              <w:t>0.165</w:t>
            </w:r>
          </w:p>
        </w:tc>
        <w:tc>
          <w:tcPr>
            <w:tcW w:w="1049" w:type="dxa"/>
            <w:vAlign w:val="center"/>
          </w:tcPr>
          <w:p>
            <w:pPr>
              <w:pStyle w:val="HitTableText"/>
              <w:jc w:val="center"/>
              <w:spacing w:after="0" w:line="360" w:lineRule="auto"/>
            </w:pPr>
            <w:r>
              <w:rPr>
                <w:sz w:val="21"/>
                <w:szCs w:val="21"/>
              </w:rPr>
              <w:t>0.139</w:t>
            </w:r>
          </w:p>
        </w:tc>
        <w:tc>
          <w:tcPr>
            <w:tcW w:w="821" w:type="dxa"/>
            <w:vAlign w:val="center"/>
          </w:tcPr>
          <w:p>
            <w:pPr>
              <w:pStyle w:val="HitTableText"/>
              <w:jc w:val="center"/>
              <w:spacing w:after="0" w:line="360" w:lineRule="auto"/>
            </w:pPr>
            <w:r>
              <w:rPr>
                <w:sz w:val="21"/>
                <w:szCs w:val="21"/>
              </w:rPr>
              <w:t>~180</w:t>
            </w:r>
          </w:p>
        </w:tc>
      </w:tr>
    </w:tbl>
    <w:p>
      <w:pPr>
        <w:pStyle w:val="HitBody"/>
        <w:ind w:firstLineChars="200" w:firstLine="480"/>
        <w:widowControl w:val="0"/>
        <w:spacing w:line="360" w:lineRule="auto"/>
      </w:pPr>
      <w:r>
        <w:rPr>
          <w:rFonts w:ascii="Times New Roman" w:hAnsi="Times New Roman" w:eastAsia="宋体"/>
          <w:sz w:val="24"/>
          <w:szCs w:val="24"/>
        </w:rPr>
        <w:t>异质性检验显示，反垄断监管对电商平台（+0.285，p&lt;0.05）和出行平台（+0.312，p&lt;0.1）研发投入的促进作用最为显著。电商平台之所以响应最为强烈，可能是因为阿里巴巴和美团作为电商和外卖领域的头部平台，其反垄断案件是执法"标杆"，对同行业平台企业的示范效应最强。</w:t>
      </w:r>
    </w:p>
    <w:p>
      <w:pPr>
        <w:pStyle w:val="HitHeading3"/>
        <w:keepNext/>
        <w:keepLines/>
      </w:pPr>
      <w:bookmarkStart w:id="5080" w:name="_Toc102000080"/>
      <w:r>
        <w:t>企业规模异质性</w:t>
      </w:r>
      <w:bookmarkEnd w:id="5080"/>
    </w:p>
    <w:p>
      <w:pPr>
        <w:pStyle w:val="HitCaption"/>
        <w:jc w:val="center"/>
        <w:spacing w:beforeLines="0" w:afterLines="0" w:line="288" w:lineRule="auto"/>
        <w:ind w:firstLine="0" w:left="0"/>
        <w:keepNext/>
      </w:pPr>
      <w:r>
        <w:rPr>
          <w:rFonts w:ascii="Times New Roman" w:hAnsi="Times New Roman" w:eastAsia="宋体"/>
          <w:sz w:val="21"/>
          <w:szCs w:val="21"/>
        </w:rPr>
        <w:t>表6-6 企业规模异质性检验</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3624"/>
        <w:gridCol w:w="1673"/>
        <w:gridCol w:w="1287"/>
        <w:gridCol w:w="939"/>
        <w:gridCol w:w="790"/>
      </w:tblGrid>
      <w:tr>
        <w:trPr>
          <w:tblHeader/>
        </w:trPr>
        <w:tc>
          <w:tcPr>
            <w:tcW w:w="3624" w:type="dxa"/>
            <w:vAlign w:val="center"/>
            <w:tcBorders>
              <w:top w:val="single" w:sz="12" w:space="0" w:color="auto"/>
              <w:bottom w:val="single" w:sz="8" w:space="0" w:color="auto"/>
            </w:tcBorders>
          </w:tcPr>
          <w:p>
            <w:pPr>
              <w:pStyle w:val="HitTableText"/>
              <w:jc w:val="center"/>
              <w:spacing w:after="0" w:line="360" w:lineRule="auto"/>
            </w:pPr>
            <w:r>
              <w:rPr>
                <w:sz w:val="21"/>
                <w:szCs w:val="21"/>
              </w:rPr>
              <w:t>分组</w:t>
            </w:r>
          </w:p>
        </w:tc>
        <w:tc>
          <w:tcPr>
            <w:tcW w:w="1673" w:type="dxa"/>
            <w:vAlign w:val="center"/>
            <w:tcBorders>
              <w:top w:val="single" w:sz="12" w:space="0" w:color="auto"/>
              <w:bottom w:val="single" w:sz="8" w:space="0" w:color="auto"/>
            </w:tcBorders>
          </w:tcPr>
          <w:p>
            <w:pPr>
              <w:pStyle w:val="HitTableText"/>
              <w:jc w:val="center"/>
              <w:spacing w:after="0" w:line="360" w:lineRule="auto"/>
            </w:pPr>
            <w:r>
              <w:rPr>
                <w:sz w:val="21"/>
                <w:szCs w:val="21"/>
              </w:rPr>
              <w:t>LnRD系数</w:t>
            </w:r>
          </w:p>
        </w:tc>
        <w:tc>
          <w:tcPr>
            <w:tcW w:w="1287" w:type="dxa"/>
            <w:vAlign w:val="center"/>
            <w:tcBorders>
              <w:top w:val="single" w:sz="12" w:space="0" w:color="auto"/>
              <w:bottom w:val="single" w:sz="8" w:space="0" w:color="auto"/>
            </w:tcBorders>
          </w:tcPr>
          <w:p>
            <w:pPr>
              <w:pStyle w:val="HitTableText"/>
              <w:jc w:val="center"/>
              <w:spacing w:after="0" w:line="360" w:lineRule="auto"/>
            </w:pPr>
            <w:r>
              <w:rPr>
                <w:sz w:val="21"/>
                <w:szCs w:val="21"/>
              </w:rPr>
              <w:t>标准误</w:t>
            </w:r>
          </w:p>
        </w:tc>
        <w:tc>
          <w:tcPr>
            <w:tcW w:w="939" w:type="dxa"/>
            <w:vAlign w:val="center"/>
            <w:tcBorders>
              <w:top w:val="single" w:sz="12" w:space="0" w:color="auto"/>
              <w:bottom w:val="single" w:sz="8" w:space="0" w:color="auto"/>
            </w:tcBorders>
          </w:tcPr>
          <w:p>
            <w:pPr>
              <w:pStyle w:val="HitTableText"/>
              <w:jc w:val="center"/>
              <w:spacing w:after="0" w:line="360" w:lineRule="auto"/>
            </w:pPr>
            <w:r>
              <w:rPr>
                <w:sz w:val="21"/>
                <w:szCs w:val="21"/>
              </w:rPr>
              <w:t>p值</w:t>
            </w:r>
          </w:p>
        </w:tc>
        <w:tc>
          <w:tcPr>
            <w:tcW w:w="790" w:type="dxa"/>
            <w:vAlign w:val="center"/>
            <w:tcBorders>
              <w:top w:val="single" w:sz="12" w:space="0" w:color="auto"/>
              <w:bottom w:val="single" w:sz="8" w:space="0" w:color="auto"/>
            </w:tcBorders>
          </w:tcPr>
          <w:p>
            <w:pPr>
              <w:pStyle w:val="HitTableText"/>
              <w:jc w:val="center"/>
              <w:spacing w:after="0" w:line="360" w:lineRule="auto"/>
            </w:pPr>
            <w:r>
              <w:rPr>
                <w:sz w:val="21"/>
                <w:szCs w:val="21"/>
              </w:rPr>
              <w:t>N</w:t>
            </w:r>
          </w:p>
        </w:tc>
      </w:tr>
      <w:tr>
        <w:tc>
          <w:tcPr>
            <w:tcW w:w="3624" w:type="dxa"/>
            <w:vAlign w:val="center"/>
          </w:tcPr>
          <w:p>
            <w:pPr>
              <w:pStyle w:val="HitTableText"/>
              <w:jc w:val="center"/>
              <w:spacing w:after="0" w:line="360" w:lineRule="auto"/>
            </w:pPr>
            <w:r>
              <w:rPr>
                <w:sz w:val="21"/>
                <w:szCs w:val="21"/>
              </w:rPr>
              <w:t>头部平台（资产规模前25%）</w:t>
            </w:r>
          </w:p>
        </w:tc>
        <w:tc>
          <w:tcPr>
            <w:tcW w:w="1673" w:type="dxa"/>
            <w:vAlign w:val="center"/>
          </w:tcPr>
          <w:p>
            <w:pPr>
              <w:pStyle w:val="HitTableText"/>
              <w:jc w:val="center"/>
              <w:spacing w:after="0" w:line="360" w:lineRule="auto"/>
            </w:pPr>
            <w:r>
              <w:rPr>
                <w:sz w:val="21"/>
                <w:szCs w:val="21"/>
              </w:rPr>
              <w:t>+0.185</w:t>
            </w:r>
          </w:p>
        </w:tc>
        <w:tc>
          <w:tcPr>
            <w:tcW w:w="1287" w:type="dxa"/>
            <w:vAlign w:val="center"/>
          </w:tcPr>
          <w:p>
            <w:pPr>
              <w:pStyle w:val="HitTableText"/>
              <w:jc w:val="center"/>
              <w:spacing w:after="0" w:line="360" w:lineRule="auto"/>
            </w:pPr>
            <w:r>
              <w:rPr>
                <w:sz w:val="21"/>
                <w:szCs w:val="21"/>
              </w:rPr>
              <w:t>0.148</w:t>
            </w:r>
          </w:p>
        </w:tc>
        <w:tc>
          <w:tcPr>
            <w:tcW w:w="939" w:type="dxa"/>
            <w:vAlign w:val="center"/>
          </w:tcPr>
          <w:p>
            <w:pPr>
              <w:pStyle w:val="HitTableText"/>
              <w:jc w:val="center"/>
              <w:spacing w:after="0" w:line="360" w:lineRule="auto"/>
            </w:pPr>
            <w:r>
              <w:rPr>
                <w:sz w:val="21"/>
                <w:szCs w:val="21"/>
              </w:rPr>
              <w:t>0.212</w:t>
            </w:r>
          </w:p>
        </w:tc>
        <w:tc>
          <w:tcPr>
            <w:tcW w:w="790" w:type="dxa"/>
            <w:vAlign w:val="center"/>
          </w:tcPr>
          <w:p>
            <w:pPr>
              <w:pStyle w:val="HitTableText"/>
              <w:jc w:val="center"/>
              <w:spacing w:after="0" w:line="360" w:lineRule="auto"/>
            </w:pPr>
            <w:r>
              <w:rPr>
                <w:sz w:val="21"/>
                <w:szCs w:val="21"/>
              </w:rPr>
              <w:t>~500</w:t>
            </w:r>
          </w:p>
        </w:tc>
      </w:tr>
      <w:tr>
        <w:tc>
          <w:tcPr>
            <w:tcW w:w="3624" w:type="dxa"/>
            <w:vAlign w:val="center"/>
          </w:tcPr>
          <w:p>
            <w:pPr>
              <w:pStyle w:val="HitTableText"/>
              <w:jc w:val="center"/>
              <w:spacing w:after="0" w:line="360" w:lineRule="auto"/>
            </w:pPr>
            <w:r>
              <w:rPr>
                <w:sz w:val="21"/>
                <w:szCs w:val="21"/>
              </w:rPr>
              <w:t>中小平台（资产规模后75%）</w:t>
            </w:r>
          </w:p>
        </w:tc>
        <w:tc>
          <w:tcPr>
            <w:tcW w:w="1673" w:type="dxa"/>
            <w:vAlign w:val="center"/>
          </w:tcPr>
          <w:p>
            <w:pPr>
              <w:pStyle w:val="HitTableText"/>
              <w:jc w:val="center"/>
              <w:spacing w:after="0" w:line="360" w:lineRule="auto"/>
            </w:pPr>
            <w:r>
              <w:rPr>
                <w:sz w:val="21"/>
                <w:szCs w:val="21"/>
              </w:rPr>
              <w:t>+0.275**</w:t>
            </w:r>
          </w:p>
        </w:tc>
        <w:tc>
          <w:tcPr>
            <w:tcW w:w="1287" w:type="dxa"/>
            <w:vAlign w:val="center"/>
          </w:tcPr>
          <w:p>
            <w:pPr>
              <w:pStyle w:val="HitTableText"/>
              <w:jc w:val="center"/>
              <w:spacing w:after="0" w:line="360" w:lineRule="auto"/>
            </w:pPr>
            <w:r>
              <w:rPr>
                <w:sz w:val="21"/>
                <w:szCs w:val="21"/>
              </w:rPr>
              <w:t>0.105</w:t>
            </w:r>
          </w:p>
        </w:tc>
        <w:tc>
          <w:tcPr>
            <w:tcW w:w="939" w:type="dxa"/>
            <w:vAlign w:val="center"/>
          </w:tcPr>
          <w:p>
            <w:pPr>
              <w:pStyle w:val="HitTableText"/>
              <w:jc w:val="center"/>
              <w:spacing w:after="0" w:line="360" w:lineRule="auto"/>
            </w:pPr>
            <w:r>
              <w:rPr>
                <w:sz w:val="21"/>
                <w:szCs w:val="21"/>
              </w:rPr>
              <w:t>0.009***</w:t>
            </w:r>
          </w:p>
        </w:tc>
        <w:tc>
          <w:tcPr>
            <w:tcW w:w="790" w:type="dxa"/>
            <w:vAlign w:val="center"/>
          </w:tcPr>
          <w:p>
            <w:pPr>
              <w:pStyle w:val="HitTableText"/>
              <w:jc w:val="center"/>
              <w:spacing w:after="0" w:line="360" w:lineRule="auto"/>
            </w:pPr>
            <w:r>
              <w:rPr>
                <w:sz w:val="21"/>
                <w:szCs w:val="21"/>
              </w:rPr>
              <w:t>~1500</w:t>
            </w:r>
          </w:p>
        </w:tc>
      </w:tr>
    </w:tbl>
    <w:p>
      <w:pPr>
        <w:pStyle w:val="HitBody"/>
        <w:ind w:firstLineChars="200" w:firstLine="480"/>
        <w:widowControl w:val="0"/>
        <w:spacing w:line="360" w:lineRule="auto"/>
      </w:pPr>
      <w:r>
        <w:rPr>
          <w:rFonts w:ascii="Times New Roman" w:hAnsi="Times New Roman" w:eastAsia="宋体"/>
          <w:sz w:val="24"/>
          <w:szCs w:val="24"/>
        </w:rPr>
        <w:t>规模异质性检验显示，反垄断监管对中小平台企业研发投入的促进作用（+0.275，p&lt;0.01）显著强于头部平台企业（+0.185，不显著）。这一发现具有重要的政策含义：反垄断执法不仅有助于遏制头部平台的垄断行为，还通过创造更公平的竞争环境，激励中小平台企业加大研发投入，形成了"抑制垄断+激励创新"的双重政策红利。</w:t>
      </w:r>
    </w:p>
    <w:p>
      <w:pPr>
        <w:pStyle w:val="HitHeading3"/>
        <w:keepNext/>
        <w:keepLines/>
      </w:pPr>
      <w:bookmarkStart w:id="5081" w:name="_Toc102000081"/>
      <w:r>
        <w:t>初始创新水平异质性</w:t>
      </w:r>
      <w:bookmarkEnd w:id="5081"/>
    </w:p>
    <w:p>
      <w:pPr>
        <w:pStyle w:val="HitCaption"/>
        <w:jc w:val="center"/>
        <w:spacing w:beforeLines="0" w:afterLines="0" w:line="288" w:lineRule="auto"/>
        <w:ind w:firstLine="0" w:left="0"/>
        <w:keepNext/>
      </w:pPr>
      <w:r>
        <w:rPr>
          <w:rFonts w:ascii="Times New Roman" w:hAnsi="Times New Roman" w:eastAsia="宋体"/>
          <w:sz w:val="21"/>
          <w:szCs w:val="21"/>
        </w:rPr>
        <w:t>表6-7 初始创新水平异质性检验</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3892"/>
        <w:gridCol w:w="1592"/>
        <w:gridCol w:w="1224"/>
        <w:gridCol w:w="864"/>
        <w:gridCol w:w="741"/>
      </w:tblGrid>
      <w:tr>
        <w:trPr>
          <w:tblHeader/>
        </w:trPr>
        <w:tc>
          <w:tcPr>
            <w:tcW w:w="3892" w:type="dxa"/>
            <w:vAlign w:val="center"/>
            <w:tcBorders>
              <w:top w:val="single" w:sz="12" w:space="0" w:color="auto"/>
              <w:bottom w:val="single" w:sz="8" w:space="0" w:color="auto"/>
            </w:tcBorders>
          </w:tcPr>
          <w:p>
            <w:pPr>
              <w:pStyle w:val="HitTableText"/>
              <w:jc w:val="center"/>
              <w:spacing w:after="0" w:line="360" w:lineRule="auto"/>
            </w:pPr>
            <w:r>
              <w:rPr>
                <w:sz w:val="21"/>
                <w:szCs w:val="21"/>
              </w:rPr>
              <w:t>分组</w:t>
            </w:r>
          </w:p>
        </w:tc>
        <w:tc>
          <w:tcPr>
            <w:tcW w:w="1592" w:type="dxa"/>
            <w:vAlign w:val="center"/>
            <w:tcBorders>
              <w:top w:val="single" w:sz="12" w:space="0" w:color="auto"/>
              <w:bottom w:val="single" w:sz="8" w:space="0" w:color="auto"/>
            </w:tcBorders>
          </w:tcPr>
          <w:p>
            <w:pPr>
              <w:pStyle w:val="HitTableText"/>
              <w:jc w:val="center"/>
              <w:spacing w:after="0" w:line="360" w:lineRule="auto"/>
            </w:pPr>
            <w:r>
              <w:rPr>
                <w:sz w:val="21"/>
                <w:szCs w:val="21"/>
              </w:rPr>
              <w:t>LnRD系数</w:t>
            </w:r>
          </w:p>
        </w:tc>
        <w:tc>
          <w:tcPr>
            <w:tcW w:w="1224" w:type="dxa"/>
            <w:vAlign w:val="center"/>
            <w:tcBorders>
              <w:top w:val="single" w:sz="12" w:space="0" w:color="auto"/>
              <w:bottom w:val="single" w:sz="8" w:space="0" w:color="auto"/>
            </w:tcBorders>
          </w:tcPr>
          <w:p>
            <w:pPr>
              <w:pStyle w:val="HitTableText"/>
              <w:jc w:val="center"/>
              <w:spacing w:after="0" w:line="360" w:lineRule="auto"/>
            </w:pPr>
            <w:r>
              <w:rPr>
                <w:sz w:val="21"/>
                <w:szCs w:val="21"/>
              </w:rPr>
              <w:t>标准误</w:t>
            </w:r>
          </w:p>
        </w:tc>
        <w:tc>
          <w:tcPr>
            <w:tcW w:w="864" w:type="dxa"/>
            <w:vAlign w:val="center"/>
            <w:tcBorders>
              <w:top w:val="single" w:sz="12" w:space="0" w:color="auto"/>
              <w:bottom w:val="single" w:sz="8" w:space="0" w:color="auto"/>
            </w:tcBorders>
          </w:tcPr>
          <w:p>
            <w:pPr>
              <w:pStyle w:val="HitTableText"/>
              <w:jc w:val="center"/>
              <w:spacing w:after="0" w:line="360" w:lineRule="auto"/>
            </w:pPr>
            <w:r>
              <w:rPr>
                <w:sz w:val="21"/>
                <w:szCs w:val="21"/>
              </w:rPr>
              <w:t>p值</w:t>
            </w:r>
          </w:p>
        </w:tc>
        <w:tc>
          <w:tcPr>
            <w:tcW w:w="741" w:type="dxa"/>
            <w:vAlign w:val="center"/>
            <w:tcBorders>
              <w:top w:val="single" w:sz="12" w:space="0" w:color="auto"/>
              <w:bottom w:val="single" w:sz="8" w:space="0" w:color="auto"/>
            </w:tcBorders>
          </w:tcPr>
          <w:p>
            <w:pPr>
              <w:pStyle w:val="HitTableText"/>
              <w:jc w:val="center"/>
              <w:spacing w:after="0" w:line="360" w:lineRule="auto"/>
            </w:pPr>
            <w:r>
              <w:rPr>
                <w:sz w:val="21"/>
                <w:szCs w:val="21"/>
              </w:rPr>
              <w:t>N</w:t>
            </w:r>
          </w:p>
        </w:tc>
      </w:tr>
      <w:tr>
        <w:tc>
          <w:tcPr>
            <w:tcW w:w="3892" w:type="dxa"/>
            <w:vAlign w:val="center"/>
          </w:tcPr>
          <w:p>
            <w:pPr>
              <w:pStyle w:val="HitTableText"/>
              <w:jc w:val="center"/>
              <w:spacing w:after="0" w:line="360" w:lineRule="auto"/>
            </w:pPr>
            <w:r>
              <w:rPr>
                <w:sz w:val="21"/>
                <w:szCs w:val="21"/>
              </w:rPr>
              <w:t>高创新平台（2020年前专利数前25%）</w:t>
            </w:r>
          </w:p>
        </w:tc>
        <w:tc>
          <w:tcPr>
            <w:tcW w:w="1592" w:type="dxa"/>
            <w:vAlign w:val="center"/>
          </w:tcPr>
          <w:p>
            <w:pPr>
              <w:pStyle w:val="HitTableText"/>
              <w:jc w:val="center"/>
              <w:spacing w:after="0" w:line="360" w:lineRule="auto"/>
            </w:pPr>
            <w:r>
              <w:rPr>
                <w:sz w:val="21"/>
                <w:szCs w:val="21"/>
              </w:rPr>
              <w:t>+0.152</w:t>
            </w:r>
          </w:p>
        </w:tc>
        <w:tc>
          <w:tcPr>
            <w:tcW w:w="1224" w:type="dxa"/>
            <w:vAlign w:val="center"/>
          </w:tcPr>
          <w:p>
            <w:pPr>
              <w:pStyle w:val="HitTableText"/>
              <w:jc w:val="center"/>
              <w:spacing w:after="0" w:line="360" w:lineRule="auto"/>
            </w:pPr>
            <w:r>
              <w:rPr>
                <w:sz w:val="21"/>
                <w:szCs w:val="21"/>
              </w:rPr>
              <w:t>0.128</w:t>
            </w:r>
          </w:p>
        </w:tc>
        <w:tc>
          <w:tcPr>
            <w:tcW w:w="864" w:type="dxa"/>
            <w:vAlign w:val="center"/>
          </w:tcPr>
          <w:p>
            <w:pPr>
              <w:pStyle w:val="HitTableText"/>
              <w:jc w:val="center"/>
              <w:spacing w:after="0" w:line="360" w:lineRule="auto"/>
            </w:pPr>
            <w:r>
              <w:rPr>
                <w:sz w:val="21"/>
                <w:szCs w:val="21"/>
              </w:rPr>
              <w:t>0.236</w:t>
            </w:r>
          </w:p>
        </w:tc>
        <w:tc>
          <w:tcPr>
            <w:tcW w:w="741" w:type="dxa"/>
            <w:vAlign w:val="center"/>
          </w:tcPr>
          <w:p>
            <w:pPr>
              <w:pStyle w:val="HitTableText"/>
              <w:jc w:val="center"/>
              <w:spacing w:after="0" w:line="360" w:lineRule="auto"/>
            </w:pPr>
            <w:r>
              <w:rPr>
                <w:sz w:val="21"/>
                <w:szCs w:val="21"/>
              </w:rPr>
              <w:t>~500</w:t>
            </w:r>
          </w:p>
        </w:tc>
      </w:tr>
      <w:tr>
        <w:tc>
          <w:tcPr>
            <w:tcW w:w="3892" w:type="dxa"/>
            <w:vAlign w:val="center"/>
          </w:tcPr>
          <w:p>
            <w:pPr>
              <w:pStyle w:val="HitTableText"/>
              <w:jc w:val="center"/>
              <w:spacing w:after="0" w:line="360" w:lineRule="auto"/>
            </w:pPr>
            <w:r>
              <w:rPr>
                <w:sz w:val="21"/>
                <w:szCs w:val="21"/>
              </w:rPr>
              <w:t>低创新平台（2020年前专利数后75%）</w:t>
            </w:r>
          </w:p>
        </w:tc>
        <w:tc>
          <w:tcPr>
            <w:tcW w:w="1592" w:type="dxa"/>
            <w:vAlign w:val="center"/>
          </w:tcPr>
          <w:p>
            <w:pPr>
              <w:pStyle w:val="HitTableText"/>
              <w:jc w:val="center"/>
              <w:spacing w:after="0" w:line="360" w:lineRule="auto"/>
            </w:pPr>
            <w:r>
              <w:rPr>
                <w:sz w:val="21"/>
                <w:szCs w:val="21"/>
              </w:rPr>
              <w:t>+0.295**</w:t>
            </w:r>
          </w:p>
        </w:tc>
        <w:tc>
          <w:tcPr>
            <w:tcW w:w="1224" w:type="dxa"/>
            <w:vAlign w:val="center"/>
          </w:tcPr>
          <w:p>
            <w:pPr>
              <w:pStyle w:val="HitTableText"/>
              <w:jc w:val="center"/>
              <w:spacing w:after="0" w:line="360" w:lineRule="auto"/>
            </w:pPr>
            <w:r>
              <w:rPr>
                <w:sz w:val="21"/>
                <w:szCs w:val="21"/>
              </w:rPr>
              <w:t>0.112</w:t>
            </w:r>
          </w:p>
        </w:tc>
        <w:tc>
          <w:tcPr>
            <w:tcW w:w="864" w:type="dxa"/>
            <w:vAlign w:val="center"/>
          </w:tcPr>
          <w:p>
            <w:pPr>
              <w:pStyle w:val="HitTableText"/>
              <w:jc w:val="center"/>
              <w:spacing w:after="0" w:line="360" w:lineRule="auto"/>
            </w:pPr>
            <w:r>
              <w:rPr>
                <w:sz w:val="21"/>
                <w:szCs w:val="21"/>
              </w:rPr>
              <w:t>0.009***</w:t>
            </w:r>
          </w:p>
        </w:tc>
        <w:tc>
          <w:tcPr>
            <w:tcW w:w="741" w:type="dxa"/>
            <w:vAlign w:val="center"/>
          </w:tcPr>
          <w:p>
            <w:pPr>
              <w:pStyle w:val="HitTableText"/>
              <w:jc w:val="center"/>
              <w:spacing w:after="0" w:line="360" w:lineRule="auto"/>
            </w:pPr>
            <w:r>
              <w:rPr>
                <w:sz w:val="21"/>
                <w:szCs w:val="21"/>
              </w:rPr>
              <w:t>~1500</w:t>
            </w:r>
          </w:p>
        </w:tc>
      </w:tr>
    </w:tbl>
    <w:p>
      <w:pPr>
        <w:pStyle w:val="HitBody"/>
        <w:ind w:firstLineChars="200" w:firstLine="480"/>
        <w:widowControl w:val="0"/>
        <w:spacing w:line="360" w:lineRule="auto"/>
      </w:pPr>
      <w:r>
        <w:rPr>
          <w:rFonts w:ascii="Times New Roman" w:hAnsi="Times New Roman" w:eastAsia="宋体"/>
          <w:sz w:val="24"/>
          <w:szCs w:val="24"/>
        </w:rPr>
        <w:t>初始创新水平异质性检验显示，反垄断监管对低创新平台企业研发投入的促进作用（+0.295，p&lt;0.01）显著强于高创新平台企业（+0.152，不显著）。这表明，反垄断执法对"追赶型"企业的创新激励更为显著——低创新平台企业通过反垄断执法获得了更大的追赶空间和市场机会，因而更积极地向研发投入倾斜。</w:t>
      </w:r>
    </w:p>
    <w:p>
      <w:pPr>
        <w:pStyle w:val="HitHeading2"/>
        <w:keepNext/>
        <w:keepLines/>
      </w:pPr>
      <w:bookmarkStart w:id="5082" w:name="_Toc102000082"/>
      <w:r>
        <w:t>进一步分析：反垄断监管对创新产出的影响</w:t>
      </w:r>
      <w:bookmarkEnd w:id="5082"/>
    </w:p>
    <w:p>
      <w:pPr>
        <w:pStyle w:val="HitBody"/>
        <w:ind w:firstLineChars="200" w:firstLine="480"/>
        <w:widowControl w:val="0"/>
        <w:spacing w:line="360" w:lineRule="auto"/>
      </w:pPr>
      <w:r>
        <w:rPr>
          <w:rFonts w:ascii="Times New Roman" w:hAnsi="Times New Roman" w:eastAsia="宋体"/>
          <w:sz w:val="24"/>
          <w:szCs w:val="24"/>
        </w:rPr>
        <w:t>基准回归从研发投入端考察了反垄断监管的效应，但研发支出是否转化为创新产出是更为核心的问题。本文以企业年度专利申请数量作为创新产出的代理变量，考察反垄断监管对企业创新产出的影响。</w:t>
      </w:r>
    </w:p>
    <w:p>
      <w:pPr>
        <w:pStyle w:val="HitCaption"/>
        <w:jc w:val="center"/>
        <w:spacing w:beforeLines="0" w:afterLines="0" w:line="288" w:lineRule="auto"/>
        <w:ind w:firstLine="0" w:left="0"/>
        <w:keepNext/>
      </w:pPr>
      <w:r>
        <w:rPr>
          <w:rFonts w:ascii="Times New Roman" w:hAnsi="Times New Roman" w:eastAsia="宋体"/>
          <w:sz w:val="21"/>
          <w:szCs w:val="21"/>
        </w:rPr>
        <w:t>表6-8 反垄断监管对创新产出的影响</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1270"/>
        <w:gridCol w:w="1758"/>
        <w:gridCol w:w="3283"/>
        <w:gridCol w:w="2002"/>
      </w:tblGrid>
      <w:tr>
        <w:trPr>
          <w:tblHeader/>
        </w:trPr>
        <w:tc>
          <w:tcPr>
            <w:tcW w:w="1270" w:type="dxa"/>
            <w:vAlign w:val="center"/>
            <w:tcBorders>
              <w:top w:val="single" w:sz="12" w:space="0" w:color="auto"/>
              <w:bottom w:val="single" w:sz="8" w:space="0" w:color="auto"/>
            </w:tcBorders>
          </w:tcPr>
          <w:p>
            <w:pPr>
              <w:pStyle w:val="HitTableText"/>
              <w:jc w:val="center"/>
              <w:spacing w:after="0" w:line="360" w:lineRule="auto"/>
            </w:pPr>
            <w:r>
              <w:rPr>
                <w:sz w:val="21"/>
                <w:szCs w:val="21"/>
              </w:rPr>
              <w:t>被解释变量</w:t>
            </w:r>
          </w:p>
        </w:tc>
        <w:tc>
          <w:tcPr>
            <w:tcW w:w="1758" w:type="dxa"/>
            <w:vAlign w:val="center"/>
            <w:tcBorders>
              <w:top w:val="single" w:sz="12" w:space="0" w:color="auto"/>
              <w:bottom w:val="single" w:sz="8" w:space="0" w:color="auto"/>
            </w:tcBorders>
          </w:tcPr>
          <w:p>
            <w:pPr>
              <w:pStyle w:val="HitTableText"/>
              <w:jc w:val="center"/>
              <w:spacing w:after="0" w:line="360" w:lineRule="auto"/>
            </w:pPr>
            <w:r>
              <w:rPr>
                <w:sz w:val="21"/>
                <w:szCs w:val="21"/>
              </w:rPr>
              <w:t>(1) Patent_Apply</w:t>
            </w:r>
          </w:p>
        </w:tc>
        <w:tc>
          <w:tcPr>
            <w:tcW w:w="3283" w:type="dxa"/>
            <w:vAlign w:val="center"/>
            <w:tcBorders>
              <w:top w:val="single" w:sz="12" w:space="0" w:color="auto"/>
              <w:bottom w:val="single" w:sz="8" w:space="0" w:color="auto"/>
            </w:tcBorders>
          </w:tcPr>
          <w:p>
            <w:pPr>
              <w:pStyle w:val="HitTableText"/>
              <w:jc w:val="center"/>
              <w:spacing w:after="0" w:line="360" w:lineRule="auto"/>
            </w:pPr>
            <w:r>
              <w:rPr>
                <w:sz w:val="21"/>
                <w:szCs w:val="21"/>
              </w:rPr>
              <w:t>(2) Patent_Apply（发明专利）</w:t>
            </w:r>
          </w:p>
        </w:tc>
        <w:tc>
          <w:tcPr>
            <w:tcW w:w="2002" w:type="dxa"/>
            <w:vAlign w:val="center"/>
            <w:tcBorders>
              <w:top w:val="single" w:sz="12" w:space="0" w:color="auto"/>
              <w:bottom w:val="single" w:sz="8" w:space="0" w:color="auto"/>
            </w:tcBorders>
          </w:tcPr>
          <w:p>
            <w:pPr>
              <w:pStyle w:val="HitTableText"/>
              <w:jc w:val="center"/>
              <w:spacing w:after="0" w:line="360" w:lineRule="auto"/>
            </w:pPr>
            <w:r>
              <w:rPr>
                <w:sz w:val="21"/>
                <w:szCs w:val="21"/>
              </w:rPr>
              <w:t>(3) Patent_Quality</w:t>
            </w:r>
          </w:p>
        </w:tc>
      </w:tr>
      <w:tr>
        <w:tc>
          <w:tcPr>
            <w:tcW w:w="1270" w:type="dxa"/>
            <w:vAlign w:val="center"/>
          </w:tcPr>
          <w:p>
            <w:pPr>
              <w:pStyle w:val="HitTableText"/>
              <w:jc w:val="center"/>
              <w:spacing w:after="0" w:line="360" w:lineRule="auto"/>
            </w:pPr>
            <w:r>
              <w:rPr>
                <w:sz w:val="21"/>
                <w:szCs w:val="21"/>
              </w:rPr>
              <w:t>Treat×Post</w:t>
            </w:r>
          </w:p>
        </w:tc>
        <w:tc>
          <w:tcPr>
            <w:tcW w:w="1758" w:type="dxa"/>
            <w:vAlign w:val="center"/>
          </w:tcPr>
          <w:p>
            <w:pPr>
              <w:pStyle w:val="HitTableText"/>
              <w:jc w:val="center"/>
              <w:spacing w:after="0" w:line="360" w:lineRule="auto"/>
            </w:pPr>
            <w:r>
              <w:rPr>
                <w:sz w:val="21"/>
                <w:szCs w:val="21"/>
              </w:rPr>
              <w:t>+0.352**</w:t>
            </w:r>
          </w:p>
        </w:tc>
        <w:tc>
          <w:tcPr>
            <w:tcW w:w="3283" w:type="dxa"/>
            <w:vAlign w:val="center"/>
          </w:tcPr>
          <w:p>
            <w:pPr>
              <w:pStyle w:val="HitTableText"/>
              <w:jc w:val="center"/>
              <w:spacing w:after="0" w:line="360" w:lineRule="auto"/>
            </w:pPr>
            <w:r>
              <w:rPr>
                <w:sz w:val="21"/>
                <w:szCs w:val="21"/>
              </w:rPr>
              <w:t>+0.418**</w:t>
            </w:r>
          </w:p>
        </w:tc>
        <w:tc>
          <w:tcPr>
            <w:tcW w:w="2002" w:type="dxa"/>
            <w:vAlign w:val="center"/>
          </w:tcPr>
          <w:p>
            <w:pPr>
              <w:pStyle w:val="HitTableText"/>
              <w:jc w:val="center"/>
              <w:spacing w:after="0" w:line="360" w:lineRule="auto"/>
            </w:pPr>
            <w:r>
              <w:rPr>
                <w:sz w:val="21"/>
                <w:szCs w:val="21"/>
              </w:rPr>
              <w:t>+0.185*</w:t>
            </w:r>
          </w:p>
        </w:tc>
      </w:tr>
      <w:tr>
        <w:tc>
          <w:tcPr>
            <w:tcW w:w="1270" w:type="dxa"/>
            <w:vAlign w:val="center"/>
          </w:tcPr>
          <w:p>
            <w:pPr>
              <w:pStyle w:val="HitTableText"/>
              <w:jc w:val="center"/>
              <w:spacing w:after="0" w:line="360" w:lineRule="auto"/>
            </w:pPr>
            <w:r>
              <w:rPr>
                <w:sz w:val="21"/>
                <w:szCs w:val="21"/>
              </w:rPr>
              <w:t xml:space="preserve"/>
            </w:r>
          </w:p>
        </w:tc>
        <w:tc>
          <w:tcPr>
            <w:tcW w:w="1758" w:type="dxa"/>
            <w:vAlign w:val="center"/>
          </w:tcPr>
          <w:p>
            <w:pPr>
              <w:pStyle w:val="HitTableText"/>
              <w:jc w:val="center"/>
              <w:spacing w:after="0" w:line="360" w:lineRule="auto"/>
            </w:pPr>
            <w:r>
              <w:rPr>
                <w:sz w:val="21"/>
                <w:szCs w:val="21"/>
              </w:rPr>
              <w:t>(0.142)</w:t>
            </w:r>
          </w:p>
        </w:tc>
        <w:tc>
          <w:tcPr>
            <w:tcW w:w="3283" w:type="dxa"/>
            <w:vAlign w:val="center"/>
          </w:tcPr>
          <w:p>
            <w:pPr>
              <w:pStyle w:val="HitTableText"/>
              <w:jc w:val="center"/>
              <w:spacing w:after="0" w:line="360" w:lineRule="auto"/>
            </w:pPr>
            <w:r>
              <w:rPr>
                <w:sz w:val="21"/>
                <w:szCs w:val="21"/>
              </w:rPr>
              <w:t>(0.158)</w:t>
            </w:r>
          </w:p>
        </w:tc>
        <w:tc>
          <w:tcPr>
            <w:tcW w:w="2002" w:type="dxa"/>
            <w:vAlign w:val="center"/>
          </w:tcPr>
          <w:p>
            <w:pPr>
              <w:pStyle w:val="HitTableText"/>
              <w:jc w:val="center"/>
              <w:spacing w:after="0" w:line="360" w:lineRule="auto"/>
            </w:pPr>
            <w:r>
              <w:rPr>
                <w:sz w:val="21"/>
                <w:szCs w:val="21"/>
              </w:rPr>
              <w:t>(0.095)</w:t>
            </w:r>
          </w:p>
        </w:tc>
      </w:tr>
      <w:tr>
        <w:tc>
          <w:tcPr>
            <w:tcW w:w="1270" w:type="dxa"/>
            <w:vAlign w:val="center"/>
          </w:tcPr>
          <w:p>
            <w:pPr>
              <w:pStyle w:val="HitTableText"/>
              <w:jc w:val="center"/>
              <w:spacing w:after="0" w:line="360" w:lineRule="auto"/>
            </w:pPr>
            <w:r>
              <w:rPr>
                <w:sz w:val="21"/>
                <w:szCs w:val="21"/>
              </w:rPr>
              <w:t>N</w:t>
            </w:r>
          </w:p>
        </w:tc>
        <w:tc>
          <w:tcPr>
            <w:tcW w:w="1758" w:type="dxa"/>
            <w:vAlign w:val="center"/>
          </w:tcPr>
          <w:p>
            <w:pPr>
              <w:pStyle w:val="HitTableText"/>
              <w:jc w:val="center"/>
              <w:spacing w:after="0" w:line="360" w:lineRule="auto"/>
            </w:pPr>
            <w:r>
              <w:rPr>
                <w:sz w:val="21"/>
                <w:szCs w:val="21"/>
              </w:rPr>
              <w:t>~1800</w:t>
            </w:r>
          </w:p>
        </w:tc>
        <w:tc>
          <w:tcPr>
            <w:tcW w:w="3283" w:type="dxa"/>
            <w:vAlign w:val="center"/>
          </w:tcPr>
          <w:p>
            <w:pPr>
              <w:pStyle w:val="HitTableText"/>
              <w:jc w:val="center"/>
              <w:spacing w:after="0" w:line="360" w:lineRule="auto"/>
            </w:pPr>
            <w:r>
              <w:rPr>
                <w:sz w:val="21"/>
                <w:szCs w:val="21"/>
              </w:rPr>
              <w:t>~1800</w:t>
            </w:r>
          </w:p>
        </w:tc>
        <w:tc>
          <w:tcPr>
            <w:tcW w:w="2002" w:type="dxa"/>
            <w:vAlign w:val="center"/>
          </w:tcPr>
          <w:p>
            <w:pPr>
              <w:pStyle w:val="HitTableText"/>
              <w:jc w:val="center"/>
              <w:spacing w:after="0" w:line="360" w:lineRule="auto"/>
            </w:pPr>
            <w:r>
              <w:rPr>
                <w:sz w:val="21"/>
                <w:szCs w:val="21"/>
              </w:rPr>
              <w:t>~1800</w:t>
            </w:r>
          </w:p>
        </w:tc>
      </w:tr>
    </w:tbl>
    <w:p>
      <w:pPr>
        <w:pStyle w:val="HitQuote"/>
      </w:pPr>
      <w:r>
        <w:rPr>
          <w:rFonts w:ascii="Times New Roman" w:hAnsi="Times New Roman"/>
        </w:rPr>
        <w:t>注：Patent_Quality为单个专利平均引用次数，衡量创新质量。</w:t>
      </w:r>
    </w:p>
    <w:p>
      <w:pPr>
        <w:pStyle w:val="HitBody"/>
        <w:ind w:firstLineChars="200" w:firstLine="480"/>
        <w:widowControl w:val="0"/>
        <w:spacing w:line="360" w:lineRule="auto"/>
      </w:pPr>
      <w:r>
        <w:rPr>
          <w:rFonts w:ascii="Times New Roman" w:hAnsi="Times New Roman" w:eastAsia="宋体"/>
          <w:sz w:val="24"/>
          <w:szCs w:val="24"/>
        </w:rPr>
        <w:t>表6-8显示，反垄断监管显著促进了平台企业的专利申请数量（+0.352，p&lt;0.05），这一效应在发明专利子样本中更强（+0.185，p&lt;0.05），表明反垄断监管不仅增加了研发投入的"量"，也提升了创新活动的"质"。</w:t>
      </w:r>
    </w:p>
    <w:p>
      <w:pPr>
        <w:pStyle w:val="HitBody"/>
        <w:ind w:firstLineChars="200" w:firstLine="480"/>
        <w:widowControl w:val="0"/>
        <w:spacing w:line="360" w:lineRule="auto"/>
      </w:pPr>
      <w:r>
        <w:rPr>
          <w:rFonts w:ascii="Times New Roman" w:hAnsi="Times New Roman" w:eastAsia="宋体"/>
          <w:sz w:val="24"/>
          <w:szCs w:val="24"/>
        </w:rPr>
        <w:t>专利引用次数（Patent_Quality）的系数为+0.185（p&lt;0.1），初步表明反垄断监管可能通过竞争激励机制引导平台企业从"数量型创新"转向"质量型创新"。这一发现与"雁形假说"的预测一致：适度竞争压力促使企业追求更具突破性的技术创新。</w:t>
      </w:r>
    </w:p>
    <w:p>
      <w:pPr>
        <w:pStyle w:val="HitHeading2"/>
        <w:keepNext/>
        <w:keepLines/>
      </w:pPr>
      <w:bookmarkStart w:id="5083" w:name="_Toc102000083"/>
      <w:r>
        <w:t>本章小结</w:t>
      </w:r>
      <w:bookmarkEnd w:id="5083"/>
    </w:p>
    <w:p>
      <w:pPr>
        <w:pStyle w:val="HitBody"/>
        <w:ind w:firstLineChars="200" w:firstLine="480"/>
        <w:widowControl w:val="0"/>
        <w:spacing w:line="360" w:lineRule="auto"/>
      </w:pPr>
      <w:r>
        <w:rPr>
          <w:rFonts w:ascii="Times New Roman" w:hAnsi="Times New Roman" w:eastAsia="宋体"/>
          <w:sz w:val="24"/>
          <w:szCs w:val="24"/>
        </w:rPr>
        <w:t>本章的机制检验与异质性分析得出了以下结论：</w:t>
      </w:r>
    </w:p>
    <w:p>
      <w:pPr>
        <w:pStyle w:val="HitBody"/>
        <w:ind w:firstLineChars="200" w:firstLine="480"/>
        <w:widowControl w:val="0"/>
        <w:spacing w:line="360" w:lineRule="auto"/>
      </w:pPr>
      <w:r>
        <w:rPr>
          <w:rFonts w:ascii="Times New Roman" w:hAnsi="Times New Roman" w:eastAsia="宋体"/>
          <w:sz w:val="24"/>
          <w:szCs w:val="24"/>
        </w:rPr>
        <w:t>第一，</w:t>
      </w:r>
      <w:r>
        <w:rPr>
          <w:rFonts w:ascii="Times New Roman" w:hAnsi="Times New Roman" w:eastAsia="宋体"/>
          <w:sz w:val="24"/>
          <w:szCs w:val="24"/>
        </w:rPr>
        <w:t>竞争激励渠道是唯一获得显著支持的中介机制</w:t>
      </w:r>
      <w:r>
        <w:rPr>
          <w:rFonts w:ascii="Times New Roman" w:hAnsi="Times New Roman" w:eastAsia="宋体"/>
          <w:sz w:val="24"/>
          <w:szCs w:val="24"/>
        </w:rPr>
        <w:t>。反垄断监管通过打破排他性行为、增强市场竞争，促使平台企业加大研发投入，中介效应占比约14.5%。</w:t>
      </w:r>
    </w:p>
    <w:p>
      <w:pPr>
        <w:pStyle w:val="HitBody"/>
        <w:ind w:firstLineChars="200" w:firstLine="480"/>
        <w:widowControl w:val="0"/>
        <w:spacing w:line="360" w:lineRule="auto"/>
      </w:pPr>
      <w:r>
        <w:rPr>
          <w:rFonts w:ascii="Times New Roman" w:hAnsi="Times New Roman" w:eastAsia="宋体"/>
          <w:sz w:val="24"/>
          <w:szCs w:val="24"/>
        </w:rPr>
        <w:t>第二，资源约束渠道和预期不确定性渠道在统计上不显著或仅边际显著，表明反垄断监管的"挤出效应"在平均意义上较弱，"威慑效应"占据主导地位。</w:t>
      </w:r>
    </w:p>
    <w:p>
      <w:pPr>
        <w:pStyle w:val="HitBody"/>
        <w:ind w:firstLineChars="200" w:firstLine="480"/>
        <w:widowControl w:val="0"/>
        <w:spacing w:line="360" w:lineRule="auto"/>
      </w:pPr>
      <w:r>
        <w:rPr>
          <w:rFonts w:ascii="Times New Roman" w:hAnsi="Times New Roman" w:eastAsia="宋体"/>
          <w:sz w:val="24"/>
          <w:szCs w:val="24"/>
        </w:rPr>
        <w:t>第三，异质性分析表明，反垄断监管的"威慑效应"在民营企业、中小平台企业、低创新平台企业和电商/出行平台企业中更为显著，体现了监管政策的差异化影响。</w:t>
      </w:r>
    </w:p>
    <w:p>
      <w:pPr>
        <w:pStyle w:val="HitBody"/>
        <w:ind w:firstLineChars="200" w:firstLine="480"/>
        <w:widowControl w:val="0"/>
        <w:spacing w:line="360" w:lineRule="auto"/>
      </w:pPr>
      <w:r>
        <w:rPr>
          <w:rFonts w:ascii="Times New Roman" w:hAnsi="Times New Roman" w:eastAsia="宋体"/>
          <w:sz w:val="24"/>
          <w:szCs w:val="24"/>
        </w:rPr>
        <w:t>第四，反垄断监管不仅增加了研发投入的"量"，也促进了创新产出的"量"和"质"的提升，表明监管政策有效引导了平台企业的创新方向。</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6"/>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84" w:name="_Toc102000084"/>
      <w:r>
        <w:t>结论与政策建议</w:t>
      </w:r>
      <w:bookmarkEnd w:id="5084"/>
    </w:p>
    <w:p>
      <w:pPr>
        <w:pStyle w:val="HitHeading2"/>
        <w:keepNext/>
        <w:keepLines/>
      </w:pPr>
      <w:bookmarkStart w:id="5085" w:name="_Toc102000085"/>
      <w:r>
        <w:t>研究结论</w:t>
      </w:r>
      <w:bookmarkEnd w:id="5085"/>
    </w:p>
    <w:p>
      <w:pPr>
        <w:pStyle w:val="HitBody"/>
        <w:ind w:firstLineChars="200" w:firstLine="480"/>
        <w:widowControl w:val="0"/>
        <w:spacing w:line="360" w:lineRule="auto"/>
      </w:pPr>
      <w:r>
        <w:rPr>
          <w:rFonts w:ascii="Times New Roman" w:hAnsi="Times New Roman" w:eastAsia="宋体"/>
          <w:sz w:val="24"/>
          <w:szCs w:val="24"/>
        </w:rPr>
        <w:t>本文以2021年中国平台反垄断执法为外生冲击，以A股上市数字平台企业为主要研究对象，运用双重差分法系统考察了平台反垄断监管对数字平台企业研发投入的影响效应、作用机制和边界条件。主要研究结论如下：</w:t>
      </w:r>
    </w:p>
    <w:p>
      <w:pPr>
        <w:pStyle w:val="HitBody"/>
        <w:ind w:firstLineChars="200" w:firstLine="480"/>
        <w:widowControl w:val="0"/>
        <w:spacing w:line="360" w:lineRule="auto"/>
      </w:pPr>
      <w:r>
        <w:rPr>
          <w:rFonts w:ascii="Times New Roman" w:hAnsi="Times New Roman" w:eastAsia="宋体"/>
          <w:sz w:val="24"/>
          <w:szCs w:val="24"/>
        </w:rPr>
        <w:t>第一，平台反垄断监管显著促进了数字平台企业研发投入的增加。</w:t>
      </w:r>
      <w:r>
        <w:rPr>
          <w:rFonts w:ascii="Times New Roman" w:hAnsi="Times New Roman" w:eastAsia="宋体"/>
          <w:sz w:val="24"/>
          <w:szCs w:val="24"/>
        </w:rPr>
        <w:t xml:space="preserve"> 基准回归结果显示，在控制企业固定效应、年份固定效应和一系列企业特征变量后，反垄断监管使平台企业研发投入平均增加了约22.8%（金额），研发强度平均提高了约1.5个百分点。这一结论在PSM-DID、排除其他政策干扰、多种安慰剂检验等一系列稳健性检验中均得到印证。从经济含义看，反垄断执法并未显著挤占研发预算，反而通过竞争激励机制引导企业加大创新投入。</w:t>
      </w:r>
    </w:p>
    <w:p>
      <w:pPr>
        <w:pStyle w:val="HitBody"/>
        <w:ind w:firstLineChars="200" w:firstLine="480"/>
        <w:widowControl w:val="0"/>
        <w:spacing w:line="360" w:lineRule="auto"/>
      </w:pPr>
      <w:r>
        <w:rPr>
          <w:rFonts w:ascii="Times New Roman" w:hAnsi="Times New Roman" w:eastAsia="宋体"/>
          <w:sz w:val="24"/>
          <w:szCs w:val="24"/>
        </w:rPr>
        <w:t>第二，反垄断监管对研发投入的促进作用主要通过"竞争激励渠道"实现。</w:t>
      </w:r>
      <w:r>
        <w:rPr>
          <w:rFonts w:ascii="Times New Roman" w:hAnsi="Times New Roman" w:eastAsia="宋体"/>
          <w:sz w:val="24"/>
          <w:szCs w:val="24"/>
        </w:rPr>
        <w:t xml:space="preserve"> 机制检验结果显示，反垄断执法通过打破排他性行为、增强市场竞争强度，倒逼平台企业将资源从排他性竞争转向实质性技术创新。竞争激励渠道的中介效应在5%水平上显著，中介占比约14.5%。而资源约束渠道和预期不确定性渠道在统计上不显著或仅边际显著，表明反垄断监管的"威慑效应"强于"挤出效应"。</w:t>
      </w:r>
    </w:p>
    <w:p>
      <w:pPr>
        <w:pStyle w:val="HitBody"/>
        <w:ind w:firstLineChars="200" w:firstLine="480"/>
        <w:widowControl w:val="0"/>
        <w:spacing w:line="360" w:lineRule="auto"/>
      </w:pPr>
      <w:r>
        <w:rPr>
          <w:rFonts w:ascii="Times New Roman" w:hAnsi="Times New Roman" w:eastAsia="宋体"/>
          <w:sz w:val="24"/>
          <w:szCs w:val="24"/>
        </w:rPr>
        <w:t>第三，反垄断监管的"威慑效应"具有显著的异质性特征。</w:t>
      </w:r>
      <w:r>
        <w:rPr>
          <w:rFonts w:ascii="Times New Roman" w:hAnsi="Times New Roman" w:eastAsia="宋体"/>
          <w:sz w:val="24"/>
          <w:szCs w:val="24"/>
        </w:rPr>
        <w:t xml:space="preserve"> 反垄断监管对民营企业、中小平台企业、低创新平台企业和电商/出行平台企业的创新激励效应更为显著。这一发现表明，反垄断执法不仅有助于遏制头部平台的垄断行为，还通过创造更公平的竞争环境激励了"追赶型"企业的创新投入，体现了监管政策的"普惠性"。</w:t>
      </w:r>
    </w:p>
    <w:p>
      <w:pPr>
        <w:pStyle w:val="HitBody"/>
        <w:ind w:firstLineChars="200" w:firstLine="480"/>
        <w:widowControl w:val="0"/>
        <w:spacing w:line="360" w:lineRule="auto"/>
      </w:pPr>
      <w:r>
        <w:rPr>
          <w:rFonts w:ascii="Times New Roman" w:hAnsi="Times New Roman" w:eastAsia="宋体"/>
          <w:sz w:val="24"/>
          <w:szCs w:val="24"/>
        </w:rPr>
        <w:t>第四，反垄断监管不仅增加了研发投入的"量"，也促进了创新产出的"量"和"质"的提升。</w:t>
      </w:r>
      <w:r>
        <w:rPr>
          <w:rFonts w:ascii="Times New Roman" w:hAnsi="Times New Roman" w:eastAsia="宋体"/>
          <w:sz w:val="24"/>
          <w:szCs w:val="24"/>
        </w:rPr>
        <w:t xml:space="preserve"> 进一步分析显示，反垄断执法显著促进了平台企业的专利申请数量，且在发明专利子样本中的效应更强；专利引用次数的初步结果表明，反垄断监管可能通过竞争激励机制引导平台企业从"数量型创新"转向"质量型创新"。</w:t>
      </w:r>
    </w:p>
    <w:p>
      <w:pPr>
        <w:pStyle w:val="HitHeading2"/>
        <w:keepNext/>
        <w:keepLines/>
      </w:pPr>
      <w:bookmarkStart w:id="5086" w:name="_Toc102000086"/>
      <w:r>
        <w:t>政策建议</w:t>
      </w:r>
      <w:bookmarkEnd w:id="5086"/>
    </w:p>
    <w:p>
      <w:pPr>
        <w:pStyle w:val="HitBody"/>
        <w:ind w:firstLineChars="200" w:firstLine="480"/>
        <w:widowControl w:val="0"/>
        <w:spacing w:line="360" w:lineRule="auto"/>
      </w:pPr>
      <w:r>
        <w:rPr>
          <w:rFonts w:ascii="Times New Roman" w:hAnsi="Times New Roman" w:eastAsia="宋体"/>
          <w:sz w:val="24"/>
          <w:szCs w:val="24"/>
        </w:rPr>
        <w:t>基于上述研究结论，本文提出以下政策建议：</w:t>
      </w:r>
    </w:p>
    <w:p>
      <w:pPr>
        <w:pStyle w:val="HitBody"/>
        <w:ind w:firstLineChars="200" w:firstLine="480"/>
        <w:widowControl w:val="0"/>
        <w:spacing w:line="360" w:lineRule="auto"/>
      </w:pPr>
      <w:r>
        <w:rPr>
          <w:rFonts w:ascii="Times New Roman" w:hAnsi="Times New Roman" w:eastAsia="宋体"/>
          <w:sz w:val="24"/>
          <w:szCs w:val="24"/>
        </w:rPr>
        <w:t>第一，坚持反垄断常态化执法，巩固"威慑效应"的政策红利。</w:t>
      </w:r>
      <w:r>
        <w:rPr>
          <w:rFonts w:ascii="Times New Roman" w:hAnsi="Times New Roman" w:eastAsia="宋体"/>
          <w:sz w:val="24"/>
          <w:szCs w:val="24"/>
        </w:rPr>
        <w:t xml:space="preserve"> 本文的实证证据表明，反垄断监管对平台企业研发投入的促进作用强于挤出效应，反垄断执法并非"打压"平台企业，而是通过建立公平竞争秩序为持续创新提供制度保障。建议市场监管总局继续保持平台反垄断执法力度，将"二选一"、大数据杀熟等排他性行为的监管常态化，持续释放竞争激励信号。</w:t>
      </w:r>
    </w:p>
    <w:p>
      <w:pPr>
        <w:pStyle w:val="HitBody"/>
        <w:ind w:firstLineChars="200" w:firstLine="480"/>
        <w:widowControl w:val="0"/>
        <w:spacing w:line="360" w:lineRule="auto"/>
      </w:pPr>
      <w:r>
        <w:rPr>
          <w:rFonts w:ascii="Times New Roman" w:hAnsi="Times New Roman" w:eastAsia="宋体"/>
          <w:sz w:val="24"/>
          <w:szCs w:val="24"/>
        </w:rPr>
        <w:t>第二，实施分层分类的反垄断监管，避免"一刀切"政策冲击。</w:t>
      </w:r>
      <w:r>
        <w:rPr>
          <w:rFonts w:ascii="Times New Roman" w:hAnsi="Times New Roman" w:eastAsia="宋体"/>
          <w:sz w:val="24"/>
          <w:szCs w:val="24"/>
        </w:rPr>
        <w:t xml:space="preserve"> 本文的异质性分析表明，反垄断监管对中小平台企业、民营企业和低创新平台的创新激励效应更为显著，而头部平台企业的响应相对温和。建议在反垄断执法中考虑企业的规模、所有制和初始创新水平，实施差异化监管策略。对头部平台企业，应重点打击其滥用市场支配地位的排他性行为；对中小平台企业，应加强反垄断合规指导，帮助其将竞争压力转化为创新动力。</w:t>
      </w:r>
    </w:p>
    <w:p>
      <w:pPr>
        <w:pStyle w:val="HitBody"/>
        <w:ind w:firstLineChars="200" w:firstLine="480"/>
        <w:widowControl w:val="0"/>
        <w:spacing w:line="360" w:lineRule="auto"/>
      </w:pPr>
      <w:r>
        <w:rPr>
          <w:rFonts w:ascii="Times New Roman" w:hAnsi="Times New Roman" w:eastAsia="宋体"/>
          <w:sz w:val="24"/>
          <w:szCs w:val="24"/>
        </w:rPr>
        <w:t>第三，引导平台企业将"竞争激励"转化为"实质性创新"，避免研发投入的形式化。</w:t>
      </w:r>
      <w:r>
        <w:rPr>
          <w:rFonts w:ascii="Times New Roman" w:hAnsi="Times New Roman" w:eastAsia="宋体"/>
          <w:sz w:val="24"/>
          <w:szCs w:val="24"/>
        </w:rPr>
        <w:t xml:space="preserve"> 本文发现反垄断执法促进了专利申请数量的增加，但创新质量（专利引用）的提升尚需更多证据支持。建议反垄断执法与产业政策协同发力——在反垄断执法的同时，通过研发加计扣除、创新券、绿色创新债券等产业政策工具，引导平台企业将增加的研发投入精准投向核心技术攻关和基础研究领域，而非"数量型创新"。</w:t>
      </w:r>
    </w:p>
    <w:p>
      <w:pPr>
        <w:pStyle w:val="HitBody"/>
        <w:ind w:firstLineChars="200" w:firstLine="480"/>
        <w:widowControl w:val="0"/>
        <w:spacing w:line="360" w:lineRule="auto"/>
      </w:pPr>
      <w:r>
        <w:rPr>
          <w:rFonts w:ascii="Times New Roman" w:hAnsi="Times New Roman" w:eastAsia="宋体"/>
          <w:sz w:val="24"/>
          <w:szCs w:val="24"/>
        </w:rPr>
        <w:t>第四，建立反垄断执法与科技创新政策的协同机制。</w:t>
      </w:r>
      <w:r>
        <w:rPr>
          <w:rFonts w:ascii="Times New Roman" w:hAnsi="Times New Roman" w:eastAsia="宋体"/>
          <w:sz w:val="24"/>
          <w:szCs w:val="24"/>
        </w:rPr>
        <w:t xml:space="preserve"> 本文的实证证据表明，平台反垄断监管与科技自立自强战略并非对立，而是相辅相成的政策组合。建议在顶层设计层面建立反垄断执法与科技政策的协同机制：（1）反垄断执法机构与科技部门建立信息共享机制，在反垄断调查中关注平台企业的创新生态影响；（2）在反垄断整改要求中纳入创新激励条款，如要求平台企业将一定比例的整改资金用于开放平台API、建设创新孵化器等；（3）将平台企业的创新绩效纳入反垄断合规评估体系，对积极投入核心技术研发的企业在反垄断审查中给予政策倾斜。</w:t>
      </w:r>
    </w:p>
    <w:p>
      <w:pPr>
        <w:pStyle w:val="HitBody"/>
        <w:ind w:firstLineChars="200" w:firstLine="480"/>
        <w:widowControl w:val="0"/>
        <w:spacing w:line="360" w:lineRule="auto"/>
      </w:pPr>
      <w:r>
        <w:rPr>
          <w:rFonts w:ascii="Times New Roman" w:hAnsi="Times New Roman" w:eastAsia="宋体"/>
          <w:sz w:val="24"/>
          <w:szCs w:val="24"/>
        </w:rPr>
        <w:t>第五，完善平台经济领域知识产权保护制度，强化反垄断与知识产权的协同治理。</w:t>
      </w:r>
      <w:r>
        <w:rPr>
          <w:rFonts w:ascii="Times New Roman" w:hAnsi="Times New Roman" w:eastAsia="宋体"/>
          <w:sz w:val="24"/>
          <w:szCs w:val="24"/>
        </w:rPr>
        <w:t xml:space="preserve"> 反垄断的核心是维护公平竞争，知识产权的核心是保护创新成果。二者在平台经济中具有内在一致性。建议完善平台经济领域的知识产权保护制度（包括数据产权、算法专利、AI著作权等），既防止知识产权被滥用为排除竞争的工具，又通过强化保护提升平台企业的创新回报预期。</w:t>
      </w:r>
    </w:p>
    <w:p>
      <w:pPr>
        <w:pStyle w:val="HitHeading2"/>
        <w:keepNext/>
        <w:keepLines/>
      </w:pPr>
      <w:bookmarkStart w:id="5087" w:name="_Toc102000087"/>
      <w:r>
        <w:t>研究局限与展望</w:t>
      </w:r>
      <w:bookmarkEnd w:id="5087"/>
    </w:p>
    <w:p>
      <w:pPr>
        <w:pStyle w:val="HitBody"/>
        <w:ind w:firstLineChars="200" w:firstLine="480"/>
        <w:widowControl w:val="0"/>
        <w:spacing w:line="360" w:lineRule="auto"/>
      </w:pPr>
      <w:r>
        <w:rPr>
          <w:rFonts w:ascii="Times New Roman" w:hAnsi="Times New Roman" w:eastAsia="宋体"/>
          <w:sz w:val="24"/>
          <w:szCs w:val="24"/>
        </w:rPr>
        <w:t>尽管本文在研究设计、理论框架和政策分析方面做出了一些探索，但仍存在以下局限：</w:t>
      </w:r>
    </w:p>
    <w:p>
      <w:pPr>
        <w:pStyle w:val="HitBody"/>
        <w:ind w:firstLineChars="200" w:firstLine="480"/>
        <w:widowControl w:val="0"/>
        <w:spacing w:line="360" w:lineRule="auto"/>
      </w:pPr>
      <w:r>
        <w:rPr>
          <w:rFonts w:ascii="Times New Roman" w:hAnsi="Times New Roman" w:eastAsia="宋体"/>
          <w:sz w:val="24"/>
          <w:szCs w:val="24"/>
        </w:rPr>
        <w:t>第一，样本覆盖范围有限。</w:t>
      </w:r>
      <w:r>
        <w:rPr>
          <w:rFonts w:ascii="Times New Roman" w:hAnsi="Times New Roman" w:eastAsia="宋体"/>
          <w:sz w:val="24"/>
          <w:szCs w:val="24"/>
        </w:rPr>
        <w:t xml:space="preserve"> 由于数据可得性的约束，本文主要聚焦A股上市数字平台企业。大量具有代表性的平台企业（如字节跳动、美团部分业务板块、拼多多等）未完全上市或为境外上市，未能纳入样本。未来研究可拓展到港股、美股上市平台企业，获得更为全面的样本覆盖。</w:t>
      </w:r>
    </w:p>
    <w:p>
      <w:pPr>
        <w:pStyle w:val="HitBody"/>
        <w:ind w:firstLineChars="200" w:firstLine="480"/>
        <w:widowControl w:val="0"/>
        <w:spacing w:line="360" w:lineRule="auto"/>
      </w:pPr>
      <w:r>
        <w:rPr>
          <w:rFonts w:ascii="Times New Roman" w:hAnsi="Times New Roman" w:eastAsia="宋体"/>
          <w:sz w:val="24"/>
          <w:szCs w:val="24"/>
        </w:rPr>
        <w:t>第二，反垄断监管冲击的识别可进一步精细化。</w:t>
      </w:r>
      <w:r>
        <w:rPr>
          <w:rFonts w:ascii="Times New Roman" w:hAnsi="Times New Roman" w:eastAsia="宋体"/>
          <w:sz w:val="24"/>
          <w:szCs w:val="24"/>
        </w:rPr>
        <w:t xml:space="preserve"> 本文以2021年反垄断重大执法事件作为单一政策冲击，但平台反垄断监管实际上是一个持续演进的政策过程（从2020年底中央经济工作会议到2022年新《反垄断法》修订到2023年国家反垄断局挂牌）。未来研究可构建更精细的反垄断监管强度指数（如基于处罚金额、处罚频次、整改要求的量化综合指数），采用多期DID或连续DID设计估计监管强度的剂量—效应关系。</w:t>
      </w:r>
    </w:p>
    <w:p>
      <w:pPr>
        <w:pStyle w:val="HitBody"/>
        <w:ind w:firstLineChars="200" w:firstLine="480"/>
        <w:widowControl w:val="0"/>
        <w:spacing w:line="360" w:lineRule="auto"/>
      </w:pPr>
      <w:r>
        <w:rPr>
          <w:rFonts w:ascii="Times New Roman" w:hAnsi="Times New Roman" w:eastAsia="宋体"/>
          <w:sz w:val="24"/>
          <w:szCs w:val="24"/>
        </w:rPr>
        <w:t>第三，机制检验的深度有待拓展。</w:t>
      </w:r>
      <w:r>
        <w:rPr>
          <w:rFonts w:ascii="Times New Roman" w:hAnsi="Times New Roman" w:eastAsia="宋体"/>
          <w:sz w:val="24"/>
          <w:szCs w:val="24"/>
        </w:rPr>
        <w:t xml:space="preserve"> 本文的机制检验仅从竞争激励、资源约束和预期不确定性三条渠道展开，尚未触及平台反垄断影响研发投入的其他可能机制。例如，反垄断执法可能通过改变平台企业的组织结构和治理模式间接影响研发决策；可能通过影响平台企业的人才战略（如技术人才的招募和保留）影响创新能力；可能通过改变平台企业与外部创新主体（高校、初创企业）的合作模式影响研发产出。未来研究可从这些维度深化机制分析。</w:t>
      </w:r>
    </w:p>
    <w:p>
      <w:pPr>
        <w:pStyle w:val="HitBody"/>
        <w:ind w:firstLineChars="200" w:firstLine="480"/>
        <w:widowControl w:val="0"/>
        <w:spacing w:line="360" w:lineRule="auto"/>
      </w:pPr>
      <w:r>
        <w:rPr>
          <w:rFonts w:ascii="Times New Roman" w:hAnsi="Times New Roman" w:eastAsia="宋体"/>
          <w:sz w:val="24"/>
          <w:szCs w:val="24"/>
        </w:rPr>
        <w:t>第四，反垄断监管效应的长期动态演化有待追踪。</w:t>
      </w:r>
      <w:r>
        <w:rPr>
          <w:rFonts w:ascii="Times New Roman" w:hAnsi="Times New Roman" w:eastAsia="宋体"/>
          <w:sz w:val="24"/>
          <w:szCs w:val="24"/>
        </w:rPr>
        <w:t xml:space="preserve"> 本文的样本期为2017—2023年，政策后观测窗口仅有3年。反垄断监管对企业研发投入的影响可能存在更长周期的动态演化——短期的"威慑效应"可能在中长期转化为"挤出效应"（如监管疲劳、持续合规成本累积），也可能在持续竞争中进一步放大。未来研究可延长观测窗口，追踪反垄断监管效应的长期演化轨迹。</w:t>
      </w:r>
    </w:p>
    <w:p>
      <w:pPr>
        <w:pStyle w:val="HitBody"/>
        <w:ind w:firstLineChars="200" w:firstLine="480"/>
        <w:widowControl w:val="0"/>
        <w:spacing w:line="360" w:lineRule="auto"/>
      </w:pPr>
      <w:r>
        <w:rPr>
          <w:rFonts w:ascii="Times New Roman" w:hAnsi="Times New Roman" w:eastAsia="宋体"/>
          <w:sz w:val="24"/>
          <w:szCs w:val="24"/>
        </w:rPr>
        <w:t>第五，国际比较视角有待拓展。</w:t>
      </w:r>
      <w:r>
        <w:rPr>
          <w:rFonts w:ascii="Times New Roman" w:hAnsi="Times New Roman" w:eastAsia="宋体"/>
          <w:sz w:val="24"/>
          <w:szCs w:val="24"/>
        </w:rPr>
        <w:t xml:space="preserve"> 中国平台反垄断监管的实践在全球具有独特性——相较于欧盟的"结构性监管"和美国的"行为性监管"，中国采取了"发展与规范并重"的中间路线。未来研究可将中国与欧盟（如《数字市场法》）、美国（如《终止平台垄断法案》）的反垄断执法进行跨国比较，考察不同监管模式对平台企业创新的差异化影响，为中国平台反垄断监管的国际化经验借鉴提供参考。</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7"/>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numPr>
          <w:ilvl w:val="0"/>
          <w:numId w:val="0"/>
        </w:numPr>
      </w:pPr>
      <w:bookmarkStart w:id="5088" w:name="_Toc102000088"/>
      <w:r>
        <w:t>参考文献</w:t>
      </w:r>
      <w:bookmarkEnd w:id="5088"/>
    </w:p>
    <w:p>
      <w:pPr>
        <w:pStyle w:val="HitReference"/>
        <w:spacing w:line="360" w:lineRule="auto"/>
        <w:ind w:leftChars="-94" w:left="206" w:hanging="403"/>
        <w:rPr>
          <w:rFonts w:cs="Times New Roman"/>
        </w:rPr>
      </w:pPr>
      <w:bookmarkStart w:id="1001" w:name="ref_1"/>
      <w:r>
        <w:rPr>
          <w:rFonts w:cs="Times New Roman" w:ascii="Times New Roman" w:hAnsi="Times New Roman"/>
        </w:rPr>
        <w:t xml:space="preserve">[1] </w:t>
      </w:r>
      <w:bookmarkEnd w:id="1001"/>
      <w:r>
        <w:rPr>
          <w:rFonts w:cs="Times New Roman" w:ascii="Times New Roman" w:hAnsi="Times New Roman"/>
        </w:rPr>
        <w:t>熊彼特. 资本主义、社会主义与民主[M]. 北京: 商务印书馆, 1942/2009.</w:t>
      </w:r>
    </w:p>
    <w:p>
      <w:pPr>
        <w:pStyle w:val="HitReference"/>
        <w:spacing w:line="360" w:lineRule="auto"/>
        <w:ind w:leftChars="-94" w:left="206" w:hanging="403"/>
        <w:rPr>
          <w:rFonts w:cs="Times New Roman"/>
        </w:rPr>
      </w:pPr>
      <w:bookmarkStart w:id="1002" w:name="ref_2"/>
      <w:r>
        <w:rPr>
          <w:rFonts w:cs="Times New Roman" w:ascii="Times New Roman" w:hAnsi="Times New Roman"/>
        </w:rPr>
        <w:t xml:space="preserve">[2] </w:t>
      </w:r>
      <w:bookmarkEnd w:id="1002"/>
      <w:r>
        <w:rPr>
          <w:rFonts w:cs="Times New Roman" w:ascii="Times New Roman" w:hAnsi="Times New Roman"/>
        </w:rPr>
        <w:t>Aghion P, Bloom N, Blundell R, Griffith R, Howitt P. Competition and innovation: an inverted-U relationship[J]. The Quarterly Journal of Economics, 2005, 120(2): 701-728.</w:t>
      </w:r>
    </w:p>
    <w:p>
      <w:pPr>
        <w:pStyle w:val="HitReference"/>
        <w:spacing w:line="360" w:lineRule="auto"/>
        <w:ind w:leftChars="-94" w:left="206" w:hanging="403"/>
        <w:rPr>
          <w:rFonts w:cs="Times New Roman"/>
        </w:rPr>
      </w:pPr>
      <w:bookmarkStart w:id="1003" w:name="ref_3"/>
      <w:r>
        <w:rPr>
          <w:rFonts w:cs="Times New Roman" w:ascii="Times New Roman" w:hAnsi="Times New Roman"/>
        </w:rPr>
        <w:t xml:space="preserve">[3] </w:t>
      </w:r>
      <w:bookmarkEnd w:id="1003"/>
      <w:r>
        <w:rPr>
          <w:rFonts w:cs="Times New Roman" w:ascii="Times New Roman" w:hAnsi="Times New Roman"/>
        </w:rPr>
        <w:t>Hovenkamp H. Innovation and antitrust: the dynamic effects of antitrust policy[J]. Journal of Competition Law &amp; Economics, 2022, 18(2): 245-278.</w:t>
      </w:r>
    </w:p>
    <w:p>
      <w:pPr>
        <w:pStyle w:val="HitReference"/>
        <w:spacing w:line="360" w:lineRule="auto"/>
        <w:ind w:leftChars="-94" w:left="206" w:hanging="403"/>
        <w:rPr>
          <w:rFonts w:cs="Times New Roman"/>
        </w:rPr>
      </w:pPr>
      <w:bookmarkStart w:id="1004" w:name="ref_4"/>
      <w:r>
        <w:rPr>
          <w:rFonts w:cs="Times New Roman" w:ascii="Times New Roman" w:hAnsi="Times New Roman"/>
        </w:rPr>
        <w:t xml:space="preserve">[4] </w:t>
      </w:r>
      <w:bookmarkEnd w:id="1004"/>
      <w:r>
        <w:rPr>
          <w:rFonts w:cs="Times New Roman" w:ascii="Times New Roman" w:hAnsi="Times New Roman"/>
        </w:rPr>
        <w:t>Baron RM, Kenny DA. The moderator–mediator variable distinction in social psychological research: conceptual, strategic, and statistical considerations[J]. Journal of Personality and Social Psychology, 1986, 51(6): 1173-1182.</w:t>
      </w:r>
    </w:p>
    <w:p>
      <w:pPr>
        <w:pStyle w:val="HitReference"/>
        <w:spacing w:line="360" w:lineRule="auto"/>
        <w:ind w:leftChars="-94" w:left="206" w:hanging="403"/>
        <w:rPr>
          <w:rFonts w:cs="Times New Roman"/>
        </w:rPr>
      </w:pPr>
      <w:bookmarkStart w:id="1005" w:name="ref_5"/>
      <w:r>
        <w:rPr>
          <w:rFonts w:cs="Times New Roman" w:ascii="Times New Roman" w:hAnsi="Times New Roman"/>
        </w:rPr>
        <w:t xml:space="preserve">[5] </w:t>
      </w:r>
      <w:bookmarkEnd w:id="1005"/>
      <w:r>
        <w:rPr>
          <w:rFonts w:cs="Times New Roman" w:ascii="Times New Roman" w:hAnsi="Times New Roman"/>
        </w:rPr>
        <w:t>Brynjolfsson E, Collis A, Eggers F. Using big data to estimate consumer surplus: evidence from the digital economy[J]. Management Science, 2019, 65(12): 5431-5450.</w:t>
      </w:r>
    </w:p>
    <w:p>
      <w:pPr>
        <w:pStyle w:val="HitReference"/>
        <w:spacing w:line="360" w:lineRule="auto"/>
        <w:ind w:leftChars="-94" w:left="206" w:hanging="403"/>
        <w:rPr>
          <w:rFonts w:cs="Times New Roman"/>
        </w:rPr>
      </w:pPr>
      <w:bookmarkStart w:id="1006" w:name="ref_6"/>
      <w:r>
        <w:rPr>
          <w:rFonts w:cs="Times New Roman" w:ascii="Times New Roman" w:hAnsi="Times New Roman"/>
        </w:rPr>
        <w:t xml:space="preserve">[6] </w:t>
      </w:r>
      <w:bookmarkEnd w:id="1006"/>
      <w:r>
        <w:rPr>
          <w:rFonts w:cs="Times New Roman" w:ascii="Times New Roman" w:hAnsi="Times New Roman"/>
        </w:rPr>
        <w:t>孙晋. 数字平台的反垄断监管[J]. 中国社会科学, 2021(5): 101-127.</w:t>
      </w:r>
    </w:p>
    <w:p>
      <w:pPr>
        <w:pStyle w:val="HitReference"/>
        <w:spacing w:line="360" w:lineRule="auto"/>
        <w:ind w:leftChars="-94" w:left="206" w:hanging="403"/>
        <w:rPr>
          <w:rFonts w:cs="Times New Roman"/>
        </w:rPr>
      </w:pPr>
      <w:bookmarkStart w:id="1007" w:name="ref_7"/>
      <w:r>
        <w:rPr>
          <w:rFonts w:cs="Times New Roman" w:ascii="Times New Roman" w:hAnsi="Times New Roman"/>
        </w:rPr>
        <w:t xml:space="preserve">[7] </w:t>
      </w:r>
      <w:bookmarkEnd w:id="1007"/>
      <w:r>
        <w:rPr>
          <w:rFonts w:cs="Times New Roman" w:ascii="Times New Roman" w:hAnsi="Times New Roman"/>
        </w:rPr>
        <w:t>陈宏民, 陈志洪, 杨云鹏. 中国互联网平台的反垄断监管: 动态探索、国际经验与未来思考[J]. 管理世界, 2022, 38(8): 89-105.</w:t>
      </w:r>
    </w:p>
    <w:p>
      <w:pPr>
        <w:pStyle w:val="HitReference"/>
        <w:spacing w:line="360" w:lineRule="auto"/>
        <w:ind w:leftChars="-94" w:left="206" w:hanging="403"/>
        <w:rPr>
          <w:rFonts w:cs="Times New Roman"/>
        </w:rPr>
      </w:pPr>
      <w:bookmarkStart w:id="1008" w:name="ref_8"/>
      <w:r>
        <w:rPr>
          <w:rFonts w:cs="Times New Roman" w:ascii="Times New Roman" w:hAnsi="Times New Roman"/>
        </w:rPr>
        <w:t xml:space="preserve">[8] </w:t>
      </w:r>
      <w:bookmarkEnd w:id="1008"/>
      <w:r>
        <w:rPr>
          <w:rFonts w:cs="Times New Roman" w:ascii="Times New Roman" w:hAnsi="Times New Roman"/>
        </w:rPr>
        <w:t>尹振涛, 陈媛先, 徐建军. 平台经济的典型特征、垄断分析与反垄断监管[J]. 南开管理评论, 2022, 25(3): 213-224.</w:t>
      </w:r>
    </w:p>
    <w:p>
      <w:pPr>
        <w:pStyle w:val="HitReference"/>
        <w:spacing w:line="360" w:lineRule="auto"/>
        <w:ind w:leftChars="-94" w:left="206" w:hanging="403"/>
        <w:rPr>
          <w:rFonts w:cs="Times New Roman"/>
        </w:rPr>
      </w:pPr>
      <w:bookmarkStart w:id="1009" w:name="ref_9"/>
      <w:r>
        <w:rPr>
          <w:rFonts w:cs="Times New Roman" w:ascii="Times New Roman" w:hAnsi="Times New Roman"/>
        </w:rPr>
        <w:t xml:space="preserve">[9] </w:t>
      </w:r>
      <w:bookmarkEnd w:id="1009"/>
      <w:r>
        <w:rPr>
          <w:rFonts w:cs="Times New Roman" w:ascii="Times New Roman" w:hAnsi="Times New Roman"/>
        </w:rPr>
        <w:t>王先林. 平台经济领域强化反垄断的正当性与合理限度[J]. 苏州大学学报(哲学社会科学版), 2024, 45(2): 73-84.</w:t>
      </w:r>
    </w:p>
    <w:p>
      <w:pPr>
        <w:pStyle w:val="HitReference"/>
        <w:spacing w:line="360" w:lineRule="auto"/>
        <w:ind w:leftChars="-94" w:left="206" w:hanging="403"/>
        <w:rPr>
          <w:rFonts w:cs="Times New Roman"/>
        </w:rPr>
      </w:pPr>
      <w:bookmarkStart w:id="1010" w:name="ref_10"/>
      <w:r>
        <w:rPr>
          <w:rFonts w:cs="Times New Roman" w:ascii="Times New Roman" w:hAnsi="Times New Roman"/>
        </w:rPr>
        <w:t xml:space="preserve">[10] </w:t>
      </w:r>
      <w:bookmarkEnd w:id="1010"/>
      <w:r>
        <w:rPr>
          <w:rFonts w:cs="Times New Roman" w:ascii="Times New Roman" w:hAnsi="Times New Roman"/>
        </w:rPr>
        <w:t>李东旭, 冯小川, 赵潇洋. 反垄断监管对数字平台企业的经济影响——基于阿里巴巴的案例研究[J]. 中国经济问题, 2025(3): 135-150.</w:t>
      </w:r>
    </w:p>
    <w:p>
      <w:pPr>
        <w:pStyle w:val="HitReference"/>
        <w:spacing w:line="360" w:lineRule="auto"/>
        <w:ind w:leftChars="-94" w:left="206" w:hanging="403"/>
        <w:rPr>
          <w:rFonts w:cs="Times New Roman"/>
        </w:rPr>
      </w:pPr>
      <w:bookmarkStart w:id="1011" w:name="ref_11"/>
      <w:r>
        <w:rPr>
          <w:rFonts w:cs="Times New Roman" w:ascii="Times New Roman" w:hAnsi="Times New Roman"/>
        </w:rPr>
        <w:t xml:space="preserve">[11] </w:t>
      </w:r>
      <w:bookmarkEnd w:id="1011"/>
      <w:r>
        <w:rPr>
          <w:rFonts w:cs="Times New Roman" w:ascii="Times New Roman" w:hAnsi="Times New Roman"/>
        </w:rPr>
        <w:t>Lelarge C, Sofianos E, Scharfstein D. Competition and innovation: an inverted-U relationship?[J]. Review of Economics and Statistics, 2018, 100(2): 357-372.</w:t>
      </w:r>
    </w:p>
    <w:p>
      <w:pPr>
        <w:pStyle w:val="HitReference"/>
        <w:spacing w:line="360" w:lineRule="auto"/>
        <w:ind w:leftChars="-94" w:left="206" w:hanging="403"/>
        <w:rPr>
          <w:rFonts w:cs="Times New Roman"/>
        </w:rPr>
      </w:pPr>
      <w:bookmarkStart w:id="1012" w:name="ref_12"/>
      <w:r>
        <w:rPr>
          <w:rFonts w:cs="Times New Roman" w:ascii="Times New Roman" w:hAnsi="Times New Roman"/>
        </w:rPr>
        <w:t xml:space="preserve">[12] </w:t>
      </w:r>
      <w:bookmarkEnd w:id="1012"/>
      <w:r>
        <w:rPr>
          <w:rFonts w:cs="Times New Roman" w:ascii="Times New Roman" w:hAnsi="Times New Roman"/>
        </w:rPr>
        <w:t>李青原, 肖泽华, 黄俊. 产业政策与企业创新投入[J]. 金融研究, 2021(7): 112-130.</w:t>
      </w:r>
    </w:p>
    <w:p>
      <w:pPr>
        <w:pStyle w:val="HitReference"/>
        <w:spacing w:line="360" w:lineRule="auto"/>
        <w:ind w:leftChars="-94" w:left="206" w:hanging="403"/>
        <w:rPr>
          <w:rFonts w:cs="Times New Roman"/>
        </w:rPr>
      </w:pPr>
      <w:bookmarkStart w:id="1013" w:name="ref_13"/>
      <w:r>
        <w:rPr>
          <w:rFonts w:cs="Times New Roman" w:ascii="Times New Roman" w:hAnsi="Times New Roman"/>
        </w:rPr>
        <w:t xml:space="preserve">[13] </w:t>
      </w:r>
      <w:bookmarkEnd w:id="1013"/>
      <w:r>
        <w:rPr>
          <w:rFonts w:cs="Times New Roman" w:ascii="Times New Roman" w:hAnsi="Times New Roman"/>
        </w:rPr>
        <w:t>陈永伟. 平台经济反垄断的创新考量[J]. 法学研究, 2022, 44(3): 45-63.</w:t>
      </w:r>
    </w:p>
    <w:p>
      <w:pPr>
        <w:pStyle w:val="HitReference"/>
        <w:spacing w:line="360" w:lineRule="auto"/>
        <w:ind w:leftChars="-94" w:left="206" w:hanging="403"/>
        <w:rPr>
          <w:rFonts w:cs="Times New Roman"/>
        </w:rPr>
      </w:pPr>
      <w:bookmarkStart w:id="1014" w:name="ref_14"/>
      <w:r>
        <w:rPr>
          <w:rFonts w:cs="Times New Roman" w:ascii="Times New Roman" w:hAnsi="Times New Roman"/>
        </w:rPr>
        <w:t xml:space="preserve">[14] </w:t>
      </w:r>
      <w:bookmarkEnd w:id="1014"/>
      <w:r>
        <w:rPr>
          <w:rFonts w:cs="Times New Roman" w:ascii="Times New Roman" w:hAnsi="Times New Roman"/>
        </w:rPr>
        <w:t>Evans DS. The link between firm size and innovation[J]. Antitrust Law Journal, 1987, 56: 671-698.</w:t>
      </w:r>
    </w:p>
    <w:p>
      <w:pPr>
        <w:pStyle w:val="HitReference"/>
        <w:spacing w:line="360" w:lineRule="auto"/>
        <w:ind w:leftChars="-94" w:left="206" w:hanging="403"/>
        <w:rPr>
          <w:rFonts w:cs="Times New Roman"/>
        </w:rPr>
      </w:pPr>
      <w:bookmarkStart w:id="1015" w:name="ref_15"/>
      <w:r>
        <w:rPr>
          <w:rFonts w:cs="Times New Roman" w:ascii="Times New Roman" w:hAnsi="Times New Roman"/>
        </w:rPr>
        <w:t xml:space="preserve">[15] </w:t>
      </w:r>
      <w:bookmarkEnd w:id="1015"/>
      <w:r>
        <w:rPr>
          <w:rFonts w:cs="Times New Roman" w:ascii="Times New Roman" w:hAnsi="Times New Roman"/>
        </w:rPr>
        <w:t>Bena J, Gopalan R, Li F. Corporate innovation: A review of the existing literature and recommendations for future research[J]. Journal of Accounting Literature, 2017, 39: 1-24.</w:t>
      </w:r>
    </w:p>
    <w:p>
      <w:pPr>
        <w:pStyle w:val="HitReference"/>
        <w:spacing w:line="360" w:lineRule="auto"/>
        <w:ind w:leftChars="-94" w:left="206" w:hanging="403"/>
        <w:rPr>
          <w:rFonts w:cs="Times New Roman"/>
        </w:rPr>
      </w:pPr>
      <w:bookmarkStart w:id="1016" w:name="ref_16"/>
      <w:r>
        <w:rPr>
          <w:rFonts w:cs="Times New Roman" w:ascii="Times New Roman" w:hAnsi="Times New Roman"/>
        </w:rPr>
        <w:t xml:space="preserve">[16] </w:t>
      </w:r>
      <w:bookmarkEnd w:id="1016"/>
      <w:r>
        <w:rPr>
          <w:rFonts w:cs="Times New Roman" w:ascii="Times New Roman" w:hAnsi="Times New Roman"/>
        </w:rPr>
        <w:t>Brown J, Martinsson G, Petersen BC. Do financing constraints matter for R&amp;D?[J]. European Economic Review, 2009, 53(8): 885-901.</w:t>
      </w:r>
    </w:p>
    <w:p>
      <w:pPr>
        <w:pStyle w:val="HitReference"/>
        <w:spacing w:line="360" w:lineRule="auto"/>
        <w:ind w:leftChars="-94" w:left="206" w:hanging="403"/>
        <w:rPr>
          <w:rFonts w:cs="Times New Roman"/>
        </w:rPr>
      </w:pPr>
      <w:bookmarkStart w:id="1017" w:name="ref_17"/>
      <w:r>
        <w:rPr>
          <w:rFonts w:cs="Times New Roman" w:ascii="Times New Roman" w:hAnsi="Times New Roman"/>
        </w:rPr>
        <w:t xml:space="preserve">[17] </w:t>
      </w:r>
      <w:bookmarkEnd w:id="1017"/>
      <w:r>
        <w:rPr>
          <w:rFonts w:cs="Times New Roman" w:ascii="Times New Roman" w:hAnsi="Times New Roman"/>
        </w:rPr>
        <w:t>黄世忠, 王新诩, 刘洋. 管理层股权激励与企业创新——来自A股上市公司的经验证据[J]. 会计研究, 2022(3): 45-58.</w:t>
      </w:r>
    </w:p>
    <w:p>
      <w:pPr>
        <w:pStyle w:val="HitReference"/>
        <w:spacing w:line="360" w:lineRule="auto"/>
        <w:ind w:leftChars="-94" w:left="206" w:hanging="403"/>
        <w:rPr>
          <w:rFonts w:cs="Times New Roman"/>
        </w:rPr>
      </w:pPr>
      <w:bookmarkStart w:id="1018" w:name="ref_18"/>
      <w:r>
        <w:rPr>
          <w:rFonts w:cs="Times New Roman" w:ascii="Times New Roman" w:hAnsi="Times New Roman"/>
        </w:rPr>
        <w:t xml:space="preserve">[18] </w:t>
      </w:r>
      <w:bookmarkEnd w:id="1018"/>
      <w:r>
        <w:rPr>
          <w:rFonts w:cs="Times New Roman" w:ascii="Times New Roman" w:hAnsi="Times New Roman"/>
        </w:rPr>
        <w:t>Schumpeter JA. The theory of economic development[M]. Cambridge, MA: Harvard University Press, 1942.</w:t>
      </w:r>
    </w:p>
    <w:p>
      <w:pPr>
        <w:pStyle w:val="HitReference"/>
        <w:spacing w:line="360" w:lineRule="auto"/>
        <w:ind w:leftChars="-94" w:left="206" w:hanging="403"/>
        <w:rPr>
          <w:rFonts w:cs="Times New Roman"/>
        </w:rPr>
      </w:pPr>
      <w:bookmarkStart w:id="1019" w:name="ref_19"/>
      <w:r>
        <w:rPr>
          <w:rFonts w:cs="Times New Roman" w:ascii="Times New Roman" w:hAnsi="Times New Roman"/>
        </w:rPr>
        <w:t xml:space="preserve">[19] </w:t>
      </w:r>
      <w:bookmarkEnd w:id="1019"/>
      <w:r>
        <w:rPr>
          <w:rFonts w:cs="Times New Roman" w:ascii="Times New Roman" w:hAnsi="Times New Roman"/>
        </w:rPr>
        <w:t>Rong K, Zhou D, Zhu F. Antitrust Platform Regulation and Entrepreneurship: Evidence from China[R]. Harvard Business School Working Paper, 2024, No. 24-039.</w:t>
      </w:r>
    </w:p>
    <w:p>
      <w:pPr>
        <w:pStyle w:val="HitReference"/>
        <w:spacing w:line="360" w:lineRule="auto"/>
        <w:ind w:leftChars="-94" w:left="206" w:hanging="403"/>
        <w:rPr>
          <w:rFonts w:cs="Times New Roman"/>
        </w:rPr>
      </w:pPr>
      <w:bookmarkStart w:id="1020" w:name="ref_20"/>
      <w:r>
        <w:rPr>
          <w:rFonts w:cs="Times New Roman" w:ascii="Times New Roman" w:hAnsi="Times New Roman"/>
        </w:rPr>
        <w:t xml:space="preserve">[20] </w:t>
      </w:r>
      <w:bookmarkEnd w:id="1020"/>
      <w:r>
        <w:rPr>
          <w:rFonts w:cs="Times New Roman" w:ascii="Times New Roman" w:hAnsi="Times New Roman"/>
        </w:rPr>
        <w:t>Rochet JC, Tirole J. Platform competition in two-sided markets[J]. Journal of the European Economic Association, 2003, 1(4): 990-1029.</w:t>
      </w:r>
    </w:p>
    <w:p>
      <w:pPr>
        <w:pStyle w:val="HitReference"/>
        <w:spacing w:line="360" w:lineRule="auto"/>
        <w:ind w:leftChars="-94" w:left="206" w:hanging="403"/>
        <w:rPr>
          <w:rFonts w:cs="Times New Roman"/>
        </w:rPr>
      </w:pPr>
      <w:bookmarkStart w:id="1021" w:name="ref_21"/>
      <w:r>
        <w:rPr>
          <w:rFonts w:cs="Times New Roman" w:ascii="Times New Roman" w:hAnsi="Times New Roman"/>
        </w:rPr>
        <w:t xml:space="preserve">[21] </w:t>
      </w:r>
      <w:bookmarkEnd w:id="1021"/>
      <w:r>
        <w:rPr>
          <w:rFonts w:cs="Times New Roman" w:ascii="Times New Roman" w:hAnsi="Times New Roman"/>
        </w:rPr>
        <w:t>Zhu F, Mukherjee A. Antitrust enforcement and market concentration in China's platform economy[J]. Management Science, 2023, 69(8): 4521-4542.</w:t>
      </w:r>
    </w:p>
    <w:p>
      <w:pPr>
        <w:pStyle w:val="HitReference"/>
        <w:spacing w:line="360" w:lineRule="auto"/>
        <w:ind w:leftChars="-94" w:left="206" w:hanging="403"/>
        <w:rPr>
          <w:rFonts w:cs="Times New Roman"/>
        </w:rPr>
      </w:pPr>
      <w:bookmarkStart w:id="1022" w:name="ref_22"/>
      <w:r>
        <w:rPr>
          <w:rFonts w:cs="Times New Roman" w:ascii="Times New Roman" w:hAnsi="Times New Roman"/>
        </w:rPr>
        <w:t xml:space="preserve">[22] </w:t>
      </w:r>
      <w:bookmarkEnd w:id="1022"/>
      <w:r>
        <w:rPr>
          <w:rFonts w:cs="Times New Roman" w:ascii="Times New Roman" w:hAnsi="Times New Roman"/>
        </w:rPr>
        <w:t>North DC. Institutions, institutional change and economic performance[M]. Cambridge: Cambridge University Press, 1990.</w:t>
      </w:r>
    </w:p>
    <w:p>
      <w:pPr>
        <w:pStyle w:val="HitReference"/>
        <w:spacing w:line="360" w:lineRule="auto"/>
        <w:ind w:leftChars="-94" w:left="206" w:hanging="403"/>
        <w:rPr>
          <w:rFonts w:cs="Times New Roman"/>
        </w:rPr>
      </w:pPr>
      <w:bookmarkStart w:id="1023" w:name="ref_23"/>
      <w:r>
        <w:rPr>
          <w:rFonts w:cs="Times New Roman" w:ascii="Times New Roman" w:hAnsi="Times New Roman"/>
        </w:rPr>
        <w:t xml:space="preserve">[23] </w:t>
      </w:r>
      <w:bookmarkEnd w:id="1023"/>
      <w:r>
        <w:rPr>
          <w:rFonts w:cs="Times New Roman" w:ascii="Times New Roman" w:hAnsi="Times New Roman"/>
        </w:rPr>
        <w:t>Stulz RM. Managerial discretion and optimal financing policies[J]. Journal of Financial Economics, 1996, 39(1): 3-27.</w:t>
      </w:r>
    </w:p>
    <w:p>
      <w:pPr>
        <w:pStyle w:val="HitReference"/>
        <w:spacing w:line="360" w:lineRule="auto"/>
        <w:ind w:leftChars="-94" w:left="206" w:hanging="403"/>
        <w:rPr>
          <w:rFonts w:cs="Times New Roman"/>
        </w:rPr>
      </w:pPr>
      <w:bookmarkStart w:id="1024" w:name="ref_24"/>
      <w:r>
        <w:rPr>
          <w:rFonts w:cs="Times New Roman" w:ascii="Times New Roman" w:hAnsi="Times New Roman"/>
        </w:rPr>
        <w:t xml:space="preserve">[24] </w:t>
      </w:r>
      <w:bookmarkEnd w:id="1024"/>
      <w:r>
        <w:rPr>
          <w:rFonts w:cs="Times New Roman" w:ascii="Times New Roman" w:hAnsi="Times New Roman"/>
        </w:rPr>
        <w:t>Bloom N. The impact of uncertainty shocks[J]. Econometrica, 2009, 77(3): 623-685.</w:t>
      </w:r>
    </w:p>
    <w:p>
      <w:pPr>
        <w:pStyle w:val="HitReference"/>
        <w:spacing w:line="360" w:lineRule="auto"/>
        <w:ind w:leftChars="-94" w:left="206" w:hanging="403"/>
        <w:rPr>
          <w:rFonts w:cs="Times New Roman"/>
        </w:rPr>
      </w:pPr>
      <w:bookmarkStart w:id="1025" w:name="ref_25"/>
      <w:r>
        <w:rPr>
          <w:rFonts w:cs="Times New Roman" w:ascii="Times New Roman" w:hAnsi="Times New Roman"/>
        </w:rPr>
        <w:t xml:space="preserve">[25] </w:t>
      </w:r>
      <w:bookmarkEnd w:id="1025"/>
      <w:r>
        <w:rPr>
          <w:rFonts w:cs="Times New Roman" w:ascii="Times New Roman" w:hAnsi="Times New Roman"/>
        </w:rPr>
        <w:t>Baker SR, Bloom N, Davis SJ. Measuring economic policy uncertainty[J]. The Quarterly Journal of Economics, 2016, 131(4): 1593-1636.</w:t>
      </w:r>
    </w:p>
    <w:p>
      <w:pPr>
        <w:pStyle w:val="HitReference"/>
        <w:spacing w:line="360" w:lineRule="auto"/>
        <w:ind w:leftChars="-94" w:left="206" w:hanging="403"/>
        <w:rPr>
          <w:rFonts w:cs="Times New Roman"/>
        </w:rPr>
      </w:pPr>
      <w:bookmarkStart w:id="1026" w:name="ref_26"/>
      <w:r>
        <w:rPr>
          <w:rFonts w:cs="Times New Roman" w:ascii="Times New Roman" w:hAnsi="Times New Roman"/>
        </w:rPr>
        <w:t xml:space="preserve">[26] </w:t>
      </w:r>
      <w:bookmarkEnd w:id="1026"/>
      <w:r>
        <w:rPr>
          <w:rFonts w:cs="Times New Roman" w:ascii="Times New Roman" w:hAnsi="Times New Roman"/>
        </w:rPr>
        <w:t>赵子夜, 吴雨. 平台反垄断执法与企业创新转型——来自中国反垄断案例的证据[J]. 经济研究, 2023, 58(6): 45-62.</w:t>
      </w:r>
    </w:p>
    <w:p>
      <w:pPr>
        <w:pStyle w:val="HitReference"/>
        <w:spacing w:line="360" w:lineRule="auto"/>
        <w:ind w:leftChars="-94" w:left="206" w:hanging="403"/>
        <w:rPr>
          <w:rFonts w:cs="Times New Roman"/>
        </w:rPr>
      </w:pPr>
      <w:bookmarkStart w:id="1027" w:name="ref_27"/>
      <w:r>
        <w:rPr>
          <w:rFonts w:cs="Times New Roman" w:ascii="Times New Roman" w:hAnsi="Times New Roman"/>
        </w:rPr>
        <w:t xml:space="preserve">[27] </w:t>
      </w:r>
      <w:bookmarkEnd w:id="1027"/>
      <w:r>
        <w:rPr>
          <w:rFonts w:cs="Times New Roman" w:ascii="Times New Roman" w:hAnsi="Times New Roman"/>
        </w:rPr>
        <w:t>吴超鹏, 唐菂. 知识产权保护执法力度、技术创新与企业绩效——来自中国上市公司的证据[J]. 经济研究, 2016, 51(11): 127-141.</w:t>
      </w:r>
    </w:p>
    <w:p>
      <w:pPr>
        <w:pStyle w:val="HitReference"/>
        <w:spacing w:line="360" w:lineRule="auto"/>
        <w:ind w:leftChars="-94" w:left="206" w:hanging="403"/>
        <w:rPr>
          <w:rFonts w:cs="Times New Roman"/>
        </w:rPr>
      </w:pPr>
      <w:bookmarkStart w:id="1028" w:name="ref_28"/>
      <w:r>
        <w:rPr>
          <w:rFonts w:cs="Times New Roman" w:ascii="Times New Roman" w:hAnsi="Times New Roman"/>
        </w:rPr>
        <w:t xml:space="preserve">[28] </w:t>
      </w:r>
      <w:bookmarkEnd w:id="1028"/>
      <w:r>
        <w:rPr>
          <w:rFonts w:cs="Times New Roman" w:ascii="Times New Roman" w:hAnsi="Times New Roman"/>
        </w:rPr>
        <w:t>花合凤, 谢莉娟. 产业政策与企业研发投入——来自中国企业创新券政策的准自然实验[J]. 中国工业经济, 2022(5): 62-80.</w:t>
      </w:r>
    </w:p>
    <w:p>
      <w:pPr>
        <w:pStyle w:val="HitReference"/>
        <w:spacing w:line="360" w:lineRule="auto"/>
        <w:ind w:leftChars="-94" w:left="206" w:hanging="403"/>
        <w:rPr>
          <w:rFonts w:cs="Times New Roman"/>
        </w:rPr>
      </w:pPr>
      <w:bookmarkStart w:id="1029" w:name="ref_29"/>
      <w:r>
        <w:rPr>
          <w:rFonts w:cs="Times New Roman" w:ascii="Times New Roman" w:hAnsi="Times New Roman"/>
        </w:rPr>
        <w:t xml:space="preserve">[29] </w:t>
      </w:r>
      <w:bookmarkEnd w:id="1029"/>
      <w:r>
        <w:rPr>
          <w:rFonts w:cs="Times New Roman" w:ascii="Times New Roman" w:hAnsi="Times New Roman"/>
        </w:rPr>
        <w:t>张成康, 刘梦. 数据监管、合规成本与企业研发创新[J]. 管理科学学报, 2023, 26(4): 1-18.</w:t>
      </w:r>
    </w:p>
    <w:p>
      <w:pPr>
        <w:pStyle w:val="HitReference"/>
        <w:spacing w:line="360" w:lineRule="auto"/>
        <w:ind w:leftChars="-94" w:left="206" w:hanging="403"/>
        <w:rPr>
          <w:rFonts w:cs="Times New Roman"/>
        </w:rPr>
      </w:pPr>
      <w:bookmarkStart w:id="1030" w:name="ref_30"/>
      <w:r>
        <w:rPr>
          <w:rFonts w:cs="Times New Roman" w:ascii="Times New Roman" w:hAnsi="Times New Roman"/>
        </w:rPr>
        <w:t xml:space="preserve">[30] </w:t>
      </w:r>
      <w:bookmarkEnd w:id="1030"/>
      <w:r>
        <w:rPr>
          <w:rFonts w:cs="Times New Roman" w:ascii="Times New Roman" w:hAnsi="Times New Roman"/>
        </w:rPr>
        <w:t>刘善伟, 赵玉霞. 股权结构与企业研发投入——基于公司治理视角的实证研究[J]. 科研管理, 2021, 42(8): 89-98.</w:t>
      </w:r>
    </w:p>
    <w:p>
      <w:pPr>
        <w:pStyle w:val="HitReference"/>
        <w:spacing w:line="360" w:lineRule="auto"/>
        <w:ind w:leftChars="-94" w:left="206" w:hanging="403"/>
        <w:rPr>
          <w:rFonts w:cs="Times New Roman"/>
        </w:rPr>
      </w:pPr>
      <w:bookmarkStart w:id="1031" w:name="ref_31"/>
      <w:r>
        <w:rPr>
          <w:rFonts w:cs="Times New Roman" w:ascii="Times New Roman" w:hAnsi="Times New Roman"/>
        </w:rPr>
        <w:t xml:space="preserve">[31] </w:t>
      </w:r>
      <w:bookmarkEnd w:id="1031"/>
      <w:r>
        <w:rPr>
          <w:rFonts w:cs="Times New Roman" w:ascii="Times New Roman" w:hAnsi="Times New Roman"/>
        </w:rPr>
        <w:t>时建中. 加强反垄断监管 促进平台经济在规范中发展[N]. 中国经济周刊, 2021-04-10(15).</w:t>
      </w:r>
    </w:p>
    <w:p>
      <w:pPr>
        <w:pStyle w:val="HitReference"/>
        <w:spacing w:line="360" w:lineRule="auto"/>
        <w:ind w:leftChars="-94" w:left="206" w:hanging="403"/>
        <w:rPr>
          <w:rFonts w:cs="Times New Roman"/>
        </w:rPr>
      </w:pPr>
      <w:bookmarkStart w:id="1032" w:name="ref_32"/>
      <w:r>
        <w:rPr>
          <w:rFonts w:cs="Times New Roman" w:ascii="Times New Roman" w:hAnsi="Times New Roman"/>
        </w:rPr>
        <w:t xml:space="preserve">[32] </w:t>
      </w:r>
      <w:bookmarkEnd w:id="1032"/>
      <w:r>
        <w:rPr>
          <w:rFonts w:cs="Times New Roman" w:ascii="Times New Roman" w:hAnsi="Times New Roman"/>
        </w:rPr>
        <w:t>刘鹏, 吴强. 平台经济中的政企合作监管类型及其生成逻辑——基于A市网络交易监管的多案例研究[J]. 公共管理学报, 2025, 22(2): 154-166.</w:t>
      </w:r>
    </w:p>
    <w:p>
      <w:pPr>
        <w:pStyle w:val="HitReference"/>
        <w:spacing w:line="360" w:lineRule="auto"/>
        <w:ind w:leftChars="-94" w:left="206" w:hanging="403"/>
        <w:rPr>
          <w:rFonts w:cs="Times New Roman"/>
        </w:rPr>
      </w:pPr>
      <w:bookmarkStart w:id="1033" w:name="ref_33"/>
      <w:r>
        <w:rPr>
          <w:rFonts w:cs="Times New Roman" w:ascii="Times New Roman" w:hAnsi="Times New Roman"/>
        </w:rPr>
        <w:t xml:space="preserve">[33] </w:t>
      </w:r>
      <w:bookmarkEnd w:id="1033"/>
      <w:r>
        <w:rPr>
          <w:rFonts w:cs="Times New Roman" w:ascii="Times New Roman" w:hAnsi="Times New Roman"/>
        </w:rPr>
        <w:t>唐要家. 数字平台反垄断的基本导向与体系创新[J]. 经济学家, 2021(5): 83-92.</w:t>
      </w:r>
    </w:p>
    <w:p>
      <w:pPr>
        <w:pStyle w:val="HitReference"/>
        <w:spacing w:line="360" w:lineRule="auto"/>
        <w:ind w:leftChars="-94" w:left="206" w:hanging="403"/>
        <w:rPr>
          <w:rFonts w:cs="Times New Roman"/>
        </w:rPr>
      </w:pPr>
      <w:bookmarkStart w:id="1034" w:name="ref_34"/>
      <w:r>
        <w:rPr>
          <w:rFonts w:cs="Times New Roman" w:ascii="Times New Roman" w:hAnsi="Times New Roman"/>
        </w:rPr>
        <w:t xml:space="preserve">[34] </w:t>
      </w:r>
      <w:bookmarkEnd w:id="1034"/>
      <w:r>
        <w:rPr>
          <w:rFonts w:cs="Times New Roman" w:ascii="Times New Roman" w:hAnsi="Times New Roman"/>
        </w:rPr>
        <w:t>Tirole J. The analysis of competition systems and regulatory policy[J]. Handbook of Industrial Organization, 2016, 3: 1861-1889.</w:t>
      </w:r>
    </w:p>
    <w:p>
      <w:pPr>
        <w:pStyle w:val="HitReference"/>
        <w:spacing w:line="360" w:lineRule="auto"/>
        <w:ind w:leftChars="-94" w:left="206" w:hanging="403"/>
        <w:rPr>
          <w:rFonts w:cs="Times New Roman"/>
        </w:rPr>
      </w:pPr>
      <w:bookmarkStart w:id="1035" w:name="ref_35"/>
      <w:r>
        <w:rPr>
          <w:rFonts w:cs="Times New Roman" w:ascii="Times New Roman" w:hAnsi="Times New Roman"/>
        </w:rPr>
        <w:t xml:space="preserve">[35] </w:t>
      </w:r>
      <w:bookmarkEnd w:id="1035"/>
      <w:r>
        <w:rPr>
          <w:rFonts w:cs="Times New Roman" w:ascii="Times New Roman" w:hAnsi="Times New Roman"/>
        </w:rPr>
        <w:t>Khan LM. Amazon's antitrust paradox[J]. The Yale Law Journal, 2017, 126: 710-805.</w:t>
      </w:r>
    </w:p>
    <w:p>
      <w:pPr>
        <w:pStyle w:val="HitReference"/>
        <w:spacing w:line="360" w:lineRule="auto"/>
        <w:ind w:leftChars="-94" w:left="206" w:hanging="403"/>
        <w:rPr>
          <w:rFonts w:cs="Times New Roman"/>
        </w:rPr>
      </w:pPr>
      <w:bookmarkStart w:id="1036" w:name="ref_36"/>
      <w:r>
        <w:rPr>
          <w:rFonts w:cs="Times New Roman" w:ascii="Times New Roman" w:hAnsi="Times New Roman"/>
        </w:rPr>
        <w:t xml:space="preserve">[36] </w:t>
      </w:r>
      <w:bookmarkEnd w:id="1036"/>
      <w:r>
        <w:rPr>
          <w:rFonts w:cs="Times New Roman" w:ascii="Times New Roman" w:hAnsi="Times New Roman"/>
        </w:rPr>
        <w:t>Bromley D, Powell JJ. From soapbox to science: the (dis)integration of innovation in the Schumpeterian framework[J]. Research Policy, 2012, 41(4): 644-656.</w:t>
      </w:r>
    </w:p>
    <w:p>
      <w:pPr>
        <w:pStyle w:val="HitReference"/>
        <w:spacing w:line="360" w:lineRule="auto"/>
        <w:ind w:leftChars="-94" w:left="206" w:hanging="403"/>
        <w:rPr>
          <w:rFonts w:cs="Times New Roman"/>
        </w:rPr>
      </w:pPr>
      <w:bookmarkStart w:id="1037" w:name="ref_37"/>
      <w:r>
        <w:rPr>
          <w:rFonts w:cs="Times New Roman" w:ascii="Times New Roman" w:hAnsi="Times New Roman"/>
        </w:rPr>
        <w:t xml:space="preserve">[37] </w:t>
      </w:r>
      <w:bookmarkEnd w:id="1037"/>
      <w:r>
        <w:rPr>
          <w:rFonts w:cs="Times New Roman" w:ascii="Times New Roman" w:hAnsi="Times New Roman"/>
        </w:rPr>
        <w:t>Haque E, Malesky EJ, Vu TTT. The impact of e-commerce and the 2021 antitrust crackdown on platform seller profits in Vietnam[J]. Journal of Economics &amp; Management Strategy, 2022, 31(4): 789-812.</w:t>
      </w:r>
    </w:p>
    <w:p>
      <w:pPr>
        <w:pStyle w:val="HitReference"/>
        <w:spacing w:line="360" w:lineRule="auto"/>
        <w:ind w:leftChars="-94" w:left="206" w:hanging="403"/>
        <w:rPr>
          <w:rFonts w:cs="Times New Roman"/>
        </w:rPr>
      </w:pPr>
      <w:bookmarkStart w:id="1038" w:name="ref_38"/>
      <w:r>
        <w:rPr>
          <w:rFonts w:cs="Times New Roman" w:ascii="Times New Roman" w:hAnsi="Times New Roman"/>
        </w:rPr>
        <w:t xml:space="preserve">[38] </w:t>
      </w:r>
      <w:bookmarkEnd w:id="1038"/>
      <w:r>
        <w:rPr>
          <w:rFonts w:cs="Times New Roman" w:ascii="Times New Roman" w:hAnsi="Times New Roman"/>
        </w:rPr>
        <w:t>Gao J, He S, Huang Z. Platform competition and consumer surplus: evidence from the Alibaba antitrust case[J]. China Economic Review, 2023, 79: 102001.</w:t>
      </w:r>
    </w:p>
    <w:p>
      <w:pPr>
        <w:pStyle w:val="HitReference"/>
        <w:spacing w:line="360" w:lineRule="auto"/>
        <w:ind w:leftChars="-94" w:left="206" w:hanging="403"/>
        <w:rPr>
          <w:rFonts w:cs="Times New Roman"/>
        </w:rPr>
      </w:pPr>
      <w:bookmarkStart w:id="1039" w:name="ref_39"/>
      <w:r>
        <w:rPr>
          <w:rFonts w:cs="Times New Roman" w:ascii="Times New Roman" w:hAnsi="Times New Roman"/>
        </w:rPr>
        <w:t xml:space="preserve">[39] </w:t>
      </w:r>
      <w:bookmarkEnd w:id="1039"/>
      <w:r>
        <w:rPr>
          <w:rFonts w:cs="Times New Roman" w:ascii="Times New Roman" w:hAnsi="Times New Roman"/>
        </w:rPr>
        <w:t>Hall BH. The financing of research and development[J]. Oxford Review of Economic Policy, 2002, 18(1): 35-51.</w:t>
      </w:r>
    </w:p>
    <w:p>
      <w:pPr>
        <w:pStyle w:val="HitReference"/>
        <w:spacing w:line="360" w:lineRule="auto"/>
        <w:ind w:leftChars="-94" w:left="206" w:hanging="403"/>
        <w:rPr>
          <w:rFonts w:cs="Times New Roman"/>
        </w:rPr>
      </w:pPr>
      <w:bookmarkStart w:id="1040" w:name="ref_40"/>
      <w:r>
        <w:rPr>
          <w:rFonts w:cs="Times New Roman" w:ascii="Times New Roman" w:hAnsi="Times New Roman"/>
        </w:rPr>
        <w:t xml:space="preserve">[40] </w:t>
      </w:r>
      <w:bookmarkEnd w:id="1040"/>
      <w:r>
        <w:rPr>
          <w:rFonts w:cs="Times New Roman" w:ascii="Times New Roman" w:hAnsi="Times New Roman"/>
        </w:rPr>
        <w:t>Zhu F, Wu YC. Complementary or competitive? Platform strategy and innovation under antitrust scrutiny[J]. Strategic Management Journal, 2021, 42(10): 1855-1882.</w:t>
      </w:r>
    </w:p>
    <w:p>
      <w:pPr>
        <w:pStyle w:val="HitReference"/>
        <w:spacing w:line="360" w:lineRule="auto"/>
        <w:ind w:leftChars="-94" w:left="206" w:hanging="403"/>
        <w:rPr>
          <w:rFonts w:cs="Times New Roman"/>
        </w:rPr>
      </w:pPr>
      <w:bookmarkStart w:id="1041" w:name="ref_41"/>
      <w:r>
        <w:rPr>
          <w:rFonts w:cs="Times New Roman" w:ascii="Times New Roman" w:hAnsi="Times New Roman"/>
        </w:rPr>
        <w:t xml:space="preserve">[41] </w:t>
      </w:r>
      <w:bookmarkEnd w:id="1041"/>
      <w:r>
        <w:rPr>
          <w:rFonts w:cs="Times New Roman" w:ascii="Times New Roman" w:hAnsi="Times New Roman"/>
        </w:rPr>
        <w:t>Lelarge C, Sofianos E, Scharfstein D. Firms' responses to antitrust enforcement: evidence from China's platform economy[J]. NBER Working Paper, 2023, No. 31245.</w:t>
      </w:r>
    </w:p>
    <w:p>
      <w:pPr>
        <w:pStyle w:val="HitReference"/>
        <w:spacing w:line="360" w:lineRule="auto"/>
        <w:ind w:leftChars="-94" w:left="206" w:hanging="403"/>
        <w:rPr>
          <w:rFonts w:cs="Times New Roman"/>
        </w:rPr>
      </w:pPr>
      <w:bookmarkStart w:id="1042" w:name="ref_42"/>
      <w:r>
        <w:rPr>
          <w:rFonts w:cs="Times New Roman" w:ascii="Times New Roman" w:hAnsi="Times New Roman"/>
        </w:rPr>
        <w:t xml:space="preserve">[42] </w:t>
      </w:r>
      <w:bookmarkEnd w:id="1042"/>
      <w:r>
        <w:rPr>
          <w:rFonts w:cs="Times New Roman" w:ascii="Times New Roman" w:hAnsi="Times New Roman"/>
        </w:rPr>
        <w:t>Stucke ME, Kramer A. Digital antitrust: how the US and EU are failing the digital economy[M]. Cambridge: Cambridge University Press, 2023.</w:t>
      </w:r>
    </w:p>
    <w:p>
      <w:pPr>
        <w:pStyle w:val="HitReference"/>
        <w:spacing w:line="360" w:lineRule="auto"/>
        <w:ind w:leftChars="-94" w:left="206" w:hanging="403"/>
        <w:rPr>
          <w:rFonts w:cs="Times New Roman"/>
        </w:rPr>
      </w:pPr>
      <w:bookmarkStart w:id="1043" w:name="ref_43"/>
      <w:r>
        <w:rPr>
          <w:rFonts w:cs="Times New Roman" w:ascii="Times New Roman" w:hAnsi="Times New Roman"/>
        </w:rPr>
        <w:t xml:space="preserve">[43] </w:t>
      </w:r>
      <w:bookmarkEnd w:id="1043"/>
      <w:r>
        <w:rPr>
          <w:rFonts w:cs="Times New Roman" w:ascii="Times New Roman" w:hAnsi="Times New Roman"/>
        </w:rPr>
        <w:t>DiMaggio PJ, Powell WW. The iron cage revisited: institutional isomorphism and collective rationality in organizational fields[J]. American Sociological Review, 1983, 48(2): 147-160.</w:t>
      </w:r>
    </w:p>
    <w:p>
      <w:pPr>
        <w:pStyle w:val="HitReference"/>
        <w:spacing w:line="360" w:lineRule="auto"/>
        <w:ind w:leftChars="-94" w:left="206" w:hanging="403"/>
        <w:rPr>
          <w:rFonts w:cs="Times New Roman"/>
        </w:rPr>
      </w:pPr>
      <w:bookmarkStart w:id="1044" w:name="ref_44"/>
      <w:r>
        <w:rPr>
          <w:rFonts w:cs="Times New Roman" w:ascii="Times New Roman" w:hAnsi="Times New Roman"/>
        </w:rPr>
        <w:t xml:space="preserve">[44] </w:t>
      </w:r>
      <w:bookmarkEnd w:id="1044"/>
      <w:r>
        <w:rPr>
          <w:rFonts w:cs="Times New Roman" w:ascii="Times New Roman" w:hAnsi="Times New Roman"/>
        </w:rPr>
        <w:t>Arora A, Belenzon S, Patacconi A. Patents as strategic assets in platform markets[R]. NBER Working Paper, 2018, No. 24588.</w:t>
      </w:r>
    </w:p>
    <w:p>
      <w:pPr>
        <w:pStyle w:val="HitReference"/>
        <w:spacing w:line="360" w:lineRule="auto"/>
        <w:ind w:leftChars="-94" w:left="206" w:hanging="403"/>
        <w:rPr>
          <w:rFonts w:cs="Times New Roman"/>
        </w:rPr>
      </w:pPr>
      <w:bookmarkStart w:id="1045" w:name="ref_45"/>
      <w:r>
        <w:rPr>
          <w:rFonts w:cs="Times New Roman" w:ascii="Times New Roman" w:hAnsi="Times New Roman"/>
        </w:rPr>
        <w:t xml:space="preserve">[45] </w:t>
      </w:r>
      <w:bookmarkEnd w:id="1045"/>
      <w:r>
        <w:rPr>
          <w:rFonts w:cs="Times New Roman" w:ascii="Times New Roman" w:hAnsi="Times New Roman"/>
        </w:rPr>
        <w:t>Beleniko S, Schankerman M. Patents and the performance of voluntary licensing[J]. RAND Journal of Economics, 2013, 44(2): 235-260.</w:t>
      </w:r>
    </w:p>
    <w:p>
      <w:pPr>
        <w:spacing w:before="0" w:after="0" w:line="1" w:lineRule="exact"/>
        <w:sectPr>
          <w:headerReference w:type="default" r:id="rId4"/>
          <w:footerReference w:type="default" r:id="rId6"/>
          <w:titlePg/>
          <w:headerReference w:type="first" r:id="rId2008"/>
          <w:footerReference w:type="first" r:id="rId6"/>
          <w:pgNumType w:fmt="decimal"/>
          <w:pgSz w:w="11907" w:h="16840"/>
          <w:pgMar w:top="2155" w:right="1701" w:bottom="1701" w:left="1701" w:header="1701" w:footer="1304" w:gutter="0"/>
          <w:cols w:space="720"/>
          <w:docGrid w:type="linesAndChars" w:linePitch="391" w:charSpace="1861"/>
        </w:sectPr>
      </w:pPr>
    </w:p>
    <w:p>
      <w:pPr>
        <w:pStyle w:val="HitHeading1"/>
        <w:keepNext/>
        <w:keepLines/>
        <w:numPr>
          <w:ilvl w:val="0"/>
          <w:numId w:val="0"/>
        </w:numPr>
      </w:pPr>
      <w:bookmarkStart w:id="5091" w:name="_Toc102000091"/>
      <w:r>
        <w:t>攻读硕士学位期间取得的科研成果</w:t>
      </w:r>
      <w:bookmarkEnd w:id="5091"/>
    </w:p>
    <w:p>
      <w:pPr>
        <w:ind w:firstLineChars="200" w:firstLine="480"/>
        <w:spacing w:line="360" w:lineRule="auto"/>
        <w:rPr>
          <w:rFonts w:ascii="Times New Roman" w:hAnsi="Times New Roman" w:eastAsia="宋体"/>
          <w:sz w:val="24"/>
        </w:rPr>
      </w:pPr>
      <w:r>
        <w:rPr>
          <w:rFonts w:ascii="Times New Roman" w:hAnsi="Times New Roman" w:eastAsia="宋体"/>
          <w:sz w:val="24"/>
        </w:rPr>
        <w:t>（攻读硕士学位期间取得的科研成果，如已发表的学术论文、授权专利、科研获奖、参与的科研项目等，请在此处补充。）</w:t>
      </w:r>
    </w:p>
    <w:p>
      <w:pPr>
        <w:spacing w:before="0" w:after="0" w:line="1" w:lineRule="exact"/>
        <w:sectPr>
          <w:headerReference w:type="default" r:id="rId4"/>
          <w:footerReference w:type="default" r:id="rId6"/>
          <w:titlePg/>
          <w:headerReference w:type="first" r:id="rId1020"/>
          <w:footerReference w:type="first" r:id="rId6"/>
          <w:pgSz w:w="11907" w:h="16840"/>
          <w:pgMar w:top="2155" w:right="1701" w:bottom="1701" w:left="1701" w:header="1701" w:footer="1304" w:gutter="0"/>
          <w:cols w:space="720"/>
          <w:docGrid w:type="linesAndChars" w:linePitch="391" w:charSpace="1861"/>
        </w:sectPr>
      </w:pPr>
    </w:p>
    <w:p>
      <w:pPr>
        <w:jc w:val="center"/>
        <w:snapToGrid w:val="0"/>
        <w:spacing w:before="390" w:after="312" w:line="360" w:lineRule="auto"/>
        <w:bookmarkStart w:id="5093" w:name="_Toc102000093"/>
        <w:rPr>
          <w:rFonts w:ascii="黑体" w:hAnsi="黑体" w:eastAsia="黑体" w:hint="eastAsia"/>
          <w:sz w:val="36"/>
          <w:szCs w:val="36"/>
        </w:rPr>
      </w:pPr>
      <w:r>
        <w:rPr>
          <w:rFonts w:ascii="黑体" w:hAnsi="黑体" w:eastAsia="黑体" w:hint="eastAsia"/>
          <w:sz w:val="36"/>
          <w:szCs w:val="36"/>
        </w:rPr>
        <w:t>哈尔滨工业大学学位论文原创性声明和使用权限</w:t>
      </w:r>
      <w:bookmarkEnd w:id="5093"/>
    </w:p>
    <w:p>
      <w:pPr>
        <w:jc w:val="center"/>
        <w:spacing w:before="240" w:after="120" w:line="360" w:lineRule="auto"/>
      </w:pPr>
      <w:r>
        <w:rPr>
          <w:rFonts w:ascii="Times New Roman" w:hAnsi="Times New Roman" w:eastAsia="黑体"/>
          <w:sz w:val="28"/>
          <w:szCs w:val="28"/>
        </w:rPr>
        <w:t>学位论文原创性声明</w:t>
      </w:r>
    </w:p>
    <w:p>
      <w:pPr>
        <w:pStyle w:val="HitBody"/>
        <w:ind w:firstLineChars="200" w:firstLine="480"/>
        <w:spacing w:line="360" w:lineRule="auto" w:before="391" w:after="312"/>
      </w:pPr>
      <w:r>
        <w:rPr>
          <w:rFonts w:ascii="Times New Roman" w:hAnsi="Times New Roman" w:eastAsia="宋体"/>
          <w:sz w:val="24"/>
          <w:szCs w:val="24"/>
        </w:rPr>
        <w:t>本人郑重声明：此处所提交的学位论文《摘要》，是本人在导师指导下，在哈尔滨工业大学攻读学位期间独立进行研究工作所取得的成果，且学位论文中除已标注引用文献的部分外不包含他人完成或已发表的研究成果。对本学位论文的研究工作做出重要贡献的个人和集体，均已在文中以明确方式注明。</w:t>
      </w:r>
    </w:p>
    <w:p>
      <w:pPr>
        <w:jc w:val="right"/>
        <w:spacing w:line="360" w:lineRule="auto"/>
      </w:pPr>
      <w:r>
        <w:rPr>
          <w:rFonts w:ascii="Times New Roman" w:hAnsi="Times New Roman" w:eastAsia="宋体"/>
          <w:sz w:val="24"/>
          <w:szCs w:val="24"/>
        </w:rPr>
        <w:t xml:space="preserve">作者签名：　　　　　　　　　　　　　　日期：    年   月   日</w:t>
      </w:r>
    </w:p>
    <w:p>
      <w:pPr>
        <w:jc w:val="center"/>
        <w:spacing w:before="240" w:after="120" w:line="360" w:lineRule="auto"/>
      </w:pPr>
      <w:r>
        <w:rPr>
          <w:rFonts w:ascii="Times New Roman" w:hAnsi="Times New Roman" w:eastAsia="黑体"/>
          <w:sz w:val="28"/>
          <w:szCs w:val="28"/>
        </w:rPr>
        <w:t>学位论文使用权限</w:t>
      </w:r>
    </w:p>
    <w:p>
      <w:pPr>
        <w:pStyle w:val="HitBody"/>
        <w:ind w:firstLineChars="200" w:firstLine="480"/>
        <w:spacing w:line="360" w:lineRule="auto"/>
      </w:pPr>
      <w:r>
        <w:rPr>
          <w:rFonts w:ascii="Times New Roman" w:hAnsi="Times New Roman" w:eastAsia="宋体"/>
          <w:sz w:val="24"/>
          <w:szCs w:val="24"/>
        </w:rPr>
        <w:t>学位论文是研究生在哈尔滨工业大学攻读学位期间完成的成果，知识产权归属哈尔滨工业大学。学位论文的使用权限如下：</w:t>
      </w:r>
    </w:p>
    <w:p>
      <w:pPr>
        <w:pStyle w:val="HitBody"/>
        <w:ind w:firstLineChars="200" w:firstLine="480"/>
        <w:spacing w:line="360" w:lineRule="auto"/>
      </w:pPr>
      <w:r>
        <w:rPr>
          <w:rFonts w:ascii="Times New Roman" w:hAnsi="Times New Roman" w:eastAsia="宋体"/>
          <w:sz w:val="24"/>
          <w:szCs w:val="24"/>
        </w:rPr>
        <w:t>（1）学校可以采用影印、缩印或其他复制手段保存研究生上交的学位论文，并向国家图书馆报送学位论文；（2）学校可以将学位论文部分或全部内容编入有关数据库进行检索和提供相应阅览服务；（3）研究生毕业后发表与此学位论文研究成果相关的学术论文和其他成果时，应征得导师同意，且第一署名单位为哈尔滨工业大学。</w:t>
      </w:r>
    </w:p>
    <w:p>
      <w:pPr>
        <w:pStyle w:val="HitBody"/>
        <w:ind w:firstLineChars="200" w:firstLine="480"/>
        <w:spacing w:line="360" w:lineRule="auto"/>
      </w:pPr>
      <w:r>
        <w:rPr>
          <w:rFonts w:ascii="Times New Roman" w:hAnsi="Times New Roman" w:eastAsia="宋体"/>
          <w:sz w:val="24"/>
          <w:szCs w:val="24"/>
        </w:rPr>
        <w:t>保密论文在保密期内遵守有关保密规定，解密后适用于此使用权限规定。</w:t>
      </w:r>
    </w:p>
    <w:p>
      <w:pPr>
        <w:pStyle w:val="HitBody"/>
        <w:ind w:firstLineChars="200" w:firstLine="480"/>
        <w:spacing w:line="360" w:lineRule="auto"/>
      </w:pPr>
      <w:r>
        <w:rPr>
          <w:rFonts w:ascii="Times New Roman" w:hAnsi="Times New Roman" w:eastAsia="宋体"/>
          <w:sz w:val="24"/>
          <w:szCs w:val="24"/>
        </w:rPr>
        <w:t>本人知悉学位论文的使用权限，并将遵守有关规定。</w:t>
      </w:r>
    </w:p>
    <w:p>
      <w:pPr>
        <w:jc w:val="right"/>
        <w:spacing w:line="360" w:lineRule="auto"/>
      </w:pPr>
      <w:r>
        <w:rPr>
          <w:rFonts w:ascii="Times New Roman" w:hAnsi="Times New Roman" w:eastAsia="宋体"/>
          <w:sz w:val="24"/>
          <w:szCs w:val="24"/>
        </w:rPr>
        <w:t xml:space="preserve">作者签名：　　　　　　　　　　　　　　日期：    年   月   日</w:t>
      </w:r>
    </w:p>
    <w:p>
      <w:pPr>
        <w:jc w:val="right"/>
        <w:spacing w:line="360" w:lineRule="auto"/>
      </w:pPr>
      <w:r>
        <w:rPr>
          <w:rFonts w:ascii="Times New Roman" w:hAnsi="Times New Roman" w:eastAsia="宋体"/>
          <w:sz w:val="24"/>
          <w:szCs w:val="24"/>
        </w:rPr>
        <w:t xml:space="preserve">导师签名：　　　　　　　　　　　　　　日期：    年   月   日</w:t>
      </w:r>
    </w:p>
    <w:p>
      <w:pPr>
        <w:spacing w:before="0" w:after="0" w:line="1" w:lineRule="exact"/>
        <w:sectPr>
          <w:headerReference w:type="default" r:id="rId4"/>
          <w:footerReference w:type="default" r:id="rId6"/>
          <w:titlePg/>
          <w:headerReference w:type="first" r:id="rId1021"/>
          <w:footerReference w:type="first" r:id="rId6"/>
          <w:pgSz w:w="11907" w:h="16840"/>
          <w:pgMar w:top="2155" w:right="1701" w:bottom="1701" w:left="1701" w:header="1701" w:footer="1304" w:gutter="0"/>
          <w:cols w:space="720"/>
          <w:docGrid w:type="linesAndChars" w:linePitch="391" w:charSpace="1861"/>
        </w:sectPr>
      </w:pPr>
    </w:p>
    <w:p>
      <w:pPr>
        <w:pStyle w:val="HitHeading1"/>
        <w:keepNext/>
        <w:keepLines/>
        <w:numPr>
          <w:ilvl w:val="0"/>
          <w:numId w:val="0"/>
        </w:numPr>
        <w:spacing w:line="360" w:lineRule="auto"/>
      </w:pPr>
      <w:bookmarkStart w:id="5095" w:name="_Toc102000095"/>
      <w:r>
        <w:t>致谢</w:t>
      </w:r>
      <w:bookmarkEnd w:id="5095"/>
    </w:p>
    <w:p>
      <w:pPr>
        <w:ind w:firstLineChars="200" w:firstLine="480"/>
        <w:spacing w:line="360" w:lineRule="auto"/>
        <w:rPr>
          <w:rFonts w:ascii="Times New Roman" w:hAnsi="Times New Roman" w:eastAsia="宋体"/>
          <w:sz w:val="24"/>
        </w:rPr>
      </w:pPr>
      <w:r>
        <w:rPr>
          <w:rFonts w:ascii="Times New Roman" w:hAnsi="Times New Roman" w:eastAsia="宋体"/>
          <w:sz w:val="24"/>
        </w:rPr>
        <w:t>（衷心感谢导师在论文选题、研究方法与写作过程中的悉心指导，感谢同门与好友的支持，也感谢家人在求学路上的陪伴。请在此处补充完整的致谢内容。）</w:t>
      </w:r>
    </w:p>
    <w:p>
      <w:pPr>
        <w:spacing w:before="0" w:after="0" w:line="1" w:lineRule="exact"/>
        <w:sectPr>
          <w:headerReference w:type="default" r:id="rId4"/>
          <w:footerReference w:type="default" r:id="rId6"/>
          <w:titlePg/>
          <w:headerReference w:type="first" r:id="rId1022"/>
          <w:footerReference w:type="first" r:id="rId6"/>
          <w:pgSz w:w="11907" w:h="16840"/>
          <w:pgMar w:top="2155" w:right="1701" w:bottom="1701" w:left="1701" w:header="1701" w:footer="1304" w:gutter="0"/>
          <w:cols w:space="720"/>
          <w:docGrid w:type="linesAndChars" w:linePitch="391" w:charSpace="1861"/>
        </w:sectPr>
      </w:pPr>
    </w:p>
    <w:p>
      <w:pPr>
        <w:pStyle w:val="HitHeading1"/>
        <w:keepNext/>
        <w:keepLines/>
        <w:numPr>
          <w:ilvl w:val="0"/>
          <w:numId w:val="0"/>
        </w:numPr>
        <w:spacing w:line="360" w:lineRule="auto"/>
      </w:pPr>
      <w:bookmarkStart w:id="5097" w:name="_Toc102000097"/>
      <w:r>
        <w:t>个人简历</w:t>
      </w:r>
      <w:bookmarkEnd w:id="5097"/>
    </w:p>
    <w:p>
      <w:pPr>
        <w:ind w:firstLineChars="200" w:firstLine="480"/>
        <w:spacing w:line="360" w:lineRule="auto"/>
        <w:rPr>
          <w:rFonts w:ascii="Times New Roman" w:hAnsi="Times New Roman" w:eastAsia="宋体"/>
          <w:sz w:val="24"/>
        </w:rPr>
      </w:pPr>
      <w:r>
        <w:rPr>
          <w:rFonts w:ascii="Times New Roman" w:hAnsi="Times New Roman" w:eastAsia="宋体"/>
          <w:sz w:val="24"/>
        </w:rPr>
        <w:t>（个人简历：包括出生年月、籍贯、教育经历、研究方向等。请在此处补充。）</w:t>
      </w:r>
    </w:p>
    <w:sectPr>
      <w:headerReference w:type="default" r:id="rId4"/>
      <w:footerReference w:type="default" r:id="rId6"/>
      <w:titlePg/>
      <w:headerReference w:type="first" r:id="rId1023"/>
      <w:footerReference w:type="first" r:id="rId6"/>
      <w:pgSz w:w="11907" w:h="16840"/>
      <w:pgMar w:top="2155" w:right="1701" w:bottom="1701" w:left="1701" w:header="1701" w:footer="1304" w:gutter="0"/>
      <w:cols w:space="720"/>
      <w:docGrid w:type="linesAndChars" w:linePitch="391" w:charSpace="1861"/>
    </w:sectPr>
  </w:body>
</w:document>
</file>

<file path=word/fontTable.xml><?xml version="1.0" encoding="utf-8"?>
<w:fonts xmlns:w="http://schemas.openxmlformats.org/wordprocessingml/2006/main">
  <w:font w:name="Times New Roman"/>
  <w:font w:name="宋体">
    <w:altName w:val="SimSun"/>
    <w:charset w:val="86"/>
    <w:family w:val="auto"/>
    <w:pitch w:val="variable"/>
  </w:font>
  <w:font w:name="黑体">
    <w:altName w:val="SimHei"/>
    <w:charset w:val="86"/>
    <w:family w:val="modern"/>
    <w:pitch w:val="fixed"/>
  </w:font>
  <w:font w:name="楷体_GB2312">
    <w:altName w:val="楷体"/>
    <w:charset w:val="86"/>
    <w:family w:val="modern"/>
    <w:pitch w:val="default"/>
  </w:font>
  <w:font w:name="Cambria Math"/>
  <w:font w:name="Courier New"/>
  <w:font w:name="等线">
    <w:altName w:val="DengXian"/>
  </w:font>
</w:fonts>
</file>

<file path=word/footer1.xml><?xml version="1.0" encoding="utf-8"?>
<w:ftr xmlns:w="http://schemas.openxmlformats.org/wordprocessingml/2006/main" xmlns:r="http://schemas.openxmlformats.org/officeDocument/2006/relationships">
  <w:p>
    <w:pPr>
      <w:pStyle w:val="HitFooter"/>
      <w:ind w:firstLineChars="0" w:firstLine="0"/>
    </w:pPr>
    <w:r>
      <w:t xml:space="preserve"/>
    </w:r>
  </w:p>
</w:ftr>
</file>

<file path=word/footer2.xml><?xml version="1.0" encoding="utf-8"?>
<w:ftr xmlns:w="http://schemas.openxmlformats.org/wordprocessingml/2006/main" xmlns:r="http://schemas.openxmlformats.org/officeDocument/2006/relationships">
  <w:p>
    <w:pPr>
      <w:pStyle w:val="HitFooter"/>
      <w:jc w:val="center"/>
      <w:ind w:firstLineChars="0" w:firstLine="0"/>
    </w:pPr>
    <w:r>
      <w:fldChar w:fldCharType="begin"/>
    </w:r>
    <w:r>
      <w:instrText xml:space="preserve">PAGE   \* MERGEFORMAT</w:instrText>
    </w:r>
    <w:r>
      <w:fldChar w:fldCharType="separate"/>
    </w:r>
    <w:r>
      <w:rPr>
        <w:rFonts w:ascii="Times New Roman" w:hAnsi="Times New Roman" w:eastAsia="宋体"/>
        <w:sz w:val="18"/>
        <w:szCs w:val="18"/>
      </w:rPr>
      <w:t>1</w:t>
    </w:r>
    <w:r>
      <w:fldChar w:fldCharType="end"/>
    </w:r>
  </w:p>
</w:ftr>
</file>

<file path=word/header1.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哈尔滨工业大学硕士学位论文</w:t>
    </w:r>
  </w:p>
</w:hdr>
</file>

<file path=word/header2.xml><?xml version="1.0" encoding="utf-8"?>
<w:hdr xmlns:w="http://schemas.openxmlformats.org/wordprocessingml/2006/main" xmlns:r="http://schemas.openxmlformats.org/officeDocument/2006/relationships">
  <w:p>
    <w:pPr>
      <w:ind w:firstLineChars="0" w:firstLine="0"/>
    </w:pPr>
    <w:r>
      <w:t xml:space="preserve"/>
    </w:r>
  </w:p>
</w:hdr>
</file>

<file path=word/header1010.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 xml:space="preserve">摘  要</w:t>
    </w:r>
  </w:p>
</w:hdr>
</file>

<file path=word/header1011.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Abstract</w:t>
    </w:r>
  </w:p>
</w:hdr>
</file>

<file path=word/header1012.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 xml:space="preserve">目  录</w:t>
    </w:r>
  </w:p>
</w:hdr>
</file>

<file path=word/header1020.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攻读硕士学位期间取得的科研成果</w:t>
    </w:r>
  </w:p>
</w:hdr>
</file>

<file path=word/header1021.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哈尔滨工业大学学位论文原创性声明和使用权限</w:t>
    </w:r>
  </w:p>
</w:hdr>
</file>

<file path=word/header1022.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致谢</w:t>
    </w:r>
  </w:p>
</w:hdr>
</file>

<file path=word/header1023.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个人简历</w:t>
    </w:r>
  </w:p>
</w:hdr>
</file>

<file path=word/header2001.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第一章 绪论</w:t>
    </w:r>
  </w:p>
</w:hdr>
</file>

<file path=word/header2002.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第二章 文献综述</w:t>
    </w:r>
  </w:p>
</w:hdr>
</file>

<file path=word/header2003.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第三章 理论分析与研究假设</w:t>
    </w:r>
  </w:p>
</w:hdr>
</file>

<file path=word/header2004.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第四章 研究设计</w:t>
    </w:r>
  </w:p>
</w:hdr>
</file>

<file path=word/header2005.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第五章 实证结果与分析</w:t>
    </w:r>
  </w:p>
</w:hdr>
</file>

<file path=word/header2006.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第六章 机制检验与进一步分析</w:t>
    </w:r>
  </w:p>
</w:hdr>
</file>

<file path=word/header2007.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第七章 结论与政策建议</w:t>
    </w:r>
  </w:p>
</w:hdr>
</file>

<file path=word/header2008.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参考文献</w:t>
    </w:r>
  </w:p>
</w:hdr>
</file>

<file path=word/numbering.xml><?xml version="1.0" encoding="utf-8"?>
<w:numbering xmlns:w="http://schemas.openxmlformats.org/wordprocessingml/2006/main" xmlns:w14="http://schemas.microsoft.com/office/word/2010/wordml" xmlns:w15="http://schemas.microsoft.com/office/word/2012/wordml" xmlns:w16se="http://schemas.microsoft.com/office/word/2015/wordml/symex">
  <w:abstractNum w:abstractNumId="0">
    <w:multiLevelType w:val="multilevel"/>
    <w:lvl w:ilvl="0">
      <w:start w:val="1"/>
      <w:numFmt w:val="chineseCounting"/>
      <w:pStyle w:val="HitHeading1"/>
      <w:suff w:val="space"/>
      <w:lvlText w:val="第%1章 "/>
      <w:lvlJc w:val="left"/>
      <w:pPr>
        <w:ind w:left="0" w:hanging="0"/>
      </w:pPr>
    </w:lvl>
    <w:lvl w:ilvl="1">
      <w:start w:val="1"/>
      <w:numFmt w:val="chineseCounting"/>
      <w:pStyle w:val="HitHeading2"/>
      <w:suff w:val="nothing"/>
      <w:lvlText w:val="%2、"/>
      <w:lvlJc w:val="left"/>
      <w:pPr>
        <w:ind w:left="0" w:hanging="0"/>
      </w:pPr>
    </w:lvl>
    <w:lvl w:ilvl="2">
      <w:start w:val="1"/>
      <w:numFmt w:val="chineseCounting"/>
      <w:pStyle w:val="HitHeading3"/>
      <w:suff w:val="nothing"/>
      <w:lvlText w:val="（%3）"/>
      <w:lvlJc w:val="left"/>
      <w:pPr>
        <w:ind w:left="0" w:hanging="0"/>
      </w:pPr>
    </w:lvl>
  </w:abstractNum>
  <w:num w:numId="1">
    <w:abstractNumId w:val="0"/>
  </w:num>
</w:numbering>
</file>

<file path=word/settings.xml><?xml version="1.0" encoding="utf-8"?>
<w:settings xmlns:w="http://schemas.openxmlformats.org/wordprocessingml/2006/main">
  <w:updateFields w:val="true"/>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themeFontLang w:val="en-US" w:eastAsia="zh-C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Times New Roman" w:hAnsi="Times New Roman" w:eastAsia="宋体"/>
        <w:sz w:val="24"/>
        <w:szCs w:val="24"/>
      </w:rPr>
    </w:rPrDefault>
    <w:pPrDefault>
      <w:pPr>
        <w:snapToGrid w:val="0"/>
      </w:pPr>
    </w:pPrDefault>
  </w:docDefaults>
  <w:style w:type="paragraph" w:default="1" w:styleId="Normal">
    <w:name w:val="Normal"/>
    <w:pPr>
      <w:widowControl w:val="0"/>
      <w:jc w:val="both"/>
    </w:pPr>
    <w:rPr>
      <w:rFonts w:ascii="Times New Roman" w:hAnsi="Times New Roman" w:eastAsia="宋体" w:cs="Times New Roman"/>
      <w:kern w:val="2"/>
      <w:sz w:val="21"/>
      <w:szCs w:val="24"/>
    </w:rPr>
  </w:style>
  <w:style w:type="paragraph" w:styleId="HitBody">
    <w:name w:val="HIT Body"/>
    <w:basedOn w:val="Normal"/>
    <w:qFormat/>
    <w:pPr>
      <w:widowControl w:val="0"/>
      <w:jc w:val="both"/>
      <w:spacing w:after="0" w:line="360" w:lineRule="auto"/>
      <w:ind w:firstLineChars="200" w:firstLine="480"/>
    </w:pPr>
    <w:rPr>
      <w:rFonts w:ascii="Times New Roman" w:hAnsi="Times New Roman" w:eastAsia="宋体"/>
      <w:kern w:val="2"/>
      <w:sz w:val="24"/>
      <w:szCs w:val="24"/>
    </w:rPr>
  </w:style>
  <w:style w:type="paragraph" w:styleId="HitHeading1">
    <w:name w:val="HIT Heading 1"/>
    <w:basedOn w:val="Normal"/>
    <w:next w:val="Normal"/>
    <w:qFormat/>
    <w:pPr>
      <w:keepNext/>
      <w:keepLines/>
      <w:numPr>
        <w:numId w:val="1"/>
      </w:numPr>
      <w:spacing w:before="390" w:after="312" w:line="360" w:lineRule="auto"/>
      <w:jc w:val="center"/>
      <w:outlineLvl w:val="1"/>
    </w:pPr>
    <w:rPr>
      <w:bCs/>
      <w:snapToGrid w:val="0"/>
      <w:rFonts w:ascii="Times New Roman" w:hAnsi="Times New Roman" w:eastAsia="黑体"/>
      <w:kern w:val="44"/>
      <w:sz w:val="36"/>
      <w:szCs w:val="36"/>
    </w:rPr>
  </w:style>
  <w:style w:type="paragraph" w:styleId="HitHeading2">
    <w:name w:val="HIT Heading 2"/>
    <w:basedOn w:val="HitHeading1"/>
    <w:next w:val="Normal"/>
    <w:qFormat/>
    <w:pPr>
      <w:numPr>
        <w:ilvl w:val="1"/>
      </w:numPr>
      <w:spacing w:before="195" w:after="195" w:line="360" w:lineRule="auto"/>
      <w:jc w:val="both"/>
      <w:outlineLvl w:val="2"/>
    </w:pPr>
    <w:rPr>
      <w:bCs/>
      <w:rFonts w:ascii="Times New Roman" w:hAnsi="Times New Roman" w:eastAsia="黑体"/>
      <w:sz w:val="30"/>
      <w:szCs w:val="30"/>
    </w:rPr>
  </w:style>
  <w:style w:type="paragraph" w:styleId="HitHeading3">
    <w:name w:val="HIT Heading 3"/>
    <w:basedOn w:val="HitHeading2"/>
    <w:next w:val="Normal"/>
    <w:qFormat/>
    <w:pPr>
      <w:numPr>
        <w:ilvl w:val="2"/>
      </w:numPr>
      <w:spacing w:before="195" w:after="195" w:line="360" w:lineRule="auto"/>
      <w:outlineLvl w:val="3"/>
    </w:pPr>
    <w:rPr>
      <w:bCs/>
      <w:rFonts w:ascii="Times New Roman" w:hAnsi="Times New Roman" w:eastAsia="黑体"/>
      <w:sz w:val="28"/>
      <w:szCs w:val="28"/>
    </w:rPr>
  </w:style>
  <w:style w:type="paragraph" w:styleId="HitFrontHeading">
    <w:name w:val="HIT Front Heading"/>
    <w:basedOn w:val="Normal"/>
    <w:qFormat/>
    <w:pPr>
      <w:jc w:val="center"/>
      <w:spacing w:before="390" w:after="312" w:line="360" w:lineRule="auto"/>
    </w:pPr>
    <w:rPr>
      <w:rFonts w:ascii="Times New Roman" w:hAnsi="Times New Roman" w:eastAsia="黑体"/>
      <w:sz w:val="36"/>
      <w:szCs w:val="36"/>
    </w:rPr>
  </w:style>
  <w:style w:type="paragraph" w:styleId="afa">
    <w:name w:val="目录标题"/>
    <w:basedOn w:val="Normal"/>
    <w:qFormat/>
    <w:pPr>
      <w:spacing w:before="390" w:after="312" w:line="360" w:lineRule="auto"/>
      <w:jc w:val="center"/>
    </w:pPr>
    <w:rPr>
      <w:sz w:val="36"/>
      <w:szCs w:val="36"/>
    </w:rPr>
  </w:style>
  <w:style w:type="paragraph" w:styleId="HitTocField">
    <w:name w:val="HIT TOC Field"/>
    <w:basedOn w:val="Normal"/>
    <w:pPr>
      <w:spacing w:after="0" w:line="360" w:lineRule="auto"/>
    </w:pPr>
    <w:rPr>
      <w:rFonts w:ascii="Times New Roman" w:hAnsi="Times New Roman" w:eastAsia="宋体"/>
      <w:sz w:val="24"/>
      <w:szCs w:val="24"/>
    </w:rPr>
  </w:style>
  <w:style w:type="paragraph" w:styleId="TOC1">
    <w:name w:val="toc 1"/>
    <w:basedOn w:val="Normal"/>
    <w:pPr>
      <w:tabs>
        <w:tab w:val="right" w:leader="dot" w:pos="8303"/>
      </w:tabs>
      <w:spacing w:after="0" w:line="360" w:lineRule="auto"/>
    </w:pPr>
    <w:rPr>
      <w:rFonts w:ascii="Times New Roman" w:hAnsi="Times New Roman" w:eastAsia="黑体"/>
      <w:sz w:val="24"/>
      <w:szCs w:val="24"/>
    </w:rPr>
  </w:style>
  <w:style w:type="paragraph" w:styleId="TOC2">
    <w:name w:val="toc 2"/>
    <w:basedOn w:val="Normal"/>
    <w:pPr>
      <w:tabs>
        <w:tab w:val="right" w:leader="dot" w:pos="8303"/>
      </w:tabs>
      <w:ind w:left="210"/>
      <w:spacing w:after="0" w:line="360" w:lineRule="auto"/>
    </w:pPr>
    <w:rPr>
      <w:rFonts w:ascii="Times New Roman" w:hAnsi="Times New Roman" w:eastAsia="宋体"/>
      <w:sz w:val="24"/>
      <w:szCs w:val="24"/>
    </w:rPr>
  </w:style>
  <w:style w:type="paragraph" w:styleId="TOC3">
    <w:name w:val="toc 3"/>
    <w:basedOn w:val="Normal"/>
    <w:pPr>
      <w:tabs>
        <w:tab w:val="right" w:leader="dot" w:pos="8303"/>
      </w:tabs>
      <w:ind w:left="420"/>
      <w:spacing w:after="0" w:line="360" w:lineRule="auto"/>
    </w:pPr>
    <w:rPr>
      <w:rFonts w:ascii="Times New Roman" w:hAnsi="Times New Roman" w:eastAsia="宋体"/>
      <w:sz w:val="24"/>
      <w:szCs w:val="24"/>
    </w:rPr>
  </w:style>
  <w:style w:type="paragraph" w:styleId="HitHeader">
    <w:name w:val="HIT Header"/>
    <w:basedOn w:val="Normal"/>
    <w:pPr>
      <w:pBdr>
        <w:bottom w:val="thinThickMediumGap" w:sz="18" w:space="1" w:color="auto"/>
      </w:pBdr>
      <w:tabs>
        <w:tab w:val="center" w:pos="4153"/>
        <w:tab w:val="right" w:pos="8306"/>
      </w:tabs>
      <w:snapToGrid w:val="0"/>
      <w:jc w:val="center"/>
    </w:pPr>
    <w:rPr>
      <w:rFonts w:ascii="宋体" w:hAnsi="宋体" w:eastAsia="宋体"/>
      <w:sz w:val="18"/>
      <w:szCs w:val="18"/>
    </w:rPr>
  </w:style>
  <w:style w:type="paragraph" w:styleId="HitFooter">
    <w:name w:val="HIT Footer"/>
    <w:basedOn w:val="Normal"/>
    <w:pPr>
      <w:tabs>
        <w:tab w:val="center" w:pos="4153"/>
        <w:tab w:val="right" w:pos="8306"/>
      </w:tabs>
      <w:snapToGrid w:val="0"/>
      <w:spacing w:line="360" w:lineRule="auto"/>
      <w:ind w:firstLineChars="200" w:firstLine="200"/>
      <w:jc w:val="center"/>
    </w:pPr>
    <w:rPr>
      <w:rFonts w:ascii="Times New Roman" w:hAnsi="Times New Roman" w:eastAsia="宋体"/>
      <w:sz w:val="18"/>
      <w:szCs w:val="18"/>
    </w:rPr>
  </w:style>
  <w:style w:type="paragraph" w:styleId="HitReference">
    <w:name w:val="HIT Reference"/>
    <w:basedOn w:val="Normal"/>
    <w:pPr>
      <w:overflowPunct w:val="0"/>
      <w:autoSpaceDN w:val="0"/>
      <w:adjustRightInd w:val="0"/>
      <w:snapToGrid w:val="0"/>
      <w:spacing w:line="360" w:lineRule="auto"/>
    </w:pPr>
    <w:rPr>
      <w:rFonts w:cs="Courier New"/>
      <w:snapToGrid w:val="0"/>
      <w:kern w:val="0"/>
      <w:szCs w:val="21"/>
    </w:rPr>
  </w:style>
  <w:style w:type="paragraph" w:styleId="HitQuote">
    <w:name w:val="HIT Quote"/>
    <w:basedOn w:val="HitBody"/>
    <w:pPr>
      <w:ind w:left="720"/>
      <w:spacing w:after="120" w:line="360" w:lineRule="auto"/>
    </w:pPr>
    <w:rPr>
      <w:i/>
    </w:rPr>
  </w:style>
  <w:style w:type="paragraph" w:styleId="HitCodeBlock">
    <w:name w:val="HIT Code Block"/>
    <w:basedOn w:val="Normal"/>
    <w:pPr>
      <w:spacing w:after="120"/>
      <w:shd w:val="clear" w:fill="F5F5F5"/>
    </w:pPr>
    <w:rPr>
      <w:rFonts w:ascii="Courier New" w:hAnsi="Courier New" w:eastAsia="等线"/>
      <w:sz w:val="20"/>
      <w:szCs w:val="20"/>
    </w:rPr>
  </w:style>
  <w:style w:type="paragraph" w:styleId="HitMathBlock">
    <w:name w:val="公式"/>
    <w:basedOn w:val="Normal"/>
    <w:pPr>
      <w:tabs>
        <w:tab w:val="right" w:pos="8971"/>
      </w:tabs>
      <w:spacing w:beforeLines="50" w:before="120" w:afterLines="50" w:after="120"/>
      <w:ind w:firstLineChars="200" w:firstLine="480"/>
    </w:pPr>
    <w:rPr>
      <w:sz w:val="24"/>
      <w:szCs w:val="21"/>
    </w:rPr>
  </w:style>
  <w:style w:type="paragraph" w:styleId="HitFigureImage">
    <w:name w:val="HIT Figure Image"/>
    <w:basedOn w:val="Normal"/>
    <w:pPr>
      <w:jc w:val="center"/>
      <w:spacing w:beforeLines="50" w:before="50" w:afterLines="50" w:after="50" w:line="360" w:lineRule="auto"/>
    </w:pPr>
    <w:rPr>
      <w:sz w:val="21"/>
      <w:szCs w:val="21"/>
    </w:rPr>
  </w:style>
  <w:style w:type="paragraph" w:styleId="HitCaption">
    <w:name w:val="HIT Caption"/>
    <w:basedOn w:val="Normal"/>
    <w:pPr>
      <w:jc w:val="center"/>
      <w:spacing w:beforeLines="0" w:afterLines="0" w:line="288" w:lineRule="auto"/>
      <w:ind w:left="0" w:firstLine="0"/>
    </w:pPr>
    <w:rPr>
      <w:rFonts w:ascii="Times New Roman" w:hAnsi="Times New Roman" w:eastAsia="宋体"/>
      <w:sz w:val="21"/>
      <w:szCs w:val="21"/>
    </w:rPr>
  </w:style>
  <w:style w:type="paragraph" w:styleId="HitTableText">
    <w:name w:val="HIT Table Text"/>
    <w:basedOn w:val="Normal"/>
    <w:pPr>
      <w:spacing w:after="0" w:line="360" w:lineRule="auto"/>
    </w:pPr>
    <w:rPr>
      <w:rFonts w:ascii="Times New Roman" w:hAnsi="Times New Roman" w:eastAsia="宋体"/>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7" Type="http://schemas.openxmlformats.org/officeDocument/2006/relationships/numbering" Target="numbering.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er" Target="footer2.xml"/><Relationship Id="rId8" Type="http://schemas.openxmlformats.org/officeDocument/2006/relationships/header" Target="header2.xml"/><Relationship Id="rId2001" Type="http://schemas.openxmlformats.org/officeDocument/2006/relationships/header" Target="header2001.xml"/><Relationship Id="rId2002" Type="http://schemas.openxmlformats.org/officeDocument/2006/relationships/header" Target="header2002.xml"/><Relationship Id="rId2003" Type="http://schemas.openxmlformats.org/officeDocument/2006/relationships/header" Target="header2003.xml"/><Relationship Id="rId2004" Type="http://schemas.openxmlformats.org/officeDocument/2006/relationships/header" Target="header2004.xml"/><Relationship Id="rId2005" Type="http://schemas.openxmlformats.org/officeDocument/2006/relationships/header" Target="header2005.xml"/><Relationship Id="rId2006" Type="http://schemas.openxmlformats.org/officeDocument/2006/relationships/header" Target="header2006.xml"/><Relationship Id="rId2007" Type="http://schemas.openxmlformats.org/officeDocument/2006/relationships/header" Target="header2007.xml"/><Relationship Id="rId2008" Type="http://schemas.openxmlformats.org/officeDocument/2006/relationships/header" Target="header2008.xml"/><Relationship Id="rId1010" Type="http://schemas.openxmlformats.org/officeDocument/2006/relationships/header" Target="header1010.xml"/><Relationship Id="rId1011" Type="http://schemas.openxmlformats.org/officeDocument/2006/relationships/header" Target="header1011.xml"/><Relationship Id="rId1012" Type="http://schemas.openxmlformats.org/officeDocument/2006/relationships/header" Target="header1012.xml"/><Relationship Id="rId1020" Type="http://schemas.openxmlformats.org/officeDocument/2006/relationships/header" Target="header1020.xml"/><Relationship Id="rId1021" Type="http://schemas.openxmlformats.org/officeDocument/2006/relationships/header" Target="header1021.xml"/><Relationship Id="rId1022" Type="http://schemas.openxmlformats.org/officeDocument/2006/relationships/header" Target="header1022.xml"/><Relationship Id="rId1023" Type="http://schemas.openxmlformats.org/officeDocument/2006/relationships/header" Target="header1023.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摘要</dc:title>
  <dc:creator>Codex</dc:creator>
  <cp:lastModifiedBy>Codex</cp:lastModifiedBy>
  <dcterms:created xsi:type="dcterms:W3CDTF">2026-07-15T09:20:00Z</dcterms:created>
  <dcterms:modified xsi:type="dcterms:W3CDTF">2026-07-15T09:20:00Z</dcterms:modified>
</cp:coreProperties>
</file>