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bhyj4nprg9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 problema</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ew523p9i1oj" w:id="1"/>
      <w:bookmarkEnd w:id="1"/>
      <w:r w:rsidDel="00000000" w:rsidR="00000000" w:rsidRPr="00000000">
        <w:rPr>
          <w:b w:val="1"/>
          <w:bCs w:val="1"/>
          <w:sz w:val="34"/>
          <w:szCs w:val="34"/>
          <w:rtl w:val="0"/>
        </w:rPr>
        <w:t xml:space="preserve">El problema</w:t>
      </w:r>
    </w:p>
    <w:p w:rsidR="00000000" w:rsidDel="00000000" w:rsidP="00000000" w:rsidRDefault="00000000" w:rsidRPr="00000000" w14:paraId="00000003">
      <w:pPr>
        <w:spacing w:after="240" w:before="240" w:lineRule="auto"/>
        <w:rPr/>
      </w:pPr>
      <w:r w:rsidDel="00000000" w:rsidR="00000000" w:rsidRPr="00000000">
        <w:rPr>
          <w:rtl w:val="0"/>
        </w:rPr>
        <w:t xml:space="preserve">Cada vez que ajustás el prompt de tu agente de IA, lo corrés en el workflow de producción para ver si funcionó. Eso consume tokens, tarda más de lo que debería y si el agente tiene un bug, el cliente lo ve antes que vos.</w:t>
      </w:r>
    </w:p>
    <w:p w:rsidR="00000000" w:rsidDel="00000000" w:rsidP="00000000" w:rsidRDefault="00000000" w:rsidRPr="00000000" w14:paraId="00000004">
      <w:pPr>
        <w:spacing w:after="240" w:before="240" w:lineRule="auto"/>
        <w:rPr/>
      </w:pPr>
      <w:r w:rsidDel="00000000" w:rsidR="00000000" w:rsidRPr="00000000">
        <w:rPr>
          <w:rtl w:val="0"/>
        </w:rPr>
        <w:t xml:space="preserve">Los dos bugs que más destruyen agentes en producción no aparecen en un test rápido. El primero es el bucle de herramientas: una herramienta se ejecuta diez veces en lugar de una y el agente nunca termina de responder. El segundo es la memoria contaminada: el agente arrastra el contexto de conversaciones anteriores a sesiones nuevas y empieza a responder cosas que no corresponden. Ambos aparecen con carga real. Nunca en el momento en que los estás probando vos solo.</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n1wcdhfyreq9" w:id="2"/>
      <w:bookmarkEnd w:id="2"/>
      <w:r w:rsidDel="00000000" w:rsidR="00000000" w:rsidRPr="00000000">
        <w:rPr>
          <w:b w:val="1"/>
          <w:bCs w:val="1"/>
          <w:sz w:val="34"/>
          <w:szCs w:val="34"/>
          <w:rtl w:val="0"/>
        </w:rPr>
        <w:t xml:space="preserve">La solución</w:t>
      </w:r>
    </w:p>
    <w:p w:rsidR="00000000" w:rsidDel="00000000" w:rsidP="00000000" w:rsidRDefault="00000000" w:rsidRPr="00000000" w14:paraId="00000006">
      <w:pPr>
        <w:spacing w:after="240" w:before="240" w:lineRule="auto"/>
        <w:rPr/>
      </w:pPr>
      <w:r w:rsidDel="00000000" w:rsidR="00000000" w:rsidRPr="00000000">
        <w:rPr>
          <w:rtl w:val="0"/>
        </w:rPr>
        <w:t xml:space="preserve">Crear un workflow separado en N8N exclusivamente para testing. No el de producción. Uno nuevo, aislado, cuyo único propósito es darle a Claude un endpoint donde pueda interactuar con el agente sin afectar nada real.</w:t>
      </w:r>
    </w:p>
    <w:p w:rsidR="00000000" w:rsidDel="00000000" w:rsidP="00000000" w:rsidRDefault="00000000" w:rsidRPr="00000000" w14:paraId="00000007">
      <w:pPr>
        <w:spacing w:after="240" w:before="240" w:lineRule="auto"/>
        <w:rPr/>
      </w:pPr>
      <w:r w:rsidDel="00000000" w:rsidR="00000000" w:rsidRPr="00000000">
        <w:rPr>
          <w:rtl w:val="0"/>
        </w:rPr>
        <w:t xml:space="preserve">La arquitectura es simple. Duplicás el workflow del agente. Reemplazás el trigger original con un nodo Webhook. Al final del flujo agregás un nodo Respond to Webhook que devuelve la respuesta. Con eso tenés un endpoint limpio que recibe un mensaje y devuelve lo que respondió el agente. Claude puede llamarlo cuantas veces necesite.</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h5xwonfmzk82" w:id="3"/>
      <w:bookmarkEnd w:id="3"/>
      <w:r w:rsidDel="00000000" w:rsidR="00000000" w:rsidRPr="00000000">
        <w:rPr>
          <w:b w:val="1"/>
          <w:bCs w:val="1"/>
          <w:sz w:val="34"/>
          <w:szCs w:val="34"/>
          <w:rtl w:val="0"/>
        </w:rPr>
        <w:t xml:space="preserve">Cómo correrlo</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Duplicar el workflow del agente en N8N.</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Reemplazar el trigger con un nodo Webhook y copiar la URL que genera.</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Agregar Respond to Webhook al final del flujo.</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Abrir Claude Code sin restricciones de permisos.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Pasarle el archivo del workflow, el prompt actual del agente y la URL del webhook.</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Decirle: simulá quince conversaciones distintas, encontrá todos los problemas y reescribí el prompt para resolverlos.</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Claude llama al endpoint, detecta los bugs y devuelve el prompt corregido.</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4xchqkb7w3yv" w:id="4"/>
      <w:bookmarkEnd w:id="4"/>
      <w:r w:rsidDel="00000000" w:rsidR="00000000" w:rsidRPr="00000000">
        <w:rPr>
          <w:b w:val="1"/>
          <w:bCs w:val="1"/>
          <w:sz w:val="34"/>
          <w:szCs w:val="34"/>
          <w:rtl w:val="0"/>
        </w:rPr>
        <w:t xml:space="preserve">Lo que Claude detecta y corrige</w:t>
      </w:r>
    </w:p>
    <w:p w:rsidR="00000000" w:rsidDel="00000000" w:rsidP="00000000" w:rsidRDefault="00000000" w:rsidRPr="00000000" w14:paraId="00000011">
      <w:pPr>
        <w:spacing w:after="240" w:before="240" w:lineRule="auto"/>
        <w:rPr/>
      </w:pPr>
      <w:r w:rsidDel="00000000" w:rsidR="00000000" w:rsidRPr="00000000">
        <w:rPr>
          <w:rtl w:val="0"/>
        </w:rPr>
        <w:t xml:space="preserve">Con esta instrucción Claude simula conversaciones de onboarding, consultas frecuentes, errores del usuario e inputs ambiguos. Identifica cada inconsistencia, registra en qué escenario aparece y reescribe el prompt con la corrección específica. Lo que antes tomaba horas de prueba manual lo hace en minutos.</w:t>
      </w:r>
    </w:p>
    <w:p w:rsidR="00000000" w:rsidDel="00000000" w:rsidP="00000000" w:rsidRDefault="00000000" w:rsidRPr="00000000" w14:paraId="00000012">
      <w:pPr>
        <w:spacing w:after="240" w:before="240" w:lineRule="auto"/>
        <w:rPr/>
      </w:pPr>
      <w:r w:rsidDel="00000000" w:rsidR="00000000" w:rsidRPr="00000000">
        <w:rPr>
          <w:rtl w:val="0"/>
        </w:rPr>
        <w:t xml:space="preserve">El resultado comercial es directo. Un proyecto que antes requería dos semanas de iteración manual se entrega en una. El cliente recibe un agente que ya pasó por quince escenarios antes de llegar a sus manos. Eso justifica cobrar más y el soporte post-entrega baja a casi nada.</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3s219xmsgywn" w:id="5"/>
      <w:bookmarkEnd w:id="5"/>
      <w:r w:rsidDel="00000000" w:rsidR="00000000" w:rsidRPr="00000000">
        <w:rPr>
          <w:b w:val="1"/>
          <w:bCs w:val="1"/>
          <w:sz w:val="34"/>
          <w:szCs w:val="34"/>
          <w:rtl w:val="0"/>
        </w:rPr>
        <w:t xml:space="preserve">Siguiente paso</w:t>
      </w:r>
    </w:p>
    <w:p w:rsidR="00000000" w:rsidDel="00000000" w:rsidP="00000000" w:rsidRDefault="00000000" w:rsidRPr="00000000" w14:paraId="00000014">
      <w:pPr>
        <w:spacing w:after="240" w:before="240" w:lineRule="auto"/>
        <w:rPr/>
      </w:pPr>
      <w:r w:rsidDel="00000000" w:rsidR="00000000" w:rsidRPr="00000000">
        <w:rPr>
          <w:rtl w:val="0"/>
        </w:rPr>
        <w:t xml:space="preserve">Si querés construir agentes de IA que funcionen en producción sin pasar por este proceso de forma manual en cada proyecto, en el coaching lo trabajamos con tu caso específico. </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color w:val="1155cc"/>
          <w:u w:val="single"/>
        </w:rPr>
      </w:pPr>
      <w:r w:rsidDel="00000000" w:rsidR="00000000" w:rsidRPr="00000000">
        <w:rPr>
          <w:rtl w:val="0"/>
        </w:rPr>
        <w:t xml:space="preserve">Vas a salir con el sistema implementado y los primeros resultados antes de terminar. El link es</w:t>
      </w:r>
      <w:hyperlink r:id="rId6">
        <w:r w:rsidDel="00000000" w:rsidR="00000000" w:rsidRPr="00000000">
          <w:rPr>
            <w:rtl w:val="0"/>
          </w:rPr>
          <w:t xml:space="preserve"> </w:t>
        </w:r>
      </w:hyperlink>
      <w:hyperlink r:id="rId7">
        <w:r w:rsidDel="00000000" w:rsidR="00000000" w:rsidRPr="00000000">
          <w:rPr>
            <w:color w:val="1155cc"/>
            <w:u w:val="single"/>
            <w:rtl w:val="0"/>
          </w:rPr>
          <w:t xml:space="preserve">facundocorengia.com</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facundocorengia.com" TargetMode="External"/><Relationship Id="rId7" Type="http://schemas.openxmlformats.org/officeDocument/2006/relationships/hyperlink" Target="http://facundocorengi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