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id w:val="75716792"/>
        <w:docPartObj>
          <w:docPartGallery w:val="Cover Pages"/>
          <w:docPartUnique/>
        </w:docPartObj>
      </w:sdtPr>
      <w:sdtEndPr/>
      <w:sdtContent>
        <w:p w14:paraId="65A0CB5D" w14:textId="55E30B9F" w:rsidR="00F01B6A" w:rsidRDefault="00F01B6A">
          <w:r>
            <w:rPr>
              <w:noProof/>
              <w:color w:val="FFFFFF" w:themeColor="background1"/>
            </w:rPr>
            <mc:AlternateContent>
              <mc:Choice Requires="wpg">
                <w:drawing>
                  <wp:anchor distT="0" distB="0" distL="114300" distR="114300" simplePos="0" relativeHeight="251659264" behindDoc="0" locked="0" layoutInCell="1" allowOverlap="1" wp14:anchorId="1B83EAA9" wp14:editId="3A10356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1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5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68F5D8B1" w14:textId="3D2EB028" w:rsidR="00F01B6A" w:rsidRDefault="00F01B6A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Predicting permanent foreign labor certification decisions from historical data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A86FA88" w14:textId="62134CF2" w:rsidR="00F01B6A" w:rsidRDefault="00CD638A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Data preparation and exploratory data analysis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0662B0F5" w14:textId="03766655" w:rsidR="00F01B6A" w:rsidRDefault="00F01B6A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Daniel </w:t>
                                      </w:r>
                                      <w:r w:rsidR="00EE6663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 xml:space="preserve">Wade </w:t>
                                      </w:r>
                                      <w:r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Hatcher</w:t>
                                      </w:r>
                                    </w:p>
                                  </w:sdtContent>
                                </w:sdt>
                                <w:p w14:paraId="132B6160" w14:textId="424A6D2E" w:rsidR="00F01B6A" w:rsidRDefault="00AA10E0">
                                  <w:pPr>
                                    <w:pStyle w:val="NoSpacing"/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F01B6A">
                                        <w:rPr>
                                          <w:caps/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Central Michigan university</w:t>
                                      </w:r>
                                    </w:sdtContent>
                                  </w:sdt>
                                  <w:r w:rsidR="00F01B6A">
                                    <w:rPr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E559AA">
                                        <w:rPr>
                                          <w:color w:val="FFFFFF" w:themeColor="background1"/>
                                          <w:sz w:val="18"/>
                                          <w:szCs w:val="18"/>
                                        </w:rPr>
                                        <w:t>19 February 2019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1B83EAA9" id="Group 11" o:spid="_x0000_s1026" style="position:absolute;margin-left:0;margin-top:0;width:540pt;height:10in;z-index:251659264;mso-width-percent:882;mso-height-percent:909;mso-position-horizontal:center;mso-position-horizontal-relative:page;mso-position-vertical:center;mso-position-vertical-relative:page;mso-width-percent:882;mso-height-percent:909" coordsize="6858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">
                    <v:rect id="Rectangle 33" o:spid="_x0000_s1027" style="position:absolute;left:2286;width:66294;height:9144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" fillcolor="#5b9bd5 [3208]" stroked="f" strokeweight="1pt">
                      <v:textbox inset="36pt,1in,1in,208.8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68F5D8B1" w14:textId="3D2EB028" w:rsidR="00F01B6A" w:rsidRDefault="00F01B6A">
                                <w:pPr>
                                  <w:pStyle w:val="NoSpacing"/>
                                  <w:spacing w:after="120"/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Predicting permanent foreign labor certification decisions from historical data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A86FA88" w14:textId="62134CF2" w:rsidR="00F01B6A" w:rsidRDefault="00CD638A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Data preparation and exploratory data analysis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" fillcolor="gray [1629]" stroked="f" strokeweight="1pt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o:spid="_x0000_s1029" type="#_x0000_t202" style="position:absolute;left:2286;top:71628;width:66294;height:156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 filled="f" stroked="f" strokeweight=".5pt">
                      <v:textbox inset="36pt,0,1in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0662B0F5" w14:textId="03766655" w:rsidR="00F01B6A" w:rsidRDefault="00F01B6A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Daniel </w:t>
                                </w:r>
                                <w:r w:rsidR="00EE6663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 xml:space="preserve">Wade </w:t>
                                </w:r>
                                <w:r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Hatcher</w:t>
                                </w:r>
                              </w:p>
                            </w:sdtContent>
                          </w:sdt>
                          <w:p w14:paraId="132B6160" w14:textId="424A6D2E" w:rsidR="00F01B6A" w:rsidRDefault="00AA10E0">
                            <w:pPr>
                              <w:pStyle w:val="NoSpacing"/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F01B6A">
                                  <w:rPr>
                                    <w:caps/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Central Michigan university</w:t>
                                </w:r>
                              </w:sdtContent>
                            </w:sdt>
                            <w:r w:rsidR="00F01B6A">
                              <w:rPr>
                                <w:color w:val="FFFFFF" w:themeColor="background1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E559AA">
                                  <w:rPr>
                                    <w:color w:val="FFFFFF" w:themeColor="background1"/>
                                    <w:sz w:val="18"/>
                                    <w:szCs w:val="18"/>
                                  </w:rPr>
                                  <w:t>19 February 2019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>
            <w:br w:type="page"/>
          </w:r>
        </w:p>
      </w:sdtContent>
    </w:sdt>
    <w:p w14:paraId="4ED72987" w14:textId="68F7C07E" w:rsidR="005A613D" w:rsidRPr="00D25A39" w:rsidRDefault="005A613D" w:rsidP="00D25A39">
      <w:pPr>
        <w:pStyle w:val="Heading1"/>
      </w:pPr>
      <w:r w:rsidRPr="00D25A39">
        <w:lastRenderedPageBreak/>
        <w:t xml:space="preserve">Introduction </w:t>
      </w:r>
    </w:p>
    <w:p w14:paraId="171CD9CC" w14:textId="6A2836A6" w:rsidR="00E60E95" w:rsidRDefault="00831269" w:rsidP="00EE6663">
      <w:r>
        <w:tab/>
        <w:t xml:space="preserve">Hiring foreign workers for employment in the United States is a complex process which normally requires approval from several government agencies. </w:t>
      </w:r>
      <w:r w:rsidR="00AE2EBC">
        <w:t>For the employer, t</w:t>
      </w:r>
      <w:r>
        <w:t>he first step in the process is acquiring a foreign labor certification</w:t>
      </w:r>
      <w:r w:rsidR="00E60E95">
        <w:t xml:space="preserve"> (FLC)</w:t>
      </w:r>
      <w:r>
        <w:t xml:space="preserve"> from the Department of Labor (DOL). </w:t>
      </w:r>
      <w:r w:rsidR="00AE2EBC">
        <w:t>Once certified, the empl</w:t>
      </w:r>
      <w:r w:rsidR="00B2263C">
        <w:t xml:space="preserve">oyer has </w:t>
      </w:r>
      <w:r w:rsidR="00226102">
        <w:t>180 days</w:t>
      </w:r>
      <w:r w:rsidR="00B2263C">
        <w:t xml:space="preserve"> to petition the</w:t>
      </w:r>
      <w:r w:rsidR="00B666D1">
        <w:t xml:space="preserve"> Department of Homeland Security’s</w:t>
      </w:r>
      <w:r w:rsidR="00B2263C">
        <w:t xml:space="preserve"> U.S. Citizen and Immigration Services (USCIS) for a visa. </w:t>
      </w:r>
      <w:r w:rsidR="00E60E95">
        <w:t>The details of the application process for an FLC depend on the type of visa be</w:t>
      </w:r>
      <w:r w:rsidR="00BE19E4">
        <w:t>ing</w:t>
      </w:r>
      <w:r w:rsidR="00E60E95">
        <w:t xml:space="preserve"> requested, but the major steps (shown in Figure </w:t>
      </w:r>
      <w:r w:rsidR="00F228DC">
        <w:t>#</w:t>
      </w:r>
      <w:r w:rsidR="00E60E95">
        <w:t>) are the s</w:t>
      </w:r>
      <w:r w:rsidR="00CD638A">
        <w:t>ame for all visa types</w:t>
      </w:r>
      <w:r w:rsidR="00E60E95">
        <w:t xml:space="preserve">. </w:t>
      </w:r>
    </w:p>
    <w:p w14:paraId="03A0A20E" w14:textId="1370C7C0" w:rsidR="00EE6663" w:rsidRDefault="00E60E95" w:rsidP="00E60E95">
      <w:pPr>
        <w:jc w:val="center"/>
      </w:pPr>
      <w:r>
        <w:rPr>
          <w:noProof/>
        </w:rPr>
        <w:drawing>
          <wp:inline distT="0" distB="0" distL="0" distR="0" wp14:anchorId="5B81263B" wp14:editId="42C56587">
            <wp:extent cx="4341495" cy="2616200"/>
            <wp:effectExtent l="0" t="0" r="1905" b="0"/>
            <wp:docPr id="1" name="Picture 1" descr="https://www.foreignlaborcert.doleta.gov/images/DFLCOverviewSchema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foreignlaborcert.doleta.gov/images/DFLCOverviewSchema.gif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149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B8DD1" w14:textId="31A4171B" w:rsidR="00521CEE" w:rsidRDefault="000A7E2F" w:rsidP="00D22BDA">
      <w:pPr>
        <w:pStyle w:val="Subtitle"/>
        <w:rPr>
          <w:rStyle w:val="SubtleEmphasis"/>
        </w:rPr>
      </w:pPr>
      <w:r w:rsidRPr="00F90808">
        <w:rPr>
          <w:rStyle w:val="SubtleEmphasis"/>
          <w:color w:val="5B9BD5" w:themeColor="accent5"/>
        </w:rPr>
        <w:t xml:space="preserve">Figure </w:t>
      </w:r>
      <w:r w:rsidR="00F228DC" w:rsidRPr="00F90808">
        <w:rPr>
          <w:rStyle w:val="SubtleEmphasis"/>
          <w:color w:val="5B9BD5" w:themeColor="accent5"/>
        </w:rPr>
        <w:t>#</w:t>
      </w:r>
      <w:r w:rsidRPr="00F90808">
        <w:rPr>
          <w:rStyle w:val="SubtleEmphasis"/>
          <w:color w:val="5B9BD5" w:themeColor="accent5"/>
        </w:rPr>
        <w:t>.</w:t>
      </w:r>
      <w:r w:rsidRPr="00521CEE">
        <w:rPr>
          <w:rStyle w:val="SubtleEmphasis"/>
        </w:rPr>
        <w:t xml:space="preserve"> Major steps in the FLC application process. Note that it is the employer, not the </w:t>
      </w:r>
      <w:r w:rsidR="00296FF7" w:rsidRPr="00521CEE">
        <w:rPr>
          <w:rStyle w:val="SubtleEmphasis"/>
        </w:rPr>
        <w:t xml:space="preserve">prospective </w:t>
      </w:r>
      <w:r w:rsidRPr="00521CEE">
        <w:rPr>
          <w:rStyle w:val="SubtleEmphasis"/>
        </w:rPr>
        <w:t xml:space="preserve">employee, who completes the FLC application. </w:t>
      </w:r>
      <w:r w:rsidR="00F0045F" w:rsidRPr="00521CEE">
        <w:rPr>
          <w:rStyle w:val="SubtleEmphasis"/>
        </w:rPr>
        <w:t>Source: U.S. Department of Labor</w:t>
      </w:r>
      <w:r w:rsidRPr="00521CEE">
        <w:rPr>
          <w:rStyle w:val="SubtleEmphasis"/>
        </w:rPr>
        <w:t xml:space="preserve">  </w:t>
      </w:r>
    </w:p>
    <w:p w14:paraId="7F173016" w14:textId="27A546EC" w:rsidR="00D31A4B" w:rsidRPr="00D31A4B" w:rsidRDefault="00D31A4B" w:rsidP="00D31A4B">
      <w:pPr>
        <w:ind w:firstLine="720"/>
      </w:pPr>
      <w:r>
        <w:t>Applications for foreign labor certifications are adjudicated by the Office of Foreign Labor Certification (OFLC).</w:t>
      </w:r>
      <w:r w:rsidR="004B14B6">
        <w:t xml:space="preserve"> OFLC has t</w:t>
      </w:r>
      <w:r w:rsidR="00BC3E71">
        <w:t>wo</w:t>
      </w:r>
      <w:r w:rsidR="004B14B6">
        <w:t xml:space="preserve"> </w:t>
      </w:r>
      <w:r w:rsidR="00BC3E71">
        <w:t xml:space="preserve">application </w:t>
      </w:r>
      <w:r w:rsidR="004B14B6">
        <w:t>processing centers: one in Chicago for temporary, non-immigrant applications</w:t>
      </w:r>
      <w:r w:rsidR="00BC3E71">
        <w:t>, and</w:t>
      </w:r>
      <w:r w:rsidR="004B14B6">
        <w:t xml:space="preserve"> one in Atlanta for permanent applications</w:t>
      </w:r>
      <w:r w:rsidR="00BC3E71">
        <w:t xml:space="preserve">. </w:t>
      </w:r>
      <w:r w:rsidR="00427490">
        <w:t xml:space="preserve">The National Prevailing Wage Center (NPWC) in Washington, DC processes requests for prevailing wage determinations (PWDs).  </w:t>
      </w:r>
      <w:r w:rsidR="00BB482D">
        <w:t xml:space="preserve"> </w:t>
      </w:r>
    </w:p>
    <w:p w14:paraId="63540080" w14:textId="648EA278" w:rsidR="005A613D" w:rsidRPr="00EE6663" w:rsidRDefault="005A613D" w:rsidP="00D25A39">
      <w:pPr>
        <w:pStyle w:val="Heading1"/>
      </w:pPr>
      <w:r w:rsidRPr="00EE6663">
        <w:t>Permanent labor certifications</w:t>
      </w:r>
    </w:p>
    <w:p w14:paraId="5A973149" w14:textId="7442B71C" w:rsidR="0081160E" w:rsidRDefault="004844B9" w:rsidP="00F01B6A">
      <w:r>
        <w:tab/>
        <w:t>This report will focus on</w:t>
      </w:r>
      <w:r w:rsidR="00347F07">
        <w:t xml:space="preserve"> applications for</w:t>
      </w:r>
      <w:r>
        <w:t xml:space="preserve"> </w:t>
      </w:r>
      <w:r w:rsidR="00927724">
        <w:t>p</w:t>
      </w:r>
      <w:r>
        <w:t>ermanent foreign labor certifications.</w:t>
      </w:r>
      <w:r w:rsidR="00F228DC">
        <w:t xml:space="preserve"> As shown in Figure #,</w:t>
      </w:r>
      <w:r w:rsidR="00347F07">
        <w:t xml:space="preserve"> applications for permanent FLCs make up a small but significant fraction of all FLC applications</w:t>
      </w:r>
      <w:r w:rsidR="00D22BDA">
        <w:t xml:space="preserve"> processed</w:t>
      </w:r>
      <w:r w:rsidR="00B628D2">
        <w:t xml:space="preserve"> – 14% per year on average. </w:t>
      </w:r>
      <w:r w:rsidR="00347F07">
        <w:t xml:space="preserve"> </w:t>
      </w:r>
      <w:r w:rsidR="00F228DC">
        <w:t xml:space="preserve"> </w:t>
      </w:r>
      <w:r>
        <w:t xml:space="preserve"> </w:t>
      </w:r>
    </w:p>
    <w:p w14:paraId="61E90244" w14:textId="77777777" w:rsidR="00521CEE" w:rsidRDefault="00521CEE" w:rsidP="00521CEE">
      <w:pPr>
        <w:jc w:val="center"/>
      </w:pPr>
    </w:p>
    <w:p w14:paraId="4B7AA0A0" w14:textId="38C54F45" w:rsidR="0081160E" w:rsidRDefault="004D3C43" w:rsidP="00B94C9A">
      <w:pPr>
        <w:jc w:val="center"/>
      </w:pPr>
      <w:r>
        <w:rPr>
          <w:noProof/>
        </w:rPr>
        <w:lastRenderedPageBreak/>
        <w:drawing>
          <wp:inline distT="0" distB="0" distL="0" distR="0" wp14:anchorId="047ED287" wp14:editId="48C84F5D">
            <wp:extent cx="4682050" cy="2743200"/>
            <wp:effectExtent l="0" t="0" r="4445" b="0"/>
            <wp:docPr id="3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yearlyFLC.sv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20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3AB72" w14:textId="7DF9DDB5" w:rsidR="00521CEE" w:rsidRPr="00D22BDA" w:rsidRDefault="00521CEE" w:rsidP="00D22BDA">
      <w:pPr>
        <w:pStyle w:val="Subtitle"/>
        <w:rPr>
          <w:i/>
          <w:iCs/>
          <w:color w:val="404040" w:themeColor="text1" w:themeTint="BF"/>
          <w:sz w:val="20"/>
          <w:szCs w:val="20"/>
        </w:rPr>
      </w:pPr>
      <w:r w:rsidRPr="00F90808">
        <w:rPr>
          <w:rStyle w:val="SubtleEmphasis"/>
          <w:color w:val="5B9BD5" w:themeColor="accent5"/>
        </w:rPr>
        <w:t>Figure #.</w:t>
      </w:r>
      <w:r w:rsidRPr="00521CEE">
        <w:rPr>
          <w:rStyle w:val="SubtleEmphasis"/>
        </w:rPr>
        <w:t xml:space="preserve"> </w:t>
      </w:r>
      <w:r w:rsidR="00D22BDA">
        <w:rPr>
          <w:rStyle w:val="SubtleEmphasis"/>
        </w:rPr>
        <w:t>Number of applications processed annually by type. Applications for permanent FLCs make up a small but significant fraction of all FLC applications processed – 14% per year on average.</w:t>
      </w:r>
      <w:r w:rsidR="004D3C43">
        <w:rPr>
          <w:rStyle w:val="SubtleEmphasis"/>
        </w:rPr>
        <w:t xml:space="preserve"> Data from the</w:t>
      </w:r>
      <w:r w:rsidR="00853098">
        <w:rPr>
          <w:rStyle w:val="SubtleEmphasis"/>
        </w:rPr>
        <w:t xml:space="preserve"> </w:t>
      </w:r>
      <w:r w:rsidR="004D3C43">
        <w:rPr>
          <w:rStyle w:val="SubtleEmphasis"/>
        </w:rPr>
        <w:t xml:space="preserve">Office of Foreign Labor Certification. </w:t>
      </w:r>
      <w:r w:rsidR="00D22BDA">
        <w:rPr>
          <w:rStyle w:val="SubtleEmphasis"/>
        </w:rPr>
        <w:t xml:space="preserve">  </w:t>
      </w:r>
      <w:r w:rsidRPr="00521CEE">
        <w:rPr>
          <w:rStyle w:val="SubtleEmphasis"/>
        </w:rPr>
        <w:t xml:space="preserve"> </w:t>
      </w:r>
    </w:p>
    <w:p w14:paraId="798B0FBD" w14:textId="6DC0DB8C" w:rsidR="00A55365" w:rsidRDefault="004844B9" w:rsidP="00521CEE">
      <w:pPr>
        <w:ind w:firstLine="720"/>
      </w:pPr>
      <w:r>
        <w:t xml:space="preserve">As of March 28, 2005, </w:t>
      </w:r>
      <w:r w:rsidR="00B23F77">
        <w:t>employers wishing to obtain</w:t>
      </w:r>
      <w:r>
        <w:t xml:space="preserve"> </w:t>
      </w:r>
      <w:r w:rsidR="00120A37">
        <w:t>p</w:t>
      </w:r>
      <w:r>
        <w:t>ermanent FLCs must complete Employee Training and Administration (ETA) Form 9089. This form describes the job duties</w:t>
      </w:r>
      <w:r w:rsidR="004A4CF8">
        <w:t>;</w:t>
      </w:r>
      <w:r>
        <w:t xml:space="preserve"> </w:t>
      </w:r>
      <w:r w:rsidR="004A4CF8">
        <w:t xml:space="preserve">lists the </w:t>
      </w:r>
      <w:r>
        <w:t>educational</w:t>
      </w:r>
      <w:r w:rsidR="004A4CF8">
        <w:t>, experience, and training requirements;</w:t>
      </w:r>
      <w:r w:rsidR="00EA0C99">
        <w:t xml:space="preserve"> and outlines the foreign worker’s qualifications.</w:t>
      </w:r>
      <w:r w:rsidR="00F17435">
        <w:t xml:space="preserve"> Before completing ETA Form 9089, the employer must obtain a </w:t>
      </w:r>
      <w:r w:rsidR="001B2914">
        <w:t xml:space="preserve">PWD </w:t>
      </w:r>
      <w:r w:rsidR="00F21295">
        <w:t>and recruit potential U.S. employees</w:t>
      </w:r>
      <w:r w:rsidR="00F17435">
        <w:t xml:space="preserve">. </w:t>
      </w:r>
      <w:r w:rsidR="0052162A">
        <w:t>If, among other things, the employer rejects all U.S. applicants and commits to pay the foreign worker at least the prevailing wage, they may apply for a permanent FLC.</w:t>
      </w:r>
      <w:r w:rsidR="0063504D">
        <w:t xml:space="preserve"> If the application is certified, the </w:t>
      </w:r>
      <w:r w:rsidR="0000167E">
        <w:t>usual</w:t>
      </w:r>
      <w:r w:rsidR="0063504D">
        <w:t xml:space="preserve"> next step is </w:t>
      </w:r>
      <w:r w:rsidR="00346135">
        <w:t>filing</w:t>
      </w:r>
      <w:r w:rsidR="0063504D">
        <w:t xml:space="preserve"> USCIS Form I-140, </w:t>
      </w:r>
      <w:r w:rsidR="0063504D">
        <w:t>Immigrant Petition for Alien Worker</w:t>
      </w:r>
      <w:r w:rsidR="0063504D">
        <w:t xml:space="preserve">. </w:t>
      </w:r>
      <w:r w:rsidR="0052162A">
        <w:t xml:space="preserve"> </w:t>
      </w:r>
    </w:p>
    <w:p w14:paraId="1CCA3EF5" w14:textId="3B7FBD2B" w:rsidR="001A5DDB" w:rsidRDefault="001A5DDB" w:rsidP="00D25A39">
      <w:pPr>
        <w:pStyle w:val="Heading1"/>
      </w:pPr>
      <w:r>
        <w:t>Motivation for a predictive model</w:t>
      </w:r>
    </w:p>
    <w:p w14:paraId="297A3993" w14:textId="60C8E083" w:rsidR="000C663F" w:rsidRDefault="00A817EB" w:rsidP="00A817EB">
      <w:r>
        <w:tab/>
      </w:r>
      <w:r w:rsidR="00927724">
        <w:t>Applying</w:t>
      </w:r>
      <w:r w:rsidR="007B4334">
        <w:t xml:space="preserve"> for a </w:t>
      </w:r>
      <w:r w:rsidR="00927724">
        <w:t>permanent foreign labor certification can take months or years</w:t>
      </w:r>
      <w:r w:rsidR="00FD15C4">
        <w:t>.</w:t>
      </w:r>
      <w:r w:rsidR="00753A4F">
        <w:t xml:space="preserve"> </w:t>
      </w:r>
      <w:r w:rsidR="00FD15C4">
        <w:t xml:space="preserve">Additionally, the complexity of the application process leads many employers to retain immigration attorneys for their labor certification cases. </w:t>
      </w:r>
      <w:r w:rsidR="009A6888">
        <w:t xml:space="preserve">From a cursory inspection, the average </w:t>
      </w:r>
      <w:r w:rsidR="008611A2">
        <w:t xml:space="preserve">immigration </w:t>
      </w:r>
      <w:r w:rsidR="009A6888">
        <w:t>attorney’s fee for a permanent</w:t>
      </w:r>
      <w:r w:rsidR="00407430">
        <w:t xml:space="preserve"> labor certification case is around $6,000</w:t>
      </w:r>
      <w:r w:rsidR="009A3B12">
        <w:t>, although this</w:t>
      </w:r>
      <w:r w:rsidR="00360355">
        <w:t xml:space="preserve"> is highly dependent on the individual case</w:t>
      </w:r>
      <w:r w:rsidR="00407430">
        <w:t>.</w:t>
      </w:r>
      <w:r w:rsidR="00EF4099">
        <w:t xml:space="preserve"> For these and other reasons, some employers will no longer consider applicants who require foreign labor certifications and visas</w:t>
      </w:r>
      <w:r w:rsidR="00AF31DC">
        <w:t xml:space="preserve"> – especially if the applicant is entering the workforce for the first time.</w:t>
      </w:r>
    </w:p>
    <w:p w14:paraId="2EB424C8" w14:textId="3AA00069" w:rsidR="005A613D" w:rsidRDefault="000C663F" w:rsidP="00F01B6A">
      <w:r>
        <w:tab/>
      </w:r>
      <w:r w:rsidR="00600B8C">
        <w:t>The expense of a permanent labor certification</w:t>
      </w:r>
      <w:r w:rsidR="00455688">
        <w:t xml:space="preserve"> application</w:t>
      </w:r>
      <w:r w:rsidR="00600B8C">
        <w:t xml:space="preserve">, both in time and money, provides some motivation for a </w:t>
      </w:r>
      <w:r>
        <w:t>model that could predict the</w:t>
      </w:r>
      <w:r w:rsidR="00455688">
        <w:t xml:space="preserve"> application outcome.</w:t>
      </w:r>
      <w:r>
        <w:t xml:space="preserve"> </w:t>
      </w:r>
      <w:r w:rsidR="00455688">
        <w:t xml:space="preserve">This model </w:t>
      </w:r>
      <w:r>
        <w:t xml:space="preserve">could be of great use to employers, </w:t>
      </w:r>
      <w:r w:rsidR="009A5384">
        <w:t>job-seekers, law firms, and recruiters.</w:t>
      </w:r>
      <w:r w:rsidR="00B41EED">
        <w:t xml:space="preserve"> In th</w:t>
      </w:r>
      <w:r w:rsidR="00262A90">
        <w:t>e remainder</w:t>
      </w:r>
      <w:r w:rsidR="00B41EED">
        <w:t xml:space="preserve"> of this report I will describe </w:t>
      </w:r>
      <w:r w:rsidR="00837F7E">
        <w:t>the data I believe could be used to build such a model</w:t>
      </w:r>
      <w:r w:rsidR="002324CF">
        <w:t xml:space="preserve">, and the steps I have taken to prepare that data for model building. </w:t>
      </w:r>
      <w:r>
        <w:t xml:space="preserve">  </w:t>
      </w:r>
      <w:r w:rsidR="009A6888">
        <w:t xml:space="preserve"> </w:t>
      </w:r>
    </w:p>
    <w:p w14:paraId="5A79CC55" w14:textId="2C06DEA6" w:rsidR="005A613D" w:rsidRPr="00F01B6A" w:rsidRDefault="005A613D" w:rsidP="00D25A39">
      <w:pPr>
        <w:pStyle w:val="Heading1"/>
      </w:pPr>
      <w:r w:rsidRPr="00F01B6A">
        <w:lastRenderedPageBreak/>
        <w:t>Data sources</w:t>
      </w:r>
    </w:p>
    <w:p w14:paraId="337B1D3B" w14:textId="007B7882" w:rsidR="000D5CB5" w:rsidRDefault="00EF11BE" w:rsidP="00EF11BE">
      <w:r>
        <w:tab/>
      </w:r>
      <w:r w:rsidR="00980749">
        <w:t>At the end of each federal fiscal year (October 1</w:t>
      </w:r>
      <w:r w:rsidR="00645FC3">
        <w:t xml:space="preserve"> – September 30</w:t>
      </w:r>
      <w:r w:rsidR="00980749">
        <w:t>),</w:t>
      </w:r>
      <w:r w:rsidR="007963D4">
        <w:t xml:space="preserve"> OFLC discloses data for each certification type via the OFLC Performance Data webpage.</w:t>
      </w:r>
      <w:r w:rsidR="007963D4">
        <w:rPr>
          <w:rStyle w:val="FootnoteReference"/>
        </w:rPr>
        <w:footnoteReference w:id="1"/>
      </w:r>
      <w:r w:rsidR="007963D4">
        <w:t xml:space="preserve"> </w:t>
      </w:r>
      <w:r w:rsidR="00374621">
        <w:t>The</w:t>
      </w:r>
      <w:r w:rsidR="00C30414">
        <w:t xml:space="preserve"> data is anonymized and only available for applications that were processed during the corresponding fiscal year. </w:t>
      </w:r>
      <w:r w:rsidR="00117AE5">
        <w:t>The d</w:t>
      </w:r>
      <w:r w:rsidR="005E7173">
        <w:t>isclosure data f</w:t>
      </w:r>
      <w:r w:rsidR="00117AE5">
        <w:t>or</w:t>
      </w:r>
      <w:r w:rsidR="005E7173">
        <w:t xml:space="preserve"> adjudicated permanent FLC</w:t>
      </w:r>
      <w:r w:rsidR="000F7406">
        <w:t xml:space="preserve"> applications</w:t>
      </w:r>
      <w:r w:rsidR="005E7173">
        <w:t xml:space="preserve"> </w:t>
      </w:r>
      <w:r w:rsidR="00117AE5">
        <w:t>is composed of</w:t>
      </w:r>
      <w:r w:rsidR="003F3914">
        <w:t xml:space="preserve"> 125</w:t>
      </w:r>
      <w:r w:rsidR="00117AE5">
        <w:t xml:space="preserve"> variables extracted from ETA Form 9089</w:t>
      </w:r>
      <w:r w:rsidR="004A265E">
        <w:t>.</w:t>
      </w:r>
      <w:r w:rsidR="0075051B">
        <w:t xml:space="preserve"> The 125-variable datasets are only available for </w:t>
      </w:r>
      <w:r w:rsidR="00142345">
        <w:t>the past four fiscal year cycles</w:t>
      </w:r>
      <w:r w:rsidR="00F0042B">
        <w:t xml:space="preserve"> (FY2015-FY2018)</w:t>
      </w:r>
      <w:r w:rsidR="00142345">
        <w:t xml:space="preserve">. Data from FY2008 – FY2014 is also available on the OFLC Performance Data </w:t>
      </w:r>
      <w:r w:rsidR="00663F99">
        <w:t>webpage but</w:t>
      </w:r>
      <w:r w:rsidR="00142345">
        <w:t xml:space="preserve"> contains only 25 variables</w:t>
      </w:r>
      <w:r w:rsidR="00273B29">
        <w:t xml:space="preserve"> covering employer location and prevailing wage. </w:t>
      </w:r>
      <w:r w:rsidR="00DA4C8B">
        <w:t>Equally sparse</w:t>
      </w:r>
      <w:r w:rsidR="00270A8D">
        <w:t xml:space="preserve"> datasets are available for FY2000 – FY2007 on the older FLC Data Center webpage</w:t>
      </w:r>
      <w:r w:rsidR="00D821F1">
        <w:t>.</w:t>
      </w:r>
      <w:r w:rsidR="00D821F1">
        <w:rPr>
          <w:rStyle w:val="FootnoteReference"/>
        </w:rPr>
        <w:footnoteReference w:id="2"/>
      </w:r>
      <w:r w:rsidR="00610F16">
        <w:t xml:space="preserve"> Only data FY2015 – FY2018 will be used</w:t>
      </w:r>
      <w:r w:rsidR="00E837B7">
        <w:t>.</w:t>
      </w:r>
    </w:p>
    <w:p w14:paraId="3DE07F85" w14:textId="26F39941" w:rsidR="00A05D88" w:rsidRDefault="000D5CB5" w:rsidP="00EF11BE">
      <w:r>
        <w:tab/>
        <w:t xml:space="preserve">The </w:t>
      </w:r>
      <w:r w:rsidR="00FC1B44">
        <w:t xml:space="preserve">disclosure </w:t>
      </w:r>
      <w:r>
        <w:t>data from FY2015-FY2018</w:t>
      </w:r>
      <w:r w:rsidR="00FC1B44">
        <w:t xml:space="preserve"> contains determinations for </w:t>
      </w:r>
      <w:r w:rsidR="00C20BE9">
        <w:t>432,</w:t>
      </w:r>
      <w:r w:rsidR="00304D53">
        <w:t>821</w:t>
      </w:r>
      <w:r w:rsidR="00C20BE9">
        <w:t xml:space="preserve"> permanent FLC applications.</w:t>
      </w:r>
      <w:r w:rsidR="00FF22F2">
        <w:t xml:space="preserve"> </w:t>
      </w:r>
      <w:r w:rsidR="00FF22F2">
        <w:t>The</w:t>
      </w:r>
      <w:r w:rsidR="00E254C9">
        <w:t xml:space="preserve"> variable I will use as the</w:t>
      </w:r>
      <w:r w:rsidR="00FF22F2">
        <w:t xml:space="preserve"> prediction target, application decision, can take one of four values: “Certified”, “Denied”, “Certified-Expired”, or “Withdrawn.” The “Certified-Expired” value represents an application that was certified by OFLC but not used to </w:t>
      </w:r>
      <w:r w:rsidR="0079488B">
        <w:t>petition USCIS for a visa</w:t>
      </w:r>
      <w:r w:rsidR="00FF22F2">
        <w:t xml:space="preserve">. The “Withdrawn” value represents an application that was submitted by the employer but withdrawn before the application could be adjudicated. </w:t>
      </w:r>
      <w:r w:rsidR="00A953AE">
        <w:t xml:space="preserve"> As shown in Figure #, the frequency of denial</w:t>
      </w:r>
      <w:r w:rsidR="00C770A9">
        <w:t>s</w:t>
      </w:r>
      <w:r w:rsidR="00512543">
        <w:t xml:space="preserve"> (dark blue)</w:t>
      </w:r>
      <w:r w:rsidR="00A953AE">
        <w:t xml:space="preserve"> is relatively stable with an average of 5.7% </w:t>
      </w:r>
      <w:r w:rsidR="00B05580">
        <w:t>of</w:t>
      </w:r>
      <w:r w:rsidR="00A953AE">
        <w:t xml:space="preserve"> applications</w:t>
      </w:r>
      <w:r w:rsidR="00B05580">
        <w:t xml:space="preserve"> denied</w:t>
      </w:r>
      <w:r w:rsidR="00A953AE">
        <w:t xml:space="preserve"> per year.</w:t>
      </w:r>
      <w:r w:rsidR="0078729D">
        <w:t xml:space="preserve"> </w:t>
      </w:r>
      <w:r w:rsidR="00A953AE">
        <w:t xml:space="preserve"> </w:t>
      </w:r>
    </w:p>
    <w:p w14:paraId="7D913297" w14:textId="08F74A8E" w:rsidR="00D1481C" w:rsidRDefault="007A4B33" w:rsidP="0063060C">
      <w:pPr>
        <w:jc w:val="center"/>
      </w:pPr>
      <w:r>
        <w:rPr>
          <w:noProof/>
        </w:rPr>
        <w:drawing>
          <wp:inline distT="0" distB="0" distL="0" distR="0" wp14:anchorId="11F3D0DA" wp14:editId="6A409396">
            <wp:extent cx="4705762" cy="3017520"/>
            <wp:effectExtent l="0" t="0" r="0" b="0"/>
            <wp:docPr id="8" name="Graphic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tatsRaw.sv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762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91D42" w14:textId="32D31402" w:rsidR="00EF11BE" w:rsidRPr="000D3FCD" w:rsidRDefault="0063060C" w:rsidP="00EF11BE">
      <w:pPr>
        <w:rPr>
          <w:i/>
          <w:iCs/>
          <w:color w:val="404040" w:themeColor="text1" w:themeTint="BF"/>
          <w:sz w:val="20"/>
          <w:szCs w:val="20"/>
        </w:rPr>
      </w:pPr>
      <w:r w:rsidRPr="00D911B6">
        <w:rPr>
          <w:rStyle w:val="SubtleEmphasis"/>
          <w:color w:val="5B9BD5" w:themeColor="accent5"/>
        </w:rPr>
        <w:t xml:space="preserve">Figure #. </w:t>
      </w:r>
      <w:r w:rsidR="00220B09">
        <w:rPr>
          <w:rStyle w:val="SubtleEmphasis"/>
        </w:rPr>
        <w:t>Fraction of</w:t>
      </w:r>
      <w:r w:rsidR="00F43268">
        <w:rPr>
          <w:rStyle w:val="SubtleEmphasis"/>
        </w:rPr>
        <w:t xml:space="preserve"> permanent FLC</w:t>
      </w:r>
      <w:r w:rsidR="00220B09">
        <w:rPr>
          <w:rStyle w:val="SubtleEmphasis"/>
        </w:rPr>
        <w:t xml:space="preserve"> applications certified, withdrawn, and denied for</w:t>
      </w:r>
      <w:r w:rsidR="00A7475A">
        <w:rPr>
          <w:rStyle w:val="SubtleEmphasis"/>
        </w:rPr>
        <w:t xml:space="preserve"> the period </w:t>
      </w:r>
      <w:bookmarkStart w:id="0" w:name="_GoBack"/>
      <w:bookmarkEnd w:id="0"/>
      <w:r w:rsidR="00220B09">
        <w:rPr>
          <w:rStyle w:val="SubtleEmphasis"/>
        </w:rPr>
        <w:t>FY2015 – FY2018.</w:t>
      </w:r>
      <w:r w:rsidR="0040330D">
        <w:rPr>
          <w:rStyle w:val="SubtleEmphasis"/>
        </w:rPr>
        <w:t xml:space="preserve"> </w:t>
      </w:r>
      <w:r w:rsidR="00C770A9">
        <w:rPr>
          <w:rStyle w:val="SubtleEmphasis"/>
        </w:rPr>
        <w:t>The frequency o</w:t>
      </w:r>
      <w:r w:rsidR="00BB35BF">
        <w:rPr>
          <w:rStyle w:val="SubtleEmphasis"/>
        </w:rPr>
        <w:t>f denials</w:t>
      </w:r>
      <w:r w:rsidR="006A78E7">
        <w:rPr>
          <w:rStyle w:val="SubtleEmphasis"/>
        </w:rPr>
        <w:t xml:space="preserve"> (dark blue)</w:t>
      </w:r>
      <w:r w:rsidR="00BB35BF">
        <w:rPr>
          <w:rStyle w:val="SubtleEmphasis"/>
        </w:rPr>
        <w:t xml:space="preserve"> is relatively stable with an average of 5.7% of applications denied per year. </w:t>
      </w:r>
      <w:r w:rsidR="00C770A9">
        <w:rPr>
          <w:rStyle w:val="SubtleEmphasis"/>
        </w:rPr>
        <w:t xml:space="preserve"> </w:t>
      </w:r>
      <w:r w:rsidR="00220B09">
        <w:rPr>
          <w:rStyle w:val="SubtleEmphasis"/>
        </w:rPr>
        <w:t xml:space="preserve"> </w:t>
      </w:r>
    </w:p>
    <w:p w14:paraId="32B6192C" w14:textId="605EEF78" w:rsidR="005A613D" w:rsidRPr="00F01B6A" w:rsidRDefault="005A613D" w:rsidP="00D25A39">
      <w:pPr>
        <w:pStyle w:val="Heading1"/>
      </w:pPr>
      <w:r w:rsidRPr="00F01B6A">
        <w:lastRenderedPageBreak/>
        <w:t>Data cleaning and transformation</w:t>
      </w:r>
    </w:p>
    <w:p w14:paraId="01535405" w14:textId="4E94FEF6" w:rsidR="0002208D" w:rsidRDefault="00F44E5F" w:rsidP="0002208D">
      <w:pPr>
        <w:ind w:firstLine="720"/>
      </w:pPr>
      <w:r>
        <w:t xml:space="preserve">Although these four datasets </w:t>
      </w:r>
      <w:r w:rsidR="00CF24DA">
        <w:t>contained information</w:t>
      </w:r>
      <w:r>
        <w:t xml:space="preserve"> sourced from the same document and compiled by</w:t>
      </w:r>
      <w:r w:rsidR="001963A4">
        <w:t xml:space="preserve"> the same entity, they were not</w:t>
      </w:r>
      <w:r w:rsidR="00E921AC">
        <w:t xml:space="preserve"> immediately</w:t>
      </w:r>
      <w:r w:rsidR="001963A4">
        <w:t xml:space="preserve"> </w:t>
      </w:r>
      <w:r w:rsidR="00AC1E0B">
        <w:t xml:space="preserve">ready to be merged and used to build a predictive model. </w:t>
      </w:r>
      <w:r w:rsidR="001963A4">
        <w:t xml:space="preserve"> </w:t>
      </w:r>
      <w:r>
        <w:t xml:space="preserve"> </w:t>
      </w:r>
    </w:p>
    <w:p w14:paraId="3515B6D2" w14:textId="1D13632B" w:rsidR="00E67BB7" w:rsidRDefault="00E67BB7" w:rsidP="0002208D"/>
    <w:p w14:paraId="0BD02A09" w14:textId="2E35F941" w:rsidR="00E67BB7" w:rsidRDefault="00E67BB7" w:rsidP="00D25A39">
      <w:pPr>
        <w:pStyle w:val="Heading1"/>
      </w:pPr>
      <w:r>
        <w:t>Exploratory data analysis</w:t>
      </w:r>
    </w:p>
    <w:p w14:paraId="67A7F2C0" w14:textId="31189C2C" w:rsidR="00B32C4C" w:rsidRDefault="00B32C4C" w:rsidP="00F01B6A">
      <w:pPr>
        <w:pStyle w:val="Heading2"/>
      </w:pPr>
    </w:p>
    <w:p w14:paraId="182C1775" w14:textId="35B0D11B" w:rsidR="00B32C4C" w:rsidRPr="00B32C4C" w:rsidRDefault="00B32C4C" w:rsidP="00D25A39">
      <w:pPr>
        <w:pStyle w:val="Heading1"/>
      </w:pPr>
      <w:r>
        <w:t>Modeling proposal</w:t>
      </w:r>
    </w:p>
    <w:sectPr w:rsidR="00B32C4C" w:rsidRPr="00B32C4C" w:rsidSect="00F01B6A">
      <w:footerReference w:type="default" r:id="rId14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74F5D3" w14:textId="77777777" w:rsidR="00AA10E0" w:rsidRDefault="00AA10E0" w:rsidP="00831269">
      <w:pPr>
        <w:spacing w:after="0" w:line="240" w:lineRule="auto"/>
      </w:pPr>
      <w:r>
        <w:separator/>
      </w:r>
    </w:p>
  </w:endnote>
  <w:endnote w:type="continuationSeparator" w:id="0">
    <w:p w14:paraId="09C63AAB" w14:textId="77777777" w:rsidR="00AA10E0" w:rsidRDefault="00AA10E0" w:rsidP="008312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28966403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CFDBDB" w14:textId="217DEFA1" w:rsidR="00831269" w:rsidRDefault="0083126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3C340BC" w14:textId="77777777" w:rsidR="00831269" w:rsidRDefault="0083126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8919971" w14:textId="77777777" w:rsidR="00AA10E0" w:rsidRDefault="00AA10E0" w:rsidP="00831269">
      <w:pPr>
        <w:spacing w:after="0" w:line="240" w:lineRule="auto"/>
      </w:pPr>
      <w:r>
        <w:separator/>
      </w:r>
    </w:p>
  </w:footnote>
  <w:footnote w:type="continuationSeparator" w:id="0">
    <w:p w14:paraId="4BCC557B" w14:textId="77777777" w:rsidR="00AA10E0" w:rsidRDefault="00AA10E0" w:rsidP="00831269">
      <w:pPr>
        <w:spacing w:after="0" w:line="240" w:lineRule="auto"/>
      </w:pPr>
      <w:r>
        <w:continuationSeparator/>
      </w:r>
    </w:p>
  </w:footnote>
  <w:footnote w:id="1">
    <w:p w14:paraId="658CDC0F" w14:textId="77777777" w:rsidR="007963D4" w:rsidRDefault="007963D4" w:rsidP="007963D4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2F5505">
        <w:t>https://www.foreignlaborcert.doleta.gov/performancedata.cfm</w:t>
      </w:r>
    </w:p>
  </w:footnote>
  <w:footnote w:id="2">
    <w:p w14:paraId="7C4A66F7" w14:textId="7ADB984D" w:rsidR="00D821F1" w:rsidRDefault="00D821F1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D821F1">
        <w:t>http://www.flcdatacenter.com/CasePerm.aspx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3C2812E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17D"/>
    <w:rsid w:val="0000167E"/>
    <w:rsid w:val="0002208D"/>
    <w:rsid w:val="00052BFD"/>
    <w:rsid w:val="000971D2"/>
    <w:rsid w:val="000A7E2F"/>
    <w:rsid w:val="000C663F"/>
    <w:rsid w:val="000D3FCD"/>
    <w:rsid w:val="000D5CB5"/>
    <w:rsid w:val="000F7406"/>
    <w:rsid w:val="00114EF5"/>
    <w:rsid w:val="00117AE5"/>
    <w:rsid w:val="00120A37"/>
    <w:rsid w:val="00142345"/>
    <w:rsid w:val="00152363"/>
    <w:rsid w:val="0018489D"/>
    <w:rsid w:val="001963A4"/>
    <w:rsid w:val="001A5DDB"/>
    <w:rsid w:val="001B2914"/>
    <w:rsid w:val="001D19ED"/>
    <w:rsid w:val="00220B09"/>
    <w:rsid w:val="002257CE"/>
    <w:rsid w:val="00226102"/>
    <w:rsid w:val="002324CF"/>
    <w:rsid w:val="00262A90"/>
    <w:rsid w:val="00270A8D"/>
    <w:rsid w:val="00273B29"/>
    <w:rsid w:val="00296FF7"/>
    <w:rsid w:val="002F5505"/>
    <w:rsid w:val="00304D53"/>
    <w:rsid w:val="00346135"/>
    <w:rsid w:val="00347F07"/>
    <w:rsid w:val="00360355"/>
    <w:rsid w:val="00374621"/>
    <w:rsid w:val="003804F0"/>
    <w:rsid w:val="003842B6"/>
    <w:rsid w:val="00396739"/>
    <w:rsid w:val="003A1F33"/>
    <w:rsid w:val="003F08BC"/>
    <w:rsid w:val="003F3914"/>
    <w:rsid w:val="0040330D"/>
    <w:rsid w:val="00407430"/>
    <w:rsid w:val="00426D82"/>
    <w:rsid w:val="00427490"/>
    <w:rsid w:val="0042796F"/>
    <w:rsid w:val="004363DF"/>
    <w:rsid w:val="00455688"/>
    <w:rsid w:val="0046452F"/>
    <w:rsid w:val="004844B9"/>
    <w:rsid w:val="004A265E"/>
    <w:rsid w:val="004A4CF8"/>
    <w:rsid w:val="004B14B6"/>
    <w:rsid w:val="004D3C43"/>
    <w:rsid w:val="004F015E"/>
    <w:rsid w:val="00512543"/>
    <w:rsid w:val="0052162A"/>
    <w:rsid w:val="00521CEE"/>
    <w:rsid w:val="005A613D"/>
    <w:rsid w:val="005B5626"/>
    <w:rsid w:val="005C0E85"/>
    <w:rsid w:val="005C5FAB"/>
    <w:rsid w:val="005D64EE"/>
    <w:rsid w:val="005E7173"/>
    <w:rsid w:val="005F3D2A"/>
    <w:rsid w:val="00600B8C"/>
    <w:rsid w:val="00610F16"/>
    <w:rsid w:val="0063060C"/>
    <w:rsid w:val="0063504D"/>
    <w:rsid w:val="006416D9"/>
    <w:rsid w:val="00645FC3"/>
    <w:rsid w:val="00663F99"/>
    <w:rsid w:val="00666F1D"/>
    <w:rsid w:val="00695976"/>
    <w:rsid w:val="006A78E7"/>
    <w:rsid w:val="006F461C"/>
    <w:rsid w:val="0075051B"/>
    <w:rsid w:val="00753A4F"/>
    <w:rsid w:val="0077117E"/>
    <w:rsid w:val="0078729D"/>
    <w:rsid w:val="0079488B"/>
    <w:rsid w:val="007963D4"/>
    <w:rsid w:val="007A4B33"/>
    <w:rsid w:val="007B1742"/>
    <w:rsid w:val="007B4334"/>
    <w:rsid w:val="00803772"/>
    <w:rsid w:val="0081160E"/>
    <w:rsid w:val="00831269"/>
    <w:rsid w:val="00837F7E"/>
    <w:rsid w:val="0084436B"/>
    <w:rsid w:val="00853098"/>
    <w:rsid w:val="008611A2"/>
    <w:rsid w:val="008D78E9"/>
    <w:rsid w:val="009114A5"/>
    <w:rsid w:val="00927724"/>
    <w:rsid w:val="00970CE0"/>
    <w:rsid w:val="00977B89"/>
    <w:rsid w:val="00980749"/>
    <w:rsid w:val="009A3B12"/>
    <w:rsid w:val="009A5384"/>
    <w:rsid w:val="009A6888"/>
    <w:rsid w:val="009A714E"/>
    <w:rsid w:val="009E2504"/>
    <w:rsid w:val="00A05D88"/>
    <w:rsid w:val="00A55365"/>
    <w:rsid w:val="00A7475A"/>
    <w:rsid w:val="00A817EB"/>
    <w:rsid w:val="00A953AE"/>
    <w:rsid w:val="00AA10E0"/>
    <w:rsid w:val="00AC1E0B"/>
    <w:rsid w:val="00AE2EBC"/>
    <w:rsid w:val="00AF31DC"/>
    <w:rsid w:val="00B05580"/>
    <w:rsid w:val="00B2263C"/>
    <w:rsid w:val="00B23F77"/>
    <w:rsid w:val="00B32C4C"/>
    <w:rsid w:val="00B41BC0"/>
    <w:rsid w:val="00B41EED"/>
    <w:rsid w:val="00B51030"/>
    <w:rsid w:val="00B628D2"/>
    <w:rsid w:val="00B666D1"/>
    <w:rsid w:val="00B81481"/>
    <w:rsid w:val="00B94C9A"/>
    <w:rsid w:val="00BA1F15"/>
    <w:rsid w:val="00BB35BF"/>
    <w:rsid w:val="00BB482D"/>
    <w:rsid w:val="00BC3E71"/>
    <w:rsid w:val="00BE19E4"/>
    <w:rsid w:val="00C12E44"/>
    <w:rsid w:val="00C20BE9"/>
    <w:rsid w:val="00C30414"/>
    <w:rsid w:val="00C770A9"/>
    <w:rsid w:val="00C77B36"/>
    <w:rsid w:val="00CD15DF"/>
    <w:rsid w:val="00CD638A"/>
    <w:rsid w:val="00CF1548"/>
    <w:rsid w:val="00CF24DA"/>
    <w:rsid w:val="00D1481C"/>
    <w:rsid w:val="00D204B0"/>
    <w:rsid w:val="00D22BDA"/>
    <w:rsid w:val="00D25A39"/>
    <w:rsid w:val="00D31A4B"/>
    <w:rsid w:val="00D37B67"/>
    <w:rsid w:val="00D63EAF"/>
    <w:rsid w:val="00D821F1"/>
    <w:rsid w:val="00D82E93"/>
    <w:rsid w:val="00D911B6"/>
    <w:rsid w:val="00DA4C8B"/>
    <w:rsid w:val="00E254C9"/>
    <w:rsid w:val="00E457D3"/>
    <w:rsid w:val="00E559AA"/>
    <w:rsid w:val="00E60E95"/>
    <w:rsid w:val="00E67BB7"/>
    <w:rsid w:val="00E837B7"/>
    <w:rsid w:val="00E85C0C"/>
    <w:rsid w:val="00E921AC"/>
    <w:rsid w:val="00E952BB"/>
    <w:rsid w:val="00EA0C99"/>
    <w:rsid w:val="00EC217D"/>
    <w:rsid w:val="00EE6663"/>
    <w:rsid w:val="00EF11BE"/>
    <w:rsid w:val="00EF4099"/>
    <w:rsid w:val="00F0042B"/>
    <w:rsid w:val="00F0045F"/>
    <w:rsid w:val="00F01B6A"/>
    <w:rsid w:val="00F10906"/>
    <w:rsid w:val="00F17435"/>
    <w:rsid w:val="00F21295"/>
    <w:rsid w:val="00F228DC"/>
    <w:rsid w:val="00F43268"/>
    <w:rsid w:val="00F44E5F"/>
    <w:rsid w:val="00F777FD"/>
    <w:rsid w:val="00F90808"/>
    <w:rsid w:val="00FB52AF"/>
    <w:rsid w:val="00FB5AA6"/>
    <w:rsid w:val="00FC1B44"/>
    <w:rsid w:val="00FD15C4"/>
    <w:rsid w:val="00FF2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1C3F35"/>
  <w15:chartTrackingRefBased/>
  <w15:docId w15:val="{4092C2F7-7822-4DEE-AD64-42559BDAE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01B6A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5A3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5B9BD5" w:themeColor="accent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A613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1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D0D0D" w:themeColor="text1" w:themeTint="F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13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13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04040" w:themeColor="text1" w:themeTint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13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13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13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13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5A613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13D"/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5A613D"/>
    <w:rPr>
      <w:rFonts w:asciiTheme="majorHAnsi" w:eastAsiaTheme="majorEastAsia" w:hAnsiTheme="majorHAnsi" w:cstheme="majorBidi"/>
      <w:color w:val="262626" w:themeColor="text1" w:themeTint="D9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D25A39"/>
    <w:rPr>
      <w:rFonts w:asciiTheme="majorHAnsi" w:eastAsiaTheme="majorEastAsia" w:hAnsiTheme="majorHAnsi" w:cstheme="majorBidi"/>
      <w:color w:val="5B9BD5" w:themeColor="accent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13D"/>
    <w:rPr>
      <w:rFonts w:asciiTheme="majorHAnsi" w:eastAsiaTheme="majorEastAsia" w:hAnsiTheme="majorHAnsi" w:cstheme="majorBidi"/>
      <w:color w:val="0D0D0D" w:themeColor="text1" w:themeTint="F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13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13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13D"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13D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13D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13D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A613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13D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5A613D"/>
    <w:rPr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5A613D"/>
    <w:rPr>
      <w:b/>
      <w:bCs/>
      <w:color w:val="auto"/>
    </w:rPr>
  </w:style>
  <w:style w:type="character" w:styleId="Emphasis">
    <w:name w:val="Emphasis"/>
    <w:basedOn w:val="DefaultParagraphFont"/>
    <w:uiPriority w:val="20"/>
    <w:qFormat/>
    <w:rsid w:val="005A613D"/>
    <w:rPr>
      <w:i/>
      <w:iCs/>
      <w:color w:val="auto"/>
    </w:rPr>
  </w:style>
  <w:style w:type="paragraph" w:styleId="NoSpacing">
    <w:name w:val="No Spacing"/>
    <w:link w:val="NoSpacingChar"/>
    <w:uiPriority w:val="1"/>
    <w:qFormat/>
    <w:rsid w:val="00F01B6A"/>
    <w:pPr>
      <w:spacing w:after="0" w:line="240" w:lineRule="auto"/>
    </w:pPr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5A613D"/>
    <w:pPr>
      <w:spacing w:before="200"/>
      <w:ind w:left="864" w:right="864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13D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13D"/>
    <w:pPr>
      <w:pBdr>
        <w:top w:val="single" w:sz="4" w:space="10" w:color="404040" w:themeColor="text1" w:themeTint="BF"/>
        <w:bottom w:val="single" w:sz="4" w:space="10" w:color="404040" w:themeColor="text1" w:themeTint="BF"/>
      </w:pBdr>
      <w:spacing w:before="360" w:after="3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13D"/>
    <w:rPr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qFormat/>
    <w:rsid w:val="00521CEE"/>
    <w:rPr>
      <w:rFonts w:asciiTheme="minorHAnsi" w:hAnsiTheme="minorHAnsi"/>
      <w:i/>
      <w:iCs/>
      <w:color w:val="404040" w:themeColor="text1" w:themeTint="BF"/>
      <w:sz w:val="20"/>
      <w:szCs w:val="20"/>
    </w:rPr>
  </w:style>
  <w:style w:type="character" w:styleId="IntenseEmphasis">
    <w:name w:val="Intense Emphasis"/>
    <w:basedOn w:val="DefaultParagraphFont"/>
    <w:uiPriority w:val="21"/>
    <w:qFormat/>
    <w:rsid w:val="005A613D"/>
    <w:rPr>
      <w:b/>
      <w:bCs/>
      <w:i/>
      <w:iCs/>
      <w:color w:val="auto"/>
    </w:rPr>
  </w:style>
  <w:style w:type="character" w:styleId="SubtleReference">
    <w:name w:val="Subtle Reference"/>
    <w:basedOn w:val="DefaultParagraphFont"/>
    <w:uiPriority w:val="31"/>
    <w:qFormat/>
    <w:rsid w:val="005A613D"/>
    <w:rPr>
      <w:smallCaps/>
      <w:color w:val="404040" w:themeColor="text1" w:themeTint="BF"/>
    </w:rPr>
  </w:style>
  <w:style w:type="character" w:styleId="IntenseReference">
    <w:name w:val="Intense Reference"/>
    <w:basedOn w:val="DefaultParagraphFont"/>
    <w:uiPriority w:val="32"/>
    <w:qFormat/>
    <w:rsid w:val="005A613D"/>
    <w:rPr>
      <w:b/>
      <w:bCs/>
      <w:smallCaps/>
      <w:color w:val="404040" w:themeColor="text1" w:themeTint="BF"/>
      <w:spacing w:val="5"/>
    </w:rPr>
  </w:style>
  <w:style w:type="character" w:styleId="BookTitle">
    <w:name w:val="Book Title"/>
    <w:basedOn w:val="DefaultParagraphFont"/>
    <w:uiPriority w:val="33"/>
    <w:qFormat/>
    <w:rsid w:val="005A613D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A613D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F01B6A"/>
    <w:rPr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31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126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8312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1269"/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F5505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F5505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2F5505"/>
    <w:rPr>
      <w:vertAlign w:val="superscript"/>
    </w:rPr>
  </w:style>
  <w:style w:type="table" w:styleId="TableGrid">
    <w:name w:val="Table Grid"/>
    <w:basedOn w:val="TableNormal"/>
    <w:uiPriority w:val="39"/>
    <w:rsid w:val="00A05D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sv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sv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19 February 2019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146C518-F787-41C5-968F-5488B4F6E3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579</TotalTime>
  <Pages>5</Pages>
  <Words>815</Words>
  <Characters>4651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Predicting permanent foreign labor certification decisions from historical data</vt:lpstr>
    </vt:vector>
  </TitlesOfParts>
  <Company>Central Michigan university</Company>
  <LinksUpToDate>false</LinksUpToDate>
  <CharactersWithSpaces>5456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Predicting permanent foreign labor certification decisions from historical data</dc:title>
  <dc:subject>Data preparation and exploratory data analysis</dc:subject>
  <dc:creator>Daniel Wade Hatcher</dc:creator>
  <cp:keywords/>
  <dc:description/>
  <cp:lastModifiedBy>Daniel Hatcher</cp:lastModifiedBy>
  <cp:revision>158</cp:revision>
  <dcterms:created xsi:type="dcterms:W3CDTF">2019-01-24T14:00:00Z</dcterms:created>
  <dcterms:modified xsi:type="dcterms:W3CDTF">2019-01-25T21:20:00Z</dcterms:modified>
</cp:coreProperties>
</file>