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Platform Capabilities</w:t>
      </w:r>
    </w:p>
    <w:p>
      <w:pPr>
        <w:spacing w:after="60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Real Estate Tokenization Platform  —  Dubai, UAE</w:t>
      </w:r>
    </w:p>
    <w:p>
      <w:pPr>
        <w:pBdr>
          <w:bottom w:val="single" w:color="2E6DA4" w:sz="10" w:space="1"/>
        </w:pBdr>
        <w:spacing w:after="40"/>
      </w:pPr>
    </w:p>
    <w:p>
      <w:pPr>
        <w:spacing w:after="100" w:before="0"/>
      </w:pPr>
    </w:p>
    <w:p>
      <w:pPr>
        <w:spacing w:after="2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 is engineered as a full-stack, fiat-only real estate tokenization system purpose-built for the UAE market. It covers the complete investor lifecycle — from identity verification and token acquisition through to rent collection, proportional distribution, and secondary market liquidity — with every component integrated into UAE-regulated financial and blockchain infrastructure.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C5D8ED" w:sz="1"/>
              <w:left w:val="single" w:color="2E6DA4" w:sz="12"/>
              <w:bottom w:val="single" w:color="C5D8ED" w:sz="1"/>
              <w:right w:val="single" w:color="C5D8ED" w:sz="1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700"/>
              <w:gridCol w:w="86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22"/>
                      <w:szCs w:val="22"/>
                    </w:rPr>
                    <w:t xml:space="preserve">01</w:t>
                  </w:r>
                </w:p>
              </w:tc>
              <w:tc>
                <w:tcPr>
                  <w:tcW w:type="dxa" w:w="8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2"/>
                      <w:szCs w:val="22"/>
                    </w:rPr>
                    <w:t xml:space="preserve">Investor Onboarding &amp; Identity Verification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Investors register and complete full KYC/AML verification before accessing any investment product, ensuring regulatory compliance from day one.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Digital registration via web or mobile application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Automated KYC/AML screening powered by Sumsub — a globally recognised identity verification provider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Bank account registration at onboarding for seamless rent disbursement</w:t>
                  </w:r>
                </w:p>
              </w:tc>
            </w:tr>
          </w:tbl>
          <w:p/>
        </w:tc>
      </w:tr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00"/>
            <w:tcBorders>
              <w:top w:val="single" w:color="C5D8ED" w:sz="1"/>
              <w:left w:val="single" w:color="2E6DA4" w:sz="12"/>
              <w:bottom w:val="single" w:color="C5D8ED" w:sz="1"/>
              <w:right w:val="single" w:color="C5D8ED" w:sz="1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700"/>
              <w:gridCol w:w="86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22"/>
                      <w:szCs w:val="22"/>
                    </w:rPr>
                    <w:t xml:space="preserve">02</w:t>
                  </w:r>
                </w:p>
              </w:tc>
              <w:tc>
                <w:tcPr>
                  <w:tcW w:type="dxa" w:w="8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2"/>
                      <w:szCs w:val="22"/>
                    </w:rPr>
                    <w:t xml:space="preserve">Token Issuance — Primary Market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Verified investors can acquire fractional ownership of real estate assets by purchasing property tokens directly from the platform, denominated exclusively in AED.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Fiat-only transactions processed through TAP Payments — a CBUAE-licensed payment processor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Token issuance recorded on blockchain via Ctrl Alt, a regulated blockchain-as-a-service provider — no in-house smart contract risk</w:t>
                  </w:r>
                </w:p>
                <w:p>
                  <w:pPr>
                    <w:pStyle w:val="ListParagraph"/>
                    <w:numPr>
                      <w:ilvl w:val="0"/>
                      <w:numId w:val="3"/>
                    </w:numPr>
                    <w:spacing w:after="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Real-time token availability checks prevent over-issuance; waitlist option for high-demand properties</w:t>
                  </w:r>
                </w:p>
              </w:tc>
            </w:tr>
          </w:tbl>
          <w:p/>
        </w:tc>
      </w:tr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00"/>
            <w:tcBorders>
              <w:top w:val="single" w:color="C5D8ED" w:sz="1"/>
              <w:left w:val="single" w:color="2E6DA4" w:sz="12"/>
              <w:bottom w:val="single" w:color="C5D8ED" w:sz="1"/>
              <w:right w:val="single" w:color="C5D8ED" w:sz="1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700"/>
              <w:gridCol w:w="86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22"/>
                      <w:szCs w:val="22"/>
                    </w:rPr>
                    <w:t xml:space="preserve">03</w:t>
                  </w:r>
                </w:p>
              </w:tc>
              <w:tc>
                <w:tcPr>
                  <w:tcW w:type="dxa" w:w="8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2"/>
                      <w:szCs w:val="22"/>
                    </w:rPr>
                    <w:t xml:space="preserve">Rent Collection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Each property operates a dedicated Zand Bank collection account. Tenant rent payments are received, verified, and prepared for distribution with full auditability.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Automated webhook notifications from Zand Bank upon each rent receipt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Property Manager confirms net distributable amount after deducting maintenance costs, fees, and platform charges</w:t>
                  </w:r>
                </w:p>
                <w:p>
                  <w:pPr>
                    <w:pStyle w:val="ListParagraph"/>
                    <w:numPr>
                      <w:ilvl w:val="0"/>
                      <w:numId w:val="4"/>
                    </w:numPr>
                    <w:spacing w:after="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Full transaction log maintained per property for regulatory and investor transparency</w:t>
                  </w:r>
                </w:p>
              </w:tc>
            </w:tr>
          </w:tbl>
          <w:p/>
        </w:tc>
      </w:tr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00"/>
            <w:tcBorders>
              <w:top w:val="single" w:color="C5D8ED" w:sz="1"/>
              <w:left w:val="single" w:color="2E6DA4" w:sz="12"/>
              <w:bottom w:val="single" w:color="C5D8ED" w:sz="1"/>
              <w:right w:val="single" w:color="C5D8ED" w:sz="1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700"/>
              <w:gridCol w:w="86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22"/>
                      <w:szCs w:val="22"/>
                    </w:rPr>
                    <w:t xml:space="preserve">04</w:t>
                  </w:r>
                </w:p>
              </w:tc>
              <w:tc>
                <w:tcPr>
                  <w:tcW w:type="dxa" w:w="8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2"/>
                      <w:szCs w:val="22"/>
                    </w:rPr>
                    <w:t xml:space="preserve">Rent Distribution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Net rent proceeds are distributed to every token holder proportionally and automatically, directly into their registered bank accounts.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Per-investor payout calculated as: (tokens held / total tokens) × net distributable amount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Bulk disbursement to investor bank accounts via TAP Payments — no manual processing</w:t>
                  </w:r>
                </w:p>
                <w:p>
                  <w:pPr>
                    <w:pStyle w:val="ListParagraph"/>
                    <w:numPr>
                      <w:ilvl w:val="0"/>
                      <w:numId w:val="5"/>
                    </w:numPr>
                    <w:spacing w:after="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Failed disbursements are isolated and queued for resolution without blocking other investors' payouts</w:t>
                  </w:r>
                </w:p>
              </w:tc>
            </w:tr>
          </w:tbl>
          <w:p/>
        </w:tc>
      </w:tr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00"/>
            <w:tcBorders>
              <w:top w:val="single" w:color="C5D8ED" w:sz="1"/>
              <w:left w:val="single" w:color="2E6DA4" w:sz="12"/>
              <w:bottom w:val="single" w:color="C5D8ED" w:sz="1"/>
              <w:right w:val="single" w:color="C5D8ED" w:sz="1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700"/>
              <w:gridCol w:w="86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22"/>
                      <w:szCs w:val="22"/>
                    </w:rPr>
                    <w:t xml:space="preserve">05</w:t>
                  </w:r>
                </w:p>
              </w:tc>
              <w:tc>
                <w:tcPr>
                  <w:tcW w:type="dxa" w:w="8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2"/>
                      <w:szCs w:val="22"/>
                    </w:rPr>
                    <w:t xml:space="preserve">Secondary Marketplace — Token Trading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Investors can list and purchase tokens from one another on an integrated secondary marketplace, providing liquidity without requiring platform buy-back commitments.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Sellers set their own price per token; listed tokens are soft-locked and reserved until sold or cancelled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Buyers complete fiat AED payment via TAP Payments; transfer recorded on blockchain via Ctrl Alt</w:t>
                  </w:r>
                </w:p>
                <w:p>
                  <w:pPr>
                    <w:pStyle w:val="ListParagraph"/>
                    <w:numPr>
                      <w:ilvl w:val="0"/>
                      <w:numId w:val="6"/>
                    </w:numPr>
                    <w:spacing w:after="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Sale proceeds disbursed directly to seller's bank account upon transaction completion</w:t>
                  </w:r>
                </w:p>
              </w:tc>
            </w:tr>
          </w:tbl>
          <w:p/>
        </w:tc>
      </w:tr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00"/>
            <w:tcBorders>
              <w:top w:val="single" w:color="C5D8ED" w:sz="1"/>
              <w:left w:val="single" w:color="2E6DA4" w:sz="12"/>
              <w:bottom w:val="single" w:color="C5D8ED" w:sz="1"/>
              <w:right w:val="single" w:color="C5D8ED" w:sz="1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700"/>
              <w:gridCol w:w="86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22"/>
                      <w:szCs w:val="22"/>
                    </w:rPr>
                    <w:t xml:space="preserve">06</w:t>
                  </w:r>
                </w:p>
              </w:tc>
              <w:tc>
                <w:tcPr>
                  <w:tcW w:type="dxa" w:w="8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2"/>
                      <w:szCs w:val="22"/>
                    </w:rPr>
                    <w:t xml:space="preserve">Investor Portfolio Dashboard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Each investor has a personalised dashboard providing a real-time view of their holdings, income history, and marketplace activity.</w:t>
                  </w:r>
                </w:p>
                <w:p>
                  <w:pPr>
                    <w:pStyle w:val="ListParagraph"/>
                    <w:numPr>
                      <w:ilvl w:val="0"/>
                      <w:numId w:val="7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Live token holdings per property with ownership percentage</w:t>
                  </w:r>
                </w:p>
                <w:p>
                  <w:pPr>
                    <w:pStyle w:val="ListParagraph"/>
                    <w:numPr>
                      <w:ilvl w:val="0"/>
                      <w:numId w:val="7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Full rent distribution history with per-period breakdown</w:t>
                  </w:r>
                </w:p>
                <w:p>
                  <w:pPr>
                    <w:pStyle w:val="ListParagraph"/>
                    <w:numPr>
                      <w:ilvl w:val="0"/>
                      <w:numId w:val="7"/>
                    </w:numPr>
                    <w:spacing w:after="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Secondary market transaction history and active listings</w:t>
                  </w:r>
                </w:p>
              </w:tc>
            </w:tr>
          </w:tbl>
          <w:p/>
        </w:tc>
      </w:tr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00"/>
            <w:tcBorders>
              <w:top w:val="single" w:color="C5D8ED" w:sz="1"/>
              <w:left w:val="single" w:color="2E6DA4" w:sz="12"/>
              <w:bottom w:val="single" w:color="C5D8ED" w:sz="1"/>
              <w:right w:val="single" w:color="C5D8ED" w:sz="1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700"/>
              <w:gridCol w:w="86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22"/>
                      <w:szCs w:val="22"/>
                    </w:rPr>
                    <w:t xml:space="preserve">07</w:t>
                  </w:r>
                </w:p>
              </w:tc>
              <w:tc>
                <w:tcPr>
                  <w:tcW w:type="dxa" w:w="8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2"/>
                      <w:szCs w:val="22"/>
                    </w:rPr>
                    <w:t xml:space="preserve">Property Management Interface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The platform maintains a structured repository of property data accessible to authorised administrators, supporting transparency and operational oversight.</w:t>
                  </w:r>
                </w:p>
                <w:p>
                  <w:pPr>
                    <w:pStyle w:val="ListParagraph"/>
                    <w:numPr>
                      <w:ilvl w:val="0"/>
                      <w:numId w:val="8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Property metadata, legal documents, and financial records stored per asset</w:t>
                  </w:r>
                </w:p>
                <w:p>
                  <w:pPr>
                    <w:pStyle w:val="ListParagraph"/>
                    <w:numPr>
                      <w:ilvl w:val="0"/>
                      <w:numId w:val="8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Tenant information and tenancy details managed centrally</w:t>
                  </w:r>
                </w:p>
                <w:p>
                  <w:pPr>
                    <w:pStyle w:val="ListParagraph"/>
                    <w:numPr>
                      <w:ilvl w:val="0"/>
                      <w:numId w:val="8"/>
                    </w:numPr>
                    <w:spacing w:after="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All property decisions remain with the platform operator — investors hold no voting rights over operations</w:t>
                  </w:r>
                </w:p>
              </w:tc>
            </w:tr>
          </w:tbl>
          <w:p/>
        </w:tc>
      </w:tr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00"/>
            <w:tcBorders>
              <w:top w:val="single" w:color="C5D8ED" w:sz="1"/>
              <w:left w:val="single" w:color="2E6DA4" w:sz="12"/>
              <w:bottom w:val="single" w:color="C5D8ED" w:sz="1"/>
              <w:right w:val="single" w:color="C5D8ED" w:sz="1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700"/>
              <w:gridCol w:w="86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22"/>
                      <w:szCs w:val="22"/>
                    </w:rPr>
                    <w:t xml:space="preserve">08</w:t>
                  </w:r>
                </w:p>
              </w:tc>
              <w:tc>
                <w:tcPr>
                  <w:tcW w:type="dxa" w:w="8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2"/>
                      <w:szCs w:val="22"/>
                    </w:rPr>
                    <w:t xml:space="preserve">Automated Notifications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Investors receive timely, event-driven communications across all key platform touchpoints, delivered via email and SMS.</w:t>
                  </w:r>
                </w:p>
                <w:p>
                  <w:pPr>
                    <w:pStyle w:val="ListParagraph"/>
                    <w:numPr>
                      <w:ilvl w:val="0"/>
                      <w:numId w:val="9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KYC outcome, welcome confirmation, and bank account registration</w:t>
                  </w:r>
                </w:p>
                <w:p>
                  <w:pPr>
                    <w:pStyle w:val="ListParagraph"/>
                    <w:numPr>
                      <w:ilvl w:val="0"/>
                      <w:numId w:val="9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Token purchase confirmations and secondary market transaction receipts</w:t>
                  </w:r>
                </w:p>
                <w:p>
                  <w:pPr>
                    <w:pStyle w:val="ListParagraph"/>
                    <w:numPr>
                      <w:ilvl w:val="0"/>
                      <w:numId w:val="9"/>
                    </w:numPr>
                    <w:spacing w:after="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Rent distribution notifications with amount, property, and period covered</w:t>
                  </w:r>
                </w:p>
              </w:tc>
            </w:tr>
          </w:tbl>
          <w:p/>
        </w:tc>
      </w:tr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9300"/>
            <w:tcBorders>
              <w:top w:val="single" w:color="C5D8ED" w:sz="1"/>
              <w:left w:val="single" w:color="2E6DA4" w:sz="12"/>
              <w:bottom w:val="single" w:color="C5D8ED" w:sz="1"/>
              <w:right w:val="single" w:color="C5D8ED" w:sz="1"/>
            </w:tcBorders>
            <w:shd w:fill="EA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tbl>
            <w:tblPr>
              <w:tblW w:type="dxa" w:w="9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700"/>
              <w:gridCol w:w="86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22"/>
                      <w:szCs w:val="22"/>
                    </w:rPr>
                    <w:t xml:space="preserve">09</w:t>
                  </w:r>
                </w:p>
              </w:tc>
              <w:tc>
                <w:tcPr>
                  <w:tcW w:type="dxa" w:w="8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2"/>
                      <w:szCs w:val="22"/>
                    </w:rPr>
                    <w:t xml:space="preserve">Platform Administration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i w:val="false"/>
                      <w:iCs w:val="false"/>
                      <w:color w:val="333333"/>
                      <w:sz w:val="19"/>
                      <w:szCs w:val="19"/>
                    </w:rPr>
                    <w:t xml:space="preserve">A dedicated admin panel gives the platform operator full control over property onboarding, investor management, and distribution oversight — all in one place.</w:t>
                  </w:r>
                </w:p>
                <w:p>
                  <w:pPr>
                    <w:pStyle w:val="ListParagraph"/>
                    <w:numPr>
                      <w:ilvl w:val="0"/>
                      <w:numId w:val="10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Property onboarding with metadata, token supply, pricing, legal documents, and linked Zand Bank collection account configured in a single workflow</w:t>
                  </w:r>
                </w:p>
                <w:p>
                  <w:pPr>
                    <w:pStyle w:val="ListParagraph"/>
                    <w:numPr>
                      <w:ilvl w:val="0"/>
                      <w:numId w:val="10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Investor account management including suspension and reactivation, with immediate effect across all platform activity</w:t>
                  </w:r>
                </w:p>
                <w:p>
                  <w:pPr>
                    <w:pStyle w:val="ListParagraph"/>
                    <w:numPr>
                      <w:ilvl w:val="0"/>
                      <w:numId w:val="10"/>
                    </w:numPr>
                    <w:spacing w:after="0"/>
                  </w:pPr>
                  <w:r>
                    <w:rPr>
                      <w:rFonts w:ascii="Arial" w:cs="Arial" w:eastAsia="Arial" w:hAnsi="Arial"/>
                      <w:color w:val="333333"/>
                      <w:sz w:val="19"/>
                      <w:szCs w:val="19"/>
                    </w:rPr>
                    <w:t xml:space="preserve">Full oversight of rent distributions — including failed disbursement resolution, manual retries, and re-trigger capability for corrections — plus platform-wide analytics covering assets under management, investor counts, and marketplace volume</w:t>
                  </w:r>
                </w:p>
              </w:tc>
            </w:tr>
          </w:tbl>
          <w:p/>
        </w:tc>
      </w:tr>
    </w:tbl>
    <w:p>
      <w:pPr>
        <w:spacing w:after="240" w:before="0"/>
      </w:pPr>
    </w:p>
    <w:p>
      <w:pPr>
        <w:pBdr>
          <w:bottom w:val="single" w:color="C5D8ED" w:sz="4" w:space="1"/>
        </w:pBdr>
        <w:spacing w:after="120"/>
      </w:pPr>
    </w:p>
    <w:p>
      <w:pPr>
        <w:spacing w:after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All payment processing is handled by TAP Payments (CBUAE-licensed). Blockchain token operations are delegated to Ctrl Alt (blockchain-as-a-service). KYC/AML verification is provided by Sumsub. Property collection accounts are held with Zand Bank (CBUAE-licensed digital business bank). No cryptocurrency is accepted or issued at any stage.</w:t>
      </w:r>
    </w:p>
    <w:sectPr>
      <w:headerReference w:type="default" r:id="rId7"/>
      <w:pgSz w:w="11906" w:h="16838" w:orient="portrait"/>
      <w:pgMar w:top="1100" w:right="1296" w:bottom="110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tabs>
        <w:tab w:val="right" w:pos="9300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PLATFORM CAPABILITIES  |  REAL ESTATE TOKENIZATION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2E6DA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2E6DA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2E6DA4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2E6DA4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2E6DA4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2E6DA4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2E6DA4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2E6DA4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  <w:rPr>
        <w:rFonts w:ascii="Arial" w:cs="Arial" w:eastAsia="Arial" w:hAnsi="Arial"/>
        <w:color w:val="2E6DA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2026-03-25T18:17:29.410Z</dcterms:created>
  <dcterms:modified xsi:type="dcterms:W3CDTF">2026-03-25T18:17:29.411Z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