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A2F"/>
          <w:sz w:val="40"/>
        </w:rPr>
        <w:t>$5,000 Campaign, Website, and Terms and Conditions</w:t>
      </w:r>
    </w:p>
    <w:p>
      <w:pPr>
        <w:spacing w:after="160"/>
      </w:pPr>
      <w:r>
        <w:rPr>
          <w:i/>
          <w:color w:val="5A6A85"/>
          <w:sz w:val="22"/>
        </w:rPr>
        <w:t>Consolidated Approval Checklist, as of 20 July 2026</w:t>
      </w:r>
    </w:p>
    <w:p>
      <w:pPr>
        <w:spacing w:before="320" w:after="120"/>
      </w:pPr>
      <w:r>
        <w:rPr>
          <w:b/>
          <w:color w:val="121A2F"/>
          <w:sz w:val="28"/>
        </w:rPr>
        <w:t>Legal and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1A2F"/>
          </w:tcPr>
          <w:p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880"/>
            <w:shd w:fill="121A2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121A2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Bilingual Terms and Conditions (EN-AR docx)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 for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 title locked: "Terms and Conditions: The $5,000 Prize Campaign from eMYAA Platform". Eligibility open to all eMYAA account holders, no country restriction.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Master English T&amp;Cs (source doc)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Updated to 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Eligibility clause and title synced with the bilingual version.</w:t>
            </w:r>
          </w:p>
        </w:tc>
      </w:tr>
    </w:tbl>
    <w:p>
      <w:pPr>
        <w:spacing w:after="80"/>
      </w:pPr>
      <w:r>
        <w:rPr>
          <w:i/>
          <w:color w:val="C0392B"/>
          <w:sz w:val="20"/>
        </w:rPr>
        <w:t>Confirm who the final approver is (compliance, legal, or the CEO) if not already clear, so the sign off has an owner.</w:t>
      </w:r>
    </w:p>
    <w:p>
      <w:pPr>
        <w:spacing w:before="320" w:after="120"/>
      </w:pPr>
      <w:r>
        <w:rPr>
          <w:b/>
          <w:color w:val="121A2F"/>
          <w:sz w:val="28"/>
        </w:rPr>
        <w:t>Website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1A2F"/>
          </w:tcPr>
          <w:p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880"/>
            <w:shd w:fill="121A2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121A2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Landing page, English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 and 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eMYAA/05 Product &amp; UIUX/Website/EN/5000-campaign-en.html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Landing page, Arabic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 and 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eMYAA/05 Product &amp; UIUX/Website/AR/5000-campaign-ar.html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Embed versions (no header/footer)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dropping into the site's existing page shell, both languages</w:t>
            </w:r>
          </w:p>
        </w:tc>
      </w:tr>
    </w:tbl>
    <w:p>
      <w:pPr>
        <w:spacing w:after="80"/>
      </w:pPr>
      <w:r>
        <w:rPr>
          <w:i/>
          <w:color w:val="C0392B"/>
          <w:sz w:val="20"/>
        </w:rPr>
        <w:t>Confirm final publish/go-live sign off on Squarespace itself, separate from the file being finished.</w:t>
      </w:r>
    </w:p>
    <w:p>
      <w:pPr>
        <w:spacing w:before="320" w:after="120"/>
      </w:pPr>
      <w:r>
        <w:rPr>
          <w:b/>
          <w:color w:val="121A2F"/>
          <w:sz w:val="28"/>
        </w:rPr>
        <w:t>Creative Collaterals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1A2F"/>
          </w:tcPr>
          <w:p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880"/>
            <w:shd w:fill="121A2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121A2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Launch animation (5000_campaign.mp4)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Amendments sent, revised cut pending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 whether TRACCS delivers the revised cut before handover, or if this moves to 24F.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Support carousel brief (7 slides plus 2 filler concepts)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Brief finalized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 who executes final design given the agency transition.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 influencer scripts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 Sabeel, Musheera, Hamed Al Bloushi, Manal Talal, Abdulelah Alharbi, Ammar Alshaikh. Tracked changes accepted, ready to send.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Prize tier 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Embedded in the T&amp;Cs and both landing pages, six tiers from $500 to $5,000.</w:t>
            </w:r>
          </w:p>
        </w:tc>
      </w:tr>
    </w:tbl>
    <w:p>
      <w:pPr>
        <w:spacing w:before="320" w:after="120"/>
      </w:pPr>
      <w:r>
        <w:rPr>
          <w:b/>
          <w:color w:val="121A2F"/>
          <w:sz w:val="28"/>
        </w:rPr>
        <w:t>Related, Already Approved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1A2F"/>
          </w:tcPr>
          <w:p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880"/>
            <w:shd w:fill="121A2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121A2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Mention &amp; Win $500 caption and animation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Separate, smaller recurring campaign, not part of this sign off batch.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