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2090" w14:textId="77777777" w:rsidR="00966A7D" w:rsidRPr="00966A7D" w:rsidRDefault="00966A7D" w:rsidP="00966A7D">
      <w:pPr>
        <w:pStyle w:val="Heading1"/>
        <w:jc w:val="center"/>
      </w:pPr>
      <w:r w:rsidRPr="00966A7D">
        <w:t>Account &amp; Deposit Projections (From June 2026 Baseline)</w:t>
      </w:r>
    </w:p>
    <w:p w14:paraId="1211CD85" w14:textId="77777777" w:rsidR="0096315B" w:rsidRPr="0096315B" w:rsidRDefault="0096315B" w:rsidP="0096315B">
      <w:pPr>
        <w:rPr>
          <w:b/>
          <w:bCs/>
        </w:rPr>
      </w:pPr>
      <w:r w:rsidRPr="0096315B">
        <w:rPr>
          <w:b/>
          <w:bCs/>
        </w:rPr>
        <w:t>Projected Client Growth &amp; Asset Trajectory</w:t>
      </w:r>
    </w:p>
    <w:p w14:paraId="500627FB" w14:textId="77777777" w:rsidR="0096315B" w:rsidRPr="0096315B" w:rsidRDefault="0096315B" w:rsidP="0096315B">
      <w:r w:rsidRPr="0096315B">
        <w:rPr>
          <w:b/>
          <w:bCs/>
        </w:rPr>
        <w:t>3 Months (September 2026):</w:t>
      </w:r>
    </w:p>
    <w:p w14:paraId="173898A9" w14:textId="77777777" w:rsidR="0096315B" w:rsidRPr="0096315B" w:rsidRDefault="0096315B" w:rsidP="0096315B">
      <w:pPr>
        <w:numPr>
          <w:ilvl w:val="0"/>
          <w:numId w:val="4"/>
        </w:numPr>
      </w:pPr>
      <w:r w:rsidRPr="0096315B">
        <w:rPr>
          <w:b/>
          <w:bCs/>
        </w:rPr>
        <w:t>Total Projected Clients:</w:t>
      </w:r>
      <w:r w:rsidRPr="0096315B">
        <w:t xml:space="preserve"> </w:t>
      </w:r>
      <w:r w:rsidRPr="0096315B">
        <w:rPr>
          <w:b/>
          <w:bCs/>
        </w:rPr>
        <w:t>1,000</w:t>
      </w:r>
    </w:p>
    <w:p w14:paraId="71454204" w14:textId="77777777" w:rsidR="0096315B" w:rsidRPr="0096315B" w:rsidRDefault="0096315B" w:rsidP="0096315B">
      <w:pPr>
        <w:numPr>
          <w:ilvl w:val="0"/>
          <w:numId w:val="4"/>
        </w:numPr>
      </w:pPr>
      <w:r w:rsidRPr="0096315B">
        <w:rPr>
          <w:b/>
          <w:bCs/>
        </w:rPr>
        <w:t>Total Managed Value:</w:t>
      </w:r>
      <w:r w:rsidRPr="0096315B">
        <w:t xml:space="preserve"> </w:t>
      </w:r>
      <w:r w:rsidRPr="0096315B">
        <w:rPr>
          <w:b/>
          <w:bCs/>
        </w:rPr>
        <w:t>$262,000</w:t>
      </w:r>
    </w:p>
    <w:p w14:paraId="09027D41" w14:textId="77777777" w:rsidR="0096315B" w:rsidRPr="0096315B" w:rsidRDefault="0096315B" w:rsidP="0096315B">
      <w:r w:rsidRPr="0096315B">
        <w:rPr>
          <w:b/>
          <w:bCs/>
        </w:rPr>
        <w:t>6 Months (December 2026):</w:t>
      </w:r>
    </w:p>
    <w:p w14:paraId="3F8BEC5F" w14:textId="77777777" w:rsidR="0096315B" w:rsidRPr="0096315B" w:rsidRDefault="0096315B" w:rsidP="0096315B">
      <w:pPr>
        <w:numPr>
          <w:ilvl w:val="0"/>
          <w:numId w:val="5"/>
        </w:numPr>
      </w:pPr>
      <w:r w:rsidRPr="0096315B">
        <w:rPr>
          <w:b/>
          <w:bCs/>
        </w:rPr>
        <w:t>Total Projected Clients:</w:t>
      </w:r>
      <w:r w:rsidRPr="0096315B">
        <w:t xml:space="preserve"> </w:t>
      </w:r>
      <w:r w:rsidRPr="0096315B">
        <w:rPr>
          <w:b/>
          <w:bCs/>
        </w:rPr>
        <w:t>1,000</w:t>
      </w:r>
    </w:p>
    <w:p w14:paraId="75F7D678" w14:textId="77777777" w:rsidR="0096315B" w:rsidRPr="0096315B" w:rsidRDefault="0096315B" w:rsidP="0096315B">
      <w:pPr>
        <w:numPr>
          <w:ilvl w:val="0"/>
          <w:numId w:val="5"/>
        </w:numPr>
      </w:pPr>
      <w:r w:rsidRPr="0096315B">
        <w:rPr>
          <w:b/>
          <w:bCs/>
        </w:rPr>
        <w:t>Total Managed Value:</w:t>
      </w:r>
      <w:r w:rsidRPr="0096315B">
        <w:t xml:space="preserve"> </w:t>
      </w:r>
      <w:r w:rsidRPr="0096315B">
        <w:rPr>
          <w:b/>
          <w:bCs/>
        </w:rPr>
        <w:t>$510,000</w:t>
      </w:r>
    </w:p>
    <w:p w14:paraId="3FEBB141" w14:textId="77777777" w:rsidR="0096315B" w:rsidRPr="0096315B" w:rsidRDefault="0096315B" w:rsidP="0096315B">
      <w:r w:rsidRPr="0096315B">
        <w:rPr>
          <w:b/>
          <w:bCs/>
        </w:rPr>
        <w:t>1 Year (June 2027):</w:t>
      </w:r>
    </w:p>
    <w:p w14:paraId="4FFBE799" w14:textId="77777777" w:rsidR="0096315B" w:rsidRPr="0096315B" w:rsidRDefault="0096315B" w:rsidP="0096315B">
      <w:pPr>
        <w:numPr>
          <w:ilvl w:val="0"/>
          <w:numId w:val="6"/>
        </w:numPr>
      </w:pPr>
      <w:r w:rsidRPr="0096315B">
        <w:rPr>
          <w:b/>
          <w:bCs/>
        </w:rPr>
        <w:t>Total Projected Clients:</w:t>
      </w:r>
      <w:r w:rsidRPr="0096315B">
        <w:t xml:space="preserve"> </w:t>
      </w:r>
      <w:r w:rsidRPr="0096315B">
        <w:rPr>
          <w:b/>
          <w:bCs/>
        </w:rPr>
        <w:t>4,000</w:t>
      </w:r>
    </w:p>
    <w:p w14:paraId="0DF0C262" w14:textId="77777777" w:rsidR="0096315B" w:rsidRPr="0096315B" w:rsidRDefault="0096315B" w:rsidP="0096315B">
      <w:pPr>
        <w:numPr>
          <w:ilvl w:val="0"/>
          <w:numId w:val="6"/>
        </w:numPr>
      </w:pPr>
      <w:r w:rsidRPr="0096315B">
        <w:rPr>
          <w:b/>
          <w:bCs/>
        </w:rPr>
        <w:t>Total Managed Value:</w:t>
      </w:r>
      <w:r w:rsidRPr="0096315B">
        <w:t xml:space="preserve"> </w:t>
      </w:r>
      <w:r w:rsidRPr="0096315B">
        <w:rPr>
          <w:b/>
          <w:bCs/>
        </w:rPr>
        <w:t>$4,414,000</w:t>
      </w:r>
    </w:p>
    <w:p w14:paraId="685DEF5C" w14:textId="77777777" w:rsidR="0096315B" w:rsidRPr="0096315B" w:rsidRDefault="0096315B" w:rsidP="0096315B">
      <w:pPr>
        <w:rPr>
          <w:b/>
          <w:bCs/>
        </w:rPr>
      </w:pPr>
      <w:r w:rsidRPr="0096315B">
        <w:rPr>
          <w:b/>
          <w:bCs/>
        </w:rPr>
        <w:t>Strategic Insight for the Brief</w:t>
      </w:r>
    </w:p>
    <w:p w14:paraId="76B47A61" w14:textId="77777777" w:rsidR="0096315B" w:rsidRPr="0096315B" w:rsidRDefault="0096315B" w:rsidP="0096315B">
      <w:r w:rsidRPr="0096315B">
        <w:t>Rounding to the nearest thousand clarifies your growth narrative:</w:t>
      </w:r>
    </w:p>
    <w:p w14:paraId="04C7D2E7" w14:textId="77777777" w:rsidR="0096315B" w:rsidRPr="0096315B" w:rsidRDefault="0096315B" w:rsidP="0096315B">
      <w:pPr>
        <w:numPr>
          <w:ilvl w:val="0"/>
          <w:numId w:val="7"/>
        </w:numPr>
      </w:pPr>
      <w:r w:rsidRPr="0096315B">
        <w:rPr>
          <w:b/>
          <w:bCs/>
        </w:rPr>
        <w:t>Phase One Stability (0–6 Months):</w:t>
      </w:r>
      <w:r w:rsidRPr="0096315B">
        <w:t xml:space="preserve"> You are establishing a foundational community of </w:t>
      </w:r>
      <w:r w:rsidRPr="0096315B">
        <w:rPr>
          <w:b/>
          <w:bCs/>
        </w:rPr>
        <w:t>1,000 clients</w:t>
      </w:r>
      <w:r w:rsidRPr="0096315B">
        <w:t>. This phase is focused on platform stability, KYC optimization, and trust-building within the Bahraini and regional markets.</w:t>
      </w:r>
    </w:p>
    <w:p w14:paraId="00F29E8B" w14:textId="77777777" w:rsidR="0096315B" w:rsidRPr="0096315B" w:rsidRDefault="0096315B" w:rsidP="0096315B">
      <w:pPr>
        <w:numPr>
          <w:ilvl w:val="0"/>
          <w:numId w:val="7"/>
        </w:numPr>
      </w:pPr>
      <w:r w:rsidRPr="0096315B">
        <w:rPr>
          <w:b/>
          <w:bCs/>
        </w:rPr>
        <w:t>Phase Two Scaling (6–12 Months):</w:t>
      </w:r>
      <w:r w:rsidRPr="0096315B">
        <w:t xml:space="preserve"> Your "always-on" marketing and acquisition strategies drive a significant leap in scale, hitting </w:t>
      </w:r>
      <w:r w:rsidRPr="0096315B">
        <w:rPr>
          <w:b/>
          <w:bCs/>
        </w:rPr>
        <w:t>4,000 clients</w:t>
      </w:r>
      <w:r w:rsidRPr="0096315B">
        <w:t>.</w:t>
      </w:r>
    </w:p>
    <w:p w14:paraId="76B8FDEE" w14:textId="77777777" w:rsidR="0096315B" w:rsidRPr="0096315B" w:rsidRDefault="0096315B" w:rsidP="0096315B">
      <w:pPr>
        <w:numPr>
          <w:ilvl w:val="0"/>
          <w:numId w:val="7"/>
        </w:numPr>
      </w:pPr>
      <w:r w:rsidRPr="0096315B">
        <w:rPr>
          <w:b/>
          <w:bCs/>
        </w:rPr>
        <w:t>The $4M+ Milestone:</w:t>
      </w:r>
      <w:r w:rsidRPr="0096315B">
        <w:t xml:space="preserve"> Rounding the assets to over </w:t>
      </w:r>
      <w:r w:rsidRPr="0096315B">
        <w:rPr>
          <w:b/>
          <w:bCs/>
        </w:rPr>
        <w:t>$4.4 million</w:t>
      </w:r>
      <w:r w:rsidRPr="0096315B">
        <w:t xml:space="preserve"> illustrates strong momentum, proving to partners like TRACCS that your combination of institutional </w:t>
      </w:r>
      <w:proofErr w:type="spellStart"/>
      <w:r w:rsidRPr="0096315B">
        <w:t>Shari'ah</w:t>
      </w:r>
      <w:proofErr w:type="spellEnd"/>
      <w:r w:rsidRPr="0096315B">
        <w:t xml:space="preserve"> compliance and high-velocity digital onboarding is successfully capturing market share.</w:t>
      </w:r>
    </w:p>
    <w:p w14:paraId="5F56051D" w14:textId="77777777" w:rsidR="00966A7D" w:rsidRDefault="00966A7D" w:rsidP="00966A7D"/>
    <w:p w14:paraId="18234778" w14:textId="77777777" w:rsidR="00966A7D" w:rsidRDefault="00966A7D" w:rsidP="00966A7D"/>
    <w:p w14:paraId="7B66CC0C" w14:textId="77777777" w:rsidR="00966A7D" w:rsidRDefault="00966A7D" w:rsidP="00966A7D"/>
    <w:p w14:paraId="1CE07C4A" w14:textId="77777777" w:rsidR="00966A7D" w:rsidRDefault="00966A7D" w:rsidP="00966A7D"/>
    <w:p w14:paraId="2AA9396E" w14:textId="29732031" w:rsidR="00966A7D" w:rsidRPr="00966A7D" w:rsidRDefault="00966A7D" w:rsidP="00966A7D">
      <w:pPr>
        <w:pStyle w:val="Heading2"/>
      </w:pPr>
      <w:r w:rsidRPr="00966A7D">
        <w:lastRenderedPageBreak/>
        <w:t>Strategic Information for Campaign &amp; Ad Creation</w:t>
      </w:r>
    </w:p>
    <w:p w14:paraId="390CED47" w14:textId="77777777" w:rsidR="00966A7D" w:rsidRPr="00966A7D" w:rsidRDefault="00966A7D" w:rsidP="00966A7D">
      <w:r w:rsidRPr="00966A7D">
        <w:t>To ensure the agency does not waste your marketing budget and aligns their creative work with your premium brand, you should provide them with the following insights derived from your Brand Guidelines, Content Blueprint, and the May 2026 Forensic Performance Diagnostic:</w:t>
      </w:r>
    </w:p>
    <w:p w14:paraId="3FF79F19" w14:textId="77777777" w:rsidR="00966A7D" w:rsidRPr="00966A7D" w:rsidRDefault="00966A7D" w:rsidP="00966A7D">
      <w:r w:rsidRPr="00966A7D">
        <w:rPr>
          <w:b/>
          <w:bCs/>
        </w:rPr>
        <w:t>1. The "Absolute Network Exclusion" Rule for Ad Buying</w:t>
      </w:r>
      <w:r w:rsidRPr="00966A7D">
        <w:t xml:space="preserve"> During your pilot launch, a massive portion of the ad budget was drained by a 0.02% conversion rate anomaly due to accidental or bot traffic coming from third-party networks. </w:t>
      </w:r>
      <w:r w:rsidRPr="00966A7D">
        <w:rPr>
          <w:b/>
          <w:bCs/>
        </w:rPr>
        <w:t>You must instruct the agency to explicitly disable "Audience Network" on Meta and "Pangle Global" on TikTok</w:t>
      </w:r>
      <w:r w:rsidRPr="00966A7D">
        <w:t>. 100% of your sponsored ad spend must be restricted strictly to direct, in-app native social feeds (Instagram, LinkedIn, and X) to capture genuine, high-intent investors.</w:t>
      </w:r>
    </w:p>
    <w:p w14:paraId="199F67EA" w14:textId="77777777" w:rsidR="00966A7D" w:rsidRPr="00966A7D" w:rsidRDefault="00966A7D" w:rsidP="00966A7D">
      <w:r w:rsidRPr="00966A7D">
        <w:rPr>
          <w:b/>
          <w:bCs/>
        </w:rPr>
        <w:t>2. Target Audience &amp; Platform Behavior</w:t>
      </w:r>
    </w:p>
    <w:p w14:paraId="136229B8" w14:textId="77777777" w:rsidR="00966A7D" w:rsidRPr="00966A7D" w:rsidRDefault="00966A7D" w:rsidP="00966A7D">
      <w:pPr>
        <w:numPr>
          <w:ilvl w:val="0"/>
          <w:numId w:val="2"/>
        </w:numPr>
      </w:pPr>
      <w:r w:rsidRPr="00966A7D">
        <w:rPr>
          <w:b/>
          <w:bCs/>
        </w:rPr>
        <w:t>LinkedIn (The Institutional Hub):</w:t>
      </w:r>
      <w:r w:rsidRPr="00966A7D">
        <w:t xml:space="preserve"> 62% of your engaged audience on LinkedIn operates directly within Banking, Investment Management, or Financial Services. Ads here should focus on institutional trust-building, </w:t>
      </w:r>
      <w:proofErr w:type="spellStart"/>
      <w:r w:rsidRPr="00966A7D">
        <w:t>Shari'ah</w:t>
      </w:r>
      <w:proofErr w:type="spellEnd"/>
      <w:r w:rsidRPr="00966A7D">
        <w:t xml:space="preserve"> compliance, and security.</w:t>
      </w:r>
    </w:p>
    <w:p w14:paraId="37E723AD" w14:textId="77777777" w:rsidR="00966A7D" w:rsidRPr="00966A7D" w:rsidRDefault="00966A7D" w:rsidP="00966A7D">
      <w:pPr>
        <w:numPr>
          <w:ilvl w:val="0"/>
          <w:numId w:val="2"/>
        </w:numPr>
      </w:pPr>
      <w:r w:rsidRPr="00966A7D">
        <w:rPr>
          <w:b/>
          <w:bCs/>
        </w:rPr>
        <w:t>X / Twitter (The Regional Market Pulse):</w:t>
      </w:r>
      <w:r w:rsidRPr="00966A7D">
        <w:t xml:space="preserve"> 96.9% of the reach generated on X was hyper-concentrated in your primary target market of Saudi Arabia. Campaigns here should be </w:t>
      </w:r>
      <w:proofErr w:type="gramStart"/>
      <w:r w:rsidRPr="00966A7D">
        <w:t>fast-paced</w:t>
      </w:r>
      <w:proofErr w:type="gramEnd"/>
      <w:r w:rsidRPr="00966A7D">
        <w:t>, focusing on regional relevance and real-time market opportunities.</w:t>
      </w:r>
    </w:p>
    <w:p w14:paraId="395087A7" w14:textId="77777777" w:rsidR="00966A7D" w:rsidRPr="00966A7D" w:rsidRDefault="00966A7D" w:rsidP="00966A7D">
      <w:pPr>
        <w:numPr>
          <w:ilvl w:val="0"/>
          <w:numId w:val="2"/>
        </w:numPr>
      </w:pPr>
      <w:r w:rsidRPr="00966A7D">
        <w:rPr>
          <w:b/>
          <w:bCs/>
        </w:rPr>
        <w:t>Device Targeting:</w:t>
      </w:r>
      <w:r w:rsidRPr="00966A7D">
        <w:t xml:space="preserve"> App store downloads from verified, high-intent users during the pilot were well-balanced, splitting 57% Android and 43% iOS. The agency should avoid artificially skewing ad delivery to one device type.</w:t>
      </w:r>
    </w:p>
    <w:p w14:paraId="6170E968" w14:textId="77777777" w:rsidR="00966A7D" w:rsidRPr="00966A7D" w:rsidRDefault="00966A7D" w:rsidP="00966A7D">
      <w:r w:rsidRPr="00966A7D">
        <w:rPr>
          <w:b/>
          <w:bCs/>
        </w:rPr>
        <w:t>3. Kinetic-Only Creative Directives</w:t>
      </w:r>
      <w:r w:rsidRPr="00966A7D">
        <w:t xml:space="preserve"> The agency must completely move away from static, text-heavy advertisements. All campaign assets must be dynamic and fast-paced. Instruct them to use micro-</w:t>
      </w:r>
      <w:proofErr w:type="gramStart"/>
      <w:r w:rsidRPr="00966A7D">
        <w:t>animations</w:t>
      </w:r>
      <w:proofErr w:type="gramEnd"/>
      <w:r w:rsidRPr="00966A7D">
        <w:t xml:space="preserve">, active UI </w:t>
      </w:r>
      <w:proofErr w:type="gramStart"/>
      <w:r w:rsidRPr="00966A7D">
        <w:t>fly-throughs</w:t>
      </w:r>
      <w:proofErr w:type="gramEnd"/>
      <w:r w:rsidRPr="00966A7D">
        <w:t>, kinetic typography, and fluid transitions within the very first 3 seconds of the ad to successfully capture high-net-worth attention.</w:t>
      </w:r>
    </w:p>
    <w:p w14:paraId="43B72F85" w14:textId="77777777" w:rsidR="00966A7D" w:rsidRPr="00966A7D" w:rsidRDefault="00966A7D" w:rsidP="00966A7D">
      <w:r w:rsidRPr="00966A7D">
        <w:rPr>
          <w:b/>
          <w:bCs/>
        </w:rPr>
        <w:t>4. Addressing the Onboarding Drop-off (Funnel Optimization)</w:t>
      </w:r>
      <w:r w:rsidRPr="00966A7D">
        <w:t xml:space="preserve"> Your campaign messaging should preemptively tackle the friction points identified in your onboarding funnel. The diagnostic revealed:</w:t>
      </w:r>
    </w:p>
    <w:p w14:paraId="65A6DB01" w14:textId="77777777" w:rsidR="00966A7D" w:rsidRPr="00966A7D" w:rsidRDefault="00966A7D" w:rsidP="00966A7D">
      <w:pPr>
        <w:numPr>
          <w:ilvl w:val="0"/>
          <w:numId w:val="3"/>
        </w:numPr>
      </w:pPr>
      <w:r w:rsidRPr="00966A7D">
        <w:t>A 43% drop-off at phone verification.</w:t>
      </w:r>
    </w:p>
    <w:p w14:paraId="4D2C9F76" w14:textId="77777777" w:rsidR="00966A7D" w:rsidRPr="00966A7D" w:rsidRDefault="00966A7D" w:rsidP="00966A7D">
      <w:pPr>
        <w:numPr>
          <w:ilvl w:val="0"/>
          <w:numId w:val="3"/>
        </w:numPr>
      </w:pPr>
      <w:r w:rsidRPr="00966A7D">
        <w:t>A 10% drop-off at document submission (Passport/CPR).</w:t>
      </w:r>
    </w:p>
    <w:p w14:paraId="43EE5380" w14:textId="77777777" w:rsidR="00966A7D" w:rsidRPr="00966A7D" w:rsidRDefault="00966A7D" w:rsidP="00966A7D">
      <w:pPr>
        <w:numPr>
          <w:ilvl w:val="0"/>
          <w:numId w:val="3"/>
        </w:numPr>
      </w:pPr>
      <w:r w:rsidRPr="00966A7D">
        <w:lastRenderedPageBreak/>
        <w:t>67% of fully approved accounts are currently sitting unfunded.</w:t>
      </w:r>
    </w:p>
    <w:p w14:paraId="290622FA" w14:textId="77777777" w:rsidR="00966A7D" w:rsidRPr="00966A7D" w:rsidRDefault="00966A7D" w:rsidP="00966A7D">
      <w:pPr>
        <w:numPr>
          <w:ilvl w:val="0"/>
          <w:numId w:val="3"/>
        </w:numPr>
      </w:pPr>
      <w:r w:rsidRPr="00966A7D">
        <w:rPr>
          <w:i/>
          <w:iCs/>
        </w:rPr>
        <w:t>Agency Action:</w:t>
      </w:r>
      <w:r w:rsidRPr="00966A7D">
        <w:t xml:space="preserve"> The agency should create targeted re-engagement campaigns or bottom-of-funnel ads that clearly outline the simple document requirements and include strong calls-to-action encouraging approved users to make their first deposit.</w:t>
      </w:r>
    </w:p>
    <w:p w14:paraId="6B78A39D" w14:textId="77777777" w:rsidR="00966A7D" w:rsidRPr="00966A7D" w:rsidRDefault="00966A7D" w:rsidP="00966A7D">
      <w:r w:rsidRPr="00966A7D">
        <w:rPr>
          <w:b/>
          <w:bCs/>
        </w:rPr>
        <w:t>5. Brand Tone &amp; Progression</w:t>
      </w:r>
      <w:r w:rsidRPr="00966A7D">
        <w:t xml:space="preserve"> The visual aesthetic must remain neutral, free of political references, and anchored in your premium Navy and Gold color palette. The copywriting tone should never sound like aggressive, gamified day-trading hype; it must be consistently </w:t>
      </w:r>
      <w:r w:rsidRPr="00966A7D">
        <w:rPr>
          <w:b/>
          <w:bCs/>
        </w:rPr>
        <w:t>Reassuring, Sophisticated, Proactive, and Direct</w:t>
      </w:r>
      <w:r w:rsidRPr="00966A7D">
        <w:t>. Complex educational topics must be broken down into "snackable" formats utilizing progressive disclosure to reduce cognitive load for new investors.</w:t>
      </w:r>
    </w:p>
    <w:p w14:paraId="58419D33" w14:textId="77777777" w:rsidR="006748FA" w:rsidRDefault="006748FA"/>
    <w:sectPr w:rsidR="00674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092"/>
    <w:multiLevelType w:val="multilevel"/>
    <w:tmpl w:val="A4F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122EB"/>
    <w:multiLevelType w:val="multilevel"/>
    <w:tmpl w:val="B2F6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37D90"/>
    <w:multiLevelType w:val="multilevel"/>
    <w:tmpl w:val="944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1624D"/>
    <w:multiLevelType w:val="multilevel"/>
    <w:tmpl w:val="D8EC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A311D9"/>
    <w:multiLevelType w:val="multilevel"/>
    <w:tmpl w:val="ADA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336408"/>
    <w:multiLevelType w:val="multilevel"/>
    <w:tmpl w:val="AD86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B0309"/>
    <w:multiLevelType w:val="multilevel"/>
    <w:tmpl w:val="2EE67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616275">
    <w:abstractNumId w:val="6"/>
  </w:num>
  <w:num w:numId="2" w16cid:durableId="1575504857">
    <w:abstractNumId w:val="5"/>
  </w:num>
  <w:num w:numId="3" w16cid:durableId="170800880">
    <w:abstractNumId w:val="1"/>
  </w:num>
  <w:num w:numId="4" w16cid:durableId="1219170221">
    <w:abstractNumId w:val="2"/>
  </w:num>
  <w:num w:numId="5" w16cid:durableId="529805040">
    <w:abstractNumId w:val="0"/>
  </w:num>
  <w:num w:numId="6" w16cid:durableId="2125269184">
    <w:abstractNumId w:val="4"/>
  </w:num>
  <w:num w:numId="7" w16cid:durableId="620653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7D"/>
    <w:rsid w:val="006748FA"/>
    <w:rsid w:val="0096315B"/>
    <w:rsid w:val="00966A7D"/>
    <w:rsid w:val="00B82A38"/>
    <w:rsid w:val="00DB1A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3F75"/>
  <w15:chartTrackingRefBased/>
  <w15:docId w15:val="{37B10D37-8F3D-4FC7-908A-6C7D852E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A7D"/>
    <w:rPr>
      <w:rFonts w:eastAsiaTheme="majorEastAsia" w:cstheme="majorBidi"/>
      <w:color w:val="272727" w:themeColor="text1" w:themeTint="D8"/>
    </w:rPr>
  </w:style>
  <w:style w:type="paragraph" w:styleId="Title">
    <w:name w:val="Title"/>
    <w:basedOn w:val="Normal"/>
    <w:next w:val="Normal"/>
    <w:link w:val="TitleChar"/>
    <w:uiPriority w:val="10"/>
    <w:qFormat/>
    <w:rsid w:val="00966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A7D"/>
    <w:pPr>
      <w:spacing w:before="160"/>
      <w:jc w:val="center"/>
    </w:pPr>
    <w:rPr>
      <w:i/>
      <w:iCs/>
      <w:color w:val="404040" w:themeColor="text1" w:themeTint="BF"/>
    </w:rPr>
  </w:style>
  <w:style w:type="character" w:customStyle="1" w:styleId="QuoteChar">
    <w:name w:val="Quote Char"/>
    <w:basedOn w:val="DefaultParagraphFont"/>
    <w:link w:val="Quote"/>
    <w:uiPriority w:val="29"/>
    <w:rsid w:val="00966A7D"/>
    <w:rPr>
      <w:i/>
      <w:iCs/>
      <w:color w:val="404040" w:themeColor="text1" w:themeTint="BF"/>
    </w:rPr>
  </w:style>
  <w:style w:type="paragraph" w:styleId="ListParagraph">
    <w:name w:val="List Paragraph"/>
    <w:basedOn w:val="Normal"/>
    <w:uiPriority w:val="34"/>
    <w:qFormat/>
    <w:rsid w:val="00966A7D"/>
    <w:pPr>
      <w:ind w:left="720"/>
      <w:contextualSpacing/>
    </w:pPr>
  </w:style>
  <w:style w:type="character" w:styleId="IntenseEmphasis">
    <w:name w:val="Intense Emphasis"/>
    <w:basedOn w:val="DefaultParagraphFont"/>
    <w:uiPriority w:val="21"/>
    <w:qFormat/>
    <w:rsid w:val="00966A7D"/>
    <w:rPr>
      <w:i/>
      <w:iCs/>
      <w:color w:val="0F4761" w:themeColor="accent1" w:themeShade="BF"/>
    </w:rPr>
  </w:style>
  <w:style w:type="paragraph" w:styleId="IntenseQuote">
    <w:name w:val="Intense Quote"/>
    <w:basedOn w:val="Normal"/>
    <w:next w:val="Normal"/>
    <w:link w:val="IntenseQuoteChar"/>
    <w:uiPriority w:val="30"/>
    <w:qFormat/>
    <w:rsid w:val="00966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A7D"/>
    <w:rPr>
      <w:i/>
      <w:iCs/>
      <w:color w:val="0F4761" w:themeColor="accent1" w:themeShade="BF"/>
    </w:rPr>
  </w:style>
  <w:style w:type="character" w:styleId="IntenseReference">
    <w:name w:val="Intense Reference"/>
    <w:basedOn w:val="DefaultParagraphFont"/>
    <w:uiPriority w:val="32"/>
    <w:qFormat/>
    <w:rsid w:val="00966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589</Words>
  <Characters>3496</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Isa Hatem</dc:creator>
  <cp:keywords/>
  <dc:description/>
  <cp:lastModifiedBy>Hatem Isa Hatem</cp:lastModifiedBy>
  <cp:revision>1</cp:revision>
  <dcterms:created xsi:type="dcterms:W3CDTF">2026-06-08T10:48:00Z</dcterms:created>
  <dcterms:modified xsi:type="dcterms:W3CDTF">2026-06-08T11:09:00Z</dcterms:modified>
</cp:coreProperties>
</file>