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udex-bold.ttf" ContentType="application/x-font-ttf"/>
  <Override PartName="/word/fonts/Caudex-boldItalic.ttf" ContentType="application/x-font-ttf"/>
  <Override PartName="/word/fonts/Caudex-italic.ttf" ContentType="application/x-font-ttf"/>
  <Override PartName="/word/fonts/Caudex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120" w:line="259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1f3864"/>
          <w:sz w:val="20"/>
          <w:szCs w:val="20"/>
        </w:rPr>
        <w:drawing>
          <wp:inline distB="0" distT="0" distL="0" distR="0">
            <wp:extent cx="2295939" cy="75415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939" cy="7541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800" w:lineRule="auto"/>
        <w:jc w:val="center"/>
        <w:rPr>
          <w:rFonts w:ascii="Cambria" w:cs="Cambria" w:eastAsia="Cambria" w:hAnsi="Cambria"/>
          <w:b w:val="1"/>
          <w:bCs w:val="1"/>
          <w:color w:val="1f386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800" w:lineRule="auto"/>
        <w:jc w:val="center"/>
        <w:rPr>
          <w:rFonts w:ascii="Cambria" w:cs="Cambria" w:eastAsia="Cambria" w:hAnsi="Cambria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1f3864"/>
          <w:sz w:val="36"/>
          <w:szCs w:val="36"/>
          <w:rtl w:val="0"/>
        </w:rPr>
        <w:t xml:space="preserve">TÊN DỰ 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0" w:lineRule="auto"/>
        <w:jc w:val="center"/>
        <w:rPr>
          <w:rFonts w:ascii="Cambria" w:cs="Cambria" w:eastAsia="Cambria" w:hAnsi="Cambria"/>
          <w:b w:val="1"/>
          <w:bCs w:val="1"/>
          <w:i w:val="1"/>
          <w:iCs w:val="1"/>
          <w:color w:val="ed7d31"/>
          <w:sz w:val="40"/>
          <w:szCs w:val="4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color w:val="ed7d31"/>
          <w:sz w:val="40"/>
          <w:szCs w:val="40"/>
          <w:rtl w:val="0"/>
        </w:rPr>
        <w:t xml:space="preserve">PRD – Product Requirements Document</w:t>
      </w:r>
    </w:p>
    <w:p w:rsidR="00000000" w:rsidDel="00000000" w:rsidP="00000000" w:rsidRDefault="00000000" w:rsidRPr="00000000" w14:paraId="00000005">
      <w:pPr>
        <w:spacing w:after="600" w:lineRule="auto"/>
        <w:jc w:val="left"/>
        <w:rPr>
          <w:rFonts w:ascii="Cambria" w:cs="Cambria" w:eastAsia="Cambria" w:hAnsi="Cambria"/>
          <w:b w:val="1"/>
          <w:bCs w:val="1"/>
          <w:i w:val="1"/>
          <w:iCs w:val="1"/>
          <w:color w:val="ed7d3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3763.3333333333344" w:tblpY="15.467529296876137"/>
        <w:tblW w:w="7239.000000000001" w:type="dxa"/>
        <w:jc w:val="left"/>
        <w:tblBorders>
          <w:top w:color="d9e2f3" w:space="0" w:sz="4" w:val="single"/>
          <w:left w:color="d9e2f3" w:space="0" w:sz="4" w:val="single"/>
          <w:bottom w:color="d9e2f3" w:space="0" w:sz="4" w:val="single"/>
          <w:right w:color="d9e2f3" w:space="0" w:sz="4" w:val="single"/>
          <w:insideH w:color="d9e2f3" w:space="0" w:sz="4" w:val="single"/>
          <w:insideV w:color="d9e2f3" w:space="0" w:sz="4" w:val="single"/>
        </w:tblBorders>
        <w:tblLayout w:type="fixed"/>
        <w:tblLook w:val="0000"/>
      </w:tblPr>
      <w:tblGrid>
        <w:gridCol w:w="2214.0000000000005"/>
        <w:gridCol w:w="5025"/>
        <w:tblGridChange w:id="0">
          <w:tblGrid>
            <w:gridCol w:w="2214.0000000000005"/>
            <w:gridCol w:w="5025"/>
          </w:tblGrid>
        </w:tblGridChange>
      </w:tblGrid>
      <w:tr>
        <w:trPr>
          <w:cantSplit w:val="0"/>
          <w:trHeight w:val="716.6666666666657" w:hRule="atLeast"/>
          <w:tblHeader w:val="0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Cambria" w:cs="Cambria" w:eastAsia="Cambria" w:hAnsi="Cambria"/>
                <w:color w:val="666666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666666"/>
                <w:sz w:val="28"/>
                <w:szCs w:val="28"/>
                <w:rtl w:val="0"/>
              </w:rPr>
              <w:t xml:space="preserve">Mã hiệu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>
            <w:r>
              <w:t>FPT-PRD-CART-001</w:t>
            </w:r>
          </w:p>
        </w:tc>
      </w:tr>
      <w:tr>
        <w:trPr>
          <w:cantSplit w:val="0"/>
          <w:trHeight w:val="766.6666666666663" w:hRule="atLeast"/>
          <w:tblHeader w:val="0"/>
        </w:trPr>
        <w:tc>
          <w:tcPr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Cambria" w:cs="Cambria" w:eastAsia="Cambria" w:hAnsi="Cambria"/>
                <w:color w:val="666666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666666"/>
                <w:sz w:val="28"/>
                <w:szCs w:val="28"/>
                <w:rtl w:val="0"/>
              </w:rPr>
              <w:t xml:space="preserve">Phiên bản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>
            <w:r>
              <w:t>8.0 (Final)</w:t>
            </w:r>
          </w:p>
        </w:tc>
      </w:tr>
    </w:tbl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rPr>
          <w:color w:val="ed7d31"/>
        </w:rPr>
      </w:pPr>
      <w:bookmarkStart w:colFirst="0" w:colLast="0" w:name="_q1f74csx5tcz" w:id="0"/>
      <w:bookmarkEnd w:id="0"/>
      <w:r w:rsidDel="00000000" w:rsidR="00000000" w:rsidRPr="00000000">
        <w:rPr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5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color w:val="7f7f7f"/>
          <w:sz w:val="19"/>
          <w:szCs w:val="19"/>
          <w:rtl w:val="0"/>
        </w:rPr>
        <w:t xml:space="preserve">[A]: Add – Thêm mới    [U]: Update – Cập nhật, thay đổi    [D]: Delete – Xóa</w:t>
      </w:r>
      <w:r w:rsidDel="00000000" w:rsidR="00000000" w:rsidRPr="00000000">
        <w:rPr>
          <w:rtl w:val="0"/>
        </w:rPr>
      </w:r>
    </w:p>
    <w:tbl>
      <w:tblPr>
        <w:tblStyle w:val="Table2"/>
        <w:tblW w:w="14160.0" w:type="dxa"/>
        <w:jc w:val="left"/>
        <w:tblBorders>
          <w:top w:color="d9e2f3" w:space="0" w:sz="4" w:val="single"/>
          <w:left w:color="d9e2f3" w:space="0" w:sz="4" w:val="single"/>
          <w:bottom w:color="d9e2f3" w:space="0" w:sz="4" w:val="single"/>
          <w:right w:color="d9e2f3" w:space="0" w:sz="4" w:val="single"/>
          <w:insideH w:color="d9e2f3" w:space="0" w:sz="4" w:val="single"/>
          <w:insideV w:color="d9e2f3" w:space="0" w:sz="4" w:val="single"/>
        </w:tblBorders>
        <w:tblLayout w:type="fixed"/>
        <w:tblLook w:val="0000"/>
      </w:tblPr>
      <w:tblGrid>
        <w:gridCol w:w="1575"/>
        <w:gridCol w:w="1125"/>
        <w:gridCol w:w="1455"/>
        <w:gridCol w:w="1545"/>
        <w:gridCol w:w="1770"/>
        <w:gridCol w:w="6690"/>
        <w:tblGridChange w:id="0">
          <w:tblGrid>
            <w:gridCol w:w="1575"/>
            <w:gridCol w:w="1125"/>
            <w:gridCol w:w="1455"/>
            <w:gridCol w:w="1545"/>
            <w:gridCol w:w="1770"/>
            <w:gridCol w:w="6690"/>
          </w:tblGrid>
        </w:tblGridChange>
      </w:tblGrid>
      <w:tr>
        <w:trPr>
          <w:cantSplit w:val="0"/>
          <w:tblHeader w:val="0"/>
        </w:trPr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Reviewer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Approver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Cambria" w:cs="Cambria" w:eastAsia="Cambria" w:hAnsi="Cambria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Change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575"/>
          </w:tcPr>
          <w:p>
            <w:r>
              <w:t>Người lập</w:t>
            </w:r>
          </w:p>
        </w:tc>
        <w:tc>
          <w:tcPr>
            <w:tcW w:type="dxa" w:w="1125"/>
          </w:tcPr>
          <w:p>
            <w:r>
              <w:t>ThuyTT104</w:t>
            </w:r>
          </w:p>
        </w:tc>
        <w:tc>
          <w:tcPr>
            <w:tcW w:type="dxa" w:w="1455"/>
          </w:tcPr>
          <w:p>
            <w:r>
              <w:t>BA</w:t>
            </w:r>
          </w:p>
        </w:tc>
        <w:tc>
          <w:tcPr>
            <w:tcW w:type="dxa" w:w="1545"/>
          </w:tcPr>
          <w:p/>
        </w:tc>
        <w:tc>
          <w:tcPr>
            <w:tcW w:type="dxa" w:w="1770"/>
          </w:tcPr>
          <w:p/>
        </w:tc>
        <w:tc>
          <w:tcPr>
            <w:tcW w:type="dxa" w:w="6690"/>
          </w:tcPr>
          <w:p/>
        </w:tc>
      </w:tr>
      <w:tr>
        <w:tc>
          <w:tcPr>
            <w:tcW w:type="dxa" w:w="1575"/>
          </w:tcPr>
          <w:p>
            <w:r>
              <w:t>Người duyệt</w:t>
            </w:r>
          </w:p>
        </w:tc>
        <w:tc>
          <w:tcPr>
            <w:tcW w:type="dxa" w:w="1125"/>
          </w:tcPr>
          <w:p>
            <w:r>
              <w:t>[Trống]</w:t>
            </w:r>
          </w:p>
        </w:tc>
        <w:tc>
          <w:tcPr>
            <w:tcW w:type="dxa" w:w="1455"/>
          </w:tcPr>
          <w:p>
            <w:r>
              <w:t>PO</w:t>
            </w:r>
          </w:p>
        </w:tc>
        <w:tc>
          <w:tcPr>
            <w:tcW w:type="dxa" w:w="1545"/>
          </w:tcPr>
          <w:p/>
        </w:tc>
        <w:tc>
          <w:tcPr>
            <w:tcW w:type="dxa" w:w="1770"/>
          </w:tcPr>
          <w:p/>
        </w:tc>
        <w:tc>
          <w:tcPr>
            <w:tcW w:type="dxa" w:w="6690"/>
          </w:tcPr>
          <w:p/>
        </w:tc>
      </w:tr>
    </w:tbl>
    <w:p w:rsidR="00000000" w:rsidDel="00000000" w:rsidP="00000000" w:rsidRDefault="00000000" w:rsidRPr="00000000" w14:paraId="0000001F">
      <w:pPr>
        <w:spacing w:after="150" w:lineRule="auto"/>
        <w:rPr>
          <w:rFonts w:ascii="Cambria" w:cs="Cambria" w:eastAsia="Cambria" w:hAnsi="Cambria"/>
          <w:i w:val="1"/>
          <w:iCs w:val="1"/>
          <w:color w:val="7f7f7f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50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color w:val="7f7f7f"/>
          <w:sz w:val="19"/>
          <w:szCs w:val="19"/>
          <w:rtl w:val="0"/>
        </w:rPr>
        <w:t xml:space="preserve">Dòng ví dụ (in nghiêng) minh họa cách điền — xóa khi áp dụng cho dự án thật.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mbria" w:cs="Cambria" w:eastAsia="Cambria" w:hAnsi="Cambri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pBdr>
          <w:bottom w:color="1f3864" w:space="4" w:sz="12" w:val="single"/>
        </w:pBdr>
        <w:spacing w:after="200" w:before="400" w:lineRule="auto"/>
        <w:rPr/>
      </w:pPr>
      <w:bookmarkStart w:colFirst="0" w:colLast="0" w:name="_apvj21gvljo3" w:id="1"/>
      <w:bookmarkEnd w:id="1"/>
      <w:r w:rsidDel="00000000" w:rsidR="00000000" w:rsidRPr="00000000">
        <w:rPr>
          <w:rtl w:val="0"/>
        </w:rPr>
        <w:t xml:space="preserve">MỤC LỤC</w:t>
      </w:r>
    </w:p>
    <w:sdt>
      <w:sdtPr>
        <w:id w:val="30902404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bo5pecgsg5u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PART A — BUSINESS CONTEXT &amp; RATIONALE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wkn3c87x4x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1. EXECUTIVE SUMMARY – TỔNG QUAN SẢN PHẨM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xqkoz4fpt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2. GOALS &amp; SUCCESS METRICS – MỤC TIÊU SẢN PHẨM/DỰ ÁN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4towuihihb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2.1 Mục tiêu cụ thể (đo được)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o0jmg7krsq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2.2 Thuật ngữ, từ ngữ viết tắt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4eis2t1ilx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PART B — USERS, SCOPE &amp; REQUIREMENTS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i5tt3z75s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3. PERSONAS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o033h1h4zy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4. SCOPES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azvsbmp4jz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5. BUSINESS PROCESS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zzyn7u1w23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5.1 Workflow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tv6p2kjqlm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5.2 Mô tả các bước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5obi0pexan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6. USER STORIES &amp; ACCEPTANCE CRITERIA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7kkqwrlr7x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6.0 Quy ước ID — AC ID Convention (bắt buộc tuân thủ)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o6q8u4vpgx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6.1 Primary user stories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smffzwa128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6.2 Acceptance Criteria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alm9217aoc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7. FEATURE CATALOGUE  – DANH SÁCH CHỨC NĂNG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6xj0aq4joq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7.1 Sơ đồ tổng quan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ezsh9o0mwk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7.2 Feature &amp; Requirement Traceability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cu5wwxupxt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7.3 Ma trận phân quyền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tkzmrkqt7r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 FEATURE DETAIL - ĐẶC TẢ CHỨC NĂNG CHI TIẾT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1pk0qdf8vv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8.1 FR01 — xxxx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x5kbhz94xc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8.1.1 Business Rules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704fb3llwn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8.1.2 Business Workflow / Activity Flow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fo946jzt9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8.1.3 Các bước thực hiện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r08tfifezd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8.1.4 UI / Field Spec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jrt5r5n89d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8.2 FR-02 — xxxx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3s39lv6slq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8.2.1 Business Rules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xr7s3wd39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8.2.2 Business Workflow / Activity Flow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ns4mbsv30l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8.2.3 Các bước thực hiện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4zhdafmgoa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8.2.4 UI / Field Spec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xh29xvzqlz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9. NON-FUNCTIONAL REQUIREMENTS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be5mgycq2l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10. ARTIFACT REFERENCE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e59ninprb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PART C — GOVERNANCE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lnefb711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11. DEFINITION OF DONE – TIÊU CHÍ NGHIỆM THU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zdj3muq46h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PART D — TEMPLATE META &amp; USAGE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9wcr11r92g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12. HƯỚNG DẪN SỬ DỤNG TEMPLATE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tabs>
          <w:tab w:val="right" w:leader="none" w:pos="9026"/>
        </w:tabs>
        <w:spacing w:after="60" w:lineRule="auto"/>
        <w:ind w:left="300" w:firstLine="0"/>
        <w:rPr>
          <w:rFonts w:ascii="Cambria" w:cs="Cambria" w:eastAsia="Cambria" w:hAnsi="Cambria"/>
          <w:color w:val="e69138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right" w:leader="none" w:pos="9026"/>
        </w:tabs>
        <w:spacing w:after="60" w:lineRule="auto"/>
        <w:ind w:left="0" w:firstLine="0"/>
        <w:rPr>
          <w:rFonts w:ascii="Cambria" w:cs="Cambria" w:eastAsia="Cambria" w:hAnsi="Cambria"/>
          <w:sz w:val="16"/>
          <w:szCs w:val="16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17266B"/>
          <w:sz w:val="32"/>
        </w:rPr>
        <w:t>PART A — BUSINESS CONTEXT &amp; RATIONALE</w:t>
      </w:r>
    </w:p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1. EXECUTIVE SUMMARY – TỔNG QUAN SẢN PHẨM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Hạng mục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Nội dung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Tên sản phẩm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 Giỏ hàng đa dịch vụ (FPT Cart)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Mục đích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Cho phép thanh toán gộp 1 lần duy nhất cho toàn bộ SKU và SA.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Đối tượng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Khách hàng vãng lai (Guest)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Key Value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Tăng AOV, Tự động tách luồng Fulfillment.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2. GOALS &amp; SUCCESS METRICS</w:t>
      </w:r>
    </w:p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2.1 Mục tiêu cụ thể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69"/>
        <w:gridCol w:w="3669"/>
        <w:gridCol w:w="3669"/>
        <w:gridCol w:w="3669"/>
      </w:tblGrid>
      <w:tr>
        <w:tc>
          <w:tcPr>
            <w:tcW w:type="dxa" w:w="366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ID</w:t>
            </w:r>
          </w:p>
        </w:tc>
        <w:tc>
          <w:tcPr>
            <w:tcW w:type="dxa" w:w="366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Mục tiêu</w:t>
            </w:r>
          </w:p>
        </w:tc>
        <w:tc>
          <w:tcPr>
            <w:tcW w:type="dxa" w:w="366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Phương pháp</w:t>
            </w:r>
          </w:p>
        </w:tc>
        <w:tc>
          <w:tcPr>
            <w:tcW w:type="dxa" w:w="366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Metric</w:t>
            </w:r>
          </w:p>
        </w:tc>
      </w:tr>
      <w:tr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G01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Tăng doanh thu chéo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Mua gộp SKU+SA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+15% AOV</w:t>
            </w:r>
          </w:p>
        </w:tc>
      </w:tr>
      <w:tr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G02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Tối ưu Checkout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Ẩn form Đ/C khi mua 100% SA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Giảm 40% time</w:t>
            </w:r>
          </w:p>
        </w:tc>
      </w:tr>
      <w:tr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G03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Giảm sai sót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1 đơn SPF hợp nhất</w:t>
            </w:r>
          </w:p>
        </w:tc>
        <w:tc>
          <w:tcPr>
            <w:tcW w:type="dxa" w:w="3669"/>
          </w:tcPr>
          <w:p>
            <w:r>
              <w:rPr>
                <w:rFonts w:ascii="Times New Roman" w:hAnsi="Times New Roman"/>
                <w:sz w:val="26"/>
              </w:rPr>
              <w:t>Giảm 30% ticket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2.2 Thuật ngữ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Thuật ngữ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Định nghĩa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SKU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Hàng vật lý cần địa chỉ &amp; lắp đặt (Camera, SmartHome, TV)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SA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Dịch vụ số kích hoạt qua SĐT (FPT Play, UltraFast)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color w:val="17266B"/>
          <w:sz w:val="32"/>
        </w:rPr>
        <w:t>PART B — USERS, SCOPE &amp; REQUIREMENTS</w:t>
      </w:r>
    </w:p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3. PERSONAS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Persona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Nhu cầu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Khách vãng lai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Thủ tục nhanh gọn, mua thiết bị/dịch vụ tự do.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4. SCOPES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Phân loại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Chi tiết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In-scope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Giỏ hàng Web cho KH vãng lai. 8 luồng nghiệp vụ. Thanh toán VNPAY/COD.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Out-of-scope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Internet &amp; Combo Internet. Giỏ đa thiết bị. Luồng nang-cap.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Tích hợp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FID (Lưu giỏ), SPF (Đơn), FCP/CMS (Data), HiFPT.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5. BUSINESS PROCESS</w:t>
      </w:r>
    </w:p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5.1 Workflow</w:t>
      </w:r>
    </w:p>
    <w:p>
      <w:r>
        <w:rPr>
          <w:rFonts w:ascii="Times New Roman" w:hAnsi="Times New Roman"/>
          <w:b w:val="0"/>
          <w:i w:val="0"/>
          <w:sz w:val="26"/>
        </w:rPr>
        <w:t>(Sơ đồ luồng BPMN - Phân tách kiểm tra giỏ hàng -&gt; Ẩn/hiện form -&gt; Thanh toán -&gt; Fulfillment)</w:t>
      </w:r>
    </w:p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5.2 Mô tả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Bươc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Check SKU/SA -&gt; Quyết định ẩn hiện form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Thanh toán -&gt; Tạo SPF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6. USER STORIES &amp; AC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93"/>
        <w:gridCol w:w="4893"/>
        <w:gridCol w:w="4893"/>
      </w:tblGrid>
      <w:tr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US ID</w:t>
            </w:r>
          </w:p>
        </w:tc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Luồng nghiệp vụ</w:t>
            </w:r>
          </w:p>
        </w:tc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Loại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US-01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lẻ Camera Only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SKU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US-02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Camera Combo (Kèm Cloud)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SKU+SA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US-03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gộp Camera Only + Combo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Mix SKU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US-04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lẻ dịch vụ số (FPT Play/UltraFast)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SA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US-05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lẻ SmartHome (Cần KTV chuyên)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SKU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US-06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lẻ Smart TV (Cồng kềnh)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SKU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US-07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gộp nhiều Dịch vụ số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Mix SA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US-08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Mua gộp Mix Hàng vật lý + Dịch vụ số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Mix SKU+SA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7. FEATURE CATALOGUE</w:t>
      </w:r>
    </w:p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7.2 Traceability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93"/>
        <w:gridCol w:w="4893"/>
        <w:gridCol w:w="4893"/>
      </w:tblGrid>
      <w:tr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FR</w:t>
            </w:r>
          </w:p>
        </w:tc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Luồng</w:t>
            </w:r>
          </w:p>
        </w:tc>
        <w:tc>
          <w:tcPr>
            <w:tcW w:type="dxa" w:w="4893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Tính năng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FR01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US-01, 02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Camera - Tính phí Cloud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FR02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US-03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Mix Camera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FR03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US-04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Dịch vụ số - Ẩn form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FR04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US-05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SmartHome - Chọn slot KTV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FR05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US-06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Smart TV - Chặn vùng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FR06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US-07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Checkout Mix SA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FR07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US-08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Engine Gộp Giỏ Hàng (COD -&gt; Pending SA)</w:t>
            </w:r>
          </w:p>
        </w:tc>
      </w:tr>
      <w:tr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FR08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All</w:t>
            </w:r>
          </w:p>
        </w:tc>
        <w:tc>
          <w:tcPr>
            <w:tcW w:type="dxa" w:w="4893"/>
          </w:tcPr>
          <w:p>
            <w:r>
              <w:rPr>
                <w:rFonts w:ascii="Times New Roman" w:hAnsi="Times New Roman"/>
                <w:sz w:val="26"/>
              </w:rPr>
              <w:t>Thanh toán &amp; Tách Fulfillment SPF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8. FEATURE DETAIL (8 LUỒNG NGHIỆP VỤ)</w:t>
      </w:r>
    </w:p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8.1 FR01 - Camera Lẻ/Combo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Xử lý mua camera có/không có cloud. BR: Tự động cộng tổng combo.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BR-FR01-01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Xử lý mua camera có/không có cloud. BR: Tự động cộng tổng combo.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8.2 FR02 - Mix Camera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Xử lý giỏ có nhiều dòng camera khác nhau.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BR-FR02-01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Xử lý giỏ có nhiều dòng camera khác nhau.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8.3 FR03 - Dịch vụ số 100% 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Nếu 100% SA =&gt; Ẩn toàn bộ form địa chỉ, chỉ lấy SĐT.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BR-FR03-01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Nếu 100% SA =&gt; Ẩn toàn bộ form địa chỉ, chỉ lấy SĐT.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8.4 FR04 - SmartHome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Yêu cầu book KTV Thợ Mộc (Lọc slot thi công riêng).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BR-FR04-01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Yêu cầu book KTV Thợ Mộc (Lọc slot thi công riêng).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8.5 FR05 - Smart TV (Cồng kềnh)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Validate xã/phường ngoài vùng phủ -&gt; Disable thanh toán.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BR-FR05-01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Validate xã/phường ngoài vùng phủ -&gt; Disable thanh toán.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8.6 FR06 - Mix 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Gộp nhiều dịch vụ số, chỉ yêu cầu 1 SĐT duy nhất kích hoạt đồng loạt.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BR-FR06-01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Gộp nhiều dịch vụ số, chỉ yêu cầu 1 SĐT duy nhất kích hoạt đồng loạt.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8.7 FR07 - Gộp SKU + 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Đơn COD có SA =&gt; Treo Pending SA chờ tiền mặt thực tế.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BR-FR07-01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BR: Đơn COD có SA =&gt; Treo Pending SA chờ tiền mặt thực tế.</w:t>
            </w:r>
          </w:p>
        </w:tc>
      </w:tr>
    </w:tbl>
    <w:p>
      <w:pPr>
        <w:pStyle w:val="Heading3"/>
      </w:pPr>
      <w:r>
        <w:rPr>
          <w:rFonts w:ascii="Times New Roman" w:hAnsi="Times New Roman"/>
          <w:b/>
          <w:color w:val="17266B"/>
          <w:sz w:val="28"/>
        </w:rPr>
        <w:t>8.8 FR08 - Tách luồng SPF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Thuộc tính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Mô tả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Description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Sau khi tạo SPF, hệ thống push lệnh kho cho SKU và gọi API cấp quyền cho SA.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Actor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Hệ thống/User</w:t>
            </w:r>
          </w:p>
        </w:tc>
      </w:tr>
    </w:tbl>
    <w:p>
      <w:pPr>
        <w:pStyle w:val="Heading4"/>
      </w:pPr>
      <w:r>
        <w:rPr>
          <w:rFonts w:ascii="Times New Roman" w:hAnsi="Times New Roman"/>
          <w:b/>
          <w:color w:val="17266B"/>
          <w:sz w:val="26"/>
        </w:rPr>
        <w:t>Business Rules (FR08)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BR ID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Rule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BR-FR08-01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Sau khi tạo SPF, hệ thống push lệnh kho cho SKU và gọi API cấp quyền cho SA.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color w:val="17266B"/>
          <w:sz w:val="32"/>
        </w:rPr>
        <w:t>PART C — GOVERNANCE</w:t>
      </w:r>
    </w:p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9. NFR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NFR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Yêu cầu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NFR-01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API &lt; 500ms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NFR-02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Chống Tampering Data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color w:val="17266B"/>
          <w:sz w:val="30"/>
        </w:rPr>
        <w:t>10.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339"/>
        <w:gridCol w:w="7339"/>
      </w:tblGrid>
      <w:tr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#</w:t>
            </w:r>
          </w:p>
        </w:tc>
        <w:tc>
          <w:tcPr>
            <w:tcW w:type="dxa" w:w="7339"/>
            <w:shd w:fill="D9E2F3"/>
          </w:tcPr>
          <w:p>
            <w:r>
              <w:rPr>
                <w:rFonts w:ascii="Times New Roman" w:hAnsi="Times New Roman"/>
                <w:b/>
                <w:sz w:val="26"/>
              </w:rPr>
              <w:t>Tiêu chí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Đủ 8 luồng nghiệp vụ</w:t>
            </w:r>
          </w:p>
        </w:tc>
      </w:tr>
      <w:tr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7339"/>
          </w:tcPr>
          <w:p>
            <w:r>
              <w:rPr>
                <w:rFonts w:ascii="Times New Roman" w:hAnsi="Times New Roman"/>
                <w:sz w:val="26"/>
              </w:rPr>
              <w:t>Tích hợp SPF thành công</w:t>
            </w:r>
          </w:p>
        </w:tc>
      </w:tr>
    </w:tbl>
    <w:sectPr>
      <w:headerReference r:id="rId7" w:type="default"/>
      <w:headerReference r:id="rId8" w:type="first"/>
      <w:footerReference r:id="rId9" w:type="default"/>
      <w:footerReference r:id="rId10" w:type="first"/>
      <w:pgSz w:h="11906" w:w="16838" w:orient="landscape"/>
      <w:pgMar w:bottom="1080" w:top="1080" w:left="1080" w:right="108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audex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6">
    <w:pPr>
      <w:pBdr>
        <w:top w:color="366091" w:space="1" w:sz="4" w:val="single"/>
      </w:pBdr>
      <w:tabs>
        <w:tab w:val="center" w:leader="none" w:pos="4680"/>
        <w:tab w:val="right" w:leader="none" w:pos="9360"/>
        <w:tab w:val="right" w:leader="none" w:pos="9450"/>
        <w:tab w:val="left" w:leader="none" w:pos="14040"/>
      </w:tabs>
      <w:spacing w:before="40" w:lineRule="auto"/>
      <w:jc w:val="right"/>
      <w:rPr/>
    </w:pPr>
    <w:r w:rsidDel="00000000" w:rsidR="00000000" w:rsidRPr="00000000">
      <w:rPr>
        <w:rFonts w:ascii="Arial" w:cs="Arial" w:eastAsia="Arial" w:hAnsi="Arial"/>
        <w:b w:val="1"/>
        <w:bCs w:val="1"/>
        <w:color w:val="366091"/>
        <w:sz w:val="36"/>
        <w:szCs w:val="3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color w:val="366091"/>
        <w:sz w:val="36"/>
        <w:szCs w:val="36"/>
        <w:rtl w:val="0"/>
      </w:rPr>
      <w:t xml:space="preserve">|</w:t>
    </w:r>
    <w:r w:rsidDel="00000000" w:rsidR="00000000" w:rsidRPr="00000000">
      <w:rPr>
        <w:rFonts w:ascii="Arial" w:cs="Arial" w:eastAsia="Arial" w:hAnsi="Arial"/>
        <w:b w:val="1"/>
        <w:bCs w:val="1"/>
        <w:color w:val="366091"/>
        <w:sz w:val="20"/>
        <w:szCs w:val="2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2">
    <w:pPr>
      <w:pBdr>
        <w:bottom w:color="1f4d78" w:space="2" w:sz="4" w:val="single"/>
      </w:pBdr>
      <w:jc w:val="left"/>
      <w:rPr>
        <w:color w:val="7f7f7f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C3">
    <w:pPr>
      <w:pBdr>
        <w:bottom w:color="1f4d78" w:space="2" w:sz="4" w:val="single"/>
      </w:pBdr>
      <w:jc w:val="right"/>
      <w:rPr>
        <w:color w:val="7f7f7f"/>
        <w:sz w:val="16"/>
        <w:szCs w:val="16"/>
      </w:rPr>
    </w:pPr>
    <w:r w:rsidDel="00000000" w:rsidR="00000000" w:rsidRPr="00000000">
      <w:rPr>
        <w:color w:val="7f7f7f"/>
        <w:sz w:val="16"/>
        <w:szCs w:val="16"/>
        <w:rtl w:val="0"/>
      </w:rPr>
      <w:t xml:space="preserve">1.0-BM/PM/HDCV/FTEL — PRD Standard v1.2</w:t>
    </w:r>
  </w:p>
  <w:p w:rsidR="00000000" w:rsidDel="00000000" w:rsidP="00000000" w:rsidRDefault="00000000" w:rsidRPr="00000000" w14:paraId="000002C4">
    <w:pPr>
      <w:pBdr>
        <w:bottom w:space="0" w:sz="0" w:val="nil"/>
      </w:pBdr>
      <w:jc w:val="center"/>
      <w:rPr>
        <w:color w:val="7f7f7f"/>
        <w:sz w:val="16"/>
        <w:szCs w:val="16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hd w:fill="1f3864" w:val="clear"/>
      <w:spacing w:after="300" w:before="200" w:lineRule="auto"/>
    </w:pPr>
    <w:rPr>
      <w:rFonts w:ascii="Cambria" w:cs="Cambria" w:eastAsia="Cambria" w:hAnsi="Cambria"/>
      <w:b w:val="1"/>
      <w:bCs w:val="1"/>
      <w:color w:val="ffffff"/>
      <w:sz w:val="32"/>
      <w:szCs w:val="32"/>
    </w:rPr>
  </w:style>
  <w:style w:type="paragraph" w:styleId="Heading2">
    <w:name w:val="heading 2"/>
    <w:basedOn w:val="Normal"/>
    <w:next w:val="Normal"/>
    <w:pPr>
      <w:pBdr>
        <w:bottom w:color="1f3864" w:space="4" w:sz="12" w:val="single"/>
      </w:pBdr>
      <w:spacing w:after="200" w:before="400" w:lineRule="auto"/>
      <w:ind w:left="270" w:hanging="90"/>
    </w:pPr>
    <w:rPr>
      <w:rFonts w:ascii="Cambria" w:cs="Cambria" w:eastAsia="Cambria" w:hAnsi="Cambria"/>
      <w:b w:val="1"/>
      <w:bCs w:val="1"/>
      <w:color w:val="1f4e79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spacing w:after="80" w:before="280" w:line="276" w:lineRule="auto"/>
      <w:ind w:firstLine="720"/>
    </w:pPr>
    <w:rPr>
      <w:rFonts w:ascii="Cambria" w:cs="Cambria" w:eastAsia="Cambria" w:hAnsi="Cambria"/>
      <w:b w:val="1"/>
      <w:b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pBdr>
        <w:bottom w:color="1f3864" w:space="4" w:sz="4" w:val="single"/>
      </w:pBdr>
      <w:shd w:fill="ffffff" w:val="clear"/>
      <w:spacing w:after="200" w:before="400" w:lineRule="auto"/>
    </w:pPr>
    <w:rPr>
      <w:b w:val="1"/>
      <w:bCs w:val="1"/>
      <w:color w:val="ed7d3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audex-regular.ttf"/><Relationship Id="rId2" Type="http://schemas.openxmlformats.org/officeDocument/2006/relationships/font" Target="fonts/Caudex-bold.ttf"/><Relationship Id="rId3" Type="http://schemas.openxmlformats.org/officeDocument/2006/relationships/font" Target="fonts/Caudex-italic.ttf"/><Relationship Id="rId4" Type="http://schemas.openxmlformats.org/officeDocument/2006/relationships/font" Target="fonts/Caudex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