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F766E"/>
          <w:sz w:val="26"/>
        </w:rPr>
        <w:t>İSG BİLDİRİM SİSTEMİ</w:t>
      </w:r>
    </w:p>
    <w:p>
      <w:pPr>
        <w:jc w:val="center"/>
      </w:pPr>
      <w:r>
        <w:rPr>
          <w:b/>
          <w:color w:val="0B2545"/>
          <w:sz w:val="52"/>
        </w:rPr>
        <w:t>Detaylı Teknik Analiz Raporu</w:t>
      </w:r>
    </w:p>
    <w:p>
      <w:pPr>
        <w:jc w:val="center"/>
      </w:pPr>
      <w:r>
        <w:rPr>
          <w:i/>
          <w:color w:val="555F6D"/>
          <w:sz w:val="26"/>
        </w:rPr>
        <w:t>Fabrika İSG — İş Kazası &amp; Ramak Kala Bildirim Sistemi</w:t>
      </w:r>
    </w:p>
    <w:p/>
    <w:p>
      <w:pPr>
        <w:jc w:val="center"/>
      </w:pPr>
      <w:r>
        <w:rPr>
          <w:color w:val="C0C7D0"/>
        </w:rPr>
        <w:t>────────────────────────────────────────────</w:t>
      </w:r>
    </w:p>
    <w:p/>
    <w:tbl>
      <w:tblPr>
        <w:tblW w:type="auto" w:w="0"/>
        <w:jc w:val="center"/>
        <w:tblLook w:firstColumn="1" w:firstRow="1" w:lastColumn="0" w:lastRow="0" w:noHBand="0" w:noVBand="1" w:val="04A0"/>
      </w:tblPr>
      <w:tblGrid>
        <w:gridCol w:w="4896"/>
        <w:gridCol w:w="4896"/>
      </w:tblGrid>
      <w:tr>
        <w:tc>
          <w:tcPr>
            <w:tcW w:type="dxa" w:w="3456"/>
          </w:tcPr>
          <w:p>
            <w:r>
              <w:rPr>
                <w:b/>
                <w:color w:val="0B2545"/>
                <w:sz w:val="22"/>
              </w:rPr>
              <w:t>Proje türü:</w:t>
            </w:r>
          </w:p>
        </w:tc>
        <w:tc>
          <w:tcPr>
            <w:tcW w:type="dxa" w:w="5760"/>
          </w:tcPr>
          <w:p>
            <w:r>
              <w:rPr>
                <w:sz w:val="22"/>
              </w:rPr>
              <w:t>Staj / Bitirme projesi — Full-stack web uygulaması</w:t>
            </w:r>
          </w:p>
        </w:tc>
      </w:tr>
      <w:tr>
        <w:tc>
          <w:tcPr>
            <w:tcW w:type="dxa" w:w="3456"/>
          </w:tcPr>
          <w:p>
            <w:r>
              <w:rPr>
                <w:b/>
                <w:color w:val="0B2545"/>
                <w:sz w:val="22"/>
              </w:rPr>
              <w:t>Mimari:</w:t>
            </w:r>
          </w:p>
        </w:tc>
        <w:tc>
          <w:tcPr>
            <w:tcW w:type="dxa" w:w="5760"/>
          </w:tcPr>
          <w:p>
            <w:r>
              <w:rPr>
                <w:sz w:val="22"/>
              </w:rPr>
              <w:t>NestJS + Prisma + PostgreSQL  |  React + Vite + TypeScript</w:t>
            </w:r>
          </w:p>
        </w:tc>
      </w:tr>
      <w:tr>
        <w:tc>
          <w:tcPr>
            <w:tcW w:type="dxa" w:w="3456"/>
          </w:tcPr>
          <w:p>
            <w:r>
              <w:rPr>
                <w:b/>
                <w:color w:val="0B2545"/>
                <w:sz w:val="22"/>
              </w:rPr>
              <w:t>Kapsam:</w:t>
            </w:r>
          </w:p>
        </w:tc>
        <w:tc>
          <w:tcPr>
            <w:tcW w:type="dxa" w:w="5760"/>
          </w:tcPr>
          <w:p>
            <w:r>
              <w:rPr>
                <w:sz w:val="22"/>
              </w:rPr>
              <w:t>Tüm katmanların teknik incelemesi + 17 iş günü yol haritası</w:t>
            </w:r>
          </w:p>
        </w:tc>
      </w:tr>
      <w:tr>
        <w:tc>
          <w:tcPr>
            <w:tcW w:type="dxa" w:w="3456"/>
          </w:tcPr>
          <w:p>
            <w:r>
              <w:rPr>
                <w:b/>
                <w:color w:val="0B2545"/>
                <w:sz w:val="22"/>
              </w:rPr>
              <w:t>Yapı:</w:t>
            </w:r>
          </w:p>
        </w:tc>
        <w:tc>
          <w:tcPr>
            <w:tcW w:type="dxa" w:w="5760"/>
          </w:tcPr>
          <w:p>
            <w:r>
              <w:rPr>
                <w:sz w:val="22"/>
              </w:rPr>
              <w:t>5 Milestone / 8 Sprint (end-to-end)</w:t>
            </w:r>
          </w:p>
        </w:tc>
      </w:tr>
      <w:tr>
        <w:tc>
          <w:tcPr>
            <w:tcW w:type="dxa" w:w="3456"/>
          </w:tcPr>
          <w:p>
            <w:r>
              <w:rPr>
                <w:b/>
                <w:color w:val="0B2545"/>
                <w:sz w:val="22"/>
              </w:rPr>
              <w:t>Belge:</w:t>
            </w:r>
          </w:p>
        </w:tc>
        <w:tc>
          <w:tcPr>
            <w:tcW w:type="dxa" w:w="5760"/>
          </w:tcPr>
          <w:p>
            <w:r>
              <w:rPr>
                <w:sz w:val="22"/>
              </w:rPr>
              <w:t>Ana Teknik Analiz Raporu (0/9)</w:t>
            </w:r>
          </w:p>
        </w:tc>
      </w:tr>
      <w:tr>
        <w:tc>
          <w:tcPr>
            <w:tcW w:type="dxa" w:w="3456"/>
          </w:tcPr>
          <w:p>
            <w:r>
              <w:rPr>
                <w:b/>
                <w:color w:val="0B2545"/>
                <w:sz w:val="22"/>
              </w:rPr>
              <w:t>Hazırlık:</w:t>
            </w:r>
          </w:p>
        </w:tc>
        <w:tc>
          <w:tcPr>
            <w:tcW w:type="dxa" w:w="5760"/>
          </w:tcPr>
          <w:p>
            <w:r>
              <w:rPr>
                <w:sz w:val="22"/>
              </w:rPr>
              <w:t>Kod tabanının satır düzeyinde incelenmesiyle üretilmiştir</w:t>
            </w:r>
          </w:p>
        </w:tc>
      </w:tr>
    </w:tbl>
    <w:p>
      <w:r>
        <w:br w:type="page"/>
      </w:r>
    </w:p>
    <w:p>
      <w:pPr>
        <w:shd w:val="clear" w:fill="0B2545"/>
        <w:spacing w:before="80" w:after="80"/>
      </w:pPr>
      <w:r>
        <w:rPr>
          <w:rFonts w:ascii="Calibri" w:hAnsi="Calibri"/>
          <w:b/>
          <w:color w:val="FFFFFF"/>
          <w:sz w:val="32"/>
        </w:rPr>
        <w:t>1. Yönetici Özeti</w:t>
      </w:r>
    </w:p>
    <w:p>
      <w:pPr>
        <w:spacing w:after="120"/>
      </w:pPr>
      <w:r>
        <w:rPr>
          <w:b w:val="0"/>
          <w:i w:val="0"/>
          <w:sz w:val="21"/>
        </w:rPr>
        <w:t>Bu rapor, bir fabrikanın tüm iş kazası ve ramak kala (near-miss) bildirimlerini toplamak, sınıflandırmak, soruşturmak ve kapatmak için geliştirilmiş rol/yetki tabanlı (RBAC) web uygulamasının uçtan uca teknik analizidir. Uygulama iki bağımsız projeden oluşur: bir NestJS REST API (backend) ve bir React tek-sayfa uygulaması (client). Kalıcı veriler PostgreSQL'de, yüklenen foto/videolar ise S3 uyumlu MinIO nesne depolamasında tutulur; tüm servisler Docker ile ayağa kaldırılır.</w:t>
      </w:r>
    </w:p>
    <w:p>
      <w:pPr>
        <w:spacing w:after="120"/>
      </w:pPr>
      <w:r>
        <w:rPr>
          <w:b w:val="0"/>
          <w:i w:val="0"/>
          <w:sz w:val="21"/>
        </w:rPr>
        <w:t>İncelenen kod tabanı olgun mühendislik alışkanlıkları göstermektedir: granüler izin modeli, global guard zinciri ile korunan uçlar, tek kaynaklı (single source of truth) durum geçiş makinesi, atomik transaction'lar, veri minimizasyonu, imzalı (presigned) ve yetkilendirilmiş dosya erişimi ve kesintisiz denetim (audit) kaydı. Rapor; bu katmanları ayrı ayrı çözümler, projeyi 17 iş gününe yayan gerçekçi bir yol haritası sunar ve her kilometre taşı (milestone) için hem geliştirilecek bileşenleri hem de son kullanıcının göreceği/görmeyeceği noktaları gösteren tasarım şemaları içerir.</w:t>
      </w:r>
    </w:p>
    <w:p>
      <w:pPr>
        <w:pStyle w:val="Heading2"/>
      </w:pPr>
      <w:r>
        <w:rPr>
          <w:b/>
          <w:color w:val="0F766E"/>
          <w:sz w:val="25"/>
        </w:rPr>
        <w:t>Bir Bakışta Proje Metrikleri</w:t>
      </w:r>
    </w:p>
    <w:tbl>
      <w:tblPr>
        <w:tblStyle w:val="TableGrid"/>
        <w:tblW w:type="auto" w:w="0"/>
        <w:jc w:val="center"/>
        <w:tblLook w:firstColumn="1" w:firstRow="1" w:lastColumn="0" w:lastRow="0" w:noHBand="0" w:noVBand="1" w:val="04A0"/>
      </w:tblPr>
      <w:tblGrid>
        <w:gridCol w:w="4896"/>
        <w:gridCol w:w="4896"/>
      </w:tblGrid>
      <w:tr>
        <w:tc>
          <w:tcPr>
            <w:tcW w:type="dxa" w:w="4608"/>
            <w:shd w:val="clear" w:fill="1D4ED8"/>
          </w:tcPr>
          <w:p>
            <w:r>
              <w:rPr>
                <w:b/>
                <w:color w:val="FFFFFF"/>
                <w:sz w:val="19"/>
              </w:rPr>
              <w:t>Metrik</w:t>
            </w:r>
          </w:p>
        </w:tc>
        <w:tc>
          <w:tcPr>
            <w:tcW w:type="dxa" w:w="4896"/>
            <w:shd w:val="clear" w:fill="1D4ED8"/>
          </w:tcPr>
          <w:p>
            <w:r>
              <w:rPr>
                <w:b/>
                <w:color w:val="FFFFFF"/>
                <w:sz w:val="19"/>
              </w:rPr>
              <w:t>Değer</w:t>
            </w:r>
          </w:p>
        </w:tc>
      </w:tr>
      <w:tr>
        <w:tc>
          <w:tcPr>
            <w:tcW w:type="dxa" w:w="4608"/>
          </w:tcPr>
          <w:p>
            <w:pPr>
              <w:spacing w:after="20"/>
            </w:pPr>
            <w:r>
              <w:rPr>
                <w:sz w:val="19"/>
              </w:rPr>
              <w:t>Backend kaynak dosyası</w:t>
            </w:r>
          </w:p>
        </w:tc>
        <w:tc>
          <w:tcPr>
            <w:tcW w:type="dxa" w:w="4896"/>
          </w:tcPr>
          <w:p>
            <w:pPr>
              <w:spacing w:after="20"/>
            </w:pPr>
            <w:r>
              <w:rPr>
                <w:sz w:val="19"/>
              </w:rPr>
              <w:t>~40 TypeScript dosyası (yaklaşık 3.700 satır)</w:t>
            </w:r>
          </w:p>
        </w:tc>
      </w:tr>
      <w:tr>
        <w:tc>
          <w:tcPr>
            <w:tcW w:type="dxa" w:w="4608"/>
            <w:shd w:val="clear" w:fill="F3F4F6"/>
          </w:tcPr>
          <w:p>
            <w:pPr>
              <w:spacing w:after="20"/>
            </w:pPr>
            <w:r>
              <w:rPr>
                <w:sz w:val="19"/>
              </w:rPr>
              <w:t>Frontend kaynak dosyası</w:t>
            </w:r>
          </w:p>
        </w:tc>
        <w:tc>
          <w:tcPr>
            <w:tcW w:type="dxa" w:w="4896"/>
            <w:shd w:val="clear" w:fill="F3F4F6"/>
          </w:tcPr>
          <w:p>
            <w:pPr>
              <w:spacing w:after="20"/>
            </w:pPr>
            <w:r>
              <w:rPr>
                <w:sz w:val="19"/>
              </w:rPr>
              <w:t>~32 dosya (yaklaşık 6.500 satır)</w:t>
            </w:r>
          </w:p>
        </w:tc>
      </w:tr>
      <w:tr>
        <w:tc>
          <w:tcPr>
            <w:tcW w:type="dxa" w:w="4608"/>
          </w:tcPr>
          <w:p>
            <w:pPr>
              <w:spacing w:after="20"/>
            </w:pPr>
            <w:r>
              <w:rPr>
                <w:sz w:val="19"/>
              </w:rPr>
              <w:t>Veri modeli</w:t>
            </w:r>
          </w:p>
        </w:tc>
        <w:tc>
          <w:tcPr>
            <w:tcW w:type="dxa" w:w="4896"/>
          </w:tcPr>
          <w:p>
            <w:pPr>
              <w:spacing w:after="20"/>
            </w:pPr>
            <w:r>
              <w:rPr>
                <w:sz w:val="19"/>
              </w:rPr>
              <w:t>9 ana model + 15+ enum (Prisma)</w:t>
            </w:r>
          </w:p>
        </w:tc>
      </w:tr>
      <w:tr>
        <w:tc>
          <w:tcPr>
            <w:tcW w:type="dxa" w:w="4608"/>
            <w:shd w:val="clear" w:fill="F3F4F6"/>
          </w:tcPr>
          <w:p>
            <w:pPr>
              <w:spacing w:after="20"/>
            </w:pPr>
            <w:r>
              <w:rPr>
                <w:sz w:val="19"/>
              </w:rPr>
              <w:t>Granüler izin (Permission)</w:t>
            </w:r>
          </w:p>
        </w:tc>
        <w:tc>
          <w:tcPr>
            <w:tcW w:type="dxa" w:w="4896"/>
            <w:shd w:val="clear" w:fill="F3F4F6"/>
          </w:tcPr>
          <w:p>
            <w:pPr>
              <w:spacing w:after="20"/>
            </w:pPr>
            <w:r>
              <w:rPr>
                <w:sz w:val="19"/>
              </w:rPr>
              <w:t>19 adet — rollere serbestçe atanır</w:t>
            </w:r>
          </w:p>
        </w:tc>
      </w:tr>
      <w:tr>
        <w:tc>
          <w:tcPr>
            <w:tcW w:type="dxa" w:w="4608"/>
          </w:tcPr>
          <w:p>
            <w:pPr>
              <w:spacing w:after="20"/>
            </w:pPr>
            <w:r>
              <w:rPr>
                <w:sz w:val="19"/>
              </w:rPr>
              <w:t>Ana modül (NestJS)</w:t>
            </w:r>
          </w:p>
        </w:tc>
        <w:tc>
          <w:tcPr>
            <w:tcW w:type="dxa" w:w="4896"/>
          </w:tcPr>
          <w:p>
            <w:pPr>
              <w:spacing w:after="20"/>
            </w:pPr>
            <w:r>
              <w:rPr>
                <w:sz w:val="19"/>
              </w:rPr>
              <w:t>8 (Auth, Users, Roles, Departments, Reports, Notifications, Uploads, Audit)</w:t>
            </w:r>
          </w:p>
        </w:tc>
      </w:tr>
      <w:tr>
        <w:tc>
          <w:tcPr>
            <w:tcW w:type="dxa" w:w="4608"/>
            <w:shd w:val="clear" w:fill="F3F4F6"/>
          </w:tcPr>
          <w:p>
            <w:pPr>
              <w:spacing w:after="20"/>
            </w:pPr>
            <w:r>
              <w:rPr>
                <w:sz w:val="19"/>
              </w:rPr>
              <w:t>Bildirim türü</w:t>
            </w:r>
          </w:p>
        </w:tc>
        <w:tc>
          <w:tcPr>
            <w:tcW w:type="dxa" w:w="4896"/>
            <w:shd w:val="clear" w:fill="F3F4F6"/>
          </w:tcPr>
          <w:p>
            <w:pPr>
              <w:spacing w:after="20"/>
            </w:pPr>
            <w:r>
              <w:rPr>
                <w:sz w:val="19"/>
              </w:rPr>
              <w:t>2 (İş Kazası, Ramak Kala) — tek tabloda tip ayrımıyla</w:t>
            </w:r>
          </w:p>
        </w:tc>
      </w:tr>
      <w:tr>
        <w:tc>
          <w:tcPr>
            <w:tcW w:type="dxa" w:w="4608"/>
          </w:tcPr>
          <w:p>
            <w:pPr>
              <w:spacing w:after="20"/>
            </w:pPr>
            <w:r>
              <w:rPr>
                <w:sz w:val="19"/>
              </w:rPr>
              <w:t>Dil desteği</w:t>
            </w:r>
          </w:p>
        </w:tc>
        <w:tc>
          <w:tcPr>
            <w:tcW w:type="dxa" w:w="4896"/>
          </w:tcPr>
          <w:p>
            <w:pPr>
              <w:spacing w:after="20"/>
            </w:pPr>
            <w:r>
              <w:rPr>
                <w:sz w:val="19"/>
              </w:rPr>
              <w:t>Türkçe / İngilizce (i18next)</w:t>
            </w:r>
          </w:p>
        </w:tc>
      </w:tr>
      <w:tr>
        <w:tc>
          <w:tcPr>
            <w:tcW w:type="dxa" w:w="4608"/>
            <w:shd w:val="clear" w:fill="F3F4F6"/>
          </w:tcPr>
          <w:p>
            <w:pPr>
              <w:spacing w:after="20"/>
            </w:pPr>
            <w:r>
              <w:rPr>
                <w:sz w:val="19"/>
              </w:rPr>
              <w:t>Depolama</w:t>
            </w:r>
          </w:p>
        </w:tc>
        <w:tc>
          <w:tcPr>
            <w:tcW w:type="dxa" w:w="4896"/>
            <w:shd w:val="clear" w:fill="F3F4F6"/>
          </w:tcPr>
          <w:p>
            <w:pPr>
              <w:spacing w:after="20"/>
            </w:pPr>
            <w:r>
              <w:rPr>
                <w:sz w:val="19"/>
              </w:rPr>
              <w:t>PostgreSQL 16 (ilişkisel) + MinIO (nesne)</w:t>
            </w:r>
          </w:p>
        </w:tc>
      </w:tr>
    </w:tbl>
    <w:p>
      <w:r>
        <w:br w:type="page"/>
      </w:r>
    </w:p>
    <w:p>
      <w:pPr>
        <w:shd w:val="clear" w:fill="0B2545"/>
        <w:spacing w:before="80" w:after="80"/>
      </w:pPr>
      <w:r>
        <w:rPr>
          <w:rFonts w:ascii="Calibri" w:hAnsi="Calibri"/>
          <w:b/>
          <w:color w:val="FFFFFF"/>
          <w:sz w:val="32"/>
        </w:rPr>
        <w:t>2. Teknoloji Yığını (Technology Stack)</w:t>
      </w:r>
    </w:p>
    <w:p>
      <w:pPr>
        <w:pStyle w:val="Heading2"/>
      </w:pPr>
      <w:r>
        <w:rPr>
          <w:b/>
          <w:color w:val="0F766E"/>
          <w:sz w:val="25"/>
        </w:rPr>
        <w:t>Backend</w:t>
      </w:r>
    </w:p>
    <w:tbl>
      <w:tblPr>
        <w:tblStyle w:val="TableGrid"/>
        <w:tblW w:type="auto" w:w="0"/>
        <w:jc w:val="center"/>
        <w:tblLook w:firstColumn="1" w:firstRow="1" w:lastColumn="0" w:lastRow="0" w:noHBand="0" w:noVBand="1" w:val="04A0"/>
      </w:tblPr>
      <w:tblGrid>
        <w:gridCol w:w="3264"/>
        <w:gridCol w:w="3264"/>
        <w:gridCol w:w="3264"/>
      </w:tblGrid>
      <w:tr>
        <w:tc>
          <w:tcPr>
            <w:tcW w:type="dxa" w:w="2016"/>
            <w:shd w:val="clear" w:fill="1D4ED8"/>
          </w:tcPr>
          <w:p>
            <w:r>
              <w:rPr>
                <w:b/>
                <w:color w:val="FFFFFF"/>
                <w:sz w:val="19"/>
              </w:rPr>
              <w:t>Katman</w:t>
            </w:r>
          </w:p>
        </w:tc>
        <w:tc>
          <w:tcPr>
            <w:tcW w:type="dxa" w:w="3024"/>
            <w:shd w:val="clear" w:fill="1D4ED8"/>
          </w:tcPr>
          <w:p>
            <w:r>
              <w:rPr>
                <w:b/>
                <w:color w:val="FFFFFF"/>
                <w:sz w:val="19"/>
              </w:rPr>
              <w:t>Teknoloji</w:t>
            </w:r>
          </w:p>
        </w:tc>
        <w:tc>
          <w:tcPr>
            <w:tcW w:type="dxa" w:w="4464"/>
            <w:shd w:val="clear" w:fill="1D4ED8"/>
          </w:tcPr>
          <w:p>
            <w:r>
              <w:rPr>
                <w:b/>
                <w:color w:val="FFFFFF"/>
                <w:sz w:val="19"/>
              </w:rPr>
              <w:t>Görevi</w:t>
            </w:r>
          </w:p>
        </w:tc>
      </w:tr>
      <w:tr>
        <w:tc>
          <w:tcPr>
            <w:tcW w:type="dxa" w:w="2016"/>
          </w:tcPr>
          <w:p>
            <w:pPr>
              <w:spacing w:after="20"/>
            </w:pPr>
            <w:r>
              <w:rPr>
                <w:sz w:val="19"/>
              </w:rPr>
              <w:t>Çatı</w:t>
            </w:r>
          </w:p>
        </w:tc>
        <w:tc>
          <w:tcPr>
            <w:tcW w:type="dxa" w:w="3024"/>
          </w:tcPr>
          <w:p>
            <w:pPr>
              <w:spacing w:after="20"/>
            </w:pPr>
            <w:r>
              <w:rPr>
                <w:sz w:val="19"/>
              </w:rPr>
              <w:t>NestJS 10</w:t>
            </w:r>
          </w:p>
        </w:tc>
        <w:tc>
          <w:tcPr>
            <w:tcW w:type="dxa" w:w="4464"/>
          </w:tcPr>
          <w:p>
            <w:pPr>
              <w:spacing w:after="20"/>
            </w:pPr>
            <w:r>
              <w:rPr>
                <w:sz w:val="19"/>
              </w:rPr>
              <w:t>Modüler, DI tabanlı sunucu çatısı</w:t>
            </w:r>
          </w:p>
        </w:tc>
      </w:tr>
      <w:tr>
        <w:tc>
          <w:tcPr>
            <w:tcW w:type="dxa" w:w="2016"/>
            <w:shd w:val="clear" w:fill="F3F4F6"/>
          </w:tcPr>
          <w:p>
            <w:pPr>
              <w:spacing w:after="20"/>
            </w:pPr>
            <w:r>
              <w:rPr>
                <w:sz w:val="19"/>
              </w:rPr>
              <w:t>Dil</w:t>
            </w:r>
          </w:p>
        </w:tc>
        <w:tc>
          <w:tcPr>
            <w:tcW w:type="dxa" w:w="3024"/>
            <w:shd w:val="clear" w:fill="F3F4F6"/>
          </w:tcPr>
          <w:p>
            <w:pPr>
              <w:spacing w:after="20"/>
            </w:pPr>
            <w:r>
              <w:rPr>
                <w:sz w:val="19"/>
              </w:rPr>
              <w:t>TypeScript 5.6</w:t>
            </w:r>
          </w:p>
        </w:tc>
        <w:tc>
          <w:tcPr>
            <w:tcW w:type="dxa" w:w="4464"/>
            <w:shd w:val="clear" w:fill="F3F4F6"/>
          </w:tcPr>
          <w:p>
            <w:pPr>
              <w:spacing w:after="20"/>
            </w:pPr>
            <w:r>
              <w:rPr>
                <w:sz w:val="19"/>
              </w:rPr>
              <w:t>Statik tipli güvenli geliştirme</w:t>
            </w:r>
          </w:p>
        </w:tc>
      </w:tr>
      <w:tr>
        <w:tc>
          <w:tcPr>
            <w:tcW w:type="dxa" w:w="2016"/>
          </w:tcPr>
          <w:p>
            <w:pPr>
              <w:spacing w:after="20"/>
            </w:pPr>
            <w:r>
              <w:rPr>
                <w:sz w:val="19"/>
              </w:rPr>
              <w:t>ORM</w:t>
            </w:r>
          </w:p>
        </w:tc>
        <w:tc>
          <w:tcPr>
            <w:tcW w:type="dxa" w:w="3024"/>
          </w:tcPr>
          <w:p>
            <w:pPr>
              <w:spacing w:after="20"/>
            </w:pPr>
            <w:r>
              <w:rPr>
                <w:sz w:val="19"/>
              </w:rPr>
              <w:t>Prisma 5.20</w:t>
            </w:r>
          </w:p>
        </w:tc>
        <w:tc>
          <w:tcPr>
            <w:tcW w:type="dxa" w:w="4464"/>
          </w:tcPr>
          <w:p>
            <w:pPr>
              <w:spacing w:after="20"/>
            </w:pPr>
            <w:r>
              <w:rPr>
                <w:sz w:val="19"/>
              </w:rPr>
              <w:t>Tip-güvenli veri erişimi + migration</w:t>
            </w:r>
          </w:p>
        </w:tc>
      </w:tr>
      <w:tr>
        <w:tc>
          <w:tcPr>
            <w:tcW w:type="dxa" w:w="2016"/>
            <w:shd w:val="clear" w:fill="F3F4F6"/>
          </w:tcPr>
          <w:p>
            <w:pPr>
              <w:spacing w:after="20"/>
            </w:pPr>
            <w:r>
              <w:rPr>
                <w:sz w:val="19"/>
              </w:rPr>
              <w:t>Veritabanı</w:t>
            </w:r>
          </w:p>
        </w:tc>
        <w:tc>
          <w:tcPr>
            <w:tcW w:type="dxa" w:w="3024"/>
            <w:shd w:val="clear" w:fill="F3F4F6"/>
          </w:tcPr>
          <w:p>
            <w:pPr>
              <w:spacing w:after="20"/>
            </w:pPr>
            <w:r>
              <w:rPr>
                <w:sz w:val="19"/>
              </w:rPr>
              <w:t>PostgreSQL 16</w:t>
            </w:r>
          </w:p>
        </w:tc>
        <w:tc>
          <w:tcPr>
            <w:tcW w:type="dxa" w:w="4464"/>
            <w:shd w:val="clear" w:fill="F3F4F6"/>
          </w:tcPr>
          <w:p>
            <w:pPr>
              <w:spacing w:after="20"/>
            </w:pPr>
            <w:r>
              <w:rPr>
                <w:sz w:val="19"/>
              </w:rPr>
              <w:t>İlişkisel kalıcı depolama</w:t>
            </w:r>
          </w:p>
        </w:tc>
      </w:tr>
      <w:tr>
        <w:tc>
          <w:tcPr>
            <w:tcW w:type="dxa" w:w="2016"/>
          </w:tcPr>
          <w:p>
            <w:pPr>
              <w:spacing w:after="20"/>
            </w:pPr>
            <w:r>
              <w:rPr>
                <w:sz w:val="19"/>
              </w:rPr>
              <w:t>Kimlik</w:t>
            </w:r>
          </w:p>
        </w:tc>
        <w:tc>
          <w:tcPr>
            <w:tcW w:type="dxa" w:w="3024"/>
          </w:tcPr>
          <w:p>
            <w:pPr>
              <w:spacing w:after="20"/>
            </w:pPr>
            <w:r>
              <w:rPr>
                <w:sz w:val="19"/>
              </w:rPr>
              <w:t>JWT + Passport</w:t>
            </w:r>
          </w:p>
        </w:tc>
        <w:tc>
          <w:tcPr>
            <w:tcW w:type="dxa" w:w="4464"/>
          </w:tcPr>
          <w:p>
            <w:pPr>
              <w:spacing w:after="20"/>
            </w:pPr>
            <w:r>
              <w:rPr>
                <w:sz w:val="19"/>
              </w:rPr>
              <w:t>Token tabanlı oturum</w:t>
            </w:r>
          </w:p>
        </w:tc>
      </w:tr>
      <w:tr>
        <w:tc>
          <w:tcPr>
            <w:tcW w:type="dxa" w:w="2016"/>
            <w:shd w:val="clear" w:fill="F3F4F6"/>
          </w:tcPr>
          <w:p>
            <w:pPr>
              <w:spacing w:after="20"/>
            </w:pPr>
            <w:r>
              <w:rPr>
                <w:sz w:val="19"/>
              </w:rPr>
              <w:t>Şifre</w:t>
            </w:r>
          </w:p>
        </w:tc>
        <w:tc>
          <w:tcPr>
            <w:tcW w:type="dxa" w:w="3024"/>
            <w:shd w:val="clear" w:fill="F3F4F6"/>
          </w:tcPr>
          <w:p>
            <w:pPr>
              <w:spacing w:after="20"/>
            </w:pPr>
            <w:r>
              <w:rPr>
                <w:sz w:val="19"/>
              </w:rPr>
              <w:t>bcryptjs</w:t>
            </w:r>
          </w:p>
        </w:tc>
        <w:tc>
          <w:tcPr>
            <w:tcW w:type="dxa" w:w="4464"/>
            <w:shd w:val="clear" w:fill="F3F4F6"/>
          </w:tcPr>
          <w:p>
            <w:pPr>
              <w:spacing w:after="20"/>
            </w:pPr>
            <w:r>
              <w:rPr>
                <w:sz w:val="19"/>
              </w:rPr>
              <w:t>Parola hash'leme</w:t>
            </w:r>
          </w:p>
        </w:tc>
      </w:tr>
      <w:tr>
        <w:tc>
          <w:tcPr>
            <w:tcW w:type="dxa" w:w="2016"/>
          </w:tcPr>
          <w:p>
            <w:pPr>
              <w:spacing w:after="20"/>
            </w:pPr>
            <w:r>
              <w:rPr>
                <w:sz w:val="19"/>
              </w:rPr>
              <w:t>Doğrulama</w:t>
            </w:r>
          </w:p>
        </w:tc>
        <w:tc>
          <w:tcPr>
            <w:tcW w:type="dxa" w:w="3024"/>
          </w:tcPr>
          <w:p>
            <w:pPr>
              <w:spacing w:after="20"/>
            </w:pPr>
            <w:r>
              <w:rPr>
                <w:sz w:val="19"/>
              </w:rPr>
              <w:t>class-validator</w:t>
            </w:r>
          </w:p>
        </w:tc>
        <w:tc>
          <w:tcPr>
            <w:tcW w:type="dxa" w:w="4464"/>
          </w:tcPr>
          <w:p>
            <w:pPr>
              <w:spacing w:after="20"/>
            </w:pPr>
            <w:r>
              <w:rPr>
                <w:sz w:val="19"/>
              </w:rPr>
              <w:t>DTO seviyesinde girdi doğrulama</w:t>
            </w:r>
          </w:p>
        </w:tc>
      </w:tr>
      <w:tr>
        <w:tc>
          <w:tcPr>
            <w:tcW w:type="dxa" w:w="2016"/>
            <w:shd w:val="clear" w:fill="F3F4F6"/>
          </w:tcPr>
          <w:p>
            <w:pPr>
              <w:spacing w:after="20"/>
            </w:pPr>
            <w:r>
              <w:rPr>
                <w:sz w:val="19"/>
              </w:rPr>
              <w:t>Depolama</w:t>
            </w:r>
          </w:p>
        </w:tc>
        <w:tc>
          <w:tcPr>
            <w:tcW w:type="dxa" w:w="3024"/>
            <w:shd w:val="clear" w:fill="F3F4F6"/>
          </w:tcPr>
          <w:p>
            <w:pPr>
              <w:spacing w:after="20"/>
            </w:pPr>
            <w:r>
              <w:rPr>
                <w:sz w:val="19"/>
              </w:rPr>
              <w:t>MinIO (S3)</w:t>
            </w:r>
          </w:p>
        </w:tc>
        <w:tc>
          <w:tcPr>
            <w:tcW w:type="dxa" w:w="4464"/>
            <w:shd w:val="clear" w:fill="F3F4F6"/>
          </w:tcPr>
          <w:p>
            <w:pPr>
              <w:spacing w:after="20"/>
            </w:pPr>
            <w:r>
              <w:rPr>
                <w:sz w:val="19"/>
              </w:rPr>
              <w:t>Foto/video nesne depolama</w:t>
            </w:r>
          </w:p>
        </w:tc>
      </w:tr>
    </w:tbl>
    <w:p>
      <w:pPr>
        <w:pStyle w:val="Heading2"/>
      </w:pPr>
      <w:r>
        <w:rPr>
          <w:b/>
          <w:color w:val="0F766E"/>
          <w:sz w:val="25"/>
        </w:rPr>
        <w:t>Frontend</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fill="1D4ED8"/>
          </w:tcPr>
          <w:p>
            <w:r>
              <w:rPr>
                <w:b/>
                <w:color w:val="FFFFFF"/>
                <w:sz w:val="19"/>
              </w:rPr>
              <w:t>Katman</w:t>
            </w:r>
          </w:p>
        </w:tc>
        <w:tc>
          <w:tcPr>
            <w:tcW w:type="dxa" w:w="2736"/>
            <w:shd w:val="clear" w:fill="1D4ED8"/>
          </w:tcPr>
          <w:p>
            <w:r>
              <w:rPr>
                <w:b/>
                <w:color w:val="FFFFFF"/>
                <w:sz w:val="19"/>
              </w:rPr>
              <w:t>Teknoloji</w:t>
            </w:r>
          </w:p>
        </w:tc>
        <w:tc>
          <w:tcPr>
            <w:tcW w:type="dxa" w:w="4464"/>
            <w:shd w:val="clear" w:fill="1D4ED8"/>
          </w:tcPr>
          <w:p>
            <w:r>
              <w:rPr>
                <w:b/>
                <w:color w:val="FFFFFF"/>
                <w:sz w:val="19"/>
              </w:rPr>
              <w:t>Görevi</w:t>
            </w:r>
          </w:p>
        </w:tc>
      </w:tr>
      <w:tr>
        <w:tc>
          <w:tcPr>
            <w:tcW w:type="dxa" w:w="2304"/>
          </w:tcPr>
          <w:p>
            <w:pPr>
              <w:spacing w:after="20"/>
            </w:pPr>
            <w:r>
              <w:rPr>
                <w:sz w:val="19"/>
              </w:rPr>
              <w:t>Çatı</w:t>
            </w:r>
          </w:p>
        </w:tc>
        <w:tc>
          <w:tcPr>
            <w:tcW w:type="dxa" w:w="2736"/>
          </w:tcPr>
          <w:p>
            <w:pPr>
              <w:spacing w:after="20"/>
            </w:pPr>
            <w:r>
              <w:rPr>
                <w:sz w:val="19"/>
              </w:rPr>
              <w:t>React 18</w:t>
            </w:r>
          </w:p>
        </w:tc>
        <w:tc>
          <w:tcPr>
            <w:tcW w:type="dxa" w:w="4464"/>
          </w:tcPr>
          <w:p>
            <w:pPr>
              <w:spacing w:after="20"/>
            </w:pPr>
            <w:r>
              <w:rPr>
                <w:sz w:val="19"/>
              </w:rPr>
              <w:t>Bileşen tabanlı UI</w:t>
            </w:r>
          </w:p>
        </w:tc>
      </w:tr>
      <w:tr>
        <w:tc>
          <w:tcPr>
            <w:tcW w:type="dxa" w:w="2304"/>
            <w:shd w:val="clear" w:fill="F3F4F6"/>
          </w:tcPr>
          <w:p>
            <w:pPr>
              <w:spacing w:after="20"/>
            </w:pPr>
            <w:r>
              <w:rPr>
                <w:sz w:val="19"/>
              </w:rPr>
              <w:t>Derleyici</w:t>
            </w:r>
          </w:p>
        </w:tc>
        <w:tc>
          <w:tcPr>
            <w:tcW w:type="dxa" w:w="2736"/>
            <w:shd w:val="clear" w:fill="F3F4F6"/>
          </w:tcPr>
          <w:p>
            <w:pPr>
              <w:spacing w:after="20"/>
            </w:pPr>
            <w:r>
              <w:rPr>
                <w:sz w:val="19"/>
              </w:rPr>
              <w:t>Vite 5</w:t>
            </w:r>
          </w:p>
        </w:tc>
        <w:tc>
          <w:tcPr>
            <w:tcW w:type="dxa" w:w="4464"/>
            <w:shd w:val="clear" w:fill="F3F4F6"/>
          </w:tcPr>
          <w:p>
            <w:pPr>
              <w:spacing w:after="20"/>
            </w:pPr>
            <w:r>
              <w:rPr>
                <w:sz w:val="19"/>
              </w:rPr>
              <w:t>Hızlı geliştirme/derleme</w:t>
            </w:r>
          </w:p>
        </w:tc>
      </w:tr>
      <w:tr>
        <w:tc>
          <w:tcPr>
            <w:tcW w:type="dxa" w:w="2304"/>
          </w:tcPr>
          <w:p>
            <w:pPr>
              <w:spacing w:after="20"/>
            </w:pPr>
            <w:r>
              <w:rPr>
                <w:sz w:val="19"/>
              </w:rPr>
              <w:t>Yönlendirme</w:t>
            </w:r>
          </w:p>
        </w:tc>
        <w:tc>
          <w:tcPr>
            <w:tcW w:type="dxa" w:w="2736"/>
          </w:tcPr>
          <w:p>
            <w:pPr>
              <w:spacing w:after="20"/>
            </w:pPr>
            <w:r>
              <w:rPr>
                <w:sz w:val="19"/>
              </w:rPr>
              <w:t>React Router 6</w:t>
            </w:r>
          </w:p>
        </w:tc>
        <w:tc>
          <w:tcPr>
            <w:tcW w:type="dxa" w:w="4464"/>
          </w:tcPr>
          <w:p>
            <w:pPr>
              <w:spacing w:after="20"/>
            </w:pPr>
            <w:r>
              <w:rPr>
                <w:sz w:val="19"/>
              </w:rPr>
              <w:t>SPA rota yönetimi</w:t>
            </w:r>
          </w:p>
        </w:tc>
      </w:tr>
      <w:tr>
        <w:tc>
          <w:tcPr>
            <w:tcW w:type="dxa" w:w="2304"/>
            <w:shd w:val="clear" w:fill="F3F4F6"/>
          </w:tcPr>
          <w:p>
            <w:pPr>
              <w:spacing w:after="20"/>
            </w:pPr>
            <w:r>
              <w:rPr>
                <w:sz w:val="19"/>
              </w:rPr>
              <w:t>Sunucu durumu</w:t>
            </w:r>
          </w:p>
        </w:tc>
        <w:tc>
          <w:tcPr>
            <w:tcW w:type="dxa" w:w="2736"/>
            <w:shd w:val="clear" w:fill="F3F4F6"/>
          </w:tcPr>
          <w:p>
            <w:pPr>
              <w:spacing w:after="20"/>
            </w:pPr>
            <w:r>
              <w:rPr>
                <w:sz w:val="19"/>
              </w:rPr>
              <w:t>TanStack Query 5</w:t>
            </w:r>
          </w:p>
        </w:tc>
        <w:tc>
          <w:tcPr>
            <w:tcW w:type="dxa" w:w="4464"/>
            <w:shd w:val="clear" w:fill="F3F4F6"/>
          </w:tcPr>
          <w:p>
            <w:pPr>
              <w:spacing w:after="20"/>
            </w:pPr>
            <w:r>
              <w:rPr>
                <w:sz w:val="19"/>
              </w:rPr>
              <w:t>API veri önbelleği/senkron</w:t>
            </w:r>
          </w:p>
        </w:tc>
      </w:tr>
      <w:tr>
        <w:tc>
          <w:tcPr>
            <w:tcW w:type="dxa" w:w="2304"/>
          </w:tcPr>
          <w:p>
            <w:pPr>
              <w:spacing w:after="20"/>
            </w:pPr>
            <w:r>
              <w:rPr>
                <w:sz w:val="19"/>
              </w:rPr>
              <w:t>HTTP</w:t>
            </w:r>
          </w:p>
        </w:tc>
        <w:tc>
          <w:tcPr>
            <w:tcW w:type="dxa" w:w="2736"/>
          </w:tcPr>
          <w:p>
            <w:pPr>
              <w:spacing w:after="20"/>
            </w:pPr>
            <w:r>
              <w:rPr>
                <w:sz w:val="19"/>
              </w:rPr>
              <w:t>axios</w:t>
            </w:r>
          </w:p>
        </w:tc>
        <w:tc>
          <w:tcPr>
            <w:tcW w:type="dxa" w:w="4464"/>
          </w:tcPr>
          <w:p>
            <w:pPr>
              <w:spacing w:after="20"/>
            </w:pPr>
            <w:r>
              <w:rPr>
                <w:sz w:val="19"/>
              </w:rPr>
              <w:t>İstek interceptor + token</w:t>
            </w:r>
          </w:p>
        </w:tc>
      </w:tr>
      <w:tr>
        <w:tc>
          <w:tcPr>
            <w:tcW w:type="dxa" w:w="2304"/>
            <w:shd w:val="clear" w:fill="F3F4F6"/>
          </w:tcPr>
          <w:p>
            <w:pPr>
              <w:spacing w:after="20"/>
            </w:pPr>
            <w:r>
              <w:rPr>
                <w:sz w:val="19"/>
              </w:rPr>
              <w:t>Çoklu dil</w:t>
            </w:r>
          </w:p>
        </w:tc>
        <w:tc>
          <w:tcPr>
            <w:tcW w:type="dxa" w:w="2736"/>
            <w:shd w:val="clear" w:fill="F3F4F6"/>
          </w:tcPr>
          <w:p>
            <w:pPr>
              <w:spacing w:after="20"/>
            </w:pPr>
            <w:r>
              <w:rPr>
                <w:sz w:val="19"/>
              </w:rPr>
              <w:t>i18next</w:t>
            </w:r>
          </w:p>
        </w:tc>
        <w:tc>
          <w:tcPr>
            <w:tcW w:type="dxa" w:w="4464"/>
            <w:shd w:val="clear" w:fill="F3F4F6"/>
          </w:tcPr>
          <w:p>
            <w:pPr>
              <w:spacing w:after="20"/>
            </w:pPr>
            <w:r>
              <w:rPr>
                <w:sz w:val="19"/>
              </w:rPr>
              <w:t>TR/EN yerelleştirme</w:t>
            </w:r>
          </w:p>
        </w:tc>
      </w:tr>
      <w:tr>
        <w:tc>
          <w:tcPr>
            <w:tcW w:type="dxa" w:w="2304"/>
          </w:tcPr>
          <w:p>
            <w:pPr>
              <w:spacing w:after="20"/>
            </w:pPr>
            <w:r>
              <w:rPr>
                <w:sz w:val="19"/>
              </w:rPr>
              <w:t>PDF</w:t>
            </w:r>
          </w:p>
        </w:tc>
        <w:tc>
          <w:tcPr>
            <w:tcW w:type="dxa" w:w="2736"/>
          </w:tcPr>
          <w:p>
            <w:pPr>
              <w:spacing w:after="20"/>
            </w:pPr>
            <w:r>
              <w:rPr>
                <w:sz w:val="19"/>
              </w:rPr>
              <w:t>html2pdf.js</w:t>
            </w:r>
          </w:p>
        </w:tc>
        <w:tc>
          <w:tcPr>
            <w:tcW w:type="dxa" w:w="4464"/>
          </w:tcPr>
          <w:p>
            <w:pPr>
              <w:spacing w:after="20"/>
            </w:pPr>
            <w:r>
              <w:rPr>
                <w:sz w:val="19"/>
              </w:rPr>
              <w:t>Bildirimi yazdırma/PDF</w:t>
            </w:r>
          </w:p>
        </w:tc>
      </w:tr>
    </w:tbl>
    <w:p>
      <w:pPr>
        <w:pStyle w:val="Heading2"/>
      </w:pPr>
      <w:r>
        <w:rPr>
          <w:b/>
          <w:color w:val="0F766E"/>
          <w:sz w:val="25"/>
        </w:rPr>
        <w:t>Altyapı</w:t>
      </w:r>
    </w:p>
    <w:p>
      <w:pPr>
        <w:spacing w:after="120"/>
      </w:pPr>
      <w:r>
        <w:rPr>
          <w:b w:val="0"/>
          <w:i w:val="0"/>
          <w:sz w:val="21"/>
        </w:rPr>
        <w:t>docker-compose.yml üç servisi tek komutla ayağa kaldırır: PostgreSQL (host portu 5433), pgAdmin (web yönetimi, 5050) ve MinIO (S3 API 9000 / konsol 9001). Bucket (hse-uploads) backend ilk açılışta otomatik oluşturulur; sağlık kontrolü (healthcheck) ile servis hazırlığı denetlenir.</w:t>
      </w:r>
    </w:p>
    <w:p>
      <w:r>
        <w:br w:type="page"/>
      </w:r>
    </w:p>
    <w:p>
      <w:pPr>
        <w:shd w:val="clear" w:fill="0B2545"/>
        <w:spacing w:before="80" w:after="80"/>
      </w:pPr>
      <w:r>
        <w:rPr>
          <w:rFonts w:ascii="Calibri" w:hAnsi="Calibri"/>
          <w:b/>
          <w:color w:val="FFFFFF"/>
          <w:sz w:val="32"/>
        </w:rPr>
        <w:t>3. Sistem Mimarisi (Genel Bakış)</w:t>
      </w:r>
    </w:p>
    <w:p>
      <w:pPr>
        <w:spacing w:after="120"/>
      </w:pPr>
      <w:r>
        <w:rPr>
          <w:b w:val="0"/>
          <w:i w:val="0"/>
          <w:sz w:val="21"/>
        </w:rPr>
        <w:t>Uygulama klasik üç katmanlı bir mimariyi izler: tarayıcıda çalışan SPA istemci, REST API sunucusu ve veri/depolama katmanı. İstemci ile sunucu arasındaki tüm trafik JWT taşıyıcı (Bearer) token ile korunur; her istek global guard zincirinden geçer.</w:t>
      </w:r>
    </w:p>
    <w:p>
      <w:pPr>
        <w:jc w:val="center"/>
      </w:pPr>
      <w:r>
        <w:drawing>
          <wp:inline xmlns:a="http://schemas.openxmlformats.org/drawingml/2006/main" xmlns:pic="http://schemas.openxmlformats.org/drawingml/2006/picture">
            <wp:extent cx="6035040" cy="1339103"/>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035040" cy="1339103"/>
                    </a:xfrm>
                    <a:prstGeom prst="rect"/>
                  </pic:spPr>
                </pic:pic>
              </a:graphicData>
            </a:graphic>
          </wp:inline>
        </w:drawing>
      </w:r>
    </w:p>
    <w:p>
      <w:pPr>
        <w:jc w:val="center"/>
      </w:pPr>
      <w:r>
        <w:rPr>
          <w:i/>
          <w:color w:val="555F6D"/>
          <w:sz w:val="18"/>
        </w:rPr>
        <w:t>Şekil 1 — Katmanlı sistem mimarisi (istemci / sunucu / veri)</w:t>
      </w:r>
    </w:p>
    <w:p>
      <w:pPr>
        <w:pStyle w:val="Heading2"/>
      </w:pPr>
      <w:r>
        <w:rPr>
          <w:b/>
          <w:color w:val="0F766E"/>
          <w:sz w:val="25"/>
        </w:rPr>
        <w:t>İstek Yaşam Döngüsü (Request Lifecycle)</w:t>
      </w:r>
    </w:p>
    <w:p>
      <w:pPr>
        <w:pStyle w:val="ListNumber"/>
        <w:spacing w:after="60"/>
      </w:pPr>
      <w:r>
        <w:t>React bileşeni bir eylem tetikler; axios interceptor isteğe Authorization: Bearer &lt;token&gt; ekler.</w:t>
      </w:r>
    </w:p>
    <w:p>
      <w:pPr>
        <w:pStyle w:val="ListNumber"/>
        <w:spacing w:after="60"/>
      </w:pPr>
      <w:r>
        <w:t>Vite dev sunucusu /api isteklerini NestJS'e (localhost:3000) yönlendirir (proxy).</w:t>
      </w:r>
    </w:p>
    <w:p>
      <w:pPr>
        <w:pStyle w:val="ListNumber"/>
        <w:spacing w:after="60"/>
      </w:pPr>
      <w:r>
        <w:t>JwtAuthGuard token'ı doğrular; jwt.strategy kullanıcıyı DB'den taze yükler (rol değişiklikleri anında yansır).</w:t>
      </w:r>
    </w:p>
    <w:p>
      <w:pPr>
        <w:pStyle w:val="ListNumber"/>
        <w:spacing w:after="60"/>
      </w:pPr>
      <w:r>
        <w:t>PermissionsGuard uçtaki @RequirePermissions ile kullanıcının izinlerini karşılaştırır.</w:t>
      </w:r>
    </w:p>
    <w:p>
      <w:pPr>
        <w:pStyle w:val="ListNumber"/>
        <w:spacing w:after="60"/>
      </w:pPr>
      <w:r>
        <w:t>Controller, ValidationPipe'tan geçen DTO'yu servise iletir; servis Prisma ile veriye erişir.</w:t>
      </w:r>
    </w:p>
    <w:p>
      <w:pPr>
        <w:pStyle w:val="ListNumber"/>
        <w:spacing w:after="60"/>
      </w:pPr>
      <w:r>
        <w:t>Kritik işlemler AuditService ile sessizce loglanır; ilgili kullanıcılara in-app bildirim düşer.</w:t>
      </w:r>
    </w:p>
    <w:p>
      <w:r>
        <w:br w:type="page"/>
      </w:r>
    </w:p>
    <w:p>
      <w:pPr>
        <w:shd w:val="clear" w:fill="0B2545"/>
        <w:spacing w:before="80" w:after="80"/>
      </w:pPr>
      <w:r>
        <w:rPr>
          <w:rFonts w:ascii="Calibri" w:hAnsi="Calibri"/>
          <w:b/>
          <w:color w:val="FFFFFF"/>
          <w:sz w:val="32"/>
        </w:rPr>
        <w:t>4. Katman Katman Teknik Analiz</w:t>
      </w:r>
    </w:p>
    <w:p>
      <w:pPr>
        <w:pStyle w:val="Heading1"/>
        <w:spacing w:before="200"/>
      </w:pPr>
      <w:r>
        <w:rPr>
          <w:b/>
          <w:color w:val="0F766E"/>
          <w:sz w:val="30"/>
        </w:rPr>
        <w:t>4.1 Altyapı &amp; DevOps Katmanı</w:t>
      </w:r>
    </w:p>
    <w:p>
      <w:pPr>
        <w:spacing w:after="120"/>
      </w:pPr>
      <w:r>
        <w:rPr>
          <w:b w:val="0"/>
          <w:i w:val="0"/>
          <w:sz w:val="21"/>
        </w:rPr>
        <w:t>Tek bir docker-compose dosyası tüm bağımlılıkları taşınabilir kılar. PostgreSQL host portu bilinçli olarak 5433'e alınmıştır (yerel 5432 çakışmasını önlemek için). MinIO kök kullanıcı bilgileri ortam değişkeniyle verilir ve bucket private kalır. Bu yaklaşım, geliştiricinin makinesinde 'çalıştır ve unut' türü bir kurulum sağlar.</w:t>
      </w:r>
    </w:p>
    <w:p>
      <w:pPr>
        <w:pStyle w:val="ListBullet"/>
        <w:spacing w:after="60"/>
        <w:ind w:left="403"/>
      </w:pPr>
      <w:r>
        <w:rPr>
          <w:sz w:val="21"/>
        </w:rPr>
        <w:t>docker-compose.yml — PostgreSQL + pgAdmin + MinIO orkestrasyonu, healthcheck ve kalıcı volume'lar.</w:t>
      </w:r>
    </w:p>
    <w:p>
      <w:pPr>
        <w:pStyle w:val="ListBullet"/>
        <w:spacing w:after="60"/>
        <w:ind w:left="403"/>
      </w:pPr>
      <w:r>
        <w:rPr>
          <w:sz w:val="21"/>
        </w:rPr>
        <w:t>pgadmin/servers.json — DB bağlantısını önceden tanımlı getirir; ilk açılış sürtünmesini azaltır.</w:t>
      </w:r>
    </w:p>
    <w:p>
      <w:pPr>
        <w:pStyle w:val="ListBullet"/>
        <w:spacing w:after="60"/>
        <w:ind w:left="403"/>
      </w:pPr>
      <w:r>
        <w:rPr>
          <w:sz w:val="21"/>
        </w:rPr>
        <w:t>.env / .env.example — DATABASE_URL, JWT_SECRET, CORS_ORIGIN, MinIO ve süper admin tohum değerleri.</w:t>
      </w:r>
    </w:p>
    <w:p>
      <w:pPr>
        <w:pStyle w:val="Heading1"/>
        <w:spacing w:before="200"/>
      </w:pPr>
      <w:r>
        <w:rPr>
          <w:b/>
          <w:color w:val="7C3AED"/>
          <w:sz w:val="30"/>
        </w:rPr>
        <w:t>4.2 Veri Modeli Katmanı (Prisma)</w:t>
      </w:r>
    </w:p>
    <w:p>
      <w:pPr>
        <w:spacing w:after="120"/>
      </w:pPr>
      <w:r>
        <w:rPr>
          <w:b w:val="0"/>
          <w:i w:val="0"/>
          <w:sz w:val="21"/>
        </w:rPr>
        <w:t>Şema 9 ana modelden oluşur ve iş alanını (domain) titizlikle enum'larla kodlar. En kritik tasarım kararı, iki bildirim türünün (İş Kazası / Ramak Kala) tek bir Report tablosunda 'type' alanıyla ayrılmasıdır (single-table inheritance). Bu, ortak iş akışını (durum, atama, CAPA, ekler) tek yerde tutarken türe özel alanları isteğe bağlı bırakır.</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7C3AED"/>
          </w:tcPr>
          <w:p>
            <w:r>
              <w:rPr>
                <w:b/>
                <w:color w:val="FFFFFF"/>
                <w:sz w:val="19"/>
              </w:rPr>
              <w:t>Model</w:t>
            </w:r>
          </w:p>
        </w:tc>
        <w:tc>
          <w:tcPr>
            <w:tcW w:type="dxa" w:w="3744"/>
            <w:shd w:val="clear" w:fill="7C3AED"/>
          </w:tcPr>
          <w:p>
            <w:r>
              <w:rPr>
                <w:b/>
                <w:color w:val="FFFFFF"/>
                <w:sz w:val="19"/>
              </w:rPr>
              <w:t>Sorumluluk</w:t>
            </w:r>
          </w:p>
        </w:tc>
        <w:tc>
          <w:tcPr>
            <w:tcW w:type="dxa" w:w="3600"/>
            <w:shd w:val="clear" w:fill="7C3AED"/>
          </w:tcPr>
          <w:p>
            <w:r>
              <w:rPr>
                <w:b/>
                <w:color w:val="FFFFFF"/>
                <w:sz w:val="19"/>
              </w:rPr>
              <w:t>Öne çıkan ilişkiler</w:t>
            </w:r>
          </w:p>
        </w:tc>
      </w:tr>
      <w:tr>
        <w:tc>
          <w:tcPr>
            <w:tcW w:type="dxa" w:w="2160"/>
          </w:tcPr>
          <w:p>
            <w:pPr>
              <w:spacing w:after="20"/>
            </w:pPr>
            <w:r>
              <w:rPr>
                <w:sz w:val="19"/>
              </w:rPr>
              <w:t>User</w:t>
            </w:r>
          </w:p>
        </w:tc>
        <w:tc>
          <w:tcPr>
            <w:tcW w:type="dxa" w:w="3744"/>
          </w:tcPr>
          <w:p>
            <w:pPr>
              <w:spacing w:after="20"/>
            </w:pPr>
            <w:r>
              <w:rPr>
                <w:sz w:val="19"/>
              </w:rPr>
              <w:t>Kullanıcı, durum (PENDING/VERIFIED...), rütbe</w:t>
            </w:r>
          </w:p>
        </w:tc>
        <w:tc>
          <w:tcPr>
            <w:tcW w:type="dxa" w:w="3600"/>
          </w:tcPr>
          <w:p>
            <w:pPr>
              <w:spacing w:after="20"/>
            </w:pPr>
            <w:r>
              <w:rPr>
                <w:sz w:val="19"/>
              </w:rPr>
              <w:t>Role (N:1), UserDepartment (N:M), Report</w:t>
            </w:r>
          </w:p>
        </w:tc>
      </w:tr>
      <w:tr>
        <w:tc>
          <w:tcPr>
            <w:tcW w:type="dxa" w:w="2160"/>
            <w:shd w:val="clear" w:fill="F3F4F6"/>
          </w:tcPr>
          <w:p>
            <w:pPr>
              <w:spacing w:after="20"/>
            </w:pPr>
            <w:r>
              <w:rPr>
                <w:sz w:val="19"/>
              </w:rPr>
              <w:t>Role</w:t>
            </w:r>
          </w:p>
        </w:tc>
        <w:tc>
          <w:tcPr>
            <w:tcW w:type="dxa" w:w="3744"/>
            <w:shd w:val="clear" w:fill="F3F4F6"/>
          </w:tcPr>
          <w:p>
            <w:pPr>
              <w:spacing w:after="20"/>
            </w:pPr>
            <w:r>
              <w:rPr>
                <w:sz w:val="19"/>
              </w:rPr>
              <w:t>İzin listesi taşıyan rol</w:t>
            </w:r>
          </w:p>
        </w:tc>
        <w:tc>
          <w:tcPr>
            <w:tcW w:type="dxa" w:w="3600"/>
            <w:shd w:val="clear" w:fill="F3F4F6"/>
          </w:tcPr>
          <w:p>
            <w:pPr>
              <w:spacing w:after="20"/>
            </w:pPr>
            <w:r>
              <w:rPr>
                <w:sz w:val="19"/>
              </w:rPr>
              <w:t>Permission[] enum dizisi, User</w:t>
            </w:r>
          </w:p>
        </w:tc>
      </w:tr>
      <w:tr>
        <w:tc>
          <w:tcPr>
            <w:tcW w:type="dxa" w:w="2160"/>
          </w:tcPr>
          <w:p>
            <w:pPr>
              <w:spacing w:after="20"/>
            </w:pPr>
            <w:r>
              <w:rPr>
                <w:sz w:val="19"/>
              </w:rPr>
              <w:t>Department</w:t>
            </w:r>
          </w:p>
        </w:tc>
        <w:tc>
          <w:tcPr>
            <w:tcW w:type="dxa" w:w="3744"/>
          </w:tcPr>
          <w:p>
            <w:pPr>
              <w:spacing w:after="20"/>
            </w:pPr>
            <w:r>
              <w:rPr>
                <w:sz w:val="19"/>
              </w:rPr>
              <w:t>Birim/bölüm</w:t>
            </w:r>
          </w:p>
        </w:tc>
        <w:tc>
          <w:tcPr>
            <w:tcW w:type="dxa" w:w="3600"/>
          </w:tcPr>
          <w:p>
            <w:pPr>
              <w:spacing w:after="20"/>
            </w:pPr>
            <w:r>
              <w:rPr>
                <w:sz w:val="19"/>
              </w:rPr>
              <w:t>UserDepartment, Report</w:t>
            </w:r>
          </w:p>
        </w:tc>
      </w:tr>
      <w:tr>
        <w:tc>
          <w:tcPr>
            <w:tcW w:type="dxa" w:w="2160"/>
            <w:shd w:val="clear" w:fill="F3F4F6"/>
          </w:tcPr>
          <w:p>
            <w:pPr>
              <w:spacing w:after="20"/>
            </w:pPr>
            <w:r>
              <w:rPr>
                <w:sz w:val="19"/>
              </w:rPr>
              <w:t>Report</w:t>
            </w:r>
          </w:p>
        </w:tc>
        <w:tc>
          <w:tcPr>
            <w:tcW w:type="dxa" w:w="3744"/>
            <w:shd w:val="clear" w:fill="F3F4F6"/>
          </w:tcPr>
          <w:p>
            <w:pPr>
              <w:spacing w:after="20"/>
            </w:pPr>
            <w:r>
              <w:rPr>
                <w:sz w:val="19"/>
              </w:rPr>
              <w:t>İş kazası &amp; ramak kala (tek tablo)</w:t>
            </w:r>
          </w:p>
        </w:tc>
        <w:tc>
          <w:tcPr>
            <w:tcW w:type="dxa" w:w="3600"/>
            <w:shd w:val="clear" w:fill="F3F4F6"/>
          </w:tcPr>
          <w:p>
            <w:pPr>
              <w:spacing w:after="20"/>
            </w:pPr>
            <w:r>
              <w:rPr>
                <w:sz w:val="19"/>
              </w:rPr>
              <w:t>reporter, assignedTo, closedBy, department</w:t>
            </w:r>
          </w:p>
        </w:tc>
      </w:tr>
      <w:tr>
        <w:tc>
          <w:tcPr>
            <w:tcW w:type="dxa" w:w="2160"/>
          </w:tcPr>
          <w:p>
            <w:pPr>
              <w:spacing w:after="20"/>
            </w:pPr>
            <w:r>
              <w:rPr>
                <w:sz w:val="19"/>
              </w:rPr>
              <w:t>BodyInjury</w:t>
            </w:r>
          </w:p>
        </w:tc>
        <w:tc>
          <w:tcPr>
            <w:tcW w:type="dxa" w:w="3744"/>
          </w:tcPr>
          <w:p>
            <w:pPr>
              <w:spacing w:after="20"/>
            </w:pPr>
            <w:r>
              <w:rPr>
                <w:sz w:val="19"/>
              </w:rPr>
              <w:t>Vücut haritası yaralanma noktaları</w:t>
            </w:r>
          </w:p>
        </w:tc>
        <w:tc>
          <w:tcPr>
            <w:tcW w:type="dxa" w:w="3600"/>
          </w:tcPr>
          <w:p>
            <w:pPr>
              <w:spacing w:after="20"/>
            </w:pPr>
            <w:r>
              <w:rPr>
                <w:sz w:val="19"/>
              </w:rPr>
              <w:t>Report (N:1, cascade)</w:t>
            </w:r>
          </w:p>
        </w:tc>
      </w:tr>
      <w:tr>
        <w:tc>
          <w:tcPr>
            <w:tcW w:type="dxa" w:w="2160"/>
            <w:shd w:val="clear" w:fill="F3F4F6"/>
          </w:tcPr>
          <w:p>
            <w:pPr>
              <w:spacing w:after="20"/>
            </w:pPr>
            <w:r>
              <w:rPr>
                <w:sz w:val="19"/>
              </w:rPr>
              <w:t>CorrectiveAction</w:t>
            </w:r>
          </w:p>
        </w:tc>
        <w:tc>
          <w:tcPr>
            <w:tcW w:type="dxa" w:w="3744"/>
            <w:shd w:val="clear" w:fill="F3F4F6"/>
          </w:tcPr>
          <w:p>
            <w:pPr>
              <w:spacing w:after="20"/>
            </w:pPr>
            <w:r>
              <w:rPr>
                <w:sz w:val="19"/>
              </w:rPr>
              <w:t>Düzeltici/önleyici faaliyet (CAPA)</w:t>
            </w:r>
          </w:p>
        </w:tc>
        <w:tc>
          <w:tcPr>
            <w:tcW w:type="dxa" w:w="3600"/>
            <w:shd w:val="clear" w:fill="F3F4F6"/>
          </w:tcPr>
          <w:p>
            <w:pPr>
              <w:spacing w:after="20"/>
            </w:pPr>
            <w:r>
              <w:rPr>
                <w:sz w:val="19"/>
              </w:rPr>
              <w:t>Report, assignedTo</w:t>
            </w:r>
          </w:p>
        </w:tc>
      </w:tr>
      <w:tr>
        <w:tc>
          <w:tcPr>
            <w:tcW w:type="dxa" w:w="2160"/>
          </w:tcPr>
          <w:p>
            <w:pPr>
              <w:spacing w:after="20"/>
            </w:pPr>
            <w:r>
              <w:rPr>
                <w:sz w:val="19"/>
              </w:rPr>
              <w:t>Notification</w:t>
            </w:r>
          </w:p>
        </w:tc>
        <w:tc>
          <w:tcPr>
            <w:tcW w:type="dxa" w:w="3744"/>
          </w:tcPr>
          <w:p>
            <w:pPr>
              <w:spacing w:after="20"/>
            </w:pPr>
            <w:r>
              <w:rPr>
                <w:sz w:val="19"/>
              </w:rPr>
              <w:t>Uygulama içi bildirim</w:t>
            </w:r>
          </w:p>
        </w:tc>
        <w:tc>
          <w:tcPr>
            <w:tcW w:type="dxa" w:w="3600"/>
          </w:tcPr>
          <w:p>
            <w:pPr>
              <w:spacing w:after="20"/>
            </w:pPr>
            <w:r>
              <w:rPr>
                <w:sz w:val="19"/>
              </w:rPr>
              <w:t>user, sender, targetUser, report</w:t>
            </w:r>
          </w:p>
        </w:tc>
      </w:tr>
      <w:tr>
        <w:tc>
          <w:tcPr>
            <w:tcW w:type="dxa" w:w="2160"/>
            <w:shd w:val="clear" w:fill="F3F4F6"/>
          </w:tcPr>
          <w:p>
            <w:pPr>
              <w:spacing w:after="20"/>
            </w:pPr>
            <w:r>
              <w:rPr>
                <w:sz w:val="19"/>
              </w:rPr>
              <w:t>AuditLog</w:t>
            </w:r>
          </w:p>
        </w:tc>
        <w:tc>
          <w:tcPr>
            <w:tcW w:type="dxa" w:w="3744"/>
            <w:shd w:val="clear" w:fill="F3F4F6"/>
          </w:tcPr>
          <w:p>
            <w:pPr>
              <w:spacing w:after="20"/>
            </w:pPr>
            <w:r>
              <w:rPr>
                <w:sz w:val="19"/>
              </w:rPr>
              <w:t>Denetim kaydı (kim-ne-ne zaman)</w:t>
            </w:r>
          </w:p>
        </w:tc>
        <w:tc>
          <w:tcPr>
            <w:tcW w:type="dxa" w:w="3600"/>
            <w:shd w:val="clear" w:fill="F3F4F6"/>
          </w:tcPr>
          <w:p>
            <w:pPr>
              <w:spacing w:after="20"/>
            </w:pPr>
            <w:r>
              <w:rPr>
                <w:sz w:val="19"/>
              </w:rPr>
              <w:t>actor (SetNull), actorName anlık saklanır</w:t>
            </w:r>
          </w:p>
        </w:tc>
      </w:tr>
      <w:tr>
        <w:tc>
          <w:tcPr>
            <w:tcW w:type="dxa" w:w="2160"/>
          </w:tcPr>
          <w:p>
            <w:pPr>
              <w:spacing w:after="20"/>
            </w:pPr>
            <w:r>
              <w:rPr>
                <w:sz w:val="19"/>
              </w:rPr>
              <w:t>UserDepartment</w:t>
            </w:r>
          </w:p>
        </w:tc>
        <w:tc>
          <w:tcPr>
            <w:tcW w:type="dxa" w:w="3744"/>
          </w:tcPr>
          <w:p>
            <w:pPr>
              <w:spacing w:after="20"/>
            </w:pPr>
            <w:r>
              <w:rPr>
                <w:sz w:val="19"/>
              </w:rPr>
              <w:t>Kullanıcı-Birim çoka-çok bağı</w:t>
            </w:r>
          </w:p>
        </w:tc>
        <w:tc>
          <w:tcPr>
            <w:tcW w:type="dxa" w:w="3600"/>
          </w:tcPr>
          <w:p>
            <w:pPr>
              <w:spacing w:after="20"/>
            </w:pPr>
            <w:r>
              <w:rPr>
                <w:sz w:val="19"/>
              </w:rPr>
              <w:t>User + Department bileşik anahtar</w:t>
            </w:r>
          </w:p>
        </w:tc>
      </w:tr>
    </w:tbl>
    <w:p>
      <w:pPr>
        <w:spacing w:after="120"/>
      </w:pPr>
      <w:r>
        <w:rPr>
          <w:b w:val="0"/>
          <w:i/>
          <w:color w:val="555F6D"/>
          <w:sz w:val="21"/>
        </w:rPr>
        <w:t>Silme davranışları özenle seçilmiştir: bildirimi olan kullanıcı Restrict ile silinemez (kayıtlar korunur); BodyInjury ve CorrectiveAction Report'a Cascade bağlıdır; AuditLog aktörü SetNull olur ama actorName metni kalıcı saklanır (kullanıcı silinse bile denetim izi bozulmaz).</w:t>
      </w:r>
    </w:p>
    <w:p>
      <w:pPr>
        <w:pStyle w:val="Heading1"/>
        <w:spacing w:before="200"/>
      </w:pPr>
      <w:r>
        <w:rPr>
          <w:b/>
          <w:color w:val="1D4ED8"/>
          <w:sz w:val="30"/>
        </w:rPr>
        <w:t>4.3 Backend Uygulama Katmanı (NestJS)</w:t>
      </w:r>
    </w:p>
    <w:p>
      <w:pPr>
        <w:spacing w:after="120"/>
      </w:pPr>
      <w:r>
        <w:rPr>
          <w:b w:val="0"/>
          <w:i w:val="0"/>
          <w:sz w:val="21"/>
        </w:rPr>
        <w:t>8 modül tek bir AppModule altında toplanır. Modüller net sorumluluk sınırlarına sahiptir ve bağımlılık enjeksiyonu (DI) ile gevşek bağlıdır. main.ts global '/api' öneki, CORS ve whitelist'li ValidationPipe kurar — böylece DTO'da tanımlı olmayan alanlar sessizce ayıklanır.</w:t>
      </w:r>
    </w:p>
    <w:tbl>
      <w:tblPr>
        <w:tblStyle w:val="TableGrid"/>
        <w:tblW w:type="auto" w:w="0"/>
        <w:jc w:val="center"/>
        <w:tblLook w:firstColumn="1" w:firstRow="1" w:lastColumn="0" w:lastRow="0" w:noHBand="0" w:noVBand="1" w:val="04A0"/>
      </w:tblPr>
      <w:tblGrid>
        <w:gridCol w:w="4896"/>
        <w:gridCol w:w="4896"/>
      </w:tblGrid>
      <w:tr>
        <w:tc>
          <w:tcPr>
            <w:tcW w:type="dxa" w:w="2160"/>
            <w:shd w:val="clear" w:fill="1D4ED8"/>
          </w:tcPr>
          <w:p>
            <w:r>
              <w:rPr>
                <w:b/>
                <w:color w:val="FFFFFF"/>
                <w:sz w:val="19"/>
              </w:rPr>
              <w:t>Modül</w:t>
            </w:r>
          </w:p>
        </w:tc>
        <w:tc>
          <w:tcPr>
            <w:tcW w:type="dxa" w:w="7344"/>
            <w:shd w:val="clear" w:fill="1D4ED8"/>
          </w:tcPr>
          <w:p>
            <w:r>
              <w:rPr>
                <w:b/>
                <w:color w:val="FFFFFF"/>
                <w:sz w:val="19"/>
              </w:rPr>
              <w:t>Ne yapar</w:t>
            </w:r>
          </w:p>
        </w:tc>
      </w:tr>
      <w:tr>
        <w:tc>
          <w:tcPr>
            <w:tcW w:type="dxa" w:w="2160"/>
          </w:tcPr>
          <w:p>
            <w:pPr>
              <w:spacing w:after="20"/>
            </w:pPr>
            <w:r>
              <w:rPr>
                <w:sz w:val="19"/>
              </w:rPr>
              <w:t>Auth</w:t>
            </w:r>
          </w:p>
        </w:tc>
        <w:tc>
          <w:tcPr>
            <w:tcW w:type="dxa" w:w="7344"/>
          </w:tcPr>
          <w:p>
            <w:pPr>
              <w:spacing w:after="20"/>
            </w:pPr>
            <w:r>
              <w:rPr>
                <w:sz w:val="19"/>
              </w:rPr>
              <w:t>Kayıt, giriş, JWT üretimi, /me, profil ve şifre değişikliği</w:t>
            </w:r>
          </w:p>
        </w:tc>
      </w:tr>
      <w:tr>
        <w:tc>
          <w:tcPr>
            <w:tcW w:type="dxa" w:w="2160"/>
            <w:shd w:val="clear" w:fill="F3F4F6"/>
          </w:tcPr>
          <w:p>
            <w:pPr>
              <w:spacing w:after="20"/>
            </w:pPr>
            <w:r>
              <w:rPr>
                <w:sz w:val="19"/>
              </w:rPr>
              <w:t>Users</w:t>
            </w:r>
          </w:p>
        </w:tc>
        <w:tc>
          <w:tcPr>
            <w:tcW w:type="dxa" w:w="7344"/>
            <w:shd w:val="clear" w:fill="F3F4F6"/>
          </w:tcPr>
          <w:p>
            <w:pPr>
              <w:spacing w:after="20"/>
            </w:pPr>
            <w:r>
              <w:rPr>
                <w:sz w:val="19"/>
              </w:rPr>
              <w:t>Onay iş akışı, rol/rütbe/birim atama, askıya alma, atanabilir kullanıcılar</w:t>
            </w:r>
          </w:p>
        </w:tc>
      </w:tr>
      <w:tr>
        <w:tc>
          <w:tcPr>
            <w:tcW w:type="dxa" w:w="2160"/>
          </w:tcPr>
          <w:p>
            <w:pPr>
              <w:spacing w:after="20"/>
            </w:pPr>
            <w:r>
              <w:rPr>
                <w:sz w:val="19"/>
              </w:rPr>
              <w:t>Roles</w:t>
            </w:r>
          </w:p>
        </w:tc>
        <w:tc>
          <w:tcPr>
            <w:tcW w:type="dxa" w:w="7344"/>
          </w:tcPr>
          <w:p>
            <w:pPr>
              <w:spacing w:after="20"/>
            </w:pPr>
            <w:r>
              <w:rPr>
                <w:sz w:val="19"/>
              </w:rPr>
              <w:t>Rol ve granüler izin (Permission) yönetimi; sistem rolleri korunur</w:t>
            </w:r>
          </w:p>
        </w:tc>
      </w:tr>
      <w:tr>
        <w:tc>
          <w:tcPr>
            <w:tcW w:type="dxa" w:w="2160"/>
            <w:shd w:val="clear" w:fill="F3F4F6"/>
          </w:tcPr>
          <w:p>
            <w:pPr>
              <w:spacing w:after="20"/>
            </w:pPr>
            <w:r>
              <w:rPr>
                <w:sz w:val="19"/>
              </w:rPr>
              <w:t>Departments</w:t>
            </w:r>
          </w:p>
        </w:tc>
        <w:tc>
          <w:tcPr>
            <w:tcW w:type="dxa" w:w="7344"/>
            <w:shd w:val="clear" w:fill="F3F4F6"/>
          </w:tcPr>
          <w:p>
            <w:pPr>
              <w:spacing w:after="20"/>
            </w:pPr>
            <w:r>
              <w:rPr>
                <w:sz w:val="19"/>
              </w:rPr>
              <w:t>Birim CRUD (3 karakter kod kuralı ile)</w:t>
            </w:r>
          </w:p>
        </w:tc>
      </w:tr>
      <w:tr>
        <w:tc>
          <w:tcPr>
            <w:tcW w:type="dxa" w:w="2160"/>
          </w:tcPr>
          <w:p>
            <w:pPr>
              <w:spacing w:after="20"/>
            </w:pPr>
            <w:r>
              <w:rPr>
                <w:sz w:val="19"/>
              </w:rPr>
              <w:t>Reports</w:t>
            </w:r>
          </w:p>
        </w:tc>
        <w:tc>
          <w:tcPr>
            <w:tcW w:type="dxa" w:w="7344"/>
          </w:tcPr>
          <w:p>
            <w:pPr>
              <w:spacing w:after="20"/>
            </w:pPr>
            <w:r>
              <w:rPr>
                <w:sz w:val="19"/>
              </w:rPr>
              <w:t>Bildirim oluşturma, listeleme (kapsamlı), durum, atama, CAPA, istatistik</w:t>
            </w:r>
          </w:p>
        </w:tc>
      </w:tr>
      <w:tr>
        <w:tc>
          <w:tcPr>
            <w:tcW w:type="dxa" w:w="2160"/>
            <w:shd w:val="clear" w:fill="F3F4F6"/>
          </w:tcPr>
          <w:p>
            <w:pPr>
              <w:spacing w:after="20"/>
            </w:pPr>
            <w:r>
              <w:rPr>
                <w:sz w:val="19"/>
              </w:rPr>
              <w:t>Notifications</w:t>
            </w:r>
          </w:p>
        </w:tc>
        <w:tc>
          <w:tcPr>
            <w:tcW w:type="dxa" w:w="7344"/>
            <w:shd w:val="clear" w:fill="F3F4F6"/>
          </w:tcPr>
          <w:p>
            <w:pPr>
              <w:spacing w:after="20"/>
            </w:pPr>
            <w:r>
              <w:rPr>
                <w:sz w:val="19"/>
              </w:rPr>
              <w:t>İzin bazlı toplu bildirim, okundu/okunmadı yönetimi</w:t>
            </w:r>
          </w:p>
        </w:tc>
      </w:tr>
      <w:tr>
        <w:tc>
          <w:tcPr>
            <w:tcW w:type="dxa" w:w="2160"/>
          </w:tcPr>
          <w:p>
            <w:pPr>
              <w:spacing w:after="20"/>
            </w:pPr>
            <w:r>
              <w:rPr>
                <w:sz w:val="19"/>
              </w:rPr>
              <w:t>Uploads</w:t>
            </w:r>
          </w:p>
        </w:tc>
        <w:tc>
          <w:tcPr>
            <w:tcW w:type="dxa" w:w="7344"/>
          </w:tcPr>
          <w:p>
            <w:pPr>
              <w:spacing w:after="20"/>
            </w:pPr>
            <w:r>
              <w:rPr>
                <w:sz w:val="19"/>
              </w:rPr>
              <w:t>Foto/video yükleme (MinIO'ya) ve güvenli sunum (files.controller)</w:t>
            </w:r>
          </w:p>
        </w:tc>
      </w:tr>
      <w:tr>
        <w:tc>
          <w:tcPr>
            <w:tcW w:type="dxa" w:w="2160"/>
            <w:shd w:val="clear" w:fill="F3F4F6"/>
          </w:tcPr>
          <w:p>
            <w:pPr>
              <w:spacing w:after="20"/>
            </w:pPr>
            <w:r>
              <w:rPr>
                <w:sz w:val="19"/>
              </w:rPr>
              <w:t>Audit</w:t>
            </w:r>
          </w:p>
        </w:tc>
        <w:tc>
          <w:tcPr>
            <w:tcW w:type="dxa" w:w="7344"/>
            <w:shd w:val="clear" w:fill="F3F4F6"/>
          </w:tcPr>
          <w:p>
            <w:pPr>
              <w:spacing w:after="20"/>
            </w:pPr>
            <w:r>
              <w:rPr>
                <w:sz w:val="19"/>
              </w:rPr>
              <w:t>Kesintisiz denetim kaydı (hata olsa bile ana akışı bozmaz)</w:t>
            </w:r>
          </w:p>
        </w:tc>
      </w:tr>
    </w:tbl>
    <w:p>
      <w:pPr>
        <w:pStyle w:val="Heading1"/>
        <w:spacing w:before="200"/>
      </w:pPr>
      <w:r>
        <w:rPr>
          <w:b/>
          <w:color w:val="BE123B"/>
          <w:sz w:val="30"/>
        </w:rPr>
        <w:t>4.4 Güvenlik &amp; Yetkilendirme Katmanı (RBAC)</w:t>
      </w:r>
    </w:p>
    <w:p>
      <w:pPr>
        <w:spacing w:after="120"/>
      </w:pPr>
      <w:r>
        <w:rPr>
          <w:b w:val="0"/>
          <w:i w:val="0"/>
          <w:sz w:val="21"/>
        </w:rPr>
        <w:t>Güvenlik modeli üç kavram üzerine kuruludur: 19 granüler Permission enum'u, bunları taşıyan Role ve bilgilendirme/sıralama amaçlı Rank (rütbe). İki global guard tüm uçları korur: önce JwtAuthGuard (kimlik), sonra PermissionsGuard (yetki).</w:t>
      </w:r>
    </w:p>
    <w:p>
      <w:pPr>
        <w:pStyle w:val="ListBullet"/>
        <w:spacing w:after="60"/>
        <w:ind w:left="403"/>
      </w:pPr>
      <w:r>
        <w:rPr>
          <w:b/>
          <w:sz w:val="21"/>
        </w:rPr>
        <w:t>jwt.strategy her istekte kullanıcıyı DB'den okur — rol/izin değişikliği anında etkilidir, token'ı beklemez.</w:t>
      </w:r>
      <w:r>
        <w:rPr>
          <w:sz w:val="21"/>
        </w:rPr>
        <w:t xml:space="preserve">Taze yetki: </w:t>
      </w:r>
    </w:p>
    <w:p>
      <w:pPr>
        <w:pStyle w:val="ListBullet"/>
        <w:spacing w:after="60"/>
        <w:ind w:left="403"/>
      </w:pPr>
      <w:r>
        <w:rPr>
          <w:b/>
          <w:sz w:val="21"/>
        </w:rPr>
        <w:t>tüm izinlere sahiptir ve reddedilemez/askıya alınamaz (guard içinde kısa devre).</w:t>
      </w:r>
      <w:r>
        <w:rPr>
          <w:sz w:val="21"/>
        </w:rPr>
        <w:t xml:space="preserve">Süper admin: </w:t>
      </w:r>
    </w:p>
    <w:p>
      <w:pPr>
        <w:pStyle w:val="ListBullet"/>
        <w:spacing w:after="60"/>
        <w:ind w:left="403"/>
      </w:pPr>
      <w:r>
        <w:rPr>
          <w:b/>
          <w:sz w:val="21"/>
        </w:rPr>
        <w:t>status != VERIFIED olan kullanıcı yetki kullanamaz; anlaşılır Türkçe hata döner.</w:t>
      </w:r>
      <w:r>
        <w:rPr>
          <w:sz w:val="21"/>
        </w:rPr>
        <w:t xml:space="preserve">Onay kapısı: </w:t>
      </w:r>
    </w:p>
    <w:p>
      <w:pPr>
        <w:pStyle w:val="ListBullet"/>
        <w:spacing w:after="60"/>
        <w:ind w:left="403"/>
      </w:pPr>
      <w:r>
        <w:rPr>
          <w:b/>
          <w:sz w:val="21"/>
        </w:rPr>
        <w:t>listelemede kullanıcı yalnızca kendi/biriminin/atandığı bildirimleri görür (REPORT_VIEW_ALL hariç).</w:t>
      </w:r>
      <w:r>
        <w:rPr>
          <w:sz w:val="21"/>
        </w:rPr>
        <w:t xml:space="preserve">Kapsam filtresi (scope): </w:t>
      </w:r>
    </w:p>
    <w:p>
      <w:pPr>
        <w:pStyle w:val="ListBullet"/>
        <w:spacing w:after="60"/>
        <w:ind w:left="403"/>
      </w:pPr>
      <w:r>
        <w:rPr>
          <w:b/>
          <w:sz w:val="21"/>
        </w:rPr>
        <w:t>report-access.ts tek yerde tanımlıdır; hem detay ucu hem güvenli dosya sunumu aynı kuralı kullanır.</w:t>
      </w:r>
      <w:r>
        <w:rPr>
          <w:sz w:val="21"/>
        </w:rPr>
        <w:t xml:space="preserve">Görünürlük kuralı: </w:t>
      </w:r>
    </w:p>
    <w:p>
      <w:pPr>
        <w:pStyle w:val="Heading1"/>
        <w:spacing w:before="200"/>
      </w:pPr>
      <w:r>
        <w:rPr>
          <w:b/>
          <w:color w:val="B45309"/>
          <w:sz w:val="30"/>
        </w:rPr>
        <w:t>4.5 Frontend Katmanı (React + Vite)</w:t>
      </w:r>
    </w:p>
    <w:p>
      <w:pPr>
        <w:spacing w:after="120"/>
      </w:pPr>
      <w:r>
        <w:rPr>
          <w:b w:val="0"/>
          <w:i w:val="0"/>
          <w:sz w:val="21"/>
        </w:rPr>
        <w:t>İstemci, kimlik durumuna göre üç farklı deneyim sunar: giriş yapılmamış (login/register), onay bekleyen (pending) ve tam uygulama. AuthContext /me çağrısıyla kullanıcı profilini ve izinlerini tutar; Layout, menü öğelerini kullanıcının izinlerine göre koşullu gösterir (hasPermission yardımcısı).</w:t>
      </w:r>
    </w:p>
    <w:p>
      <w:pPr>
        <w:pStyle w:val="ListBullet"/>
        <w:spacing w:after="60"/>
        <w:ind w:left="403"/>
      </w:pPr>
      <w:r>
        <w:rPr>
          <w:b/>
          <w:sz w:val="21"/>
        </w:rPr>
        <w:t>Login, Register, Pending, Dashboard, Reports (liste/detay), Accident/NearMiss formları, Admin (Users/Roles/Departments/Audit), Profile.</w:t>
      </w:r>
      <w:r>
        <w:rPr>
          <w:sz w:val="21"/>
        </w:rPr>
        <w:t xml:space="preserve">Sayfalar: </w:t>
      </w:r>
    </w:p>
    <w:p>
      <w:pPr>
        <w:pStyle w:val="ListBullet"/>
        <w:spacing w:after="60"/>
        <w:ind w:left="403"/>
      </w:pPr>
      <w:r>
        <w:rPr>
          <w:b/>
          <w:sz w:val="21"/>
        </w:rPr>
        <w:t>BodyMap (tıklanabilir SVG vücut haritası), RiskMatrix (5×5 canlı önizleme), PhotoUpload, AuthenticatedMedia (imzalı medya), PrintableReport (PDF), NotificationBell.</w:t>
      </w:r>
      <w:r>
        <w:rPr>
          <w:sz w:val="21"/>
        </w:rPr>
        <w:t xml:space="preserve">İmza bileşenleri: </w:t>
      </w:r>
    </w:p>
    <w:p>
      <w:pPr>
        <w:pStyle w:val="ListBullet"/>
        <w:spacing w:after="60"/>
        <w:ind w:left="403"/>
      </w:pPr>
      <w:r>
        <w:rPr>
          <w:b/>
          <w:sz w:val="21"/>
        </w:rPr>
        <w:t>axios interceptor 401'de oturumu temizler; TanStack Query önbellek ve yeniden-deneme yönetir.</w:t>
      </w:r>
      <w:r>
        <w:rPr>
          <w:sz w:val="21"/>
        </w:rPr>
        <w:t xml:space="preserve">Dayanıklılık: </w:t>
      </w:r>
    </w:p>
    <w:p>
      <w:pPr>
        <w:pStyle w:val="Heading1"/>
        <w:spacing w:before="200"/>
      </w:pPr>
      <w:r>
        <w:rPr>
          <w:b/>
          <w:color w:val="0F766E"/>
          <w:sz w:val="30"/>
        </w:rPr>
        <w:t>4.6 Nesne Depolama &amp; Güvenli Dosya Katmanı</w:t>
      </w:r>
    </w:p>
    <w:p>
      <w:pPr>
        <w:spacing w:after="120"/>
      </w:pPr>
      <w:r>
        <w:rPr>
          <w:b w:val="0"/>
          <w:i w:val="0"/>
          <w:sz w:val="21"/>
        </w:rPr>
        <w:t>Yüklenen medya MinIO'da private bir bucket'ta tutulur. Kritik güvenlik kararı: dosyalar herkese açık değildir. files.controller her erişimde (a) anahtar biçimini doğrular, (b) anahtarın gerçekten bir bildirimin ekinde geçtiğini kontrol eder ve (c) kullanıcının o bildirimi görme yetkisini report-access kuralıyla sınar. Video için HTTP Range (206 Partial Content) desteği vardır; ayrıca en fazla 5 dakika geçerli imzalı URL üretilebilir ve bu URL hiçbir yere loglanmaz/yazılmaz.</w:t>
      </w:r>
    </w:p>
    <w:p>
      <w:pPr>
        <w:pStyle w:val="Heading1"/>
        <w:spacing w:before="200"/>
      </w:pPr>
      <w:r>
        <w:rPr>
          <w:b/>
          <w:color w:val="BE123B"/>
          <w:sz w:val="30"/>
        </w:rPr>
        <w:t>4.7 Gözlemlenebilirlik &amp; Denetim Katmanı</w:t>
      </w:r>
    </w:p>
    <w:p>
      <w:pPr>
        <w:spacing w:after="120"/>
      </w:pPr>
      <w:r>
        <w:rPr>
          <w:b w:val="0"/>
          <w:i w:val="0"/>
          <w:sz w:val="21"/>
        </w:rPr>
        <w:t>AuditService her kritik işlemde (giriş, onay, rol değişikliği, bildirim durum değişikliği, kapatma, dosya vb.) kim-ne-ne zaman kaydı yazar. Tasarım gereği audit yazımı başarısız olsa bile ana iş akışı bozulmaz (try/catch ile yutulur). Dashboard, kapsam-farkında groupBy sorgularıyla türe, duruma ve risk seviyesine göre özet üretir.</w:t>
      </w:r>
    </w:p>
    <w:p>
      <w:r>
        <w:br w:type="page"/>
      </w:r>
    </w:p>
    <w:p>
      <w:pPr>
        <w:shd w:val="clear" w:fill="0B2545"/>
        <w:spacing w:before="80" w:after="80"/>
      </w:pPr>
      <w:r>
        <w:rPr>
          <w:rFonts w:ascii="Calibri" w:hAnsi="Calibri"/>
          <w:b/>
          <w:color w:val="FFFFFF"/>
          <w:sz w:val="32"/>
        </w:rPr>
        <w:t>5. İmza Özelliklerin Derin İncelemesi</w:t>
      </w:r>
    </w:p>
    <w:p>
      <w:pPr>
        <w:pStyle w:val="Heading2"/>
      </w:pPr>
      <w:r>
        <w:rPr>
          <w:b/>
          <w:color w:val="0F766E"/>
          <w:sz w:val="25"/>
        </w:rPr>
        <w:t>5×5 Risk Matrisi (Ramak Kala)</w:t>
      </w:r>
    </w:p>
    <w:p>
      <w:pPr>
        <w:spacing w:after="120"/>
      </w:pPr>
      <w:r>
        <w:rPr>
          <w:b w:val="0"/>
          <w:i w:val="0"/>
          <w:sz w:val="21"/>
        </w:rPr>
        <w:t>riskScore = severity × likelihood formülüyle 1–25 arası bir skor üretilir ve eşiklerle seviyeye çevrilir: LOW (≤4), MEDIUM (≤9), HIGH (≤15), CRITICAL (&gt;15). Aynı mantık hem istemcide canlı önizleme için hem de backend'de (computeRisk) yeniden hesaplanır — istemciye güvenilmez, otorite backend'dir.</w:t>
      </w:r>
    </w:p>
    <w:p>
      <w:pPr>
        <w:shd w:val="clear" w:fill="F3F4F6"/>
        <w:spacing w:after="120"/>
        <w:ind w:left="144"/>
      </w:pPr>
      <w:r>
        <w:rPr>
          <w:rFonts w:ascii="Consolas" w:hAnsi="Consolas"/>
          <w:color w:val="0B2545"/>
          <w:sz w:val="18"/>
        </w:rPr>
        <w:t>static computeRisk(severity, likelihood) {</w:t>
      </w:r>
      <w:r>
        <w:br/>
      </w:r>
      <w:r>
        <w:rPr>
          <w:rFonts w:ascii="Consolas" w:hAnsi="Consolas"/>
          <w:color w:val="0B2545"/>
          <w:sz w:val="18"/>
        </w:rPr>
        <w:t xml:space="preserve">  const score = severity * likelihood;</w:t>
      </w:r>
      <w:r>
        <w:br/>
      </w:r>
      <w:r>
        <w:rPr>
          <w:rFonts w:ascii="Consolas" w:hAnsi="Consolas"/>
          <w:color w:val="0B2545"/>
          <w:sz w:val="18"/>
        </w:rPr>
        <w:t xml:space="preserve">  let level; if (score&lt;=4) level='LOW'; else if(score&lt;=9) level='MEDIUM';</w:t>
      </w:r>
      <w:r>
        <w:br/>
      </w:r>
      <w:r>
        <w:rPr>
          <w:rFonts w:ascii="Consolas" w:hAnsi="Consolas"/>
          <w:color w:val="0B2545"/>
          <w:sz w:val="18"/>
        </w:rPr>
        <w:t xml:space="preserve">  else if (score&lt;=15) level='HIGH'; else level='CRITICAL';</w:t>
      </w:r>
      <w:r>
        <w:br/>
      </w:r>
      <w:r>
        <w:rPr>
          <w:rFonts w:ascii="Consolas" w:hAnsi="Consolas"/>
          <w:color w:val="0B2545"/>
          <w:sz w:val="18"/>
        </w:rPr>
        <w:t xml:space="preserve">  return { score, level };</w:t>
      </w:r>
      <w:r>
        <w:br/>
      </w:r>
      <w:r>
        <w:rPr>
          <w:rFonts w:ascii="Consolas" w:hAnsi="Consolas"/>
          <w:color w:val="0B2545"/>
          <w:sz w:val="18"/>
        </w:rPr>
        <w:t>}</w:t>
      </w:r>
    </w:p>
    <w:p>
      <w:pPr>
        <w:pStyle w:val="Heading2"/>
      </w:pPr>
      <w:r>
        <w:rPr>
          <w:b/>
          <w:color w:val="0F766E"/>
          <w:sz w:val="25"/>
        </w:rPr>
        <w:t>Tıklanabilir Vücut Haritası (İş Kazası)</w:t>
      </w:r>
    </w:p>
    <w:p>
      <w:pPr>
        <w:spacing w:after="120"/>
      </w:pPr>
      <w:r>
        <w:rPr>
          <w:b w:val="0"/>
          <w:i w:val="0"/>
          <w:sz w:val="21"/>
        </w:rPr>
        <w:t>Ön/arka SVG insan figürü üzerinde bölgeye tıklanır; her yaralanma bodyPart + side + view + type + severity beşlisi olarak kaydedilir. Bu, serbest metne göre yapılandırılmış, raporlanabilir ve istatistiğe uygun veri üretir.</w:t>
      </w:r>
    </w:p>
    <w:p>
      <w:pPr>
        <w:pStyle w:val="Heading2"/>
      </w:pPr>
      <w:r>
        <w:rPr>
          <w:b/>
          <w:color w:val="0F766E"/>
          <w:sz w:val="25"/>
        </w:rPr>
        <w:t>Durum Geçiş Makinesi (Tek Kaynak)</w:t>
      </w:r>
    </w:p>
    <w:p>
      <w:pPr>
        <w:spacing w:after="120"/>
      </w:pPr>
      <w:r>
        <w:rPr>
          <w:b w:val="0"/>
          <w:i w:val="0"/>
          <w:sz w:val="21"/>
        </w:rPr>
        <w:t>report-status.ts, izin verilen tüm geçişleri tek bir tabloda tutar. CLOSED ve REJECTED son durumlardır (yeniden açılamaz). Kapatma için: en az 10 karakter açıklama zorunludur ve bağlı tüm düzeltici faaliyetler VERIFIED olmalıdır. Okuma-doğrulama-yazma tek transaction içinde yapılır; böylece kontrol ile güncelleme arasında durum kayamaz.</w:t>
      </w:r>
    </w:p>
    <w:tbl>
      <w:tblPr>
        <w:tblStyle w:val="TableGrid"/>
        <w:tblW w:type="auto" w:w="0"/>
        <w:jc w:val="center"/>
        <w:tblLook w:firstColumn="1" w:firstRow="1" w:lastColumn="0" w:lastRow="0" w:noHBand="0" w:noVBand="1" w:val="04A0"/>
      </w:tblPr>
      <w:tblGrid>
        <w:gridCol w:w="4896"/>
        <w:gridCol w:w="4896"/>
      </w:tblGrid>
      <w:tr>
        <w:tc>
          <w:tcPr>
            <w:tcW w:type="dxa" w:w="3168"/>
            <w:shd w:val="clear" w:fill="0F766E"/>
          </w:tcPr>
          <w:p>
            <w:r>
              <w:rPr>
                <w:b/>
                <w:color w:val="FFFFFF"/>
                <w:sz w:val="19"/>
              </w:rPr>
              <w:t>Durum</w:t>
            </w:r>
          </w:p>
        </w:tc>
        <w:tc>
          <w:tcPr>
            <w:tcW w:type="dxa" w:w="6336"/>
            <w:shd w:val="clear" w:fill="0F766E"/>
          </w:tcPr>
          <w:p>
            <w:r>
              <w:rPr>
                <w:b/>
                <w:color w:val="FFFFFF"/>
                <w:sz w:val="19"/>
              </w:rPr>
              <w:t>Geçebileceği durumlar</w:t>
            </w:r>
          </w:p>
        </w:tc>
      </w:tr>
      <w:tr>
        <w:tc>
          <w:tcPr>
            <w:tcW w:type="dxa" w:w="3168"/>
          </w:tcPr>
          <w:p>
            <w:pPr>
              <w:spacing w:after="20"/>
            </w:pPr>
            <w:r>
              <w:rPr>
                <w:sz w:val="19"/>
              </w:rPr>
              <w:t>DRAFT</w:t>
            </w:r>
          </w:p>
        </w:tc>
        <w:tc>
          <w:tcPr>
            <w:tcW w:type="dxa" w:w="6336"/>
          </w:tcPr>
          <w:p>
            <w:pPr>
              <w:spacing w:after="20"/>
            </w:pPr>
            <w:r>
              <w:rPr>
                <w:sz w:val="19"/>
              </w:rPr>
              <w:t>SUBMITTED</w:t>
            </w:r>
          </w:p>
        </w:tc>
      </w:tr>
      <w:tr>
        <w:tc>
          <w:tcPr>
            <w:tcW w:type="dxa" w:w="3168"/>
            <w:shd w:val="clear" w:fill="F3F4F6"/>
          </w:tcPr>
          <w:p>
            <w:pPr>
              <w:spacing w:after="20"/>
            </w:pPr>
            <w:r>
              <w:rPr>
                <w:sz w:val="19"/>
              </w:rPr>
              <w:t>SUBMITTED</w:t>
            </w:r>
          </w:p>
        </w:tc>
        <w:tc>
          <w:tcPr>
            <w:tcW w:type="dxa" w:w="6336"/>
            <w:shd w:val="clear" w:fill="F3F4F6"/>
          </w:tcPr>
          <w:p>
            <w:pPr>
              <w:spacing w:after="20"/>
            </w:pPr>
            <w:r>
              <w:rPr>
                <w:sz w:val="19"/>
              </w:rPr>
              <w:t>UNDER_REVIEW, INVESTIGATING, REJECTED</w:t>
            </w:r>
          </w:p>
        </w:tc>
      </w:tr>
      <w:tr>
        <w:tc>
          <w:tcPr>
            <w:tcW w:type="dxa" w:w="3168"/>
          </w:tcPr>
          <w:p>
            <w:pPr>
              <w:spacing w:after="20"/>
            </w:pPr>
            <w:r>
              <w:rPr>
                <w:sz w:val="19"/>
              </w:rPr>
              <w:t>UNDER_REVIEW</w:t>
            </w:r>
          </w:p>
        </w:tc>
        <w:tc>
          <w:tcPr>
            <w:tcW w:type="dxa" w:w="6336"/>
          </w:tcPr>
          <w:p>
            <w:pPr>
              <w:spacing w:after="20"/>
            </w:pPr>
            <w:r>
              <w:rPr>
                <w:sz w:val="19"/>
              </w:rPr>
              <w:t>INVESTIGATING, REJECTED</w:t>
            </w:r>
          </w:p>
        </w:tc>
      </w:tr>
      <w:tr>
        <w:tc>
          <w:tcPr>
            <w:tcW w:type="dxa" w:w="3168"/>
            <w:shd w:val="clear" w:fill="F3F4F6"/>
          </w:tcPr>
          <w:p>
            <w:pPr>
              <w:spacing w:after="20"/>
            </w:pPr>
            <w:r>
              <w:rPr>
                <w:sz w:val="19"/>
              </w:rPr>
              <w:t>INVESTIGATING</w:t>
            </w:r>
          </w:p>
        </w:tc>
        <w:tc>
          <w:tcPr>
            <w:tcW w:type="dxa" w:w="6336"/>
            <w:shd w:val="clear" w:fill="F3F4F6"/>
          </w:tcPr>
          <w:p>
            <w:pPr>
              <w:spacing w:after="20"/>
            </w:pPr>
            <w:r>
              <w:rPr>
                <w:sz w:val="19"/>
              </w:rPr>
              <w:t>ACTIONS_PENDING, CLOSED, REJECTED</w:t>
            </w:r>
          </w:p>
        </w:tc>
      </w:tr>
      <w:tr>
        <w:tc>
          <w:tcPr>
            <w:tcW w:type="dxa" w:w="3168"/>
          </w:tcPr>
          <w:p>
            <w:pPr>
              <w:spacing w:after="20"/>
            </w:pPr>
            <w:r>
              <w:rPr>
                <w:sz w:val="19"/>
              </w:rPr>
              <w:t>ACTIONS_PENDING</w:t>
            </w:r>
          </w:p>
        </w:tc>
        <w:tc>
          <w:tcPr>
            <w:tcW w:type="dxa" w:w="6336"/>
          </w:tcPr>
          <w:p>
            <w:pPr>
              <w:spacing w:after="20"/>
            </w:pPr>
            <w:r>
              <w:rPr>
                <w:sz w:val="19"/>
              </w:rPr>
              <w:t>INVESTIGATING, CLOSED</w:t>
            </w:r>
          </w:p>
        </w:tc>
      </w:tr>
      <w:tr>
        <w:tc>
          <w:tcPr>
            <w:tcW w:type="dxa" w:w="3168"/>
            <w:shd w:val="clear" w:fill="F3F4F6"/>
          </w:tcPr>
          <w:p>
            <w:pPr>
              <w:spacing w:after="20"/>
            </w:pPr>
            <w:r>
              <w:rPr>
                <w:sz w:val="19"/>
              </w:rPr>
              <w:t>CLOSED / REJECTED</w:t>
            </w:r>
          </w:p>
        </w:tc>
        <w:tc>
          <w:tcPr>
            <w:tcW w:type="dxa" w:w="6336"/>
            <w:shd w:val="clear" w:fill="F3F4F6"/>
          </w:tcPr>
          <w:p>
            <w:pPr>
              <w:spacing w:after="20"/>
            </w:pPr>
            <w:r>
              <w:rPr>
                <w:sz w:val="19"/>
              </w:rPr>
              <w:t>(son durum — geçiş yok)</w:t>
            </w:r>
          </w:p>
        </w:tc>
      </w:tr>
    </w:tbl>
    <w:p>
      <w:r>
        <w:br w:type="page"/>
      </w:r>
    </w:p>
    <w:p>
      <w:pPr>
        <w:shd w:val="clear" w:fill="0B2545"/>
        <w:spacing w:before="80" w:after="80"/>
      </w:pPr>
      <w:r>
        <w:rPr>
          <w:rFonts w:ascii="Calibri" w:hAnsi="Calibri"/>
          <w:b/>
          <w:color w:val="FFFFFF"/>
          <w:sz w:val="32"/>
        </w:rPr>
        <w:t>6. 17 İş Günü End-to-End Yol Haritası</w:t>
      </w:r>
    </w:p>
    <w:p>
      <w:pPr>
        <w:spacing w:after="120"/>
      </w:pPr>
      <w:r>
        <w:rPr>
          <w:b w:val="0"/>
          <w:i w:val="0"/>
          <w:sz w:val="21"/>
        </w:rPr>
        <w:t>Aşağıdaki plan, mevcut kod tabanının bir staj süresince (17 iş günü ≈ 3,5 hafta) sıfırdan nasıl inşa edileceğini gerçekçi bir sıralamayla gösterir. Bağımlılıklar gözetilerek önce temel (altyapı+kimlik), sonra yönetim, ardından çekirdek bildirim, iş akışı/dosya ve son olarak gözlemlenebilirlik/cilalama gelir.</w:t>
      </w:r>
    </w:p>
    <w:p>
      <w:pPr>
        <w:jc w:val="center"/>
      </w:pPr>
      <w:r>
        <w:drawing>
          <wp:inline xmlns:a="http://schemas.openxmlformats.org/drawingml/2006/main" xmlns:pic="http://schemas.openxmlformats.org/drawingml/2006/picture">
            <wp:extent cx="6035040" cy="2792548"/>
            <wp:docPr id="2" name="Picture 2"/>
            <wp:cNvGraphicFramePr>
              <a:graphicFrameLocks noChangeAspect="1"/>
            </wp:cNvGraphicFramePr>
            <a:graphic>
              <a:graphicData uri="http://schemas.openxmlformats.org/drawingml/2006/picture">
                <pic:pic>
                  <pic:nvPicPr>
                    <pic:cNvPr id="0" name="gantt.png"/>
                    <pic:cNvPicPr/>
                  </pic:nvPicPr>
                  <pic:blipFill>
                    <a:blip r:embed="rId10"/>
                    <a:stretch>
                      <a:fillRect/>
                    </a:stretch>
                  </pic:blipFill>
                  <pic:spPr>
                    <a:xfrm>
                      <a:off x="0" y="0"/>
                      <a:ext cx="6035040" cy="2792548"/>
                    </a:xfrm>
                    <a:prstGeom prst="rect"/>
                  </pic:spPr>
                </pic:pic>
              </a:graphicData>
            </a:graphic>
          </wp:inline>
        </w:drawing>
      </w:r>
    </w:p>
    <w:p>
      <w:pPr>
        <w:jc w:val="center"/>
      </w:pPr>
      <w:r>
        <w:rPr>
          <w:i/>
          <w:color w:val="555F6D"/>
          <w:sz w:val="18"/>
        </w:rPr>
        <w:t>Şekil 2 — 17 iş günü Gantt: 5 milestone / 8 sprint dağılımı</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3312"/>
            <w:shd w:val="clear" w:fill="0B2545"/>
          </w:tcPr>
          <w:p>
            <w:r>
              <w:rPr>
                <w:b/>
                <w:color w:val="FFFFFF"/>
                <w:sz w:val="19"/>
              </w:rPr>
              <w:t>Milestone</w:t>
            </w:r>
          </w:p>
        </w:tc>
        <w:tc>
          <w:tcPr>
            <w:tcW w:type="dxa" w:w="1008"/>
            <w:shd w:val="clear" w:fill="0B2545"/>
          </w:tcPr>
          <w:p>
            <w:r>
              <w:rPr>
                <w:b/>
                <w:color w:val="FFFFFF"/>
                <w:sz w:val="19"/>
              </w:rPr>
              <w:t>Gün</w:t>
            </w:r>
          </w:p>
        </w:tc>
        <w:tc>
          <w:tcPr>
            <w:tcW w:type="dxa" w:w="1584"/>
            <w:shd w:val="clear" w:fill="0B2545"/>
          </w:tcPr>
          <w:p>
            <w:r>
              <w:rPr>
                <w:b/>
                <w:color w:val="FFFFFF"/>
                <w:sz w:val="19"/>
              </w:rPr>
              <w:t>Sprint(ler)</w:t>
            </w:r>
          </w:p>
        </w:tc>
        <w:tc>
          <w:tcPr>
            <w:tcW w:type="dxa" w:w="3600"/>
            <w:shd w:val="clear" w:fill="0B2545"/>
          </w:tcPr>
          <w:p>
            <w:r>
              <w:rPr>
                <w:b/>
                <w:color w:val="FFFFFF"/>
                <w:sz w:val="19"/>
              </w:rPr>
              <w:t>Odak</w:t>
            </w:r>
          </w:p>
        </w:tc>
      </w:tr>
      <w:tr>
        <w:tc>
          <w:tcPr>
            <w:tcW w:type="dxa" w:w="3312"/>
          </w:tcPr>
          <w:p>
            <w:pPr>
              <w:spacing w:after="20"/>
            </w:pPr>
            <w:r>
              <w:rPr>
                <w:sz w:val="19"/>
              </w:rPr>
              <w:t>M1 — Temel Altyapı &amp; Kimlik</w:t>
            </w:r>
          </w:p>
        </w:tc>
        <w:tc>
          <w:tcPr>
            <w:tcW w:type="dxa" w:w="1008"/>
          </w:tcPr>
          <w:p>
            <w:pPr>
              <w:spacing w:after="20"/>
            </w:pPr>
            <w:r>
              <w:rPr>
                <w:sz w:val="19"/>
              </w:rPr>
              <w:t>1–4</w:t>
            </w:r>
          </w:p>
        </w:tc>
        <w:tc>
          <w:tcPr>
            <w:tcW w:type="dxa" w:w="1584"/>
          </w:tcPr>
          <w:p>
            <w:pPr>
              <w:spacing w:after="20"/>
            </w:pPr>
            <w:r>
              <w:rPr>
                <w:sz w:val="19"/>
              </w:rPr>
              <w:t>S1, S2</w:t>
            </w:r>
          </w:p>
        </w:tc>
        <w:tc>
          <w:tcPr>
            <w:tcW w:type="dxa" w:w="3600"/>
          </w:tcPr>
          <w:p>
            <w:pPr>
              <w:spacing w:after="20"/>
            </w:pPr>
            <w:r>
              <w:rPr>
                <w:sz w:val="19"/>
              </w:rPr>
              <w:t>Docker, şema, NestJS/Vite iskelet, Auth+RBAC</w:t>
            </w:r>
          </w:p>
        </w:tc>
      </w:tr>
      <w:tr>
        <w:tc>
          <w:tcPr>
            <w:tcW w:type="dxa" w:w="3312"/>
            <w:shd w:val="clear" w:fill="F3F4F6"/>
          </w:tcPr>
          <w:p>
            <w:pPr>
              <w:spacing w:after="20"/>
            </w:pPr>
            <w:r>
              <w:rPr>
                <w:sz w:val="19"/>
              </w:rPr>
              <w:t>M2 — Kullanıcı &amp; Yetki Yönetimi</w:t>
            </w:r>
          </w:p>
        </w:tc>
        <w:tc>
          <w:tcPr>
            <w:tcW w:type="dxa" w:w="1008"/>
            <w:shd w:val="clear" w:fill="F3F4F6"/>
          </w:tcPr>
          <w:p>
            <w:pPr>
              <w:spacing w:after="20"/>
            </w:pPr>
            <w:r>
              <w:rPr>
                <w:sz w:val="19"/>
              </w:rPr>
              <w:t>5–7</w:t>
            </w:r>
          </w:p>
        </w:tc>
        <w:tc>
          <w:tcPr>
            <w:tcW w:type="dxa" w:w="1584"/>
            <w:shd w:val="clear" w:fill="F3F4F6"/>
          </w:tcPr>
          <w:p>
            <w:pPr>
              <w:spacing w:after="20"/>
            </w:pPr>
            <w:r>
              <w:rPr>
                <w:sz w:val="19"/>
              </w:rPr>
              <w:t>S3</w:t>
            </w:r>
          </w:p>
        </w:tc>
        <w:tc>
          <w:tcPr>
            <w:tcW w:type="dxa" w:w="3600"/>
            <w:shd w:val="clear" w:fill="F3F4F6"/>
          </w:tcPr>
          <w:p>
            <w:pPr>
              <w:spacing w:after="20"/>
            </w:pPr>
            <w:r>
              <w:rPr>
                <w:sz w:val="19"/>
              </w:rPr>
              <w:t>Onay iş akışı, rol/rütbe/birim, yönetim ekranları</w:t>
            </w:r>
          </w:p>
        </w:tc>
      </w:tr>
      <w:tr>
        <w:tc>
          <w:tcPr>
            <w:tcW w:type="dxa" w:w="3312"/>
          </w:tcPr>
          <w:p>
            <w:pPr>
              <w:spacing w:after="20"/>
            </w:pPr>
            <w:r>
              <w:rPr>
                <w:sz w:val="19"/>
              </w:rPr>
              <w:t>M3 — Bildirim Çekirdeği</w:t>
            </w:r>
          </w:p>
        </w:tc>
        <w:tc>
          <w:tcPr>
            <w:tcW w:type="dxa" w:w="1008"/>
          </w:tcPr>
          <w:p>
            <w:pPr>
              <w:spacing w:after="20"/>
            </w:pPr>
            <w:r>
              <w:rPr>
                <w:sz w:val="19"/>
              </w:rPr>
              <w:t>8–11</w:t>
            </w:r>
          </w:p>
        </w:tc>
        <w:tc>
          <w:tcPr>
            <w:tcW w:type="dxa" w:w="1584"/>
          </w:tcPr>
          <w:p>
            <w:pPr>
              <w:spacing w:after="20"/>
            </w:pPr>
            <w:r>
              <w:rPr>
                <w:sz w:val="19"/>
              </w:rPr>
              <w:t>S4, S5</w:t>
            </w:r>
          </w:p>
        </w:tc>
        <w:tc>
          <w:tcPr>
            <w:tcW w:type="dxa" w:w="3600"/>
          </w:tcPr>
          <w:p>
            <w:pPr>
              <w:spacing w:after="20"/>
            </w:pPr>
            <w:r>
              <w:rPr>
                <w:sz w:val="19"/>
              </w:rPr>
              <w:t>İş kazası + vücut haritası, ramak kala + 5×5 risk</w:t>
            </w:r>
          </w:p>
        </w:tc>
      </w:tr>
      <w:tr>
        <w:tc>
          <w:tcPr>
            <w:tcW w:type="dxa" w:w="3312"/>
            <w:shd w:val="clear" w:fill="F3F4F6"/>
          </w:tcPr>
          <w:p>
            <w:pPr>
              <w:spacing w:after="20"/>
            </w:pPr>
            <w:r>
              <w:rPr>
                <w:sz w:val="19"/>
              </w:rPr>
              <w:t>M4 — İş Akışı, CAPA &amp; Dosya</w:t>
            </w:r>
          </w:p>
        </w:tc>
        <w:tc>
          <w:tcPr>
            <w:tcW w:type="dxa" w:w="1008"/>
            <w:shd w:val="clear" w:fill="F3F4F6"/>
          </w:tcPr>
          <w:p>
            <w:pPr>
              <w:spacing w:after="20"/>
            </w:pPr>
            <w:r>
              <w:rPr>
                <w:sz w:val="19"/>
              </w:rPr>
              <w:t>12–15</w:t>
            </w:r>
          </w:p>
        </w:tc>
        <w:tc>
          <w:tcPr>
            <w:tcW w:type="dxa" w:w="1584"/>
            <w:shd w:val="clear" w:fill="F3F4F6"/>
          </w:tcPr>
          <w:p>
            <w:pPr>
              <w:spacing w:after="20"/>
            </w:pPr>
            <w:r>
              <w:rPr>
                <w:sz w:val="19"/>
              </w:rPr>
              <w:t>S6, S7</w:t>
            </w:r>
          </w:p>
        </w:tc>
        <w:tc>
          <w:tcPr>
            <w:tcW w:type="dxa" w:w="3600"/>
            <w:shd w:val="clear" w:fill="F3F4F6"/>
          </w:tcPr>
          <w:p>
            <w:pPr>
              <w:spacing w:after="20"/>
            </w:pPr>
            <w:r>
              <w:rPr>
                <w:sz w:val="19"/>
              </w:rPr>
              <w:t>Durum makinesi, atama, CAPA, MinIO güvenli dosya</w:t>
            </w:r>
          </w:p>
        </w:tc>
      </w:tr>
      <w:tr>
        <w:tc>
          <w:tcPr>
            <w:tcW w:type="dxa" w:w="3312"/>
          </w:tcPr>
          <w:p>
            <w:pPr>
              <w:spacing w:after="20"/>
            </w:pPr>
            <w:r>
              <w:rPr>
                <w:sz w:val="19"/>
              </w:rPr>
              <w:t>M5 — Gözlemlenebilirlik &amp; Cilalama</w:t>
            </w:r>
          </w:p>
        </w:tc>
        <w:tc>
          <w:tcPr>
            <w:tcW w:type="dxa" w:w="1008"/>
          </w:tcPr>
          <w:p>
            <w:pPr>
              <w:spacing w:after="20"/>
            </w:pPr>
            <w:r>
              <w:rPr>
                <w:sz w:val="19"/>
              </w:rPr>
              <w:t>16–17</w:t>
            </w:r>
          </w:p>
        </w:tc>
        <w:tc>
          <w:tcPr>
            <w:tcW w:type="dxa" w:w="1584"/>
          </w:tcPr>
          <w:p>
            <w:pPr>
              <w:spacing w:after="20"/>
            </w:pPr>
            <w:r>
              <w:rPr>
                <w:sz w:val="19"/>
              </w:rPr>
              <w:t>S8</w:t>
            </w:r>
          </w:p>
        </w:tc>
        <w:tc>
          <w:tcPr>
            <w:tcW w:type="dxa" w:w="3600"/>
          </w:tcPr>
          <w:p>
            <w:pPr>
              <w:spacing w:after="20"/>
            </w:pPr>
            <w:r>
              <w:rPr>
                <w:sz w:val="19"/>
              </w:rPr>
              <w:t>Audit, dashboard, i18n, PDF, mobil, son rötuşlar</w:t>
            </w:r>
          </w:p>
        </w:tc>
      </w:tr>
    </w:tbl>
    <w:p>
      <w:r>
        <w:br w:type="page"/>
      </w:r>
    </w:p>
    <w:p>
      <w:pPr>
        <w:shd w:val="clear" w:fill="0B2545"/>
        <w:spacing w:before="80" w:after="80"/>
      </w:pPr>
      <w:r>
        <w:rPr>
          <w:rFonts w:ascii="Calibri" w:hAnsi="Calibri"/>
          <w:b/>
          <w:color w:val="FFFFFF"/>
          <w:sz w:val="32"/>
        </w:rPr>
        <w:t>7. Milestone Tasarım Şemaları (Teknik + Kavramsal)</w:t>
      </w:r>
    </w:p>
    <w:p>
      <w:pPr>
        <w:spacing w:after="120"/>
      </w:pPr>
      <w:r>
        <w:rPr>
          <w:b w:val="0"/>
          <w:i w:val="0"/>
          <w:sz w:val="21"/>
        </w:rPr>
        <w:t>Her şema üç perspektifi bir arada gösterir: (1) o milestone'da GELİŞTİRİLEN bileşenler, (2) SON KULLANICININ GÖRDÜĞÜ arayüz noktaları, (3) KULLANICININ GÖRMEDİĞİ arka plan mantığı ve veri modeli. Kesik oklar 'arka planda gerçekleşir' anlamındadır.</w:t>
      </w:r>
    </w:p>
    <w:p>
      <w:pPr>
        <w:pStyle w:val="Heading2"/>
      </w:pPr>
      <w:r>
        <w:rPr>
          <w:b/>
          <w:color w:val="0F766E"/>
          <w:sz w:val="25"/>
        </w:rPr>
        <w:t>Milestone 1 — Temel Altyapı &amp; Kimlik Doğrulama (Gün 1–4)</w:t>
      </w:r>
    </w:p>
    <w:p>
      <w:pPr>
        <w:spacing w:after="120"/>
      </w:pPr>
      <w:r>
        <w:rPr>
          <w:b w:val="0"/>
          <w:i w:val="0"/>
          <w:sz w:val="21"/>
        </w:rPr>
        <w:t>Projenin iskeleti ve güvenlik çekirdeği kurulur. Kullanıcı yalnızca giriş/kayıt/onay-bekleme ekranlarını görür; bcrypt hash'leme, JWT üretimi ve global guard zinciri tamamen arka plandadır.</w:t>
      </w:r>
    </w:p>
    <w:p>
      <w:pPr>
        <w:jc w:val="center"/>
      </w:pPr>
      <w:r>
        <w:drawing>
          <wp:inline xmlns:a="http://schemas.openxmlformats.org/drawingml/2006/main" xmlns:pic="http://schemas.openxmlformats.org/drawingml/2006/picture">
            <wp:extent cx="6035040" cy="3346234"/>
            <wp:docPr id="3" name="Picture 3"/>
            <wp:cNvGraphicFramePr>
              <a:graphicFrameLocks noChangeAspect="1"/>
            </wp:cNvGraphicFramePr>
            <a:graphic>
              <a:graphicData uri="http://schemas.openxmlformats.org/drawingml/2006/picture">
                <pic:pic>
                  <pic:nvPicPr>
                    <pic:cNvPr id="0" name="milestone1.png"/>
                    <pic:cNvPicPr/>
                  </pic:nvPicPr>
                  <pic:blipFill>
                    <a:blip r:embed="rId11"/>
                    <a:stretch>
                      <a:fillRect/>
                    </a:stretch>
                  </pic:blipFill>
                  <pic:spPr>
                    <a:xfrm>
                      <a:off x="0" y="0"/>
                      <a:ext cx="6035040" cy="3346234"/>
                    </a:xfrm>
                    <a:prstGeom prst="rect"/>
                  </pic:spPr>
                </pic:pic>
              </a:graphicData>
            </a:graphic>
          </wp:inline>
        </w:drawing>
      </w:r>
    </w:p>
    <w:p>
      <w:pPr>
        <w:jc w:val="center"/>
      </w:pPr>
      <w:r>
        <w:rPr>
          <w:i/>
          <w:color w:val="555F6D"/>
          <w:sz w:val="18"/>
        </w:rPr>
        <w:t>Şekil — Milestone 1 — Temel Altyapı &amp; Kimlik Doğrulama (Gün 1–4) tasarım şeması</w:t>
      </w:r>
    </w:p>
    <w:p>
      <w:r>
        <w:br w:type="page"/>
      </w:r>
    </w:p>
    <w:p>
      <w:pPr>
        <w:pStyle w:val="Heading2"/>
      </w:pPr>
      <w:r>
        <w:rPr>
          <w:b/>
          <w:color w:val="0F766E"/>
          <w:sz w:val="25"/>
        </w:rPr>
        <w:t>Milestone 2 — Kullanıcı &amp; Yetki Yönetimi (Gün 5–7)</w:t>
      </w:r>
    </w:p>
    <w:p>
      <w:pPr>
        <w:spacing w:after="120"/>
      </w:pPr>
      <w:r>
        <w:rPr>
          <w:b w:val="0"/>
          <w:i w:val="0"/>
          <w:sz w:val="21"/>
        </w:rPr>
        <w:t>Yönetim API'leri ve ekranları eklenir. Kullanıcı, yetkisine göre değişen bir yönetim menüsü ve onay modali görür; kapsam filtreleme, veri minimizasyonu ve transaction'lı atama görünmez kalır.</w:t>
      </w:r>
    </w:p>
    <w:p>
      <w:pPr>
        <w:jc w:val="center"/>
      </w:pPr>
      <w:r>
        <w:drawing>
          <wp:inline xmlns:a="http://schemas.openxmlformats.org/drawingml/2006/main" xmlns:pic="http://schemas.openxmlformats.org/drawingml/2006/picture">
            <wp:extent cx="6035040" cy="3819749"/>
            <wp:docPr id="4" name="Picture 4"/>
            <wp:cNvGraphicFramePr>
              <a:graphicFrameLocks noChangeAspect="1"/>
            </wp:cNvGraphicFramePr>
            <a:graphic>
              <a:graphicData uri="http://schemas.openxmlformats.org/drawingml/2006/picture">
                <pic:pic>
                  <pic:nvPicPr>
                    <pic:cNvPr id="0" name="milestone2.png"/>
                    <pic:cNvPicPr/>
                  </pic:nvPicPr>
                  <pic:blipFill>
                    <a:blip r:embed="rId12"/>
                    <a:stretch>
                      <a:fillRect/>
                    </a:stretch>
                  </pic:blipFill>
                  <pic:spPr>
                    <a:xfrm>
                      <a:off x="0" y="0"/>
                      <a:ext cx="6035040" cy="3819749"/>
                    </a:xfrm>
                    <a:prstGeom prst="rect"/>
                  </pic:spPr>
                </pic:pic>
              </a:graphicData>
            </a:graphic>
          </wp:inline>
        </w:drawing>
      </w:r>
    </w:p>
    <w:p>
      <w:pPr>
        <w:jc w:val="center"/>
      </w:pPr>
      <w:r>
        <w:rPr>
          <w:i/>
          <w:color w:val="555F6D"/>
          <w:sz w:val="18"/>
        </w:rPr>
        <w:t>Şekil — Milestone 2 — Kullanıcı &amp; Yetki Yönetimi (Gün 5–7) tasarım şeması</w:t>
      </w:r>
    </w:p>
    <w:p>
      <w:r>
        <w:br w:type="page"/>
      </w:r>
    </w:p>
    <w:p>
      <w:pPr>
        <w:pStyle w:val="Heading2"/>
      </w:pPr>
      <w:r>
        <w:rPr>
          <w:b/>
          <w:color w:val="0F766E"/>
          <w:sz w:val="25"/>
        </w:rPr>
        <w:t>Milestone 3 — Bildirim Çekirdeği (Gün 8–11)</w:t>
      </w:r>
    </w:p>
    <w:p>
      <w:pPr>
        <w:spacing w:after="120"/>
      </w:pPr>
      <w:r>
        <w:rPr>
          <w:b w:val="0"/>
          <w:i w:val="0"/>
          <w:sz w:val="21"/>
        </w:rPr>
        <w:t>Asıl iş değeri burada üretilir: iş kazası (vücut haritası) ve ramak kala (5×5 risk) formları. Referans no üretimi, riskin backend'de yeniden hesaplanması ve 'OTHER' normalizasyonu gizlidir.</w:t>
      </w:r>
    </w:p>
    <w:p>
      <w:pPr>
        <w:jc w:val="center"/>
      </w:pPr>
      <w:r>
        <w:drawing>
          <wp:inline xmlns:a="http://schemas.openxmlformats.org/drawingml/2006/main" xmlns:pic="http://schemas.openxmlformats.org/drawingml/2006/picture">
            <wp:extent cx="6035040" cy="2336254"/>
            <wp:docPr id="5" name="Picture 5"/>
            <wp:cNvGraphicFramePr>
              <a:graphicFrameLocks noChangeAspect="1"/>
            </wp:cNvGraphicFramePr>
            <a:graphic>
              <a:graphicData uri="http://schemas.openxmlformats.org/drawingml/2006/picture">
                <pic:pic>
                  <pic:nvPicPr>
                    <pic:cNvPr id="0" name="milestone3.png"/>
                    <pic:cNvPicPr/>
                  </pic:nvPicPr>
                  <pic:blipFill>
                    <a:blip r:embed="rId13"/>
                    <a:stretch>
                      <a:fillRect/>
                    </a:stretch>
                  </pic:blipFill>
                  <pic:spPr>
                    <a:xfrm>
                      <a:off x="0" y="0"/>
                      <a:ext cx="6035040" cy="2336254"/>
                    </a:xfrm>
                    <a:prstGeom prst="rect"/>
                  </pic:spPr>
                </pic:pic>
              </a:graphicData>
            </a:graphic>
          </wp:inline>
        </w:drawing>
      </w:r>
    </w:p>
    <w:p>
      <w:pPr>
        <w:jc w:val="center"/>
      </w:pPr>
      <w:r>
        <w:rPr>
          <w:i/>
          <w:color w:val="555F6D"/>
          <w:sz w:val="18"/>
        </w:rPr>
        <w:t>Şekil — Milestone 3 — Bildirim Çekirdeği (Gün 8–11) tasarım şeması</w:t>
      </w:r>
    </w:p>
    <w:p>
      <w:r>
        <w:br w:type="page"/>
      </w:r>
    </w:p>
    <w:p>
      <w:pPr>
        <w:pStyle w:val="Heading2"/>
      </w:pPr>
      <w:r>
        <w:rPr>
          <w:b/>
          <w:color w:val="0F766E"/>
          <w:sz w:val="25"/>
        </w:rPr>
        <w:t>Milestone 4 — İş Akışı, CAPA &amp; Güvenli Dosya (Gün 12–15)</w:t>
      </w:r>
    </w:p>
    <w:p>
      <w:pPr>
        <w:spacing w:after="120"/>
      </w:pPr>
      <w:r>
        <w:rPr>
          <w:b w:val="0"/>
          <w:i w:val="0"/>
          <w:sz w:val="21"/>
        </w:rPr>
        <w:t>Bildirimin yaşam döngüsü (durum, atama, CAPA) ve güvenli medya yönetimi eklenir. Atomik geçişler, imzalı URL ve dosya erişim yetki kontrolü kullanıcıya görünmez.</w:t>
      </w:r>
    </w:p>
    <w:p>
      <w:pPr>
        <w:jc w:val="center"/>
      </w:pPr>
      <w:r>
        <w:drawing>
          <wp:inline xmlns:a="http://schemas.openxmlformats.org/drawingml/2006/main" xmlns:pic="http://schemas.openxmlformats.org/drawingml/2006/picture">
            <wp:extent cx="6035040" cy="2579432"/>
            <wp:docPr id="6" name="Picture 6"/>
            <wp:cNvGraphicFramePr>
              <a:graphicFrameLocks noChangeAspect="1"/>
            </wp:cNvGraphicFramePr>
            <a:graphic>
              <a:graphicData uri="http://schemas.openxmlformats.org/drawingml/2006/picture">
                <pic:pic>
                  <pic:nvPicPr>
                    <pic:cNvPr id="0" name="milestone4.png"/>
                    <pic:cNvPicPr/>
                  </pic:nvPicPr>
                  <pic:blipFill>
                    <a:blip r:embed="rId14"/>
                    <a:stretch>
                      <a:fillRect/>
                    </a:stretch>
                  </pic:blipFill>
                  <pic:spPr>
                    <a:xfrm>
                      <a:off x="0" y="0"/>
                      <a:ext cx="6035040" cy="2579432"/>
                    </a:xfrm>
                    <a:prstGeom prst="rect"/>
                  </pic:spPr>
                </pic:pic>
              </a:graphicData>
            </a:graphic>
          </wp:inline>
        </w:drawing>
      </w:r>
    </w:p>
    <w:p>
      <w:pPr>
        <w:jc w:val="center"/>
      </w:pPr>
      <w:r>
        <w:rPr>
          <w:i/>
          <w:color w:val="555F6D"/>
          <w:sz w:val="18"/>
        </w:rPr>
        <w:t>Şekil — Milestone 4 — İş Akışı, CAPA &amp; Güvenli Dosya (Gün 12–15) tasarım şeması</w:t>
      </w:r>
    </w:p>
    <w:p>
      <w:r>
        <w:br w:type="page"/>
      </w:r>
    </w:p>
    <w:p>
      <w:pPr>
        <w:pStyle w:val="Heading2"/>
      </w:pPr>
      <w:r>
        <w:rPr>
          <w:b/>
          <w:color w:val="0F766E"/>
          <w:sz w:val="25"/>
        </w:rPr>
        <w:t>Milestone 5 — Gözlemlenebilirlik, Raporlama &amp; Cilalama (Gün 16–17)</w:t>
      </w:r>
    </w:p>
    <w:p>
      <w:pPr>
        <w:spacing w:after="120"/>
      </w:pPr>
      <w:r>
        <w:rPr>
          <w:b w:val="0"/>
          <w:i w:val="0"/>
          <w:sz w:val="21"/>
        </w:rPr>
        <w:t>Denetim, pano, PDF çıktı ve çoklu dil ile ürün tamamlanır. Her işlemdeki sessiz audit log ve kapsamlı groupBy agregasyonu perde arkasındadır.</w:t>
      </w:r>
    </w:p>
    <w:p>
      <w:pPr>
        <w:jc w:val="center"/>
      </w:pPr>
      <w:r>
        <w:drawing>
          <wp:inline xmlns:a="http://schemas.openxmlformats.org/drawingml/2006/main" xmlns:pic="http://schemas.openxmlformats.org/drawingml/2006/picture">
            <wp:extent cx="6035040" cy="2722267"/>
            <wp:docPr id="7" name="Picture 7"/>
            <wp:cNvGraphicFramePr>
              <a:graphicFrameLocks noChangeAspect="1"/>
            </wp:cNvGraphicFramePr>
            <a:graphic>
              <a:graphicData uri="http://schemas.openxmlformats.org/drawingml/2006/picture">
                <pic:pic>
                  <pic:nvPicPr>
                    <pic:cNvPr id="0" name="milestone5.png"/>
                    <pic:cNvPicPr/>
                  </pic:nvPicPr>
                  <pic:blipFill>
                    <a:blip r:embed="rId15"/>
                    <a:stretch>
                      <a:fillRect/>
                    </a:stretch>
                  </pic:blipFill>
                  <pic:spPr>
                    <a:xfrm>
                      <a:off x="0" y="0"/>
                      <a:ext cx="6035040" cy="2722267"/>
                    </a:xfrm>
                    <a:prstGeom prst="rect"/>
                  </pic:spPr>
                </pic:pic>
              </a:graphicData>
            </a:graphic>
          </wp:inline>
        </w:drawing>
      </w:r>
    </w:p>
    <w:p>
      <w:pPr>
        <w:jc w:val="center"/>
      </w:pPr>
      <w:r>
        <w:rPr>
          <w:i/>
          <w:color w:val="555F6D"/>
          <w:sz w:val="18"/>
        </w:rPr>
        <w:t>Şekil — Milestone 5 — Gözlemlenebilirlik, Raporlama &amp; Cilalama (Gün 16–17) tasarım şeması</w:t>
      </w:r>
    </w:p>
    <w:p>
      <w:r>
        <w:br w:type="page"/>
      </w:r>
    </w:p>
    <w:p>
      <w:pPr>
        <w:shd w:val="clear" w:fill="0B2545"/>
        <w:spacing w:before="80" w:after="80"/>
      </w:pPr>
      <w:r>
        <w:rPr>
          <w:rFonts w:ascii="Calibri" w:hAnsi="Calibri"/>
          <w:b/>
          <w:color w:val="FFFFFF"/>
          <w:sz w:val="32"/>
        </w:rPr>
        <w:t>8. Güçlü Yönler, Riskler ve Öneriler</w:t>
      </w:r>
    </w:p>
    <w:p>
      <w:pPr>
        <w:pStyle w:val="Heading2"/>
      </w:pPr>
      <w:r>
        <w:rPr>
          <w:b/>
          <w:color w:val="0F766E"/>
          <w:sz w:val="25"/>
        </w:rPr>
        <w:t>Güçlü Yönler</w:t>
      </w:r>
    </w:p>
    <w:p>
      <w:pPr>
        <w:pStyle w:val="ListBullet"/>
        <w:spacing w:after="60"/>
        <w:ind w:left="403"/>
      </w:pPr>
      <w:r>
        <w:rPr>
          <w:sz w:val="21"/>
        </w:rPr>
        <w:t>Tek kaynaklı durum makinesi ve görünürlük kuralı — kopya mantık yok, bakımı kolay.</w:t>
      </w:r>
    </w:p>
    <w:p>
      <w:pPr>
        <w:pStyle w:val="ListBullet"/>
        <w:spacing w:after="60"/>
        <w:ind w:left="403"/>
      </w:pPr>
      <w:r>
        <w:rPr>
          <w:sz w:val="21"/>
        </w:rPr>
        <w:t>Atomik transaction'lar ile yarış koşullarına (race condition) karşı koruma.</w:t>
      </w:r>
    </w:p>
    <w:p>
      <w:pPr>
        <w:pStyle w:val="ListBullet"/>
        <w:spacing w:after="60"/>
        <w:ind w:left="403"/>
      </w:pPr>
      <w:r>
        <w:rPr>
          <w:sz w:val="21"/>
        </w:rPr>
        <w:t>Private bucket + yetkilendirilmiş, imzalı dosya erişimi — güçlü bir güvenlik duruşu.</w:t>
      </w:r>
    </w:p>
    <w:p>
      <w:pPr>
        <w:pStyle w:val="ListBullet"/>
        <w:spacing w:after="60"/>
        <w:ind w:left="403"/>
      </w:pPr>
      <w:r>
        <w:rPr>
          <w:sz w:val="21"/>
        </w:rPr>
        <w:t>Granüler RBAC ve taze izin okuma — esnek ve güvenli yetkilendirme.</w:t>
      </w:r>
    </w:p>
    <w:p>
      <w:pPr>
        <w:pStyle w:val="ListBullet"/>
        <w:spacing w:after="60"/>
        <w:ind w:left="403"/>
      </w:pPr>
      <w:r>
        <w:rPr>
          <w:sz w:val="21"/>
        </w:rPr>
        <w:t>Kesintisiz, kullanıcı silinse bile bozulmayan denetim kaydı.</w:t>
      </w:r>
    </w:p>
    <w:p>
      <w:pPr>
        <w:pStyle w:val="Heading2"/>
      </w:pPr>
      <w:r>
        <w:rPr>
          <w:b/>
          <w:color w:val="B45309"/>
          <w:sz w:val="25"/>
        </w:rPr>
        <w:t>Riskler / Geliştirme Alanları</w:t>
      </w:r>
    </w:p>
    <w:p>
      <w:pPr>
        <w:pStyle w:val="ListBullet"/>
        <w:spacing w:after="60"/>
        <w:ind w:left="403"/>
      </w:pPr>
      <w:r>
        <w:rPr>
          <w:sz w:val="21"/>
        </w:rPr>
        <w:t>Otomatik test kapsamı görünmüyor — birim/e2e testleri eklenmeli (öneri: Jest + Supertest).</w:t>
      </w:r>
    </w:p>
    <w:p>
      <w:pPr>
        <w:pStyle w:val="ListBullet"/>
        <w:spacing w:after="60"/>
        <w:ind w:left="403"/>
      </w:pPr>
      <w:r>
        <w:rPr>
          <w:sz w:val="21"/>
        </w:rPr>
        <w:t>JWT_SECRET üretimde mutlaka güçlü ve gizli olmalı; token süre/iptal politikası netleştirilmeli.</w:t>
      </w:r>
    </w:p>
    <w:p>
      <w:pPr>
        <w:pStyle w:val="ListBullet"/>
        <w:spacing w:after="60"/>
        <w:ind w:left="403"/>
      </w:pPr>
      <w:r>
        <w:rPr>
          <w:sz w:val="21"/>
        </w:rPr>
        <w:t>Bildirim listelemede sayfalama (pagination) yok — veri büyüdükçe eklenmeli.</w:t>
      </w:r>
    </w:p>
    <w:p>
      <w:pPr>
        <w:pStyle w:val="ListBullet"/>
        <w:spacing w:after="60"/>
        <w:ind w:left="403"/>
      </w:pPr>
      <w:r>
        <w:rPr>
          <w:sz w:val="21"/>
        </w:rPr>
        <w:t>CorrectiveAction 'OVERDUE' durumu için zamanlanmış iş (cron) tanımlanmalı.</w:t>
      </w:r>
    </w:p>
    <w:p>
      <w:pPr>
        <w:pStyle w:val="ListBullet"/>
        <w:spacing w:after="60"/>
        <w:ind w:left="403"/>
      </w:pPr>
      <w:r>
        <w:rPr>
          <w:sz w:val="21"/>
        </w:rPr>
        <w:t>Sağlık/hazırlık (health) uçları ve yapılandırılmış loglama (ör. pino) izlemeyi kolaylaştırır.</w:t>
      </w:r>
    </w:p>
    <w:p>
      <w:pPr>
        <w:pStyle w:val="Heading2"/>
      </w:pPr>
      <w:r>
        <w:rPr>
          <w:b/>
          <w:color w:val="0F766E"/>
          <w:sz w:val="25"/>
        </w:rPr>
        <w:t>Öneriler</w:t>
      </w:r>
    </w:p>
    <w:p>
      <w:pPr>
        <w:spacing w:after="120"/>
      </w:pPr>
      <w:r>
        <w:rPr>
          <w:b w:val="0"/>
          <w:i w:val="0"/>
          <w:sz w:val="21"/>
        </w:rPr>
        <w:t>Staj değerlendirmesi açısından proje, bir junior geliştiriciden beklenenin üzerinde bir mimari olgunluk sergiliyor. Bir sonraki adım olarak test altyapısı, CI hattı (GitHub Actions) ve temel gözlemlenebilirlik (health + metrics) eklemek, projeyi 'üretime hazır' seviyesine taşır.</w:t>
      </w:r>
    </w:p>
    <w:p>
      <w:pPr>
        <w:shd w:val="clear" w:fill="0B2545"/>
        <w:spacing w:before="80" w:after="80"/>
      </w:pPr>
      <w:r>
        <w:rPr>
          <w:rFonts w:ascii="Calibri" w:hAnsi="Calibri"/>
          <w:b/>
          <w:color w:val="FFFFFF"/>
          <w:sz w:val="32"/>
        </w:rPr>
        <w:t>9. Sonuç</w:t>
      </w:r>
    </w:p>
    <w:p>
      <w:pPr>
        <w:spacing w:after="120"/>
      </w:pPr>
      <w:r>
        <w:rPr>
          <w:b w:val="0"/>
          <w:i w:val="0"/>
          <w:sz w:val="21"/>
        </w:rPr>
        <w:t>İSG Bildirim Sistemi, iş sağlığı ve güvenliği süreçlerini dijitalleştiren, güvenlik ve veri bütünlüğü kararları özenle verilmiş, tam işlevsel bir full-stack uygulamadır. Bu rapor boyunca sunulan 17 günlük yol haritası, 5 milestone ve 8 sprint; hem projenin nasıl inşa edildiğini anlatır hem de her sprint için ayrı ayrı üretilen ayrıntılı sprint raporlarına ve büyüyen entity-relation haritalarına bir çatı oluşturur.</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