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766E"/>
          <w:sz w:val="26"/>
        </w:rPr>
        <w:t>İSG BİLDİRİM SİSTEMİ</w:t>
      </w:r>
    </w:p>
    <w:p>
      <w:pPr>
        <w:jc w:val="center"/>
      </w:pPr>
      <w:r>
        <w:rPr>
          <w:b/>
          <w:color w:val="0F766E"/>
          <w:sz w:val="52"/>
        </w:rPr>
        <w:t>Sprint 1 Raporu</w:t>
      </w:r>
    </w:p>
    <w:p>
      <w:pPr>
        <w:jc w:val="center"/>
      </w:pPr>
      <w:r>
        <w:rPr>
          <w:i/>
          <w:color w:val="555F6D"/>
          <w:sz w:val="26"/>
        </w:rPr>
        <w:t>Temel Altyapı &amp; Şema İskeleti</w:t>
      </w:r>
    </w:p>
    <w:p/>
    <w:p>
      <w:pPr>
        <w:jc w:val="center"/>
      </w:pPr>
      <w:r>
        <w:rPr>
          <w:color w:val="C0C7D0"/>
        </w:rPr>
        <w:t>────────────────────────────────────────────</w:t>
      </w:r>
    </w:p>
    <w:p/>
    <w:tbl>
      <w:tblPr>
        <w:tblW w:type="auto" w:w="0"/>
        <w:jc w:val="center"/>
        <w:tblLook w:firstColumn="1" w:firstRow="1" w:lastColumn="0" w:lastRow="0" w:noHBand="0" w:noVBand="1" w:val="04A0"/>
      </w:tblPr>
      <w:tblGrid>
        <w:gridCol w:w="4896"/>
        <w:gridCol w:w="4896"/>
      </w:tblGrid>
      <w:tr>
        <w:tc>
          <w:tcPr>
            <w:tcW w:type="dxa" w:w="3456"/>
          </w:tcPr>
          <w:p>
            <w:r>
              <w:rPr>
                <w:b/>
                <w:color w:val="0B2545"/>
                <w:sz w:val="22"/>
              </w:rPr>
              <w:t>Sprint:</w:t>
            </w:r>
          </w:p>
        </w:tc>
        <w:tc>
          <w:tcPr>
            <w:tcW w:type="dxa" w:w="5760"/>
          </w:tcPr>
          <w:p>
            <w:r>
              <w:rPr>
                <w:sz w:val="22"/>
              </w:rPr>
              <w:t>Sprint 1 — Temel Altyapı &amp; Şema İskeleti</w:t>
            </w:r>
          </w:p>
        </w:tc>
      </w:tr>
      <w:tr>
        <w:tc>
          <w:tcPr>
            <w:tcW w:type="dxa" w:w="3456"/>
          </w:tcPr>
          <w:p>
            <w:r>
              <w:rPr>
                <w:b/>
                <w:color w:val="0B2545"/>
                <w:sz w:val="22"/>
              </w:rPr>
              <w:t>Kilometre taşı:</w:t>
            </w:r>
          </w:p>
        </w:tc>
        <w:tc>
          <w:tcPr>
            <w:tcW w:type="dxa" w:w="5760"/>
          </w:tcPr>
          <w:p>
            <w:r>
              <w:rPr>
                <w:sz w:val="22"/>
              </w:rPr>
              <w:t>M1 — Temel Altyapı &amp; Kimlik Doğrulama</w:t>
            </w:r>
          </w:p>
        </w:tc>
      </w:tr>
      <w:tr>
        <w:tc>
          <w:tcPr>
            <w:tcW w:type="dxa" w:w="3456"/>
          </w:tcPr>
          <w:p>
            <w:r>
              <w:rPr>
                <w:b/>
                <w:color w:val="0B2545"/>
                <w:sz w:val="22"/>
              </w:rPr>
              <w:t>Zaman:</w:t>
            </w:r>
          </w:p>
        </w:tc>
        <w:tc>
          <w:tcPr>
            <w:tcW w:type="dxa" w:w="5760"/>
          </w:tcPr>
          <w:p>
            <w:r>
              <w:rPr>
                <w:sz w:val="22"/>
              </w:rPr>
              <w:t>Gün 1–2 (17 iş günü planı)</w:t>
            </w:r>
          </w:p>
        </w:tc>
      </w:tr>
      <w:tr>
        <w:tc>
          <w:tcPr>
            <w:tcW w:type="dxa" w:w="3456"/>
          </w:tcPr>
          <w:p>
            <w:r>
              <w:rPr>
                <w:b/>
                <w:color w:val="0B2545"/>
                <w:sz w:val="22"/>
              </w:rPr>
              <w:t>Kapsam:</w:t>
            </w:r>
          </w:p>
        </w:tc>
        <w:tc>
          <w:tcPr>
            <w:tcW w:type="dxa" w:w="5760"/>
          </w:tcPr>
          <w:p>
            <w:r>
              <w:rPr>
                <w:sz w:val="22"/>
              </w:rPr>
              <w:t>Üretilen dosyalar, ilişkiler ve topolojik ER haritası</w:t>
            </w:r>
          </w:p>
        </w:tc>
      </w:tr>
      <w:tr>
        <w:tc>
          <w:tcPr>
            <w:tcW w:type="dxa" w:w="3456"/>
          </w:tcPr>
          <w:p>
            <w:r>
              <w:rPr>
                <w:b/>
                <w:color w:val="0B2545"/>
                <w:sz w:val="22"/>
              </w:rPr>
              <w:t>Cobweb büyüklüğü:</w:t>
            </w:r>
          </w:p>
        </w:tc>
        <w:tc>
          <w:tcPr>
            <w:tcW w:type="dxa" w:w="5760"/>
          </w:tcPr>
          <w:p>
            <w:r>
              <w:rPr>
                <w:sz w:val="22"/>
              </w:rPr>
              <w:t>9 düğüm / 7 kenar (kümülatif)</w:t>
            </w:r>
          </w:p>
        </w:tc>
      </w:tr>
      <w:tr>
        <w:tc>
          <w:tcPr>
            <w:tcW w:type="dxa" w:w="3456"/>
          </w:tcPr>
          <w:p>
            <w:r>
              <w:rPr>
                <w:b/>
                <w:color w:val="0B2545"/>
                <w:sz w:val="22"/>
              </w:rPr>
              <w:t>Belge:</w:t>
            </w:r>
          </w:p>
        </w:tc>
        <w:tc>
          <w:tcPr>
            <w:tcW w:type="dxa" w:w="5760"/>
          </w:tcPr>
          <w:p>
            <w:r>
              <w:rPr>
                <w:sz w:val="22"/>
              </w:rPr>
              <w:t>Sprint 1/8</w:t>
            </w:r>
          </w:p>
        </w:tc>
      </w:tr>
    </w:tbl>
    <w:p>
      <w:r>
        <w:br w:type="page"/>
      </w:r>
    </w:p>
    <w:p>
      <w:pPr>
        <w:shd w:val="clear" w:fill="0B2545"/>
        <w:spacing w:before="80" w:after="80"/>
      </w:pPr>
      <w:r>
        <w:rPr>
          <w:rFonts w:ascii="Calibri" w:hAnsi="Calibri"/>
          <w:b/>
          <w:color w:val="FFFFFF"/>
          <w:sz w:val="32"/>
        </w:rPr>
        <w:t>1. Sprint 1 Amacı ve Kapsamı</w:t>
      </w:r>
    </w:p>
    <w:p>
      <w:pPr>
        <w:spacing w:after="120"/>
      </w:pPr>
      <w:r>
        <w:rPr>
          <w:b w:val="0"/>
          <w:i w:val="0"/>
          <w:sz w:val="21"/>
        </w:rPr>
        <w:t>Projenin çalışabilir iskeletini kurmak: Docker ile veri/depolama servislerini ayağa kaldırmak, Prisma veri modelinin temelini atmak, NestJS backend ve React+Vite istemci iskeletlerini oluşturmak. Bu sprint sonunda henüz iş mantığı yoktur; ancak iki proje de derlenip ayağa kalkar ve veritabanına bağlanır.</w:t>
      </w:r>
    </w:p>
    <w:p>
      <w:pPr>
        <w:shd w:val="clear" w:fill="0B2545"/>
        <w:spacing w:before="80" w:after="80"/>
      </w:pPr>
      <w:r>
        <w:rPr>
          <w:rFonts w:ascii="Calibri" w:hAnsi="Calibri"/>
          <w:b/>
          <w:color w:val="FFFFFF"/>
          <w:sz w:val="32"/>
        </w:rPr>
        <w:t>2. Bu Sprintte Üretilen Dosyalar</w:t>
      </w:r>
    </w:p>
    <w:p>
      <w:pPr>
        <w:spacing w:after="120"/>
      </w:pPr>
      <w:r>
        <w:rPr>
          <w:b w:val="0"/>
          <w:i/>
          <w:color w:val="555F6D"/>
          <w:sz w:val="21"/>
        </w:rPr>
        <w:t>Aşağıdaki tablo, bu sprintte oluşturulan her dosyayı (veya grup klasörünü) tekil olarak ele alır: hangi katmana ait olduğu, hangi modül/özelliğe hitap ettiği ve başlıca ilişkileri. Grup halindeki dosyalar, ilgili oldukları modül altında birlikte açıklanır.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520"/>
            <w:shd w:val="clear" w:fill="0B2545"/>
          </w:tcPr>
          <w:p>
            <w:r>
              <w:rPr>
                <w:b/>
                <w:color w:val="FFFFFF"/>
                <w:sz w:val="17"/>
              </w:rPr>
              <w:t>Dosya / Grup</w:t>
            </w:r>
          </w:p>
        </w:tc>
        <w:tc>
          <w:tcPr>
            <w:tcW w:type="dxa" w:w="1224"/>
            <w:shd w:val="clear" w:fill="0B2545"/>
          </w:tcPr>
          <w:p>
            <w:r>
              <w:rPr>
                <w:b/>
                <w:color w:val="FFFFFF"/>
                <w:sz w:val="17"/>
              </w:rPr>
              <w:t>Katman</w:t>
            </w:r>
          </w:p>
        </w:tc>
        <w:tc>
          <w:tcPr>
            <w:tcW w:type="dxa" w:w="3312"/>
            <w:shd w:val="clear" w:fill="0B2545"/>
          </w:tcPr>
          <w:p>
            <w:r>
              <w:rPr>
                <w:b/>
                <w:color w:val="FFFFFF"/>
                <w:sz w:val="17"/>
              </w:rPr>
              <w:t>Modül / Özellik (ne işe yarar)</w:t>
            </w:r>
          </w:p>
        </w:tc>
        <w:tc>
          <w:tcPr>
            <w:tcW w:type="dxa" w:w="2448"/>
            <w:shd w:val="clear" w:fill="0B2545"/>
          </w:tcPr>
          <w:p>
            <w:r>
              <w:rPr>
                <w:b/>
                <w:color w:val="FFFFFF"/>
                <w:sz w:val="17"/>
              </w:rPr>
              <w:t>Başlıca İlişki</w:t>
            </w:r>
          </w:p>
        </w:tc>
      </w:tr>
      <w:tr>
        <w:tc>
          <w:tcPr>
            <w:tcW w:type="dxa" w:w="2520"/>
          </w:tcPr>
          <w:p>
            <w:pPr>
              <w:spacing w:after="20"/>
            </w:pPr>
            <w:r>
              <w:rPr>
                <w:sz w:val="17"/>
              </w:rPr>
              <w:t>docker-compose.yml</w:t>
            </w:r>
          </w:p>
        </w:tc>
        <w:tc>
          <w:tcPr>
            <w:tcW w:type="dxa" w:w="1224"/>
          </w:tcPr>
          <w:p>
            <w:pPr>
              <w:spacing w:after="20"/>
            </w:pPr>
            <w:r>
              <w:rPr>
                <w:sz w:val="17"/>
              </w:rPr>
              <w:t>Altyapı</w:t>
            </w:r>
          </w:p>
        </w:tc>
        <w:tc>
          <w:tcPr>
            <w:tcW w:type="dxa" w:w="3312"/>
          </w:tcPr>
          <w:p>
            <w:pPr>
              <w:spacing w:after="20"/>
            </w:pPr>
            <w:r>
              <w:rPr>
                <w:sz w:val="17"/>
              </w:rPr>
              <w:t>DevOps orkestrasyonu — PostgreSQL 16, pgAdmin ve MinIO servislerini healthcheck ve kalıcı volume'larla tanımlar.</w:t>
            </w:r>
          </w:p>
        </w:tc>
        <w:tc>
          <w:tcPr>
            <w:tcW w:type="dxa" w:w="2448"/>
          </w:tcPr>
          <w:p>
            <w:pPr>
              <w:spacing w:after="20"/>
            </w:pPr>
            <w:r>
              <w:rPr>
                <w:sz w:val="17"/>
              </w:rPr>
              <w:t>Tüm backend servislerinin bağımlılığı; PostgreSQL ↔ Prisma, MinIO ↔ StorageService (ileride).</w:t>
            </w:r>
          </w:p>
        </w:tc>
      </w:tr>
      <w:tr>
        <w:tc>
          <w:tcPr>
            <w:tcW w:type="dxa" w:w="2520"/>
            <w:shd w:val="clear" w:fill="F3F4F6"/>
          </w:tcPr>
          <w:p>
            <w:pPr>
              <w:spacing w:after="20"/>
            </w:pPr>
            <w:r>
              <w:rPr>
                <w:sz w:val="17"/>
              </w:rPr>
              <w:t>pgadmin/servers.json</w:t>
            </w:r>
          </w:p>
        </w:tc>
        <w:tc>
          <w:tcPr>
            <w:tcW w:type="dxa" w:w="1224"/>
            <w:shd w:val="clear" w:fill="F3F4F6"/>
          </w:tcPr>
          <w:p>
            <w:pPr>
              <w:spacing w:after="20"/>
            </w:pPr>
            <w:r>
              <w:rPr>
                <w:sz w:val="17"/>
              </w:rPr>
              <w:t>Altyapı</w:t>
            </w:r>
          </w:p>
        </w:tc>
        <w:tc>
          <w:tcPr>
            <w:tcW w:type="dxa" w:w="3312"/>
            <w:shd w:val="clear" w:fill="F3F4F6"/>
          </w:tcPr>
          <w:p>
            <w:pPr>
              <w:spacing w:after="20"/>
            </w:pPr>
            <w:r>
              <w:rPr>
                <w:sz w:val="17"/>
              </w:rPr>
              <w:t>DB yönetimi — pgAdmin'e 'HSE Docker' bağlantısını önceden tanımlı getirir.</w:t>
            </w:r>
          </w:p>
        </w:tc>
        <w:tc>
          <w:tcPr>
            <w:tcW w:type="dxa" w:w="2448"/>
            <w:shd w:val="clear" w:fill="F3F4F6"/>
          </w:tcPr>
          <w:p>
            <w:pPr>
              <w:spacing w:after="20"/>
            </w:pPr>
            <w:r>
              <w:rPr>
                <w:sz w:val="17"/>
              </w:rPr>
              <w:t>pgAdmin → PostgreSQL</w:t>
            </w:r>
          </w:p>
        </w:tc>
      </w:tr>
      <w:tr>
        <w:tc>
          <w:tcPr>
            <w:tcW w:type="dxa" w:w="2520"/>
          </w:tcPr>
          <w:p>
            <w:pPr>
              <w:spacing w:after="20"/>
            </w:pPr>
            <w:r>
              <w:rPr>
                <w:sz w:val="17"/>
              </w:rPr>
              <w:t>backend/package.json</w:t>
            </w:r>
          </w:p>
        </w:tc>
        <w:tc>
          <w:tcPr>
            <w:tcW w:type="dxa" w:w="1224"/>
          </w:tcPr>
          <w:p>
            <w:pPr>
              <w:spacing w:after="20"/>
            </w:pPr>
            <w:r>
              <w:rPr>
                <w:sz w:val="17"/>
              </w:rPr>
              <w:t>Altyapı</w:t>
            </w:r>
          </w:p>
        </w:tc>
        <w:tc>
          <w:tcPr>
            <w:tcW w:type="dxa" w:w="3312"/>
          </w:tcPr>
          <w:p>
            <w:pPr>
              <w:spacing w:after="20"/>
            </w:pPr>
            <w:r>
              <w:rPr>
                <w:sz w:val="17"/>
              </w:rPr>
              <w:t>Backend bağımlılık/script yönetimi — NestJS, Prisma, JWT, class-validator; prisma:migrate/seed scriptleri.</w:t>
            </w:r>
          </w:p>
        </w:tc>
        <w:tc>
          <w:tcPr>
            <w:tcW w:type="dxa" w:w="2448"/>
          </w:tcPr>
          <w:p>
            <w:pPr>
              <w:spacing w:after="20"/>
            </w:pPr>
            <w:r>
              <w:rPr>
                <w:sz w:val="17"/>
              </w:rPr>
              <w:t>Tüm backend modüllerinin temeli.</w:t>
            </w:r>
          </w:p>
        </w:tc>
      </w:tr>
      <w:tr>
        <w:tc>
          <w:tcPr>
            <w:tcW w:type="dxa" w:w="2520"/>
            <w:shd w:val="clear" w:fill="F3F4F6"/>
          </w:tcPr>
          <w:p>
            <w:pPr>
              <w:spacing w:after="20"/>
            </w:pPr>
            <w:r>
              <w:rPr>
                <w:sz w:val="17"/>
              </w:rPr>
              <w:t>backend/prisma/schema.prisma</w:t>
            </w:r>
          </w:p>
        </w:tc>
        <w:tc>
          <w:tcPr>
            <w:tcW w:type="dxa" w:w="1224"/>
            <w:shd w:val="clear" w:fill="F3F4F6"/>
          </w:tcPr>
          <w:p>
            <w:pPr>
              <w:spacing w:after="20"/>
            </w:pPr>
            <w:r>
              <w:rPr>
                <w:sz w:val="17"/>
              </w:rPr>
              <w:t>Veri Modeli</w:t>
            </w:r>
          </w:p>
        </w:tc>
        <w:tc>
          <w:tcPr>
            <w:tcW w:type="dxa" w:w="3312"/>
            <w:shd w:val="clear" w:fill="F3F4F6"/>
          </w:tcPr>
          <w:p>
            <w:pPr>
              <w:spacing w:after="20"/>
            </w:pPr>
            <w:r>
              <w:rPr>
                <w:sz w:val="17"/>
              </w:rPr>
              <w:t>Veri modelinin tek kaynağı — bu sprintte datasource/generator ve ilk model iskeleti; sonraki sprintlerde büyür.</w:t>
            </w:r>
          </w:p>
        </w:tc>
        <w:tc>
          <w:tcPr>
            <w:tcW w:type="dxa" w:w="2448"/>
            <w:shd w:val="clear" w:fill="F3F4F6"/>
          </w:tcPr>
          <w:p>
            <w:pPr>
              <w:spacing w:after="20"/>
            </w:pPr>
            <w:r>
              <w:rPr>
                <w:sz w:val="17"/>
              </w:rPr>
              <w:t>PrismaService bu şemadan tip üretir; PostgreSQL'e migrate edilir.</w:t>
            </w:r>
          </w:p>
        </w:tc>
      </w:tr>
      <w:tr>
        <w:tc>
          <w:tcPr>
            <w:tcW w:type="dxa" w:w="2520"/>
          </w:tcPr>
          <w:p>
            <w:pPr>
              <w:spacing w:after="20"/>
            </w:pPr>
            <w:r>
              <w:rPr>
                <w:sz w:val="17"/>
              </w:rPr>
              <w:t>backend/src/prisma/prisma.module.ts + prisma.service.ts</w:t>
            </w:r>
          </w:p>
        </w:tc>
        <w:tc>
          <w:tcPr>
            <w:tcW w:type="dxa" w:w="1224"/>
          </w:tcPr>
          <w:p>
            <w:pPr>
              <w:spacing w:after="20"/>
            </w:pPr>
            <w:r>
              <w:rPr>
                <w:sz w:val="17"/>
              </w:rPr>
              <w:t>Backend</w:t>
            </w:r>
          </w:p>
        </w:tc>
        <w:tc>
          <w:tcPr>
            <w:tcW w:type="dxa" w:w="3312"/>
          </w:tcPr>
          <w:p>
            <w:pPr>
              <w:spacing w:after="20"/>
            </w:pPr>
            <w:r>
              <w:rPr>
                <w:sz w:val="17"/>
              </w:rPr>
              <w:t>Veri erişim sarmalayıcı — PrismaClient'ı DI ile tüm modüllere sağlar (global).</w:t>
            </w:r>
          </w:p>
        </w:tc>
        <w:tc>
          <w:tcPr>
            <w:tcW w:type="dxa" w:w="2448"/>
          </w:tcPr>
          <w:p>
            <w:pPr>
              <w:spacing w:after="20"/>
            </w:pPr>
            <w:r>
              <w:rPr>
                <w:sz w:val="17"/>
              </w:rPr>
              <w:t>app.module → tüm servisler → PrismaService → PostgreSQL</w:t>
            </w:r>
          </w:p>
        </w:tc>
      </w:tr>
      <w:tr>
        <w:tc>
          <w:tcPr>
            <w:tcW w:type="dxa" w:w="2520"/>
            <w:shd w:val="clear" w:fill="F3F4F6"/>
          </w:tcPr>
          <w:p>
            <w:pPr>
              <w:spacing w:after="20"/>
            </w:pPr>
            <w:r>
              <w:rPr>
                <w:sz w:val="17"/>
              </w:rPr>
              <w:t>backend/src/app.module.ts</w:t>
            </w:r>
          </w:p>
        </w:tc>
        <w:tc>
          <w:tcPr>
            <w:tcW w:type="dxa" w:w="1224"/>
            <w:shd w:val="clear" w:fill="F3F4F6"/>
          </w:tcPr>
          <w:p>
            <w:pPr>
              <w:spacing w:after="20"/>
            </w:pPr>
            <w:r>
              <w:rPr>
                <w:sz w:val="17"/>
              </w:rPr>
              <w:t>Backend</w:t>
            </w:r>
          </w:p>
        </w:tc>
        <w:tc>
          <w:tcPr>
            <w:tcW w:type="dxa" w:w="3312"/>
            <w:shd w:val="clear" w:fill="F3F4F6"/>
          </w:tcPr>
          <w:p>
            <w:pPr>
              <w:spacing w:after="20"/>
            </w:pPr>
            <w:r>
              <w:rPr>
                <w:sz w:val="17"/>
              </w:rPr>
              <w:t>Kök modül — tüm modülleri ve global guard'ları (ileride) toplar.</w:t>
            </w:r>
          </w:p>
        </w:tc>
        <w:tc>
          <w:tcPr>
            <w:tcW w:type="dxa" w:w="2448"/>
            <w:shd w:val="clear" w:fill="F3F4F6"/>
          </w:tcPr>
          <w:p>
            <w:pPr>
              <w:spacing w:after="20"/>
            </w:pPr>
            <w:r>
              <w:rPr>
                <w:sz w:val="17"/>
              </w:rPr>
              <w:t>main.ts tarafından bootstrap edilir; PrismaModule'ü içe alır.</w:t>
            </w:r>
          </w:p>
        </w:tc>
      </w:tr>
      <w:tr>
        <w:tc>
          <w:tcPr>
            <w:tcW w:type="dxa" w:w="2520"/>
          </w:tcPr>
          <w:p>
            <w:pPr>
              <w:spacing w:after="20"/>
            </w:pPr>
            <w:r>
              <w:rPr>
                <w:sz w:val="17"/>
              </w:rPr>
              <w:t>backend/src/main.ts</w:t>
            </w:r>
          </w:p>
        </w:tc>
        <w:tc>
          <w:tcPr>
            <w:tcW w:type="dxa" w:w="1224"/>
          </w:tcPr>
          <w:p>
            <w:pPr>
              <w:spacing w:after="20"/>
            </w:pPr>
            <w:r>
              <w:rPr>
                <w:sz w:val="17"/>
              </w:rPr>
              <w:t>Backend</w:t>
            </w:r>
          </w:p>
        </w:tc>
        <w:tc>
          <w:tcPr>
            <w:tcW w:type="dxa" w:w="3312"/>
          </w:tcPr>
          <w:p>
            <w:pPr>
              <w:spacing w:after="20"/>
            </w:pPr>
            <w:r>
              <w:rPr>
                <w:sz w:val="17"/>
              </w:rPr>
              <w:t>Uygulama başlangıcı — global '/api' öneki, CORS, whitelist'li ValidationPipe.</w:t>
            </w:r>
          </w:p>
        </w:tc>
        <w:tc>
          <w:tcPr>
            <w:tcW w:type="dxa" w:w="2448"/>
          </w:tcPr>
          <w:p>
            <w:pPr>
              <w:spacing w:after="20"/>
            </w:pPr>
            <w:r>
              <w:rPr>
                <w:sz w:val="17"/>
              </w:rPr>
              <w:t>AppModule'ü ayağa kaldırır; port 3000.</w:t>
            </w:r>
          </w:p>
        </w:tc>
      </w:tr>
      <w:tr>
        <w:tc>
          <w:tcPr>
            <w:tcW w:type="dxa" w:w="2520"/>
            <w:shd w:val="clear" w:fill="F3F4F6"/>
          </w:tcPr>
          <w:p>
            <w:pPr>
              <w:spacing w:after="20"/>
            </w:pPr>
            <w:r>
              <w:rPr>
                <w:sz w:val="17"/>
              </w:rPr>
              <w:t>client/package.json + vite.config.ts</w:t>
            </w:r>
          </w:p>
        </w:tc>
        <w:tc>
          <w:tcPr>
            <w:tcW w:type="dxa" w:w="1224"/>
            <w:shd w:val="clear" w:fill="F3F4F6"/>
          </w:tcPr>
          <w:p>
            <w:pPr>
              <w:spacing w:after="20"/>
            </w:pPr>
            <w:r>
              <w:rPr>
                <w:sz w:val="17"/>
              </w:rPr>
              <w:t>Altyapı</w:t>
            </w:r>
          </w:p>
        </w:tc>
        <w:tc>
          <w:tcPr>
            <w:tcW w:type="dxa" w:w="3312"/>
            <w:shd w:val="clear" w:fill="F3F4F6"/>
          </w:tcPr>
          <w:p>
            <w:pPr>
              <w:spacing w:after="20"/>
            </w:pPr>
            <w:r>
              <w:rPr>
                <w:sz w:val="17"/>
              </w:rPr>
              <w:t>İstemci bağımlılık/derleme — React, Router, TanStack Query, axios, i18next; /api proxy.</w:t>
            </w:r>
          </w:p>
        </w:tc>
        <w:tc>
          <w:tcPr>
            <w:tcW w:type="dxa" w:w="2448"/>
            <w:shd w:val="clear" w:fill="F3F4F6"/>
          </w:tcPr>
          <w:p>
            <w:pPr>
              <w:spacing w:after="20"/>
            </w:pPr>
            <w:r>
              <w:rPr>
                <w:sz w:val="17"/>
              </w:rPr>
              <w:t>Vite dev sunucusu /api → backend:3000.</w:t>
            </w:r>
          </w:p>
        </w:tc>
      </w:tr>
      <w:tr>
        <w:tc>
          <w:tcPr>
            <w:tcW w:type="dxa" w:w="2520"/>
          </w:tcPr>
          <w:p>
            <w:pPr>
              <w:spacing w:after="20"/>
            </w:pPr>
            <w:r>
              <w:rPr>
                <w:sz w:val="17"/>
              </w:rPr>
              <w:t>client/src/main.tsx</w:t>
            </w:r>
          </w:p>
        </w:tc>
        <w:tc>
          <w:tcPr>
            <w:tcW w:type="dxa" w:w="1224"/>
          </w:tcPr>
          <w:p>
            <w:pPr>
              <w:spacing w:after="20"/>
            </w:pPr>
            <w:r>
              <w:rPr>
                <w:sz w:val="17"/>
              </w:rPr>
              <w:t>Frontend</w:t>
            </w:r>
          </w:p>
        </w:tc>
        <w:tc>
          <w:tcPr>
            <w:tcW w:type="dxa" w:w="3312"/>
          </w:tcPr>
          <w:p>
            <w:pPr>
              <w:spacing w:after="20"/>
            </w:pPr>
            <w:r>
              <w:rPr>
                <w:sz w:val="17"/>
              </w:rPr>
              <w:t>İstemci giriş noktası — React kökü, Router, QueryClient ve (ileride) AuthProvider'ı sarar.</w:t>
            </w:r>
          </w:p>
        </w:tc>
        <w:tc>
          <w:tcPr>
            <w:tcW w:type="dxa" w:w="2448"/>
          </w:tcPr>
          <w:p>
            <w:pPr>
              <w:spacing w:after="20"/>
            </w:pPr>
            <w:r>
              <w:rPr>
                <w:sz w:val="17"/>
              </w:rPr>
              <w:t>App.tsx'i render eder.</w:t>
            </w:r>
          </w:p>
        </w:tc>
      </w:tr>
      <w:tr>
        <w:tc>
          <w:tcPr>
            <w:tcW w:type="dxa" w:w="2520"/>
            <w:shd w:val="clear" w:fill="F3F4F6"/>
          </w:tcPr>
          <w:p>
            <w:pPr>
              <w:spacing w:after="20"/>
            </w:pPr>
            <w:r>
              <w:rPr>
                <w:sz w:val="17"/>
              </w:rPr>
              <w:t>client/src/App.tsx</w:t>
            </w:r>
          </w:p>
        </w:tc>
        <w:tc>
          <w:tcPr>
            <w:tcW w:type="dxa" w:w="1224"/>
            <w:shd w:val="clear" w:fill="F3F4F6"/>
          </w:tcPr>
          <w:p>
            <w:pPr>
              <w:spacing w:after="20"/>
            </w:pPr>
            <w:r>
              <w:rPr>
                <w:sz w:val="17"/>
              </w:rPr>
              <w:t>Frontend</w:t>
            </w:r>
          </w:p>
        </w:tc>
        <w:tc>
          <w:tcPr>
            <w:tcW w:type="dxa" w:w="3312"/>
            <w:shd w:val="clear" w:fill="F3F4F6"/>
          </w:tcPr>
          <w:p>
            <w:pPr>
              <w:spacing w:after="20"/>
            </w:pPr>
            <w:r>
              <w:rPr>
                <w:sz w:val="17"/>
              </w:rPr>
              <w:t>Rota iskeleti — kimlik durumuna göre rota ağacı (bu sprintte iskelet).</w:t>
            </w:r>
          </w:p>
        </w:tc>
        <w:tc>
          <w:tcPr>
            <w:tcW w:type="dxa" w:w="2448"/>
            <w:shd w:val="clear" w:fill="F3F4F6"/>
          </w:tcPr>
          <w:p>
            <w:pPr>
              <w:spacing w:after="20"/>
            </w:pPr>
            <w:r>
              <w:rPr>
                <w:sz w:val="17"/>
              </w:rPr>
              <w:t>main.tsx → App → sayfalar (ileride).</w:t>
            </w:r>
          </w:p>
        </w:tc>
      </w:tr>
      <w:tr>
        <w:tc>
          <w:tcPr>
            <w:tcW w:type="dxa" w:w="2520"/>
          </w:tcPr>
          <w:p>
            <w:pPr>
              <w:spacing w:after="20"/>
            </w:pPr>
            <w:r>
              <w:rPr>
                <w:sz w:val="17"/>
              </w:rPr>
              <w:t>client/src/styles.css</w:t>
            </w:r>
          </w:p>
        </w:tc>
        <w:tc>
          <w:tcPr>
            <w:tcW w:type="dxa" w:w="1224"/>
          </w:tcPr>
          <w:p>
            <w:pPr>
              <w:spacing w:after="20"/>
            </w:pPr>
            <w:r>
              <w:rPr>
                <w:sz w:val="17"/>
              </w:rPr>
              <w:t>Frontend</w:t>
            </w:r>
          </w:p>
        </w:tc>
        <w:tc>
          <w:tcPr>
            <w:tcW w:type="dxa" w:w="3312"/>
          </w:tcPr>
          <w:p>
            <w:pPr>
              <w:spacing w:after="20"/>
            </w:pPr>
            <w:r>
              <w:rPr>
                <w:sz w:val="17"/>
              </w:rPr>
              <w:t>Global stil — uygulama kabuğu, tipografi, renk paleti.</w:t>
            </w:r>
          </w:p>
        </w:tc>
        <w:tc>
          <w:tcPr>
            <w:tcW w:type="dxa" w:w="2448"/>
          </w:tcPr>
          <w:p>
            <w:pPr>
              <w:spacing w:after="20"/>
            </w:pPr>
            <w:r>
              <w:rPr>
                <w:sz w:val="17"/>
              </w:rPr>
              <w:t>Tüm bileşenlerin ortak görünümü.</w:t>
            </w:r>
          </w:p>
        </w:tc>
      </w:tr>
      <w:tr>
        <w:tc>
          <w:tcPr>
            <w:tcW w:type="dxa" w:w="2520"/>
            <w:shd w:val="clear" w:fill="F3F4F6"/>
          </w:tcPr>
          <w:p>
            <w:pPr>
              <w:spacing w:after="20"/>
            </w:pPr>
            <w:r>
              <w:rPr>
                <w:sz w:val="17"/>
              </w:rPr>
              <w:t>README.md</w:t>
            </w:r>
          </w:p>
        </w:tc>
        <w:tc>
          <w:tcPr>
            <w:tcW w:type="dxa" w:w="1224"/>
            <w:shd w:val="clear" w:fill="F3F4F6"/>
          </w:tcPr>
          <w:p>
            <w:pPr>
              <w:spacing w:after="20"/>
            </w:pPr>
            <w:r>
              <w:rPr>
                <w:sz w:val="17"/>
              </w:rPr>
              <w:t>.gitignore ve dokümantasyon</w:t>
            </w:r>
          </w:p>
        </w:tc>
        <w:tc>
          <w:tcPr>
            <w:tcW w:type="dxa" w:w="3312"/>
            <w:shd w:val="clear" w:fill="F3F4F6"/>
          </w:tcPr>
          <w:p>
            <w:pPr>
              <w:spacing w:after="20"/>
            </w:pPr>
            <w:r>
              <w:rPr>
                <w:sz w:val="17"/>
              </w:rPr>
              <w:t>Kurulum rehberi — hızlı başlangıç, ortam değişkenleri, varsayılan hesaplar.</w:t>
            </w:r>
          </w:p>
        </w:tc>
        <w:tc>
          <w:tcPr>
            <w:tcW w:type="dxa" w:w="2448"/>
            <w:shd w:val="clear" w:fill="F3F4F6"/>
          </w:tcPr>
          <w:p>
            <w:pPr>
              <w:spacing w:after="20"/>
            </w:pPr>
            <w:r>
              <w:rPr>
                <w:sz w:val="17"/>
              </w:rPr>
              <w:t>Geliştirici onboarding.</w:t>
            </w:r>
          </w:p>
        </w:tc>
      </w:tr>
    </w:tbl>
    <w:p>
      <w:pPr>
        <w:shd w:val="clear" w:fill="0B2545"/>
        <w:spacing w:before="80" w:after="80"/>
      </w:pPr>
      <w:r>
        <w:rPr>
          <w:rFonts w:ascii="Calibri" w:hAnsi="Calibri"/>
          <w:b/>
          <w:color w:val="FFFFFF"/>
          <w:sz w:val="32"/>
        </w:rPr>
        <w:t>3. Dosya İlişkileri (Topolojik Anlatım)</w:t>
      </w:r>
    </w:p>
    <w:p>
      <w:pPr>
        <w:spacing w:after="120"/>
      </w:pPr>
      <w:r>
        <w:rPr>
          <w:b w:val="0"/>
          <w:i w:val="0"/>
          <w:sz w:val="21"/>
        </w:rPr>
        <w:t>Bu sprintte ilişki grafiği en yalın halidir: docker-compose PostgreSQL'i sağlar, schema.prisma bu veritabanının şemasını tanımlar, PrismaService şemadan üretilen istemciyi sunar ve app.module bunu main.ts üzerinden ayağa kaldırır. İstemci tarafında main.tsx → App.tsx → styles.css zinciri kurulur. Henüz iki taraf birbirine API ile bağlanmamıştır; köprü (axios) bir sonraki sprintte gelir.</w:t>
      </w:r>
    </w:p>
    <w:p>
      <w:pPr>
        <w:shd w:val="clear" w:fill="0B2545"/>
        <w:spacing w:before="80" w:after="80"/>
      </w:pPr>
      <w:r>
        <w:rPr>
          <w:rFonts w:ascii="Calibri" w:hAnsi="Calibri"/>
          <w:b/>
          <w:color w:val="FFFFFF"/>
          <w:sz w:val="32"/>
        </w:rPr>
        <w:t>4. Kümülatif Entity-Relation Haritası (Cobweb)</w:t>
      </w:r>
    </w:p>
    <w:p>
      <w:pPr>
        <w:spacing w:after="120"/>
      </w:pPr>
      <w:r>
        <w:rPr>
          <w:b w:val="0"/>
          <w:i w:val="0"/>
          <w:sz w:val="21"/>
        </w:rPr>
        <w:t>Aşağıdaki harita, projenin başından bu sprintin sonuna kadar (Sprint 1…1) oluşan TÜM dosya ve veri düğümlerini ve aralarındaki ilişkileri gösterir. Bu sprintte eklenen düğümler kalın koyu çerçeve, yeni ilişkiler kırmızı kenarlarla vurgulanmıştır. Harita her sprintte büyüyerek örümcek ağını (cobweb) yoğunlaştırır: bu sprint sonunda 9 düğüm ve 7 kenar içerir.</w:t>
      </w:r>
    </w:p>
    <w:p>
      <w:pPr>
        <w:sectPr>
          <w:pgSz w:w="12240" w:h="15840"/>
          <w:pgMar w:top="1152" w:right="1224" w:bottom="1152" w:left="1224" w:header="720" w:footer="720" w:gutter="0"/>
          <w:cols w:space="720"/>
          <w:docGrid w:linePitch="360"/>
        </w:sectPr>
      </w:pPr>
    </w:p>
    <w:p>
      <w:pPr>
        <w:jc w:val="center"/>
      </w:pPr>
      <w:r>
        <w:drawing>
          <wp:inline xmlns:a="http://schemas.openxmlformats.org/drawingml/2006/main" xmlns:pic="http://schemas.openxmlformats.org/drawingml/2006/picture">
            <wp:extent cx="9418320" cy="1750078"/>
            <wp:docPr id="1" name="Picture 1"/>
            <wp:cNvGraphicFramePr>
              <a:graphicFrameLocks noChangeAspect="1"/>
            </wp:cNvGraphicFramePr>
            <a:graphic>
              <a:graphicData uri="http://schemas.openxmlformats.org/drawingml/2006/picture">
                <pic:pic>
                  <pic:nvPicPr>
                    <pic:cNvPr id="0" name="cobweb_sprint1.png"/>
                    <pic:cNvPicPr/>
                  </pic:nvPicPr>
                  <pic:blipFill>
                    <a:blip r:embed="rId9"/>
                    <a:stretch>
                      <a:fillRect/>
                    </a:stretch>
                  </pic:blipFill>
                  <pic:spPr>
                    <a:xfrm>
                      <a:off x="0" y="0"/>
                      <a:ext cx="9418320" cy="1750078"/>
                    </a:xfrm>
                    <a:prstGeom prst="rect"/>
                  </pic:spPr>
                </pic:pic>
              </a:graphicData>
            </a:graphic>
          </wp:inline>
        </w:drawing>
      </w:r>
    </w:p>
    <w:p>
      <w:pPr>
        <w:jc w:val="center"/>
      </w:pPr>
      <w:r>
        <w:rPr>
          <w:i/>
          <w:color w:val="555F6D"/>
          <w:sz w:val="18"/>
        </w:rPr>
        <w:t>Şekil — Sprint 1…1 kümülatif entity-relation cobweb haritası (9 düğüm / 7 kenar). Renkler: teal=Altyapı, mor=Veri Modeli, mavi=Backend, amber=Frontend, kırmızı=Cross-cutting.</w:t>
      </w:r>
    </w:p>
    <w:p>
      <w:pPr>
        <w:spacing w:after="120"/>
      </w:pPr>
      <w:r>
        <w:rPr>
          <w:b/>
          <w:color w:val="0B2545"/>
          <w:sz w:val="18"/>
        </w:rPr>
        <w:t xml:space="preserve">Renk lejantı:  </w:t>
      </w:r>
      <w:r>
        <w:rPr>
          <w:b w:val="0"/>
          <w:color w:val="0F766E"/>
          <w:sz w:val="18"/>
        </w:rPr>
        <w:t xml:space="preserve">● Altyapı  </w:t>
      </w:r>
      <w:r>
        <w:rPr>
          <w:b w:val="0"/>
          <w:color w:val="7C3AED"/>
          <w:sz w:val="18"/>
        </w:rPr>
        <w:t xml:space="preserve">● Veri Modeli  </w:t>
      </w:r>
      <w:r>
        <w:rPr>
          <w:b w:val="0"/>
          <w:color w:val="1D4ED8"/>
          <w:sz w:val="18"/>
        </w:rPr>
        <w:t xml:space="preserve">● Backend  </w:t>
      </w:r>
      <w:r>
        <w:rPr>
          <w:b w:val="0"/>
          <w:color w:val="B45309"/>
          <w:sz w:val="18"/>
        </w:rPr>
        <w:t xml:space="preserve">● Frontend  </w:t>
      </w:r>
      <w:r>
        <w:rPr>
          <w:b w:val="0"/>
          <w:color w:val="BE123B"/>
          <w:sz w:val="18"/>
        </w:rPr>
        <w:t>● Cross-cutting</w:t>
      </w:r>
    </w:p>
    <w:p>
      <w:pPr>
        <w:sectPr>
          <w:pgSz w:w="16834" w:h="11909" w:orient="landscape"/>
          <w:pgMar w:top="720" w:right="720" w:bottom="720" w:left="720" w:header="720" w:footer="720" w:gutter="0"/>
          <w:cols w:space="720"/>
          <w:docGrid w:linePitch="360"/>
        </w:sectPr>
      </w:pPr>
    </w:p>
    <w:p>
      <w:pPr>
        <w:shd w:val="clear" w:fill="0B2545"/>
        <w:spacing w:before="80" w:after="80"/>
      </w:pPr>
      <w:r>
        <w:rPr>
          <w:rFonts w:ascii="Calibri" w:hAnsi="Calibri"/>
          <w:b/>
          <w:color w:val="FFFFFF"/>
          <w:sz w:val="32"/>
        </w:rPr>
        <w:t>5. Sprint Çıktısı &amp; Kabul Kriterleri</w:t>
      </w:r>
    </w:p>
    <w:p>
      <w:pPr>
        <w:spacing w:after="120"/>
      </w:pPr>
      <w:r>
        <w:rPr>
          <w:b w:val="0"/>
          <w:i w:val="0"/>
          <w:sz w:val="21"/>
        </w:rPr>
        <w:t>Sprint sonunda aşağıdaki demo-edilebilir çıktılar elde edilir:</w:t>
      </w:r>
    </w:p>
    <w:p>
      <w:pPr>
        <w:pStyle w:val="ListBullet"/>
        <w:spacing w:after="60"/>
        <w:ind w:left="403"/>
      </w:pPr>
      <w:r>
        <w:rPr>
          <w:sz w:val="21"/>
        </w:rPr>
        <w:t>İki proje de hatasız derlenir ve ayağa kalkar (backend :3000/api, client :5173).</w:t>
      </w:r>
    </w:p>
    <w:p>
      <w:pPr>
        <w:pStyle w:val="ListBullet"/>
        <w:spacing w:after="60"/>
        <w:ind w:left="403"/>
      </w:pPr>
      <w:r>
        <w:rPr>
          <w:sz w:val="21"/>
        </w:rPr>
        <w:t>docker compose up ile PostgreSQL + pgAdmin + MinIO çalışır.</w:t>
      </w:r>
    </w:p>
    <w:p>
      <w:pPr>
        <w:pStyle w:val="ListBullet"/>
        <w:spacing w:after="60"/>
        <w:ind w:left="403"/>
      </w:pPr>
      <w:r>
        <w:rPr>
          <w:sz w:val="21"/>
        </w:rPr>
        <w:t>Prisma bağlantısı doğrulanır (prisma studio ile boş şema görülür).</w:t>
      </w:r>
    </w:p>
    <w:p>
      <w:pPr>
        <w:spacing w:after="120"/>
      </w:pPr>
      <w:r>
        <w:rPr>
          <w:b w:val="0"/>
          <w:i/>
          <w:color w:val="555F6D"/>
          <w:sz w:val="21"/>
        </w:rPr>
        <w:t>Bir sonraki adım: Kimlik Doğrulama &amp; RBAC Çekirdeği (Sprint 2) — cobweb 25 düğüme büyür.</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