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766E"/>
          <w:sz w:val="26"/>
        </w:rPr>
        <w:t>İSG BİLDİRİM SİSTEMİ</w:t>
      </w:r>
    </w:p>
    <w:p>
      <w:pPr>
        <w:jc w:val="center"/>
      </w:pPr>
      <w:r>
        <w:rPr>
          <w:b/>
          <w:color w:val="7C3AED"/>
          <w:sz w:val="52"/>
        </w:rPr>
        <w:t>Sprint 5 Raporu</w:t>
      </w:r>
    </w:p>
    <w:p>
      <w:pPr>
        <w:jc w:val="center"/>
      </w:pPr>
      <w:r>
        <w:rPr>
          <w:i/>
          <w:color w:val="555F6D"/>
          <w:sz w:val="26"/>
        </w:rPr>
        <w:t>Ramak Kala &amp; 5×5 Risk Matrisi</w:t>
      </w:r>
    </w:p>
    <w:p/>
    <w:p>
      <w:pPr>
        <w:jc w:val="center"/>
      </w:pPr>
      <w:r>
        <w:rPr>
          <w:color w:val="C0C7D0"/>
        </w:rPr>
        <w:t>────────────────────────────────────────────</w:t>
      </w:r>
    </w:p>
    <w:p/>
    <w:tbl>
      <w:tblPr>
        <w:tblW w:type="auto" w:w="0"/>
        <w:jc w:val="center"/>
        <w:tblLook w:firstColumn="1" w:firstRow="1" w:lastColumn="0" w:lastRow="0" w:noHBand="0" w:noVBand="1" w:val="04A0"/>
      </w:tblPr>
      <w:tblGrid>
        <w:gridCol w:w="4896"/>
        <w:gridCol w:w="4896"/>
      </w:tblGrid>
      <w:tr>
        <w:tc>
          <w:tcPr>
            <w:tcW w:type="dxa" w:w="3456"/>
          </w:tcPr>
          <w:p>
            <w:r>
              <w:rPr>
                <w:b/>
                <w:color w:val="0B2545"/>
                <w:sz w:val="22"/>
              </w:rPr>
              <w:t>Sprint:</w:t>
            </w:r>
          </w:p>
        </w:tc>
        <w:tc>
          <w:tcPr>
            <w:tcW w:type="dxa" w:w="5760"/>
          </w:tcPr>
          <w:p>
            <w:r>
              <w:rPr>
                <w:sz w:val="22"/>
              </w:rPr>
              <w:t>Sprint 5 — Ramak Kala &amp; 5×5 Risk Matrisi</w:t>
            </w:r>
          </w:p>
        </w:tc>
      </w:tr>
      <w:tr>
        <w:tc>
          <w:tcPr>
            <w:tcW w:type="dxa" w:w="3456"/>
          </w:tcPr>
          <w:p>
            <w:r>
              <w:rPr>
                <w:b/>
                <w:color w:val="0B2545"/>
                <w:sz w:val="22"/>
              </w:rPr>
              <w:t>Kilometre taşı:</w:t>
            </w:r>
          </w:p>
        </w:tc>
        <w:tc>
          <w:tcPr>
            <w:tcW w:type="dxa" w:w="5760"/>
          </w:tcPr>
          <w:p>
            <w:r>
              <w:rPr>
                <w:sz w:val="22"/>
              </w:rPr>
              <w:t>M3 — Bildirim Çekirdeği</w:t>
            </w:r>
          </w:p>
        </w:tc>
      </w:tr>
      <w:tr>
        <w:tc>
          <w:tcPr>
            <w:tcW w:type="dxa" w:w="3456"/>
          </w:tcPr>
          <w:p>
            <w:r>
              <w:rPr>
                <w:b/>
                <w:color w:val="0B2545"/>
                <w:sz w:val="22"/>
              </w:rPr>
              <w:t>Zaman:</w:t>
            </w:r>
          </w:p>
        </w:tc>
        <w:tc>
          <w:tcPr>
            <w:tcW w:type="dxa" w:w="5760"/>
          </w:tcPr>
          <w:p>
            <w:r>
              <w:rPr>
                <w:sz w:val="22"/>
              </w:rPr>
              <w:t>Gün 10–11 (17 iş günü planı)</w:t>
            </w:r>
          </w:p>
        </w:tc>
      </w:tr>
      <w:tr>
        <w:tc>
          <w:tcPr>
            <w:tcW w:type="dxa" w:w="3456"/>
          </w:tcPr>
          <w:p>
            <w:r>
              <w:rPr>
                <w:b/>
                <w:color w:val="0B2545"/>
                <w:sz w:val="22"/>
              </w:rPr>
              <w:t>Kapsam:</w:t>
            </w:r>
          </w:p>
        </w:tc>
        <w:tc>
          <w:tcPr>
            <w:tcW w:type="dxa" w:w="5760"/>
          </w:tcPr>
          <w:p>
            <w:r>
              <w:rPr>
                <w:sz w:val="22"/>
              </w:rPr>
              <w:t>Üretilen dosyalar, ilişkiler ve topolojik ER haritası</w:t>
            </w:r>
          </w:p>
        </w:tc>
      </w:tr>
      <w:tr>
        <w:tc>
          <w:tcPr>
            <w:tcW w:type="dxa" w:w="3456"/>
          </w:tcPr>
          <w:p>
            <w:r>
              <w:rPr>
                <w:b/>
                <w:color w:val="0B2545"/>
                <w:sz w:val="22"/>
              </w:rPr>
              <w:t>Cobweb büyüklüğü:</w:t>
            </w:r>
          </w:p>
        </w:tc>
        <w:tc>
          <w:tcPr>
            <w:tcW w:type="dxa" w:w="5760"/>
          </w:tcPr>
          <w:p>
            <w:r>
              <w:rPr>
                <w:sz w:val="22"/>
              </w:rPr>
              <w:t>47 düğüm / 68 kenar (kümülatif)</w:t>
            </w:r>
          </w:p>
        </w:tc>
      </w:tr>
      <w:tr>
        <w:tc>
          <w:tcPr>
            <w:tcW w:type="dxa" w:w="3456"/>
          </w:tcPr>
          <w:p>
            <w:r>
              <w:rPr>
                <w:b/>
                <w:color w:val="0B2545"/>
                <w:sz w:val="22"/>
              </w:rPr>
              <w:t>Belge:</w:t>
            </w:r>
          </w:p>
        </w:tc>
        <w:tc>
          <w:tcPr>
            <w:tcW w:type="dxa" w:w="5760"/>
          </w:tcPr>
          <w:p>
            <w:r>
              <w:rPr>
                <w:sz w:val="22"/>
              </w:rPr>
              <w:t>Sprint 5/8</w:t>
            </w:r>
          </w:p>
        </w:tc>
      </w:tr>
    </w:tbl>
    <w:p>
      <w:r>
        <w:br w:type="page"/>
      </w:r>
    </w:p>
    <w:p>
      <w:pPr>
        <w:shd w:val="clear" w:fill="0B2545"/>
        <w:spacing w:before="80" w:after="80"/>
      </w:pPr>
      <w:r>
        <w:rPr>
          <w:rFonts w:ascii="Calibri" w:hAnsi="Calibri"/>
          <w:b/>
          <w:color w:val="FFFFFF"/>
          <w:sz w:val="32"/>
        </w:rPr>
        <w:t>1. Sprint 5 Amacı ve Kapsamı</w:t>
      </w:r>
    </w:p>
    <w:p>
      <w:pPr>
        <w:spacing w:after="120"/>
      </w:pPr>
      <w:r>
        <w:rPr>
          <w:b w:val="0"/>
          <w:i w:val="0"/>
          <w:sz w:val="21"/>
        </w:rPr>
        <w:t>İkinci bildirim türünü tamamlamak: ramak kala (near-miss) ve 5×5 risk matrisi. computeRisk mantığı hem istemcide (canlı önizleme) hem backend'de (otorite) uygulanır. Şema; NearMissCategory, HazardCategory ve RiskLevel enum'larıyla zenginleşir.</w:t>
      </w:r>
    </w:p>
    <w:p>
      <w:pPr>
        <w:shd w:val="clear" w:fill="0B2545"/>
        <w:spacing w:before="80" w:after="80"/>
      </w:pPr>
      <w:r>
        <w:rPr>
          <w:rFonts w:ascii="Calibri" w:hAnsi="Calibri"/>
          <w:b/>
          <w:color w:val="FFFFFF"/>
          <w:sz w:val="32"/>
        </w:rPr>
        <w:t>2. Bu Sprintte Üretilen Dosyalar</w:t>
      </w:r>
    </w:p>
    <w:p>
      <w:pPr>
        <w:spacing w:after="120"/>
      </w:pPr>
      <w:r>
        <w:rPr>
          <w:b w:val="0"/>
          <w:i/>
          <w:color w:val="555F6D"/>
          <w:sz w:val="21"/>
        </w:rPr>
        <w:t>Aşağıdaki tablo, bu sprintte oluşturulan her dosyayı (veya grup klasörünü) tekil olarak ele alır: hangi katmana ait olduğu, hangi modül/özelliğe hitap ettiği ve başlıca ilişkileri. Grup halindeki dosyalar, ilgili oldukları modül altında birlikte açıklanır.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520"/>
            <w:shd w:val="clear" w:fill="0B2545"/>
          </w:tcPr>
          <w:p>
            <w:r>
              <w:rPr>
                <w:b/>
                <w:color w:val="FFFFFF"/>
                <w:sz w:val="17"/>
              </w:rPr>
              <w:t>Dosya / Grup</w:t>
            </w:r>
          </w:p>
        </w:tc>
        <w:tc>
          <w:tcPr>
            <w:tcW w:type="dxa" w:w="1224"/>
            <w:shd w:val="clear" w:fill="0B2545"/>
          </w:tcPr>
          <w:p>
            <w:r>
              <w:rPr>
                <w:b/>
                <w:color w:val="FFFFFF"/>
                <w:sz w:val="17"/>
              </w:rPr>
              <w:t>Katman</w:t>
            </w:r>
          </w:p>
        </w:tc>
        <w:tc>
          <w:tcPr>
            <w:tcW w:type="dxa" w:w="3312"/>
            <w:shd w:val="clear" w:fill="0B2545"/>
          </w:tcPr>
          <w:p>
            <w:r>
              <w:rPr>
                <w:b/>
                <w:color w:val="FFFFFF"/>
                <w:sz w:val="17"/>
              </w:rPr>
              <w:t>Modül / Özellik (ne işe yarar)</w:t>
            </w:r>
          </w:p>
        </w:tc>
        <w:tc>
          <w:tcPr>
            <w:tcW w:type="dxa" w:w="2448"/>
            <w:shd w:val="clear" w:fill="0B2545"/>
          </w:tcPr>
          <w:p>
            <w:r>
              <w:rPr>
                <w:b/>
                <w:color w:val="FFFFFF"/>
                <w:sz w:val="17"/>
              </w:rPr>
              <w:t>Başlıca İlişki</w:t>
            </w:r>
          </w:p>
        </w:tc>
      </w:tr>
      <w:tr>
        <w:tc>
          <w:tcPr>
            <w:tcW w:type="dxa" w:w="2520"/>
          </w:tcPr>
          <w:p>
            <w:pPr>
              <w:spacing w:after="20"/>
            </w:pPr>
            <w:r>
              <w:rPr>
                <w:sz w:val="17"/>
              </w:rPr>
              <w:t>backend/src/reports/reports.service.ts (genişleme)</w:t>
            </w:r>
          </w:p>
        </w:tc>
        <w:tc>
          <w:tcPr>
            <w:tcW w:type="dxa" w:w="1224"/>
          </w:tcPr>
          <w:p>
            <w:pPr>
              <w:spacing w:after="20"/>
            </w:pPr>
            <w:r>
              <w:rPr>
                <w:sz w:val="17"/>
              </w:rPr>
              <w:t>Backend</w:t>
            </w:r>
          </w:p>
        </w:tc>
        <w:tc>
          <w:tcPr>
            <w:tcW w:type="dxa" w:w="3312"/>
          </w:tcPr>
          <w:p>
            <w:pPr>
              <w:spacing w:after="20"/>
            </w:pPr>
            <w:r>
              <w:rPr>
                <w:sz w:val="17"/>
              </w:rPr>
              <w:t>createNearMiss + statik computeRisk (severity×likelihood → LOW/MEDIUM/HIGH/CRITICAL).</w:t>
            </w:r>
          </w:p>
        </w:tc>
        <w:tc>
          <w:tcPr>
            <w:tcW w:type="dxa" w:w="2448"/>
          </w:tcPr>
          <w:p>
            <w:pPr>
              <w:spacing w:after="20"/>
            </w:pPr>
            <w:r>
              <w:rPr>
                <w:sz w:val="17"/>
              </w:rPr>
              <w:t>Report modeli; risk backend'de yeniden hesaplanır.</w:t>
            </w:r>
          </w:p>
        </w:tc>
      </w:tr>
      <w:tr>
        <w:tc>
          <w:tcPr>
            <w:tcW w:type="dxa" w:w="2520"/>
            <w:shd w:val="clear" w:fill="F3F4F6"/>
          </w:tcPr>
          <w:p>
            <w:pPr>
              <w:spacing w:after="20"/>
            </w:pPr>
            <w:r>
              <w:rPr>
                <w:sz w:val="17"/>
              </w:rPr>
              <w:t>backend/src/reports/dto/report.dto.ts (genişleme)</w:t>
            </w:r>
          </w:p>
        </w:tc>
        <w:tc>
          <w:tcPr>
            <w:tcW w:type="dxa" w:w="1224"/>
            <w:shd w:val="clear" w:fill="F3F4F6"/>
          </w:tcPr>
          <w:p>
            <w:pPr>
              <w:spacing w:after="20"/>
            </w:pPr>
            <w:r>
              <w:rPr>
                <w:sz w:val="17"/>
              </w:rPr>
              <w:t>Backend</w:t>
            </w:r>
          </w:p>
        </w:tc>
        <w:tc>
          <w:tcPr>
            <w:tcW w:type="dxa" w:w="3312"/>
            <w:shd w:val="clear" w:fill="F3F4F6"/>
          </w:tcPr>
          <w:p>
            <w:pPr>
              <w:spacing w:after="20"/>
            </w:pPr>
            <w:r>
              <w:rPr>
                <w:sz w:val="17"/>
              </w:rPr>
              <w:t>CreateNearMiss DTO — tehlike sınıfı, 1–5 skorlar, kök neden, anlık önlem.</w:t>
            </w:r>
          </w:p>
        </w:tc>
        <w:tc>
          <w:tcPr>
            <w:tcW w:type="dxa" w:w="2448"/>
            <w:shd w:val="clear" w:fill="F3F4F6"/>
          </w:tcPr>
          <w:p>
            <w:pPr>
              <w:spacing w:after="20"/>
            </w:pPr>
            <w:r>
              <w:rPr>
                <w:sz w:val="17"/>
              </w:rPr>
              <w:t>ValidationPipe.</w:t>
            </w:r>
          </w:p>
        </w:tc>
      </w:tr>
      <w:tr>
        <w:tc>
          <w:tcPr>
            <w:tcW w:type="dxa" w:w="2520"/>
          </w:tcPr>
          <w:p>
            <w:pPr>
              <w:spacing w:after="20"/>
            </w:pPr>
            <w:r>
              <w:rPr>
                <w:sz w:val="17"/>
              </w:rPr>
              <w:t>backend/prisma/schema.prisma (genişleme)</w:t>
            </w:r>
          </w:p>
        </w:tc>
        <w:tc>
          <w:tcPr>
            <w:tcW w:type="dxa" w:w="1224"/>
          </w:tcPr>
          <w:p>
            <w:pPr>
              <w:spacing w:after="20"/>
            </w:pPr>
            <w:r>
              <w:rPr>
                <w:sz w:val="17"/>
              </w:rPr>
              <w:t>Veri Modeli</w:t>
            </w:r>
          </w:p>
        </w:tc>
        <w:tc>
          <w:tcPr>
            <w:tcW w:type="dxa" w:w="3312"/>
          </w:tcPr>
          <w:p>
            <w:pPr>
              <w:spacing w:after="20"/>
            </w:pPr>
            <w:r>
              <w:rPr>
                <w:sz w:val="17"/>
              </w:rPr>
              <w:t>NearMissCategory/HazardCategory/RiskLevel enum'ları; Report'a near-miss alanları.</w:t>
            </w:r>
          </w:p>
        </w:tc>
        <w:tc>
          <w:tcPr>
            <w:tcW w:type="dxa" w:w="2448"/>
          </w:tcPr>
          <w:p>
            <w:pPr>
              <w:spacing w:after="20"/>
            </w:pPr>
            <w:r>
              <w:rPr>
                <w:sz w:val="17"/>
              </w:rPr>
              <w:t>reports.service.</w:t>
            </w:r>
          </w:p>
        </w:tc>
      </w:tr>
      <w:tr>
        <w:tc>
          <w:tcPr>
            <w:tcW w:type="dxa" w:w="2520"/>
            <w:shd w:val="clear" w:fill="F3F4F6"/>
          </w:tcPr>
          <w:p>
            <w:pPr>
              <w:spacing w:after="20"/>
            </w:pPr>
            <w:r>
              <w:rPr>
                <w:sz w:val="17"/>
              </w:rPr>
              <w:t>client/src/pages/NearMissFormPage.tsx</w:t>
            </w:r>
          </w:p>
        </w:tc>
        <w:tc>
          <w:tcPr>
            <w:tcW w:type="dxa" w:w="1224"/>
            <w:shd w:val="clear" w:fill="F3F4F6"/>
          </w:tcPr>
          <w:p>
            <w:pPr>
              <w:spacing w:after="20"/>
            </w:pPr>
            <w:r>
              <w:rPr>
                <w:sz w:val="17"/>
              </w:rPr>
              <w:t>Frontend</w:t>
            </w:r>
          </w:p>
        </w:tc>
        <w:tc>
          <w:tcPr>
            <w:tcW w:type="dxa" w:w="3312"/>
            <w:shd w:val="clear" w:fill="F3F4F6"/>
          </w:tcPr>
          <w:p>
            <w:pPr>
              <w:spacing w:after="20"/>
            </w:pPr>
            <w:r>
              <w:rPr>
                <w:sz w:val="17"/>
              </w:rPr>
              <w:t>Ramak kala formu — kategori, tehlike sınıfı, risk skorları, kök neden, CAPA girişi.</w:t>
            </w:r>
          </w:p>
        </w:tc>
        <w:tc>
          <w:tcPr>
            <w:tcW w:type="dxa" w:w="2448"/>
            <w:shd w:val="clear" w:fill="F3F4F6"/>
          </w:tcPr>
          <w:p>
            <w:pPr>
              <w:spacing w:after="20"/>
            </w:pPr>
            <w:r>
              <w:rPr>
                <w:sz w:val="17"/>
              </w:rPr>
              <w:t>api/client, RiskMatrix, Layout.</w:t>
            </w:r>
          </w:p>
        </w:tc>
      </w:tr>
      <w:tr>
        <w:tc>
          <w:tcPr>
            <w:tcW w:type="dxa" w:w="2520"/>
          </w:tcPr>
          <w:p>
            <w:pPr>
              <w:spacing w:after="20"/>
            </w:pPr>
            <w:r>
              <w:rPr>
                <w:sz w:val="17"/>
              </w:rPr>
              <w:t>client/src/components/RiskMatrix.tsx</w:t>
            </w:r>
          </w:p>
        </w:tc>
        <w:tc>
          <w:tcPr>
            <w:tcW w:type="dxa" w:w="1224"/>
          </w:tcPr>
          <w:p>
            <w:pPr>
              <w:spacing w:after="20"/>
            </w:pPr>
            <w:r>
              <w:rPr>
                <w:sz w:val="17"/>
              </w:rPr>
              <w:t>Frontend</w:t>
            </w:r>
          </w:p>
        </w:tc>
        <w:tc>
          <w:tcPr>
            <w:tcW w:type="dxa" w:w="3312"/>
          </w:tcPr>
          <w:p>
            <w:pPr>
              <w:spacing w:after="20"/>
            </w:pPr>
            <w:r>
              <w:rPr>
                <w:sz w:val="17"/>
              </w:rPr>
              <w:t>5×5 risk matrisi — severity×likelihood ızgarası, canlı seviye/renk önizlemesi.</w:t>
            </w:r>
          </w:p>
        </w:tc>
        <w:tc>
          <w:tcPr>
            <w:tcW w:type="dxa" w:w="2448"/>
          </w:tcPr>
          <w:p>
            <w:pPr>
              <w:spacing w:after="20"/>
            </w:pPr>
            <w:r>
              <w:rPr>
                <w:sz w:val="17"/>
              </w:rPr>
              <w:t>NearMissFormPage tarafından kullanılır.</w:t>
            </w:r>
          </w:p>
        </w:tc>
      </w:tr>
    </w:tbl>
    <w:p>
      <w:pPr>
        <w:shd w:val="clear" w:fill="0B2545"/>
        <w:spacing w:before="80" w:after="80"/>
      </w:pPr>
      <w:r>
        <w:rPr>
          <w:rFonts w:ascii="Calibri" w:hAnsi="Calibri"/>
          <w:b/>
          <w:color w:val="FFFFFF"/>
          <w:sz w:val="32"/>
        </w:rPr>
        <w:t>3. Dosya İlişkileri (Topolojik Anlatım)</w:t>
      </w:r>
    </w:p>
    <w:p>
      <w:pPr>
        <w:spacing w:after="120"/>
      </w:pPr>
      <w:r>
        <w:rPr>
          <w:b w:val="0"/>
          <w:i w:val="0"/>
          <w:sz w:val="21"/>
        </w:rPr>
        <w:t>Bu sprint, mevcut Reports kümesini yeni uçlarla besler; grafikte reports.service düğümü RiskMatrix ile de ilişkilenir (paylaşılan risk mantığı). İstemcide NearMissFormPage → RiskMatrix ikilisi, AccidentFormPage → BodyMap ikilisine simetrik bir yapı oluşturur ve her iki form da aynı reports.controller ucuna bağlanır. Cobweb artık iki bildirim akışını tek çekirdek etrafında örer.</w:t>
      </w:r>
    </w:p>
    <w:p>
      <w:pPr>
        <w:shd w:val="clear" w:fill="0B2545"/>
        <w:spacing w:before="80" w:after="80"/>
      </w:pPr>
      <w:r>
        <w:rPr>
          <w:rFonts w:ascii="Calibri" w:hAnsi="Calibri"/>
          <w:b/>
          <w:color w:val="FFFFFF"/>
          <w:sz w:val="32"/>
        </w:rPr>
        <w:t>4. Kümülatif Entity-Relation Haritası (Cobweb)</w:t>
      </w:r>
    </w:p>
    <w:p>
      <w:pPr>
        <w:spacing w:after="120"/>
      </w:pPr>
      <w:r>
        <w:rPr>
          <w:b w:val="0"/>
          <w:i w:val="0"/>
          <w:sz w:val="21"/>
        </w:rPr>
        <w:t>Aşağıdaki harita, projenin başından bu sprintin sonuna kadar (Sprint 1…5) oluşan TÜM dosya ve veri düğümlerini ve aralarındaki ilişkileri gösterir. Bu sprintte eklenen düğümler kalın koyu çerçeve, yeni ilişkiler kırmızı kenarlarla vurgulanmıştır. Harita her sprintte büyüyerek örümcek ağını (cobweb) yoğunlaştırır: bu sprint sonunda 47 düğüm ve 68 kenar içerir.</w:t>
      </w:r>
    </w:p>
    <w:p>
      <w:pPr>
        <w:sectPr>
          <w:pgSz w:w="12240" w:h="15840"/>
          <w:pgMar w:top="1152" w:right="1224" w:bottom="1152" w:left="1224" w:header="720" w:footer="720" w:gutter="0"/>
          <w:cols w:space="720"/>
          <w:docGrid w:linePitch="360"/>
        </w:sectPr>
      </w:pPr>
    </w:p>
    <w:p>
      <w:pPr>
        <w:jc w:val="center"/>
      </w:pPr>
      <w:r>
        <w:drawing>
          <wp:inline xmlns:a="http://schemas.openxmlformats.org/drawingml/2006/main" xmlns:pic="http://schemas.openxmlformats.org/drawingml/2006/picture">
            <wp:extent cx="9418320" cy="4965533"/>
            <wp:docPr id="1" name="Picture 1"/>
            <wp:cNvGraphicFramePr>
              <a:graphicFrameLocks noChangeAspect="1"/>
            </wp:cNvGraphicFramePr>
            <a:graphic>
              <a:graphicData uri="http://schemas.openxmlformats.org/drawingml/2006/picture">
                <pic:pic>
                  <pic:nvPicPr>
                    <pic:cNvPr id="0" name="cobweb_sprint5.png"/>
                    <pic:cNvPicPr/>
                  </pic:nvPicPr>
                  <pic:blipFill>
                    <a:blip r:embed="rId9"/>
                    <a:stretch>
                      <a:fillRect/>
                    </a:stretch>
                  </pic:blipFill>
                  <pic:spPr>
                    <a:xfrm>
                      <a:off x="0" y="0"/>
                      <a:ext cx="9418320" cy="4965533"/>
                    </a:xfrm>
                    <a:prstGeom prst="rect"/>
                  </pic:spPr>
                </pic:pic>
              </a:graphicData>
            </a:graphic>
          </wp:inline>
        </w:drawing>
      </w:r>
    </w:p>
    <w:p>
      <w:pPr>
        <w:jc w:val="center"/>
      </w:pPr>
      <w:r>
        <w:rPr>
          <w:i/>
          <w:color w:val="555F6D"/>
          <w:sz w:val="18"/>
        </w:rPr>
        <w:t>Şekil — Sprint 1…5 kümülatif entity-relation cobweb haritası (47 düğüm / 68 kenar). Renkler: teal=Altyapı, mor=Veri Modeli, mavi=Backend, amber=Frontend, kırmızı=Cross-cutting.</w:t>
      </w:r>
    </w:p>
    <w:p>
      <w:pPr>
        <w:spacing w:after="120"/>
      </w:pPr>
      <w:r>
        <w:rPr>
          <w:b/>
          <w:color w:val="0B2545"/>
          <w:sz w:val="18"/>
        </w:rPr>
        <w:t xml:space="preserve">Renk lejantı:  </w:t>
      </w:r>
      <w:r>
        <w:rPr>
          <w:b w:val="0"/>
          <w:color w:val="0F766E"/>
          <w:sz w:val="18"/>
        </w:rPr>
        <w:t xml:space="preserve">● Altyapı  </w:t>
      </w:r>
      <w:r>
        <w:rPr>
          <w:b w:val="0"/>
          <w:color w:val="7C3AED"/>
          <w:sz w:val="18"/>
        </w:rPr>
        <w:t xml:space="preserve">● Veri Modeli  </w:t>
      </w:r>
      <w:r>
        <w:rPr>
          <w:b w:val="0"/>
          <w:color w:val="1D4ED8"/>
          <w:sz w:val="18"/>
        </w:rPr>
        <w:t xml:space="preserve">● Backend  </w:t>
      </w:r>
      <w:r>
        <w:rPr>
          <w:b w:val="0"/>
          <w:color w:val="B45309"/>
          <w:sz w:val="18"/>
        </w:rPr>
        <w:t xml:space="preserve">● Frontend  </w:t>
      </w:r>
      <w:r>
        <w:rPr>
          <w:b w:val="0"/>
          <w:color w:val="BE123B"/>
          <w:sz w:val="18"/>
        </w:rPr>
        <w:t>● Cross-cutting</w:t>
      </w:r>
    </w:p>
    <w:p>
      <w:pPr>
        <w:sectPr>
          <w:pgSz w:w="16834" w:h="11909" w:orient="landscape"/>
          <w:pgMar w:top="720" w:right="720" w:bottom="720" w:left="720" w:header="720" w:footer="720" w:gutter="0"/>
          <w:cols w:space="720"/>
          <w:docGrid w:linePitch="360"/>
        </w:sectPr>
      </w:pPr>
    </w:p>
    <w:p>
      <w:pPr>
        <w:shd w:val="clear" w:fill="0B2545"/>
        <w:spacing w:before="80" w:after="80"/>
      </w:pPr>
      <w:r>
        <w:rPr>
          <w:rFonts w:ascii="Calibri" w:hAnsi="Calibri"/>
          <w:b/>
          <w:color w:val="FFFFFF"/>
          <w:sz w:val="32"/>
        </w:rPr>
        <w:t>5. Sprint Çıktısı &amp; Kabul Kriterleri</w:t>
      </w:r>
    </w:p>
    <w:p>
      <w:pPr>
        <w:spacing w:after="120"/>
      </w:pPr>
      <w:r>
        <w:rPr>
          <w:b w:val="0"/>
          <w:i w:val="0"/>
          <w:sz w:val="21"/>
        </w:rPr>
        <w:t>Sprint sonunda aşağıdaki demo-edilebilir çıktılar elde edilir:</w:t>
      </w:r>
    </w:p>
    <w:p>
      <w:pPr>
        <w:pStyle w:val="ListBullet"/>
        <w:spacing w:after="60"/>
        <w:ind w:left="403"/>
      </w:pPr>
      <w:r>
        <w:rPr>
          <w:sz w:val="21"/>
        </w:rPr>
        <w:t>Kullanıcı ramak kala bildirimi oluşturabilir; risk skoru anlık gösterilir.</w:t>
      </w:r>
    </w:p>
    <w:p>
      <w:pPr>
        <w:pStyle w:val="ListBullet"/>
        <w:spacing w:after="60"/>
        <w:ind w:left="403"/>
      </w:pPr>
      <w:r>
        <w:rPr>
          <w:sz w:val="21"/>
        </w:rPr>
        <w:t>Risk seviyesi backend'de yeniden hesaplanarak güvence altına alınır.</w:t>
      </w:r>
    </w:p>
    <w:p>
      <w:pPr>
        <w:pStyle w:val="ListBullet"/>
        <w:spacing w:after="60"/>
        <w:ind w:left="403"/>
      </w:pPr>
      <w:r>
        <w:rPr>
          <w:sz w:val="21"/>
        </w:rPr>
        <w:t>5×5 matris renk kodlarıyla (LOW→CRITICAL) görsel geri bildirim verir.</w:t>
      </w:r>
    </w:p>
    <w:p>
      <w:pPr>
        <w:spacing w:after="120"/>
      </w:pPr>
      <w:r>
        <w:rPr>
          <w:b w:val="0"/>
          <w:i/>
          <w:color w:val="555F6D"/>
          <w:sz w:val="21"/>
        </w:rPr>
        <w:t>Bir sonraki adım: İş Akışı, CAPA &amp; Bildirimler (Sprint 6) — cobweb 57 düğüme büyür.</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