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766E"/>
          <w:sz w:val="26"/>
        </w:rPr>
        <w:t>İSG BİLDİRİM SİSTEMİ</w:t>
      </w:r>
    </w:p>
    <w:p>
      <w:pPr>
        <w:jc w:val="center"/>
      </w:pPr>
      <w:r>
        <w:rPr>
          <w:b/>
          <w:color w:val="B45309"/>
          <w:sz w:val="52"/>
        </w:rPr>
        <w:t>Sprint 6 Raporu</w:t>
      </w:r>
    </w:p>
    <w:p>
      <w:pPr>
        <w:jc w:val="center"/>
      </w:pPr>
      <w:r>
        <w:rPr>
          <w:i/>
          <w:color w:val="555F6D"/>
          <w:sz w:val="26"/>
        </w:rPr>
        <w:t>İş Akışı, CAPA &amp; Bildirimler</w:t>
      </w:r>
    </w:p>
    <w:p/>
    <w:p>
      <w:pPr>
        <w:jc w:val="center"/>
      </w:pPr>
      <w:r>
        <w:rPr>
          <w:color w:val="C0C7D0"/>
        </w:rPr>
        <w:t>────────────────────────────────────────────</w:t>
      </w:r>
    </w:p>
    <w:p/>
    <w:tbl>
      <w:tblPr>
        <w:tblW w:type="auto" w:w="0"/>
        <w:jc w:val="center"/>
        <w:tblLook w:firstColumn="1" w:firstRow="1" w:lastColumn="0" w:lastRow="0" w:noHBand="0" w:noVBand="1" w:val="04A0"/>
      </w:tblPr>
      <w:tblGrid>
        <w:gridCol w:w="4896"/>
        <w:gridCol w:w="4896"/>
      </w:tblGrid>
      <w:tr>
        <w:tc>
          <w:tcPr>
            <w:tcW w:type="dxa" w:w="3456"/>
          </w:tcPr>
          <w:p>
            <w:r>
              <w:rPr>
                <w:b/>
                <w:color w:val="0B2545"/>
                <w:sz w:val="22"/>
              </w:rPr>
              <w:t>Sprint:</w:t>
            </w:r>
          </w:p>
        </w:tc>
        <w:tc>
          <w:tcPr>
            <w:tcW w:type="dxa" w:w="5760"/>
          </w:tcPr>
          <w:p>
            <w:r>
              <w:rPr>
                <w:sz w:val="22"/>
              </w:rPr>
              <w:t>Sprint 6 — İş Akışı, CAPA &amp; Bildirimler</w:t>
            </w:r>
          </w:p>
        </w:tc>
      </w:tr>
      <w:tr>
        <w:tc>
          <w:tcPr>
            <w:tcW w:type="dxa" w:w="3456"/>
          </w:tcPr>
          <w:p>
            <w:r>
              <w:rPr>
                <w:b/>
                <w:color w:val="0B2545"/>
                <w:sz w:val="22"/>
              </w:rPr>
              <w:t>Kilometre taşı:</w:t>
            </w:r>
          </w:p>
        </w:tc>
        <w:tc>
          <w:tcPr>
            <w:tcW w:type="dxa" w:w="5760"/>
          </w:tcPr>
          <w:p>
            <w:r>
              <w:rPr>
                <w:sz w:val="22"/>
              </w:rPr>
              <w:t>M4 — İş Akışı, CAPA &amp; Dosya</w:t>
            </w:r>
          </w:p>
        </w:tc>
      </w:tr>
      <w:tr>
        <w:tc>
          <w:tcPr>
            <w:tcW w:type="dxa" w:w="3456"/>
          </w:tcPr>
          <w:p>
            <w:r>
              <w:rPr>
                <w:b/>
                <w:color w:val="0B2545"/>
                <w:sz w:val="22"/>
              </w:rPr>
              <w:t>Zaman:</w:t>
            </w:r>
          </w:p>
        </w:tc>
        <w:tc>
          <w:tcPr>
            <w:tcW w:type="dxa" w:w="5760"/>
          </w:tcPr>
          <w:p>
            <w:r>
              <w:rPr>
                <w:sz w:val="22"/>
              </w:rPr>
              <w:t>Gün 12–13 (17 iş günü planı)</w:t>
            </w:r>
          </w:p>
        </w:tc>
      </w:tr>
      <w:tr>
        <w:tc>
          <w:tcPr>
            <w:tcW w:type="dxa" w:w="3456"/>
          </w:tcPr>
          <w:p>
            <w:r>
              <w:rPr>
                <w:b/>
                <w:color w:val="0B2545"/>
                <w:sz w:val="22"/>
              </w:rPr>
              <w:t>Kapsam:</w:t>
            </w:r>
          </w:p>
        </w:tc>
        <w:tc>
          <w:tcPr>
            <w:tcW w:type="dxa" w:w="5760"/>
          </w:tcPr>
          <w:p>
            <w:r>
              <w:rPr>
                <w:sz w:val="22"/>
              </w:rPr>
              <w:t>Üretilen dosyalar, ilişkiler ve topolojik ER haritası</w:t>
            </w:r>
          </w:p>
        </w:tc>
      </w:tr>
      <w:tr>
        <w:tc>
          <w:tcPr>
            <w:tcW w:type="dxa" w:w="3456"/>
          </w:tcPr>
          <w:p>
            <w:r>
              <w:rPr>
                <w:b/>
                <w:color w:val="0B2545"/>
                <w:sz w:val="22"/>
              </w:rPr>
              <w:t>Cobweb büyüklüğü:</w:t>
            </w:r>
          </w:p>
        </w:tc>
        <w:tc>
          <w:tcPr>
            <w:tcW w:type="dxa" w:w="5760"/>
          </w:tcPr>
          <w:p>
            <w:r>
              <w:rPr>
                <w:sz w:val="22"/>
              </w:rPr>
              <w:t>57 düğüm / 89 kenar (kümülatif)</w:t>
            </w:r>
          </w:p>
        </w:tc>
      </w:tr>
      <w:tr>
        <w:tc>
          <w:tcPr>
            <w:tcW w:type="dxa" w:w="3456"/>
          </w:tcPr>
          <w:p>
            <w:r>
              <w:rPr>
                <w:b/>
                <w:color w:val="0B2545"/>
                <w:sz w:val="22"/>
              </w:rPr>
              <w:t>Belge:</w:t>
            </w:r>
          </w:p>
        </w:tc>
        <w:tc>
          <w:tcPr>
            <w:tcW w:type="dxa" w:w="5760"/>
          </w:tcPr>
          <w:p>
            <w:r>
              <w:rPr>
                <w:sz w:val="22"/>
              </w:rPr>
              <w:t>Sprint 6/8</w:t>
            </w:r>
          </w:p>
        </w:tc>
      </w:tr>
    </w:tbl>
    <w:p>
      <w:r>
        <w:br w:type="page"/>
      </w:r>
    </w:p>
    <w:p>
      <w:pPr>
        <w:shd w:val="clear" w:fill="0B2545"/>
        <w:spacing w:before="80" w:after="80"/>
      </w:pPr>
      <w:r>
        <w:rPr>
          <w:rFonts w:ascii="Calibri" w:hAnsi="Calibri"/>
          <w:b/>
          <w:color w:val="FFFFFF"/>
          <w:sz w:val="32"/>
        </w:rPr>
        <w:t>1. Sprint 6 Amacı ve Kapsamı</w:t>
      </w:r>
    </w:p>
    <w:p>
      <w:pPr>
        <w:spacing w:after="120"/>
      </w:pPr>
      <w:r>
        <w:rPr>
          <w:b w:val="0"/>
          <w:i w:val="0"/>
          <w:sz w:val="21"/>
        </w:rPr>
        <w:t>Bildirimin yaşam döngüsünü kurmak: tek-kaynaklı durum geçiş makinesi, atama, düzeltici/önleyici faaliyet (CAPA) ve uygulama içi bildirim sistemi. Görünürlük kuralı ayrı bir dosyaya taşınır (yeniden kullanım için). İstemcide liste, detay ve bildirim zili gelir.</w:t>
      </w:r>
    </w:p>
    <w:p>
      <w:pPr>
        <w:shd w:val="clear" w:fill="0B2545"/>
        <w:spacing w:before="80" w:after="80"/>
      </w:pPr>
      <w:r>
        <w:rPr>
          <w:rFonts w:ascii="Calibri" w:hAnsi="Calibri"/>
          <w:b/>
          <w:color w:val="FFFFFF"/>
          <w:sz w:val="32"/>
        </w:rPr>
        <w:t>2. Bu Sprintte Üretilen Dosyalar</w:t>
      </w:r>
    </w:p>
    <w:p>
      <w:pPr>
        <w:spacing w:after="120"/>
      </w:pPr>
      <w:r>
        <w:rPr>
          <w:b w:val="0"/>
          <w:i/>
          <w:color w:val="555F6D"/>
          <w:sz w:val="21"/>
        </w:rPr>
        <w:t>Aşağıdaki tablo, bu sprintte oluşturulan her dosyayı (veya grup klasörünü) tekil olarak ele alır: hangi katmana ait olduğu, hangi modül/özelliğe hitap ettiği ve başlıca ilişkileri. Grup halindeki dosyalar, ilgili oldukları modül altında birlikte açıklanır.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520"/>
            <w:shd w:val="clear" w:fill="0B2545"/>
          </w:tcPr>
          <w:p>
            <w:r>
              <w:rPr>
                <w:b/>
                <w:color w:val="FFFFFF"/>
                <w:sz w:val="17"/>
              </w:rPr>
              <w:t>Dosya / Grup</w:t>
            </w:r>
          </w:p>
        </w:tc>
        <w:tc>
          <w:tcPr>
            <w:tcW w:type="dxa" w:w="1224"/>
            <w:shd w:val="clear" w:fill="0B2545"/>
          </w:tcPr>
          <w:p>
            <w:r>
              <w:rPr>
                <w:b/>
                <w:color w:val="FFFFFF"/>
                <w:sz w:val="17"/>
              </w:rPr>
              <w:t>Katman</w:t>
            </w:r>
          </w:p>
        </w:tc>
        <w:tc>
          <w:tcPr>
            <w:tcW w:type="dxa" w:w="3312"/>
            <w:shd w:val="clear" w:fill="0B2545"/>
          </w:tcPr>
          <w:p>
            <w:r>
              <w:rPr>
                <w:b/>
                <w:color w:val="FFFFFF"/>
                <w:sz w:val="17"/>
              </w:rPr>
              <w:t>Modül / Özellik (ne işe yarar)</w:t>
            </w:r>
          </w:p>
        </w:tc>
        <w:tc>
          <w:tcPr>
            <w:tcW w:type="dxa" w:w="2448"/>
            <w:shd w:val="clear" w:fill="0B2545"/>
          </w:tcPr>
          <w:p>
            <w:r>
              <w:rPr>
                <w:b/>
                <w:color w:val="FFFFFF"/>
                <w:sz w:val="17"/>
              </w:rPr>
              <w:t>Başlıca İlişki</w:t>
            </w:r>
          </w:p>
        </w:tc>
      </w:tr>
      <w:tr>
        <w:tc>
          <w:tcPr>
            <w:tcW w:type="dxa" w:w="2520"/>
          </w:tcPr>
          <w:p>
            <w:pPr>
              <w:spacing w:after="20"/>
            </w:pPr>
            <w:r>
              <w:rPr>
                <w:sz w:val="17"/>
              </w:rPr>
              <w:t>backend/src/reports/report-status.ts</w:t>
            </w:r>
          </w:p>
        </w:tc>
        <w:tc>
          <w:tcPr>
            <w:tcW w:type="dxa" w:w="1224"/>
          </w:tcPr>
          <w:p>
            <w:pPr>
              <w:spacing w:after="20"/>
            </w:pPr>
            <w:r>
              <w:rPr>
                <w:sz w:val="17"/>
              </w:rPr>
              <w:t>Backend</w:t>
            </w:r>
          </w:p>
        </w:tc>
        <w:tc>
          <w:tcPr>
            <w:tcW w:type="dxa" w:w="3312"/>
          </w:tcPr>
          <w:p>
            <w:pPr>
              <w:spacing w:after="20"/>
            </w:pPr>
            <w:r>
              <w:rPr>
                <w:sz w:val="17"/>
              </w:rPr>
              <w:t>Durum makinesi (TEK KAYNAK) — izinli geçişler tablosu, canTransition/assertCanTransition, TR etiketler.</w:t>
            </w:r>
          </w:p>
        </w:tc>
        <w:tc>
          <w:tcPr>
            <w:tcW w:type="dxa" w:w="2448"/>
          </w:tcPr>
          <w:p>
            <w:pPr>
              <w:spacing w:after="20"/>
            </w:pPr>
            <w:r>
              <w:rPr>
                <w:sz w:val="17"/>
              </w:rPr>
              <w:t>reports.service ve ReportDetailPage referans alır.</w:t>
            </w:r>
          </w:p>
        </w:tc>
      </w:tr>
      <w:tr>
        <w:tc>
          <w:tcPr>
            <w:tcW w:type="dxa" w:w="2520"/>
            <w:shd w:val="clear" w:fill="F3F4F6"/>
          </w:tcPr>
          <w:p>
            <w:pPr>
              <w:spacing w:after="20"/>
            </w:pPr>
            <w:r>
              <w:rPr>
                <w:sz w:val="17"/>
              </w:rPr>
              <w:t>backend/src/reports/report-access.ts</w:t>
            </w:r>
          </w:p>
        </w:tc>
        <w:tc>
          <w:tcPr>
            <w:tcW w:type="dxa" w:w="1224"/>
            <w:shd w:val="clear" w:fill="F3F4F6"/>
          </w:tcPr>
          <w:p>
            <w:pPr>
              <w:spacing w:after="20"/>
            </w:pPr>
            <w:r>
              <w:rPr>
                <w:sz w:val="17"/>
              </w:rPr>
              <w:t>Cross-cutting</w:t>
            </w:r>
          </w:p>
        </w:tc>
        <w:tc>
          <w:tcPr>
            <w:tcW w:type="dxa" w:w="3312"/>
            <w:shd w:val="clear" w:fill="F3F4F6"/>
          </w:tcPr>
          <w:p>
            <w:pPr>
              <w:spacing w:after="20"/>
            </w:pPr>
            <w:r>
              <w:rPr>
                <w:sz w:val="17"/>
              </w:rPr>
              <w:t>Görünürlük kuralı — canUserViewReport; hem detay ucu hem (ileride) dosya sunumu kullanır.</w:t>
            </w:r>
          </w:p>
        </w:tc>
        <w:tc>
          <w:tcPr>
            <w:tcW w:type="dxa" w:w="2448"/>
            <w:shd w:val="clear" w:fill="F3F4F6"/>
          </w:tcPr>
          <w:p>
            <w:pPr>
              <w:spacing w:after="20"/>
            </w:pPr>
            <w:r>
              <w:rPr>
                <w:sz w:val="17"/>
              </w:rPr>
              <w:t>reports.service, files.controller (S7).</w:t>
            </w:r>
          </w:p>
        </w:tc>
      </w:tr>
      <w:tr>
        <w:tc>
          <w:tcPr>
            <w:tcW w:type="dxa" w:w="2520"/>
          </w:tcPr>
          <w:p>
            <w:pPr>
              <w:spacing w:after="20"/>
            </w:pPr>
            <w:r>
              <w:rPr>
                <w:sz w:val="17"/>
              </w:rPr>
              <w:t>backend/src/reports/reports.service.ts (genişleme)</w:t>
            </w:r>
          </w:p>
        </w:tc>
        <w:tc>
          <w:tcPr>
            <w:tcW w:type="dxa" w:w="1224"/>
          </w:tcPr>
          <w:p>
            <w:pPr>
              <w:spacing w:after="20"/>
            </w:pPr>
            <w:r>
              <w:rPr>
                <w:sz w:val="17"/>
              </w:rPr>
              <w:t>Backend</w:t>
            </w:r>
          </w:p>
        </w:tc>
        <w:tc>
          <w:tcPr>
            <w:tcW w:type="dxa" w:w="3312"/>
          </w:tcPr>
          <w:p>
            <w:pPr>
              <w:spacing w:after="20"/>
            </w:pPr>
            <w:r>
              <w:rPr>
                <w:sz w:val="17"/>
              </w:rPr>
              <w:t>updateStatus (transaction+kapatma kuralları), assign (otomatik INVESTIGATING), addAction (CAPA), updateActionStatus, stats.</w:t>
            </w:r>
          </w:p>
        </w:tc>
        <w:tc>
          <w:tcPr>
            <w:tcW w:type="dxa" w:w="2448"/>
          </w:tcPr>
          <w:p>
            <w:pPr>
              <w:spacing w:after="20"/>
            </w:pPr>
            <w:r>
              <w:rPr>
                <w:sz w:val="17"/>
              </w:rPr>
              <w:t>report-status, report-access, NotificationsService.</w:t>
            </w:r>
          </w:p>
        </w:tc>
      </w:tr>
      <w:tr>
        <w:tc>
          <w:tcPr>
            <w:tcW w:type="dxa" w:w="2520"/>
            <w:shd w:val="clear" w:fill="F3F4F6"/>
          </w:tcPr>
          <w:p>
            <w:pPr>
              <w:spacing w:after="20"/>
            </w:pPr>
            <w:r>
              <w:rPr>
                <w:sz w:val="17"/>
              </w:rPr>
              <w:t>backend/src/notifications/notifications.service.ts</w:t>
            </w:r>
          </w:p>
        </w:tc>
        <w:tc>
          <w:tcPr>
            <w:tcW w:type="dxa" w:w="1224"/>
            <w:shd w:val="clear" w:fill="F3F4F6"/>
          </w:tcPr>
          <w:p>
            <w:pPr>
              <w:spacing w:after="20"/>
            </w:pPr>
            <w:r>
              <w:rPr>
                <w:sz w:val="17"/>
              </w:rPr>
              <w:t>Backend</w:t>
            </w:r>
          </w:p>
        </w:tc>
        <w:tc>
          <w:tcPr>
            <w:tcW w:type="dxa" w:w="3312"/>
            <w:shd w:val="clear" w:fill="F3F4F6"/>
          </w:tcPr>
          <w:p>
            <w:pPr>
              <w:spacing w:after="20"/>
            </w:pPr>
            <w:r>
              <w:rPr>
                <w:sz w:val="17"/>
              </w:rPr>
              <w:t>Bildirim mantığı — create/createMany, notifyByPermission, okundu yönetimi, onay çözümleme.</w:t>
            </w:r>
          </w:p>
        </w:tc>
        <w:tc>
          <w:tcPr>
            <w:tcW w:type="dxa" w:w="2448"/>
            <w:shd w:val="clear" w:fill="F3F4F6"/>
          </w:tcPr>
          <w:p>
            <w:pPr>
              <w:spacing w:after="20"/>
            </w:pPr>
            <w:r>
              <w:rPr>
                <w:sz w:val="17"/>
              </w:rPr>
              <w:t>PrismaService; Notification modeli.</w:t>
            </w:r>
          </w:p>
        </w:tc>
      </w:tr>
      <w:tr>
        <w:tc>
          <w:tcPr>
            <w:tcW w:type="dxa" w:w="2520"/>
          </w:tcPr>
          <w:p>
            <w:pPr>
              <w:spacing w:after="20"/>
            </w:pPr>
            <w:r>
              <w:rPr>
                <w:sz w:val="17"/>
              </w:rPr>
              <w:t>backend/src/notifications/notifications.controller.ts</w:t>
            </w:r>
          </w:p>
        </w:tc>
        <w:tc>
          <w:tcPr>
            <w:tcW w:type="dxa" w:w="1224"/>
          </w:tcPr>
          <w:p>
            <w:pPr>
              <w:spacing w:after="20"/>
            </w:pPr>
            <w:r>
              <w:rPr>
                <w:sz w:val="17"/>
              </w:rPr>
              <w:t>Backend</w:t>
            </w:r>
          </w:p>
        </w:tc>
        <w:tc>
          <w:tcPr>
            <w:tcW w:type="dxa" w:w="3312"/>
          </w:tcPr>
          <w:p>
            <w:pPr>
              <w:spacing w:after="20"/>
            </w:pPr>
            <w:r>
              <w:rPr>
                <w:sz w:val="17"/>
              </w:rPr>
              <w:t>Bildirim uçları — liste, okunmamış sayısı, okundu işaretleme.</w:t>
            </w:r>
          </w:p>
        </w:tc>
        <w:tc>
          <w:tcPr>
            <w:tcW w:type="dxa" w:w="2448"/>
          </w:tcPr>
          <w:p>
            <w:pPr>
              <w:spacing w:after="20"/>
            </w:pPr>
            <w:r>
              <w:rPr>
                <w:sz w:val="17"/>
              </w:rPr>
              <w:t>NotificationsService; @CurrentUser.</w:t>
            </w:r>
          </w:p>
        </w:tc>
      </w:tr>
      <w:tr>
        <w:tc>
          <w:tcPr>
            <w:tcW w:type="dxa" w:w="2520"/>
            <w:shd w:val="clear" w:fill="F3F4F6"/>
          </w:tcPr>
          <w:p>
            <w:pPr>
              <w:spacing w:after="20"/>
            </w:pPr>
            <w:r>
              <w:rPr>
                <w:sz w:val="17"/>
              </w:rPr>
              <w:t>backend/prisma/schema.prisma (genişleme)</w:t>
            </w:r>
          </w:p>
        </w:tc>
        <w:tc>
          <w:tcPr>
            <w:tcW w:type="dxa" w:w="1224"/>
            <w:shd w:val="clear" w:fill="F3F4F6"/>
          </w:tcPr>
          <w:p>
            <w:pPr>
              <w:spacing w:after="20"/>
            </w:pPr>
            <w:r>
              <w:rPr>
                <w:sz w:val="17"/>
              </w:rPr>
              <w:t>Veri Modeli</w:t>
            </w:r>
          </w:p>
        </w:tc>
        <w:tc>
          <w:tcPr>
            <w:tcW w:type="dxa" w:w="3312"/>
            <w:shd w:val="clear" w:fill="F3F4F6"/>
          </w:tcPr>
          <w:p>
            <w:pPr>
              <w:spacing w:after="20"/>
            </w:pPr>
            <w:r>
              <w:rPr>
                <w:sz w:val="17"/>
              </w:rPr>
              <w:t>CorrectiveAction, Notification + ReportStatus/ActionStatus/NotificationType enum'ları.</w:t>
            </w:r>
          </w:p>
        </w:tc>
        <w:tc>
          <w:tcPr>
            <w:tcW w:type="dxa" w:w="2448"/>
            <w:shd w:val="clear" w:fill="F3F4F6"/>
          </w:tcPr>
          <w:p>
            <w:pPr>
              <w:spacing w:after="20"/>
            </w:pPr>
            <w:r>
              <w:rPr>
                <w:sz w:val="17"/>
              </w:rPr>
              <w:t>reports.service, notifications.service.</w:t>
            </w:r>
          </w:p>
        </w:tc>
      </w:tr>
      <w:tr>
        <w:tc>
          <w:tcPr>
            <w:tcW w:type="dxa" w:w="2520"/>
          </w:tcPr>
          <w:p>
            <w:pPr>
              <w:spacing w:after="20"/>
            </w:pPr>
            <w:r>
              <w:rPr>
                <w:sz w:val="17"/>
              </w:rPr>
              <w:t>client/src/pages/ReportsListPage.tsx</w:t>
            </w:r>
          </w:p>
        </w:tc>
        <w:tc>
          <w:tcPr>
            <w:tcW w:type="dxa" w:w="1224"/>
          </w:tcPr>
          <w:p>
            <w:pPr>
              <w:spacing w:after="20"/>
            </w:pPr>
            <w:r>
              <w:rPr>
                <w:sz w:val="17"/>
              </w:rPr>
              <w:t>Frontend</w:t>
            </w:r>
          </w:p>
        </w:tc>
        <w:tc>
          <w:tcPr>
            <w:tcW w:type="dxa" w:w="3312"/>
          </w:tcPr>
          <w:p>
            <w:pPr>
              <w:spacing w:after="20"/>
            </w:pPr>
            <w:r>
              <w:rPr>
                <w:sz w:val="17"/>
              </w:rPr>
              <w:t>Bildirim listesi — tip/durum/birim filtreleriyle kapsamlı liste.</w:t>
            </w:r>
          </w:p>
        </w:tc>
        <w:tc>
          <w:tcPr>
            <w:tcW w:type="dxa" w:w="2448"/>
          </w:tcPr>
          <w:p>
            <w:pPr>
              <w:spacing w:after="20"/>
            </w:pPr>
            <w:r>
              <w:rPr>
                <w:sz w:val="17"/>
              </w:rPr>
              <w:t>api/client → reports.controller.</w:t>
            </w:r>
          </w:p>
        </w:tc>
      </w:tr>
      <w:tr>
        <w:tc>
          <w:tcPr>
            <w:tcW w:type="dxa" w:w="2520"/>
            <w:shd w:val="clear" w:fill="F3F4F6"/>
          </w:tcPr>
          <w:p>
            <w:pPr>
              <w:spacing w:after="20"/>
            </w:pPr>
            <w:r>
              <w:rPr>
                <w:sz w:val="17"/>
              </w:rPr>
              <w:t>client/src/pages/ReportDetailPage.tsx</w:t>
            </w:r>
          </w:p>
        </w:tc>
        <w:tc>
          <w:tcPr>
            <w:tcW w:type="dxa" w:w="1224"/>
            <w:shd w:val="clear" w:fill="F3F4F6"/>
          </w:tcPr>
          <w:p>
            <w:pPr>
              <w:spacing w:after="20"/>
            </w:pPr>
            <w:r>
              <w:rPr>
                <w:sz w:val="17"/>
              </w:rPr>
              <w:t>Frontend</w:t>
            </w:r>
          </w:p>
        </w:tc>
        <w:tc>
          <w:tcPr>
            <w:tcW w:type="dxa" w:w="3312"/>
            <w:shd w:val="clear" w:fill="F3F4F6"/>
          </w:tcPr>
          <w:p>
            <w:pPr>
              <w:spacing w:after="20"/>
            </w:pPr>
            <w:r>
              <w:rPr>
                <w:sz w:val="17"/>
              </w:rPr>
              <w:t>Bildirim detayı — durum değiştirme, atama, CAPA ekleme/güncelleme, kapatma.</w:t>
            </w:r>
          </w:p>
        </w:tc>
        <w:tc>
          <w:tcPr>
            <w:tcW w:type="dxa" w:w="2448"/>
            <w:shd w:val="clear" w:fill="F3F4F6"/>
          </w:tcPr>
          <w:p>
            <w:pPr>
              <w:spacing w:after="20"/>
            </w:pPr>
            <w:r>
              <w:rPr>
                <w:sz w:val="17"/>
              </w:rPr>
              <w:t>api/client, report-status; AuthenticatedMedia (S7).</w:t>
            </w:r>
          </w:p>
        </w:tc>
      </w:tr>
      <w:tr>
        <w:tc>
          <w:tcPr>
            <w:tcW w:type="dxa" w:w="2520"/>
          </w:tcPr>
          <w:p>
            <w:pPr>
              <w:spacing w:after="20"/>
            </w:pPr>
            <w:r>
              <w:rPr>
                <w:sz w:val="17"/>
              </w:rPr>
              <w:t>client/src/components/NotificationBell.tsx</w:t>
            </w:r>
          </w:p>
        </w:tc>
        <w:tc>
          <w:tcPr>
            <w:tcW w:type="dxa" w:w="1224"/>
          </w:tcPr>
          <w:p>
            <w:pPr>
              <w:spacing w:after="20"/>
            </w:pPr>
            <w:r>
              <w:rPr>
                <w:sz w:val="17"/>
              </w:rPr>
              <w:t>Frontend</w:t>
            </w:r>
          </w:p>
        </w:tc>
        <w:tc>
          <w:tcPr>
            <w:tcW w:type="dxa" w:w="3312"/>
          </w:tcPr>
          <w:p>
            <w:pPr>
              <w:spacing w:after="20"/>
            </w:pPr>
            <w:r>
              <w:rPr>
                <w:sz w:val="17"/>
              </w:rPr>
              <w:t>Bildirim zili — okunmamış rozeti, açılır liste, ses efekti.</w:t>
            </w:r>
          </w:p>
        </w:tc>
        <w:tc>
          <w:tcPr>
            <w:tcW w:type="dxa" w:w="2448"/>
          </w:tcPr>
          <w:p>
            <w:pPr>
              <w:spacing w:after="20"/>
            </w:pPr>
            <w:r>
              <w:rPr>
                <w:sz w:val="17"/>
              </w:rPr>
              <w:t>api/client, utils/sound; Layout içine gömülü.</w:t>
            </w:r>
          </w:p>
        </w:tc>
      </w:tr>
      <w:tr>
        <w:tc>
          <w:tcPr>
            <w:tcW w:type="dxa" w:w="2520"/>
            <w:shd w:val="clear" w:fill="F3F4F6"/>
          </w:tcPr>
          <w:p>
            <w:pPr>
              <w:spacing w:after="20"/>
            </w:pPr>
            <w:r>
              <w:rPr>
                <w:sz w:val="17"/>
              </w:rPr>
              <w:t>client/src/utils/sound.ts</w:t>
            </w:r>
          </w:p>
        </w:tc>
        <w:tc>
          <w:tcPr>
            <w:tcW w:type="dxa" w:w="1224"/>
            <w:shd w:val="clear" w:fill="F3F4F6"/>
          </w:tcPr>
          <w:p>
            <w:pPr>
              <w:spacing w:after="20"/>
            </w:pPr>
            <w:r>
              <w:rPr>
                <w:sz w:val="17"/>
              </w:rPr>
              <w:t>Frontend</w:t>
            </w:r>
          </w:p>
        </w:tc>
        <w:tc>
          <w:tcPr>
            <w:tcW w:type="dxa" w:w="3312"/>
            <w:shd w:val="clear" w:fill="F3F4F6"/>
          </w:tcPr>
          <w:p>
            <w:pPr>
              <w:spacing w:after="20"/>
            </w:pPr>
            <w:r>
              <w:rPr>
                <w:sz w:val="17"/>
              </w:rPr>
              <w:t>Ses yardımcısı — yeni bildirimde kısa uyarı sesi.</w:t>
            </w:r>
          </w:p>
        </w:tc>
        <w:tc>
          <w:tcPr>
            <w:tcW w:type="dxa" w:w="2448"/>
            <w:shd w:val="clear" w:fill="F3F4F6"/>
          </w:tcPr>
          <w:p>
            <w:pPr>
              <w:spacing w:after="20"/>
            </w:pPr>
            <w:r>
              <w:rPr>
                <w:sz w:val="17"/>
              </w:rPr>
              <w:t>NotificationBell.</w:t>
            </w:r>
          </w:p>
        </w:tc>
      </w:tr>
    </w:tbl>
    <w:p>
      <w:pPr>
        <w:shd w:val="clear" w:fill="0B2545"/>
        <w:spacing w:before="80" w:after="80"/>
      </w:pPr>
      <w:r>
        <w:rPr>
          <w:rFonts w:ascii="Calibri" w:hAnsi="Calibri"/>
          <w:b/>
          <w:color w:val="FFFFFF"/>
          <w:sz w:val="32"/>
        </w:rPr>
        <w:t>3. Dosya İlişkileri (Topolojik Anlatım)</w:t>
      </w:r>
    </w:p>
    <w:p>
      <w:pPr>
        <w:spacing w:after="120"/>
      </w:pPr>
      <w:r>
        <w:rPr>
          <w:b w:val="0"/>
          <w:i w:val="0"/>
          <w:sz w:val="21"/>
        </w:rPr>
        <w:t>Cobweb burada gerçek anlamda 'örümcek ağı'na dönüşür (89 kenar). reports.service artık beş komşuya sahiptir: report-status, report-access, NotificationsService, Report ve PrismaService. Notification düğümü User ve Report'a bağlanarak veri kümesini örer. İstemcide ReportDetailPage merkezi bir düğüm olur; hem durum makinesine (report-status'ün istemci karşılığı akış) hem listeye bağlanır. NotificationBell → sound ve Layout → NotificationBell kenarları, bildirim alt-sistemini kabuğa dokur.</w:t>
      </w:r>
    </w:p>
    <w:p>
      <w:pPr>
        <w:shd w:val="clear" w:fill="0B2545"/>
        <w:spacing w:before="80" w:after="80"/>
      </w:pPr>
      <w:r>
        <w:rPr>
          <w:rFonts w:ascii="Calibri" w:hAnsi="Calibri"/>
          <w:b/>
          <w:color w:val="FFFFFF"/>
          <w:sz w:val="32"/>
        </w:rPr>
        <w:t>4. Kümülatif Entity-Relation Haritası (Cobweb)</w:t>
      </w:r>
    </w:p>
    <w:p>
      <w:pPr>
        <w:spacing w:after="120"/>
      </w:pPr>
      <w:r>
        <w:rPr>
          <w:b w:val="0"/>
          <w:i w:val="0"/>
          <w:sz w:val="21"/>
        </w:rPr>
        <w:t>Aşağıdaki harita, projenin başından bu sprintin sonuna kadar (Sprint 1…6) oluşan TÜM dosya ve veri düğümlerini ve aralarındaki ilişkileri gösterir. Bu sprintte eklenen düğümler kalın koyu çerçeve, yeni ilişkiler kırmızı kenarlarla vurgulanmıştır. Harita her sprintte büyüyerek örümcek ağını (cobweb) yoğunlaştırır: bu sprint sonunda 57 düğüm ve 89 kenar içerir.</w:t>
      </w:r>
    </w:p>
    <w:p>
      <w:pPr>
        <w:sectPr>
          <w:pgSz w:w="12240" w:h="15840"/>
          <w:pgMar w:top="1152" w:right="1224" w:bottom="1152" w:left="1224" w:header="720" w:footer="720" w:gutter="0"/>
          <w:cols w:space="720"/>
          <w:docGrid w:linePitch="360"/>
        </w:sectPr>
      </w:pPr>
    </w:p>
    <w:p>
      <w:pPr>
        <w:jc w:val="center"/>
      </w:pPr>
      <w:r>
        <w:drawing>
          <wp:inline xmlns:a="http://schemas.openxmlformats.org/drawingml/2006/main" xmlns:pic="http://schemas.openxmlformats.org/drawingml/2006/picture">
            <wp:extent cx="9418320" cy="4154526"/>
            <wp:docPr id="1" name="Picture 1"/>
            <wp:cNvGraphicFramePr>
              <a:graphicFrameLocks noChangeAspect="1"/>
            </wp:cNvGraphicFramePr>
            <a:graphic>
              <a:graphicData uri="http://schemas.openxmlformats.org/drawingml/2006/picture">
                <pic:pic>
                  <pic:nvPicPr>
                    <pic:cNvPr id="0" name="cobweb_sprint6.png"/>
                    <pic:cNvPicPr/>
                  </pic:nvPicPr>
                  <pic:blipFill>
                    <a:blip r:embed="rId9"/>
                    <a:stretch>
                      <a:fillRect/>
                    </a:stretch>
                  </pic:blipFill>
                  <pic:spPr>
                    <a:xfrm>
                      <a:off x="0" y="0"/>
                      <a:ext cx="9418320" cy="4154526"/>
                    </a:xfrm>
                    <a:prstGeom prst="rect"/>
                  </pic:spPr>
                </pic:pic>
              </a:graphicData>
            </a:graphic>
          </wp:inline>
        </w:drawing>
      </w:r>
    </w:p>
    <w:p>
      <w:pPr>
        <w:jc w:val="center"/>
      </w:pPr>
      <w:r>
        <w:rPr>
          <w:i/>
          <w:color w:val="555F6D"/>
          <w:sz w:val="18"/>
        </w:rPr>
        <w:t>Şekil — Sprint 1…6 kümülatif entity-relation cobweb haritası (57 düğüm / 89 kenar). Renkler: teal=Altyapı, mor=Veri Modeli, mavi=Backend, amber=Frontend, kırmızı=Cross-cutting.</w:t>
      </w:r>
    </w:p>
    <w:p>
      <w:pPr>
        <w:spacing w:after="120"/>
      </w:pPr>
      <w:r>
        <w:rPr>
          <w:b/>
          <w:color w:val="0B2545"/>
          <w:sz w:val="18"/>
        </w:rPr>
        <w:t xml:space="preserve">Renk lejantı:  </w:t>
      </w:r>
      <w:r>
        <w:rPr>
          <w:b w:val="0"/>
          <w:color w:val="0F766E"/>
          <w:sz w:val="18"/>
        </w:rPr>
        <w:t xml:space="preserve">● Altyapı  </w:t>
      </w:r>
      <w:r>
        <w:rPr>
          <w:b w:val="0"/>
          <w:color w:val="7C3AED"/>
          <w:sz w:val="18"/>
        </w:rPr>
        <w:t xml:space="preserve">● Veri Modeli  </w:t>
      </w:r>
      <w:r>
        <w:rPr>
          <w:b w:val="0"/>
          <w:color w:val="1D4ED8"/>
          <w:sz w:val="18"/>
        </w:rPr>
        <w:t xml:space="preserve">● Backend  </w:t>
      </w:r>
      <w:r>
        <w:rPr>
          <w:b w:val="0"/>
          <w:color w:val="B45309"/>
          <w:sz w:val="18"/>
        </w:rPr>
        <w:t xml:space="preserve">● Frontend  </w:t>
      </w:r>
      <w:r>
        <w:rPr>
          <w:b w:val="0"/>
          <w:color w:val="BE123B"/>
          <w:sz w:val="18"/>
        </w:rPr>
        <w:t>● Cross-cutting</w:t>
      </w:r>
    </w:p>
    <w:p>
      <w:pPr>
        <w:sectPr>
          <w:pgSz w:w="16834" w:h="11909" w:orient="landscape"/>
          <w:pgMar w:top="720" w:right="720" w:bottom="720" w:left="720" w:header="720" w:footer="720" w:gutter="0"/>
          <w:cols w:space="720"/>
          <w:docGrid w:linePitch="360"/>
        </w:sectPr>
      </w:pPr>
    </w:p>
    <w:p>
      <w:pPr>
        <w:shd w:val="clear" w:fill="0B2545"/>
        <w:spacing w:before="80" w:after="80"/>
      </w:pPr>
      <w:r>
        <w:rPr>
          <w:rFonts w:ascii="Calibri" w:hAnsi="Calibri"/>
          <w:b/>
          <w:color w:val="FFFFFF"/>
          <w:sz w:val="32"/>
        </w:rPr>
        <w:t>5. Sprint Çıktısı &amp; Kabul Kriterleri</w:t>
      </w:r>
    </w:p>
    <w:p>
      <w:pPr>
        <w:spacing w:after="120"/>
      </w:pPr>
      <w:r>
        <w:rPr>
          <w:b w:val="0"/>
          <w:i w:val="0"/>
          <w:sz w:val="21"/>
        </w:rPr>
        <w:t>Sprint sonunda aşağıdaki demo-edilebilir çıktılar elde edilir:</w:t>
      </w:r>
    </w:p>
    <w:p>
      <w:pPr>
        <w:pStyle w:val="ListBullet"/>
        <w:spacing w:after="60"/>
        <w:ind w:left="403"/>
      </w:pPr>
      <w:r>
        <w:rPr>
          <w:sz w:val="21"/>
        </w:rPr>
        <w:t>Bir bildirim SUBMITTED→INVESTIGATING→ACTIONS_PENDING→CLOSED yaşam döngüsünde ilerler.</w:t>
      </w:r>
    </w:p>
    <w:p>
      <w:pPr>
        <w:pStyle w:val="ListBullet"/>
        <w:spacing w:after="60"/>
        <w:ind w:left="403"/>
      </w:pPr>
      <w:r>
        <w:rPr>
          <w:sz w:val="21"/>
        </w:rPr>
        <w:t>Kapatma; ≥10 karakter açıklama ve tüm CAPA'ların VERIFIED olmasını zorunlu kılar.</w:t>
      </w:r>
    </w:p>
    <w:p>
      <w:pPr>
        <w:pStyle w:val="ListBullet"/>
        <w:spacing w:after="60"/>
        <w:ind w:left="403"/>
      </w:pPr>
      <w:r>
        <w:rPr>
          <w:sz w:val="21"/>
        </w:rPr>
        <w:t>İlgili kullanıcılara durum/atama/faaliyet bildirimleri düşer; zil sesle uyarır.</w:t>
      </w:r>
    </w:p>
    <w:p>
      <w:pPr>
        <w:spacing w:after="120"/>
      </w:pPr>
      <w:r>
        <w:rPr>
          <w:b w:val="0"/>
          <w:i/>
          <w:color w:val="555F6D"/>
          <w:sz w:val="21"/>
        </w:rPr>
        <w:t>Bir sonraki adım: Nesne Depolama &amp; Güvenli Dosya Erişimi (Sprint 7) — cobweb 63 düğüme büyür.</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