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26"/>
        </w:rPr>
        <w:t>İSG BİLDİRİM SİSTEMİ</w:t>
      </w:r>
    </w:p>
    <w:p>
      <w:pPr>
        <w:jc w:val="center"/>
      </w:pPr>
      <w:r>
        <w:rPr>
          <w:b/>
          <w:color w:val="BE123B"/>
          <w:sz w:val="52"/>
        </w:rPr>
        <w:t>Sprint 8 Raporu</w:t>
      </w:r>
    </w:p>
    <w:p>
      <w:pPr>
        <w:jc w:val="center"/>
      </w:pPr>
      <w:r>
        <w:rPr>
          <w:i/>
          <w:color w:val="555F6D"/>
          <w:sz w:val="26"/>
        </w:rPr>
        <w:t>Denetim, Pano &amp; Cilalama</w:t>
      </w:r>
    </w:p>
    <w:p/>
    <w:p>
      <w:pPr>
        <w:jc w:val="center"/>
      </w:pPr>
      <w:r>
        <w:rPr>
          <w:color w:val="C0C7D0"/>
        </w:rPr>
        <w:t>────────────────────────────────────────────</w:t>
      </w:r>
    </w:p>
    <w:p/>
    <w:tbl>
      <w:tblPr>
        <w:tblW w:type="auto" w:w="0"/>
        <w:jc w:val="center"/>
        <w:tblLook w:firstColumn="1" w:firstRow="1" w:lastColumn="0" w:lastRow="0" w:noHBand="0" w:noVBand="1" w:val="04A0"/>
      </w:tblPr>
      <w:tblGrid>
        <w:gridCol w:w="4896"/>
        <w:gridCol w:w="4896"/>
      </w:tblGrid>
      <w:tr>
        <w:tc>
          <w:tcPr>
            <w:tcW w:type="dxa" w:w="3456"/>
          </w:tcPr>
          <w:p>
            <w:r>
              <w:rPr>
                <w:b/>
                <w:color w:val="0B2545"/>
                <w:sz w:val="22"/>
              </w:rPr>
              <w:t>Sprint:</w:t>
            </w:r>
          </w:p>
        </w:tc>
        <w:tc>
          <w:tcPr>
            <w:tcW w:type="dxa" w:w="5760"/>
          </w:tcPr>
          <w:p>
            <w:r>
              <w:rPr>
                <w:sz w:val="22"/>
              </w:rPr>
              <w:t>Sprint 8 — Denetim, Pano &amp; Cilalama</w:t>
            </w:r>
          </w:p>
        </w:tc>
      </w:tr>
      <w:tr>
        <w:tc>
          <w:tcPr>
            <w:tcW w:type="dxa" w:w="3456"/>
          </w:tcPr>
          <w:p>
            <w:r>
              <w:rPr>
                <w:b/>
                <w:color w:val="0B2545"/>
                <w:sz w:val="22"/>
              </w:rPr>
              <w:t>Kilometre taşı:</w:t>
            </w:r>
          </w:p>
        </w:tc>
        <w:tc>
          <w:tcPr>
            <w:tcW w:type="dxa" w:w="5760"/>
          </w:tcPr>
          <w:p>
            <w:r>
              <w:rPr>
                <w:sz w:val="22"/>
              </w:rPr>
              <w:t>M5 — Gözlemlenebilirlik &amp; Cilalama</w:t>
            </w:r>
          </w:p>
        </w:tc>
      </w:tr>
      <w:tr>
        <w:tc>
          <w:tcPr>
            <w:tcW w:type="dxa" w:w="3456"/>
          </w:tcPr>
          <w:p>
            <w:r>
              <w:rPr>
                <w:b/>
                <w:color w:val="0B2545"/>
                <w:sz w:val="22"/>
              </w:rPr>
              <w:t>Zaman:</w:t>
            </w:r>
          </w:p>
        </w:tc>
        <w:tc>
          <w:tcPr>
            <w:tcW w:type="dxa" w:w="5760"/>
          </w:tcPr>
          <w:p>
            <w:r>
              <w:rPr>
                <w:sz w:val="22"/>
              </w:rPr>
              <w:t>Gün 16–17 (17 iş günü planı)</w:t>
            </w:r>
          </w:p>
        </w:tc>
      </w:tr>
      <w:tr>
        <w:tc>
          <w:tcPr>
            <w:tcW w:type="dxa" w:w="3456"/>
          </w:tcPr>
          <w:p>
            <w:r>
              <w:rPr>
                <w:b/>
                <w:color w:val="0B2545"/>
                <w:sz w:val="22"/>
              </w:rPr>
              <w:t>Kapsam:</w:t>
            </w:r>
          </w:p>
        </w:tc>
        <w:tc>
          <w:tcPr>
            <w:tcW w:type="dxa" w:w="5760"/>
          </w:tcPr>
          <w:p>
            <w:r>
              <w:rPr>
                <w:sz w:val="22"/>
              </w:rPr>
              <w:t>Üretilen dosyalar, ilişkiler ve topolojik ER haritası</w:t>
            </w:r>
          </w:p>
        </w:tc>
      </w:tr>
      <w:tr>
        <w:tc>
          <w:tcPr>
            <w:tcW w:type="dxa" w:w="3456"/>
          </w:tcPr>
          <w:p>
            <w:r>
              <w:rPr>
                <w:b/>
                <w:color w:val="0B2545"/>
                <w:sz w:val="22"/>
              </w:rPr>
              <w:t>Cobweb büyüklüğü:</w:t>
            </w:r>
          </w:p>
        </w:tc>
        <w:tc>
          <w:tcPr>
            <w:tcW w:type="dxa" w:w="5760"/>
          </w:tcPr>
          <w:p>
            <w:r>
              <w:rPr>
                <w:sz w:val="22"/>
              </w:rPr>
              <w:t>71 düğüm / 121 kenar (kümülatif)</w:t>
            </w:r>
          </w:p>
        </w:tc>
      </w:tr>
      <w:tr>
        <w:tc>
          <w:tcPr>
            <w:tcW w:type="dxa" w:w="3456"/>
          </w:tcPr>
          <w:p>
            <w:r>
              <w:rPr>
                <w:b/>
                <w:color w:val="0B2545"/>
                <w:sz w:val="22"/>
              </w:rPr>
              <w:t>Belge:</w:t>
            </w:r>
          </w:p>
        </w:tc>
        <w:tc>
          <w:tcPr>
            <w:tcW w:type="dxa" w:w="5760"/>
          </w:tcPr>
          <w:p>
            <w:r>
              <w:rPr>
                <w:sz w:val="22"/>
              </w:rPr>
              <w:t>Sprint 8/8</w:t>
            </w:r>
          </w:p>
        </w:tc>
      </w:tr>
    </w:tbl>
    <w:p>
      <w:r>
        <w:br w:type="page"/>
      </w:r>
    </w:p>
    <w:p>
      <w:pPr>
        <w:shd w:val="clear" w:fill="0B2545"/>
        <w:spacing w:before="80" w:after="80"/>
      </w:pPr>
      <w:r>
        <w:rPr>
          <w:rFonts w:ascii="Calibri" w:hAnsi="Calibri"/>
          <w:b/>
          <w:color w:val="FFFFFF"/>
          <w:sz w:val="32"/>
        </w:rPr>
        <w:t>1. Sprint 8 Amacı ve Kapsamı</w:t>
      </w:r>
    </w:p>
    <w:p>
      <w:pPr>
        <w:spacing w:after="120"/>
      </w:pPr>
      <w:r>
        <w:rPr>
          <w:b w:val="0"/>
          <w:i w:val="0"/>
          <w:sz w:val="21"/>
        </w:rPr>
        <w:t>Ürünü tamamlamak: kesintisiz denetim kaydı, özet panosu, çoklu dil, PDF çıktı, profil yönetimi ve son rötuşlar. AuditLog modeli eklenir; birçok controller audit'e bağlanır. Dashboard kapsam-farkında istatistik gösterir.</w:t>
      </w:r>
    </w:p>
    <w:p>
      <w:pPr>
        <w:shd w:val="clear" w:fill="0B2545"/>
        <w:spacing w:before="80" w:after="80"/>
      </w:pPr>
      <w:r>
        <w:rPr>
          <w:rFonts w:ascii="Calibri" w:hAnsi="Calibri"/>
          <w:b/>
          <w:color w:val="FFFFFF"/>
          <w:sz w:val="32"/>
        </w:rPr>
        <w:t>2. Bu Sprintte Üretilen Dosyalar</w:t>
      </w:r>
    </w:p>
    <w:p>
      <w:pPr>
        <w:spacing w:after="120"/>
      </w:pPr>
      <w:r>
        <w:rPr>
          <w:b w:val="0"/>
          <w:i/>
          <w:color w:val="555F6D"/>
          <w:sz w:val="21"/>
        </w:rPr>
        <w:t>Aşağıdaki tablo, bu sprintte oluşturulan her dosyayı (veya grup klasörünü) tekil olarak ele alır: hangi katmana ait olduğu, hangi modül/özelliğe hitap ettiği ve başlıca ilişkileri. Grup halindeki dosyalar, ilgili oldukları modül altında birlikte açıklanır.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20"/>
            <w:shd w:val="clear" w:fill="0B2545"/>
          </w:tcPr>
          <w:p>
            <w:r>
              <w:rPr>
                <w:b/>
                <w:color w:val="FFFFFF"/>
                <w:sz w:val="17"/>
              </w:rPr>
              <w:t>Dosya / Grup</w:t>
            </w:r>
          </w:p>
        </w:tc>
        <w:tc>
          <w:tcPr>
            <w:tcW w:type="dxa" w:w="1224"/>
            <w:shd w:val="clear" w:fill="0B2545"/>
          </w:tcPr>
          <w:p>
            <w:r>
              <w:rPr>
                <w:b/>
                <w:color w:val="FFFFFF"/>
                <w:sz w:val="17"/>
              </w:rPr>
              <w:t>Katman</w:t>
            </w:r>
          </w:p>
        </w:tc>
        <w:tc>
          <w:tcPr>
            <w:tcW w:type="dxa" w:w="3312"/>
            <w:shd w:val="clear" w:fill="0B2545"/>
          </w:tcPr>
          <w:p>
            <w:r>
              <w:rPr>
                <w:b/>
                <w:color w:val="FFFFFF"/>
                <w:sz w:val="17"/>
              </w:rPr>
              <w:t>Modül / Özellik (ne işe yarar)</w:t>
            </w:r>
          </w:p>
        </w:tc>
        <w:tc>
          <w:tcPr>
            <w:tcW w:type="dxa" w:w="2448"/>
            <w:shd w:val="clear" w:fill="0B2545"/>
          </w:tcPr>
          <w:p>
            <w:r>
              <w:rPr>
                <w:b/>
                <w:color w:val="FFFFFF"/>
                <w:sz w:val="17"/>
              </w:rPr>
              <w:t>Başlıca İlişki</w:t>
            </w:r>
          </w:p>
        </w:tc>
      </w:tr>
      <w:tr>
        <w:tc>
          <w:tcPr>
            <w:tcW w:type="dxa" w:w="2520"/>
          </w:tcPr>
          <w:p>
            <w:pPr>
              <w:spacing w:after="20"/>
            </w:pPr>
            <w:r>
              <w:rPr>
                <w:sz w:val="17"/>
              </w:rPr>
              <w:t>backend/src/audit/audit.service.ts</w:t>
            </w:r>
          </w:p>
        </w:tc>
        <w:tc>
          <w:tcPr>
            <w:tcW w:type="dxa" w:w="1224"/>
          </w:tcPr>
          <w:p>
            <w:pPr>
              <w:spacing w:after="20"/>
            </w:pPr>
            <w:r>
              <w:rPr>
                <w:sz w:val="17"/>
              </w:rPr>
              <w:t>Cross-cutting</w:t>
            </w:r>
          </w:p>
        </w:tc>
        <w:tc>
          <w:tcPr>
            <w:tcW w:type="dxa" w:w="3312"/>
          </w:tcPr>
          <w:p>
            <w:pPr>
              <w:spacing w:after="20"/>
            </w:pPr>
            <w:r>
              <w:rPr>
                <w:sz w:val="17"/>
              </w:rPr>
              <w:t>Denetim mantığı — log (hata olsa bile ana akışı bozmaz), findAll (filtreli).</w:t>
            </w:r>
          </w:p>
        </w:tc>
        <w:tc>
          <w:tcPr>
            <w:tcW w:type="dxa" w:w="2448"/>
          </w:tcPr>
          <w:p>
            <w:pPr>
              <w:spacing w:after="20"/>
            </w:pPr>
            <w:r>
              <w:rPr>
                <w:sz w:val="17"/>
              </w:rPr>
              <w:t>PrismaService; AuditLog. Auth/Users/Roles/Reports controller'ları çağırır.</w:t>
            </w:r>
          </w:p>
        </w:tc>
      </w:tr>
      <w:tr>
        <w:tc>
          <w:tcPr>
            <w:tcW w:type="dxa" w:w="2520"/>
            <w:shd w:val="clear" w:fill="F3F4F6"/>
          </w:tcPr>
          <w:p>
            <w:pPr>
              <w:spacing w:after="20"/>
            </w:pPr>
            <w:r>
              <w:rPr>
                <w:sz w:val="17"/>
              </w:rPr>
              <w:t>backend/src/audit/audit.controller.ts</w:t>
            </w:r>
          </w:p>
        </w:tc>
        <w:tc>
          <w:tcPr>
            <w:tcW w:type="dxa" w:w="1224"/>
            <w:shd w:val="clear" w:fill="F3F4F6"/>
          </w:tcPr>
          <w:p>
            <w:pPr>
              <w:spacing w:after="20"/>
            </w:pPr>
            <w:r>
              <w:rPr>
                <w:sz w:val="17"/>
              </w:rPr>
              <w:t>Cross-cutting</w:t>
            </w:r>
          </w:p>
        </w:tc>
        <w:tc>
          <w:tcPr>
            <w:tcW w:type="dxa" w:w="3312"/>
            <w:shd w:val="clear" w:fill="F3F4F6"/>
          </w:tcPr>
          <w:p>
            <w:pPr>
              <w:spacing w:after="20"/>
            </w:pPr>
            <w:r>
              <w:rPr>
                <w:sz w:val="17"/>
              </w:rPr>
              <w:t>Denetim ucu — filtreli audit log listeleme (AUDIT_VIEW).</w:t>
            </w:r>
          </w:p>
        </w:tc>
        <w:tc>
          <w:tcPr>
            <w:tcW w:type="dxa" w:w="2448"/>
            <w:shd w:val="clear" w:fill="F3F4F6"/>
          </w:tcPr>
          <w:p>
            <w:pPr>
              <w:spacing w:after="20"/>
            </w:pPr>
            <w:r>
              <w:rPr>
                <w:sz w:val="17"/>
              </w:rPr>
              <w:t>AuditService.</w:t>
            </w:r>
          </w:p>
        </w:tc>
      </w:tr>
      <w:tr>
        <w:tc>
          <w:tcPr>
            <w:tcW w:type="dxa" w:w="2520"/>
          </w:tcPr>
          <w:p>
            <w:pPr>
              <w:spacing w:after="20"/>
            </w:pPr>
            <w:r>
              <w:rPr>
                <w:sz w:val="17"/>
              </w:rPr>
              <w:t>backend/prisma/schema.prisma (genişleme)</w:t>
            </w:r>
          </w:p>
        </w:tc>
        <w:tc>
          <w:tcPr>
            <w:tcW w:type="dxa" w:w="1224"/>
          </w:tcPr>
          <w:p>
            <w:pPr>
              <w:spacing w:after="20"/>
            </w:pPr>
            <w:r>
              <w:rPr>
                <w:sz w:val="17"/>
              </w:rPr>
              <w:t>Veri Modeli</w:t>
            </w:r>
          </w:p>
        </w:tc>
        <w:tc>
          <w:tcPr>
            <w:tcW w:type="dxa" w:w="3312"/>
          </w:tcPr>
          <w:p>
            <w:pPr>
              <w:spacing w:after="20"/>
            </w:pPr>
            <w:r>
              <w:rPr>
                <w:sz w:val="17"/>
              </w:rPr>
              <w:t>AuditLog — actor (SetNull), actorName kalıcı, action/entity/meta/ip.</w:t>
            </w:r>
          </w:p>
        </w:tc>
        <w:tc>
          <w:tcPr>
            <w:tcW w:type="dxa" w:w="2448"/>
          </w:tcPr>
          <w:p>
            <w:pPr>
              <w:spacing w:after="20"/>
            </w:pPr>
            <w:r>
              <w:rPr>
                <w:sz w:val="17"/>
              </w:rPr>
              <w:t>audit.service.</w:t>
            </w:r>
          </w:p>
        </w:tc>
      </w:tr>
      <w:tr>
        <w:tc>
          <w:tcPr>
            <w:tcW w:type="dxa" w:w="2520"/>
            <w:shd w:val="clear" w:fill="F3F4F6"/>
          </w:tcPr>
          <w:p>
            <w:pPr>
              <w:spacing w:after="20"/>
            </w:pPr>
            <w:r>
              <w:rPr>
                <w:sz w:val="17"/>
              </w:rPr>
              <w:t>client/src/pages/DashboardPage.tsx</w:t>
            </w:r>
          </w:p>
        </w:tc>
        <w:tc>
          <w:tcPr>
            <w:tcW w:type="dxa" w:w="1224"/>
            <w:shd w:val="clear" w:fill="F3F4F6"/>
          </w:tcPr>
          <w:p>
            <w:pPr>
              <w:spacing w:after="20"/>
            </w:pPr>
            <w:r>
              <w:rPr>
                <w:sz w:val="17"/>
              </w:rPr>
              <w:t>Frontend</w:t>
            </w:r>
          </w:p>
        </w:tc>
        <w:tc>
          <w:tcPr>
            <w:tcW w:type="dxa" w:w="3312"/>
            <w:shd w:val="clear" w:fill="F3F4F6"/>
          </w:tcPr>
          <w:p>
            <w:pPr>
              <w:spacing w:after="20"/>
            </w:pPr>
            <w:r>
              <w:rPr>
                <w:sz w:val="17"/>
              </w:rPr>
              <w:t>Özet panosu — tip/durum/risk kırılımı, açık faaliyet sayısı (stats ucu).</w:t>
            </w:r>
          </w:p>
        </w:tc>
        <w:tc>
          <w:tcPr>
            <w:tcW w:type="dxa" w:w="2448"/>
            <w:shd w:val="clear" w:fill="F3F4F6"/>
          </w:tcPr>
          <w:p>
            <w:pPr>
              <w:spacing w:after="20"/>
            </w:pPr>
            <w:r>
              <w:rPr>
                <w:sz w:val="17"/>
              </w:rPr>
              <w:t>api/client → reports/stats.</w:t>
            </w:r>
          </w:p>
        </w:tc>
      </w:tr>
      <w:tr>
        <w:tc>
          <w:tcPr>
            <w:tcW w:type="dxa" w:w="2520"/>
          </w:tcPr>
          <w:p>
            <w:pPr>
              <w:spacing w:after="20"/>
            </w:pPr>
            <w:r>
              <w:rPr>
                <w:sz w:val="17"/>
              </w:rPr>
              <w:t>client/src/pages/AdminAuditPage.tsx</w:t>
            </w:r>
          </w:p>
        </w:tc>
        <w:tc>
          <w:tcPr>
            <w:tcW w:type="dxa" w:w="1224"/>
          </w:tcPr>
          <w:p>
            <w:pPr>
              <w:spacing w:after="20"/>
            </w:pPr>
            <w:r>
              <w:rPr>
                <w:sz w:val="17"/>
              </w:rPr>
              <w:t>Frontend</w:t>
            </w:r>
          </w:p>
        </w:tc>
        <w:tc>
          <w:tcPr>
            <w:tcW w:type="dxa" w:w="3312"/>
          </w:tcPr>
          <w:p>
            <w:pPr>
              <w:spacing w:after="20"/>
            </w:pPr>
            <w:r>
              <w:rPr>
                <w:sz w:val="17"/>
              </w:rPr>
              <w:t>Denetim ekranı — kim-ne-ne zaman kayıtları (yalnız yetkili).</w:t>
            </w:r>
          </w:p>
        </w:tc>
        <w:tc>
          <w:tcPr>
            <w:tcW w:type="dxa" w:w="2448"/>
          </w:tcPr>
          <w:p>
            <w:pPr>
              <w:spacing w:after="20"/>
            </w:pPr>
            <w:r>
              <w:rPr>
                <w:sz w:val="17"/>
              </w:rPr>
              <w:t>api/client → audit.controller.</w:t>
            </w:r>
          </w:p>
        </w:tc>
      </w:tr>
      <w:tr>
        <w:tc>
          <w:tcPr>
            <w:tcW w:type="dxa" w:w="2520"/>
            <w:shd w:val="clear" w:fill="F3F4F6"/>
          </w:tcPr>
          <w:p>
            <w:pPr>
              <w:spacing w:after="20"/>
            </w:pPr>
            <w:r>
              <w:rPr>
                <w:sz w:val="17"/>
              </w:rPr>
              <w:t>client/src/pages/ProfilePage.tsx</w:t>
            </w:r>
          </w:p>
        </w:tc>
        <w:tc>
          <w:tcPr>
            <w:tcW w:type="dxa" w:w="1224"/>
            <w:shd w:val="clear" w:fill="F3F4F6"/>
          </w:tcPr>
          <w:p>
            <w:pPr>
              <w:spacing w:after="20"/>
            </w:pPr>
            <w:r>
              <w:rPr>
                <w:sz w:val="17"/>
              </w:rPr>
              <w:t>Frontend</w:t>
            </w:r>
          </w:p>
        </w:tc>
        <w:tc>
          <w:tcPr>
            <w:tcW w:type="dxa" w:w="3312"/>
            <w:shd w:val="clear" w:fill="F3F4F6"/>
          </w:tcPr>
          <w:p>
            <w:pPr>
              <w:spacing w:after="20"/>
            </w:pPr>
            <w:r>
              <w:rPr>
                <w:sz w:val="17"/>
              </w:rPr>
              <w:t>Profil ekranı — ad/soyad/telefon ve şifre değişikliği.</w:t>
            </w:r>
          </w:p>
        </w:tc>
        <w:tc>
          <w:tcPr>
            <w:tcW w:type="dxa" w:w="2448"/>
            <w:shd w:val="clear" w:fill="F3F4F6"/>
          </w:tcPr>
          <w:p>
            <w:pPr>
              <w:spacing w:after="20"/>
            </w:pPr>
            <w:r>
              <w:rPr>
                <w:sz w:val="17"/>
              </w:rPr>
              <w:t>api/client → auth (profil/şifre).</w:t>
            </w:r>
          </w:p>
        </w:tc>
      </w:tr>
      <w:tr>
        <w:tc>
          <w:tcPr>
            <w:tcW w:type="dxa" w:w="2520"/>
          </w:tcPr>
          <w:p>
            <w:pPr>
              <w:spacing w:after="20"/>
            </w:pPr>
            <w:r>
              <w:rPr>
                <w:sz w:val="17"/>
              </w:rPr>
              <w:t>client/src/components/PrintableReport.tsx</w:t>
            </w:r>
          </w:p>
        </w:tc>
        <w:tc>
          <w:tcPr>
            <w:tcW w:type="dxa" w:w="1224"/>
          </w:tcPr>
          <w:p>
            <w:pPr>
              <w:spacing w:after="20"/>
            </w:pPr>
            <w:r>
              <w:rPr>
                <w:sz w:val="17"/>
              </w:rPr>
              <w:t>Frontend</w:t>
            </w:r>
          </w:p>
        </w:tc>
        <w:tc>
          <w:tcPr>
            <w:tcW w:type="dxa" w:w="3312"/>
          </w:tcPr>
          <w:p>
            <w:pPr>
              <w:spacing w:after="20"/>
            </w:pPr>
            <w:r>
              <w:rPr>
                <w:sz w:val="17"/>
              </w:rPr>
              <w:t>PDF/yazdırma — bildirimi html2pdf ile çıktıya çevirir; medyayı ikinci sayfaya taşır.</w:t>
            </w:r>
          </w:p>
        </w:tc>
        <w:tc>
          <w:tcPr>
            <w:tcW w:type="dxa" w:w="2448"/>
          </w:tcPr>
          <w:p>
            <w:pPr>
              <w:spacing w:after="20"/>
            </w:pPr>
            <w:r>
              <w:rPr>
                <w:sz w:val="17"/>
              </w:rPr>
              <w:t>ReportDetailPage, AuthenticatedMedia.</w:t>
            </w:r>
          </w:p>
        </w:tc>
      </w:tr>
      <w:tr>
        <w:tc>
          <w:tcPr>
            <w:tcW w:type="dxa" w:w="2520"/>
            <w:shd w:val="clear" w:fill="F3F4F6"/>
          </w:tcPr>
          <w:p>
            <w:pPr>
              <w:spacing w:after="20"/>
            </w:pPr>
            <w:r>
              <w:rPr>
                <w:sz w:val="17"/>
              </w:rPr>
              <w:t>client/src/i18n/ (index, tr.ts, en.ts)</w:t>
            </w:r>
          </w:p>
        </w:tc>
        <w:tc>
          <w:tcPr>
            <w:tcW w:type="dxa" w:w="1224"/>
            <w:shd w:val="clear" w:fill="F3F4F6"/>
          </w:tcPr>
          <w:p>
            <w:pPr>
              <w:spacing w:after="20"/>
            </w:pPr>
            <w:r>
              <w:rPr>
                <w:sz w:val="17"/>
              </w:rPr>
              <w:t>Frontend</w:t>
            </w:r>
          </w:p>
        </w:tc>
        <w:tc>
          <w:tcPr>
            <w:tcW w:type="dxa" w:w="3312"/>
            <w:shd w:val="clear" w:fill="F3F4F6"/>
          </w:tcPr>
          <w:p>
            <w:pPr>
              <w:spacing w:after="20"/>
            </w:pPr>
            <w:r>
              <w:rPr>
                <w:sz w:val="17"/>
              </w:rPr>
              <w:t>Çoklu dil — TR/EN kaynak metinleri ve i18next kurulumu.</w:t>
            </w:r>
          </w:p>
        </w:tc>
        <w:tc>
          <w:tcPr>
            <w:tcW w:type="dxa" w:w="2448"/>
            <w:shd w:val="clear" w:fill="F3F4F6"/>
          </w:tcPr>
          <w:p>
            <w:pPr>
              <w:spacing w:after="20"/>
            </w:pPr>
            <w:r>
              <w:rPr>
                <w:sz w:val="17"/>
              </w:rPr>
              <w:t>Layout, Login ve tüm metin gösteren bileşenler.</w:t>
            </w:r>
          </w:p>
        </w:tc>
      </w:tr>
    </w:tbl>
    <w:p>
      <w:pPr>
        <w:shd w:val="clear" w:fill="0B2545"/>
        <w:spacing w:before="80" w:after="80"/>
      </w:pPr>
      <w:r>
        <w:rPr>
          <w:rFonts w:ascii="Calibri" w:hAnsi="Calibri"/>
          <w:b/>
          <w:color w:val="FFFFFF"/>
          <w:sz w:val="32"/>
        </w:rPr>
        <w:t>3. Dosya İlişkileri (Topolojik Anlatım)</w:t>
      </w:r>
    </w:p>
    <w:p>
      <w:pPr>
        <w:spacing w:after="120"/>
      </w:pPr>
      <w:r>
        <w:rPr>
          <w:b w:val="0"/>
          <w:i w:val="0"/>
          <w:sz w:val="21"/>
        </w:rPr>
        <w:t>Son sprintte cobweb en yoğun halini alır (71 düğüm, 121 kenar). Denetim, kesişen (cross-cutting) bir katman olarak birçok controller'dan (auth, users, roles, reports) audit.service'e giden kenarlarla ağı çaprazlar. AuditLog düğümü User ve schema.prisma'ya bağlanır. İstemcide Dashboard doğrudan reports.service'in stats çıktısına, PrintableReport ise AuthenticatedMedia'ya bağlanarak son kullanıcı deneyimini tamamlar. i18n düğümü Layout ve Login gibi çok sayıda arayüz düğümüne dokunarak ağı örer. Bu, projenin tam topolojik haritasıdır: 8 sprint boyunca 9 düğümden 71 düğüme büyüyen bir örümcek ağı.</w:t>
      </w:r>
    </w:p>
    <w:p>
      <w:pPr>
        <w:shd w:val="clear" w:fill="0B2545"/>
        <w:spacing w:before="80" w:after="80"/>
      </w:pPr>
      <w:r>
        <w:rPr>
          <w:rFonts w:ascii="Calibri" w:hAnsi="Calibri"/>
          <w:b/>
          <w:color w:val="FFFFFF"/>
          <w:sz w:val="32"/>
        </w:rPr>
        <w:t>4. Kümülatif Entity-Relation Haritası (Cobweb)</w:t>
      </w:r>
    </w:p>
    <w:p>
      <w:pPr>
        <w:spacing w:after="120"/>
      </w:pPr>
      <w:r>
        <w:rPr>
          <w:b w:val="0"/>
          <w:i w:val="0"/>
          <w:sz w:val="21"/>
        </w:rPr>
        <w:t>Aşağıdaki harita, projenin başından bu sprintin sonuna kadar (Sprint 1…8) oluşan TÜM dosya ve veri düğümlerini ve aralarındaki ilişkileri gösterir. Bu sprintte eklenen düğümler kalın koyu çerçeve, yeni ilişkiler kırmızı kenarlarla vurgulanmıştır. Harita her sprintte büyüyerek örümcek ağını (cobweb) yoğunlaştırır: bu sprint sonunda 71 düğüm ve 121 kenar içerir.</w:t>
      </w:r>
    </w:p>
    <w:p>
      <w:pPr>
        <w:sectPr>
          <w:pgSz w:w="12240" w:h="15840"/>
          <w:pgMar w:top="1152" w:right="1224" w:bottom="1152" w:left="1224" w:header="720" w:footer="720" w:gutter="0"/>
          <w:cols w:space="720"/>
          <w:docGrid w:linePitch="360"/>
        </w:sectPr>
      </w:pPr>
    </w:p>
    <w:p>
      <w:pPr>
        <w:jc w:val="center"/>
      </w:pPr>
      <w:r>
        <w:drawing>
          <wp:inline xmlns:a="http://schemas.openxmlformats.org/drawingml/2006/main" xmlns:pic="http://schemas.openxmlformats.org/drawingml/2006/picture">
            <wp:extent cx="9418320" cy="4508848"/>
            <wp:docPr id="1" name="Picture 1"/>
            <wp:cNvGraphicFramePr>
              <a:graphicFrameLocks noChangeAspect="1"/>
            </wp:cNvGraphicFramePr>
            <a:graphic>
              <a:graphicData uri="http://schemas.openxmlformats.org/drawingml/2006/picture">
                <pic:pic>
                  <pic:nvPicPr>
                    <pic:cNvPr id="0" name="cobweb_sprint8.png"/>
                    <pic:cNvPicPr/>
                  </pic:nvPicPr>
                  <pic:blipFill>
                    <a:blip r:embed="rId9"/>
                    <a:stretch>
                      <a:fillRect/>
                    </a:stretch>
                  </pic:blipFill>
                  <pic:spPr>
                    <a:xfrm>
                      <a:off x="0" y="0"/>
                      <a:ext cx="9418320" cy="4508848"/>
                    </a:xfrm>
                    <a:prstGeom prst="rect"/>
                  </pic:spPr>
                </pic:pic>
              </a:graphicData>
            </a:graphic>
          </wp:inline>
        </w:drawing>
      </w:r>
    </w:p>
    <w:p>
      <w:pPr>
        <w:jc w:val="center"/>
      </w:pPr>
      <w:r>
        <w:rPr>
          <w:i/>
          <w:color w:val="555F6D"/>
          <w:sz w:val="18"/>
        </w:rPr>
        <w:t>Şekil — Sprint 1…8 kümülatif entity-relation cobweb haritası (71 düğüm / 121 kenar). Renkler: teal=Altyapı, mor=Veri Modeli, mavi=Backend, amber=Frontend, kırmızı=Cross-cutting.</w:t>
      </w:r>
    </w:p>
    <w:p>
      <w:pPr>
        <w:spacing w:after="120"/>
      </w:pPr>
      <w:r>
        <w:rPr>
          <w:b/>
          <w:color w:val="0B2545"/>
          <w:sz w:val="18"/>
        </w:rPr>
        <w:t xml:space="preserve">Renk lejantı:  </w:t>
      </w:r>
      <w:r>
        <w:rPr>
          <w:b w:val="0"/>
          <w:color w:val="0F766E"/>
          <w:sz w:val="18"/>
        </w:rPr>
        <w:t xml:space="preserve">● Altyapı  </w:t>
      </w:r>
      <w:r>
        <w:rPr>
          <w:b w:val="0"/>
          <w:color w:val="7C3AED"/>
          <w:sz w:val="18"/>
        </w:rPr>
        <w:t xml:space="preserve">● Veri Modeli  </w:t>
      </w:r>
      <w:r>
        <w:rPr>
          <w:b w:val="0"/>
          <w:color w:val="1D4ED8"/>
          <w:sz w:val="18"/>
        </w:rPr>
        <w:t xml:space="preserve">● Backend  </w:t>
      </w:r>
      <w:r>
        <w:rPr>
          <w:b w:val="0"/>
          <w:color w:val="B45309"/>
          <w:sz w:val="18"/>
        </w:rPr>
        <w:t xml:space="preserve">● Frontend  </w:t>
      </w:r>
      <w:r>
        <w:rPr>
          <w:b w:val="0"/>
          <w:color w:val="BE123B"/>
          <w:sz w:val="18"/>
        </w:rPr>
        <w:t>● Cross-cutting</w:t>
      </w:r>
    </w:p>
    <w:p>
      <w:pPr>
        <w:sectPr>
          <w:pgSz w:w="16834" w:h="11909" w:orient="landscape"/>
          <w:pgMar w:top="720" w:right="720" w:bottom="720" w:left="720" w:header="720" w:footer="720" w:gutter="0"/>
          <w:cols w:space="720"/>
          <w:docGrid w:linePitch="360"/>
        </w:sectPr>
      </w:pPr>
    </w:p>
    <w:p>
      <w:pPr>
        <w:shd w:val="clear" w:fill="0B2545"/>
        <w:spacing w:before="80" w:after="80"/>
      </w:pPr>
      <w:r>
        <w:rPr>
          <w:rFonts w:ascii="Calibri" w:hAnsi="Calibri"/>
          <w:b/>
          <w:color w:val="FFFFFF"/>
          <w:sz w:val="32"/>
        </w:rPr>
        <w:t>5. Sprint Çıktısı &amp; Kabul Kriterleri</w:t>
      </w:r>
    </w:p>
    <w:p>
      <w:pPr>
        <w:spacing w:after="120"/>
      </w:pPr>
      <w:r>
        <w:rPr>
          <w:b w:val="0"/>
          <w:i w:val="0"/>
          <w:sz w:val="21"/>
        </w:rPr>
        <w:t>Sprint sonunda aşağıdaki demo-edilebilir çıktılar elde edilir:</w:t>
      </w:r>
    </w:p>
    <w:p>
      <w:pPr>
        <w:pStyle w:val="ListBullet"/>
        <w:spacing w:after="60"/>
        <w:ind w:left="403"/>
      </w:pPr>
      <w:r>
        <w:rPr>
          <w:sz w:val="21"/>
        </w:rPr>
        <w:t>Her kritik işlem denetim kaydına yazılır; yetkili kullanıcı bu kayıtları görebilir.</w:t>
      </w:r>
    </w:p>
    <w:p>
      <w:pPr>
        <w:pStyle w:val="ListBullet"/>
        <w:spacing w:after="60"/>
        <w:ind w:left="403"/>
      </w:pPr>
      <w:r>
        <w:rPr>
          <w:sz w:val="21"/>
        </w:rPr>
        <w:t>Pano; tür/durum/risk dağılımını ve açık faaliyet sayısını gösterir.</w:t>
      </w:r>
    </w:p>
    <w:p>
      <w:pPr>
        <w:pStyle w:val="ListBullet"/>
        <w:spacing w:after="60"/>
        <w:ind w:left="403"/>
      </w:pPr>
      <w:r>
        <w:rPr>
          <w:sz w:val="21"/>
        </w:rPr>
        <w:t>Bildirim PDF olarak dışa alınabilir; arayüz TR/EN arasında anında geçer.</w:t>
      </w:r>
    </w:p>
    <w:p>
      <w:pPr>
        <w:pStyle w:val="ListBullet"/>
        <w:spacing w:after="60"/>
        <w:ind w:left="403"/>
      </w:pPr>
      <w:r>
        <w:rPr>
          <w:sz w:val="21"/>
        </w:rPr>
        <w:t>Kullanıcı profil ve şifresini güncelleyebilir — ürün 'demo-hazır'dır.</w:t>
      </w:r>
    </w:p>
    <w:p>
      <w:pPr>
        <w:spacing w:after="120"/>
      </w:pPr>
      <w:r>
        <w:rPr>
          <w:b w:val="0"/>
          <w:i/>
          <w:color w:val="555F6D"/>
          <w:sz w:val="21"/>
        </w:rPr>
        <w:t>Bir sonraki adım: Proje tamamlanır; ürün demo ve sunuma hazırdır.</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