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8"/>
          <w:szCs w:val="48"/>
        </w:rPr>
        <w:t xml:space="preserve">PROPOSAL</w:t>
      </w:r>
    </w:p>
    <w:p>
      <w:pPr>
        <w:spacing w:after="720"/>
        <w:jc w:val="center"/>
      </w:pPr>
      <w:r>
        <w:rPr>
          <w:color w:val="666666"/>
          <w:sz w:val="32"/>
          <w:szCs w:val="32"/>
        </w:rPr>
        <w:t xml:space="preserve">Security &amp; Telecom Solutions</w:t>
      </w:r>
    </w:p>
    <w:p>
      <w:pPr>
        <w:spacing w:after="120" w:before="1440"/>
        <w:jc w:val="center"/>
      </w:pPr>
      <w:r>
        <w:rPr>
          <w:b/>
          <w:bCs/>
          <w:sz w:val="24"/>
          <w:szCs w:val="24"/>
        </w:rPr>
        <w:t xml:space="preserve">Prepared for:</w:t>
      </w:r>
    </w:p>
    <w:p>
      <w:pPr>
        <w:jc w:val="center"/>
      </w:pPr>
      <w:r>
        <w:rPr>
          <w:b/>
          <w:bCs/>
          <w:color w:val="2E75B6"/>
          <w:sz w:val="28"/>
          <w:szCs w:val="28"/>
        </w:rPr>
        <w:t xml:space="preserve">adani</w:t>
      </w:r>
    </w:p>
    <w:p>
      <w:pPr>
        <w:spacing w:before="240"/>
        <w:jc w:val="center"/>
      </w:pPr>
      <w:r>
        <w:rPr>
          <w:color w:val="666666"/>
          <w:sz w:val="20"/>
          <w:szCs w:val="20"/>
        </w:rPr>
        <w:t xml:space="preserve">May 1, 2026</w:t>
      </w:r>
    </w:p>
    <w:p>
      <w:r>
        <w:br w:type="page"/>
      </w:r>
    </w:p>
    <w:p>
      <w:pPr>
        <w:pStyle w:val="Heading1"/>
      </w:pPr>
      <w:r>
        <w:t xml:space="preserve">Executive Summary</w:t>
      </w:r>
    </w:p>
    <w:p>
      <w:pPr>
        <w:spacing w:after="240"/>
      </w:pPr>
      <w:r>
        <w:t xml:space="preserve">This proposal outlines a strategic investment in advanced access control solutions from Adani, specifically focusing on COSEC products designed to enhance security and operational efficiency within manufacturing facilities.  The proposed solution leverages the robust and versatile capabilities of COSEC’s ATOM RD100E readers, offering a comprehensive approach to visitor management, data room security, and IT room control.  This investment directly addresses stringent access requirements, improves operational safety, and provides a scalable, reliable, and secure access control system for a modern manufacturing environment.  We anticipate a significant return on investment through reduced risk, streamlined workflows, and enhanced data protection.</w:t>
      </w:r>
    </w:p>
    <w:p>
      <w:pPr>
        <w:pStyle w:val="Heading1"/>
      </w:pPr>
      <w:r>
        <w:t xml:space="preserve">Understanding Your Needs</w:t>
      </w:r>
    </w:p>
    <w:p>
      <w:pPr>
        <w:spacing w:after="240"/>
      </w:pPr>
      <w:r>
        <w:t xml:space="preserve">Manufacturing facilities face increasing demands for robust security protocols to protect sensitive data, control access to critical areas, and ensure employee safety. Current access control methods often lack the flexibility and scalability needed to accommodate evolving operational needs.  Key needs include:
*   **Stringent Access Control:**  Maintaining strict control over who can enter specific areas, particularly data rooms and IT rooms.
*   **Biometric Authentication:**  Implementing multi-factor authentication (fingerprint, EM card, BLE) for enhanced security.
*   **Visitor Management:**  Streamlining visitor entry and exit processes, minimizing potential security risks.
*   **Scalability:**  The ability to easily expand access control capabilities as the facility grows.
*   **Reliability:**  A system that can withstand demanding operational environments and minimize downtime.
*   **Integration:** Seamless integration with existing ANPR and boom barrier systems.
*   **Data Room Security:** Protecting sensitive data within the data room.
*   **IT Room Control:** Secure access to IT resources.
*   **Cost-Effectiveness:** Balancing security with budgetary constraints.
Adani’s COSEC products are specifically engineered to address these needs, offering a superior combination of features, performance, and reliability.</w:t>
      </w:r>
    </w:p>
    <w:p>
      <w:pPr>
        <w:pStyle w:val="Heading1"/>
      </w:pPr>
      <w:r>
        <w:t xml:space="preserve">Proposed Solution</w:t>
      </w:r>
    </w:p>
    <w:p>
      <w:pPr>
        <w:spacing w:after="240"/>
      </w:pPr>
      <w:r>
        <w:t xml:space="preserve">We recommend a phased implementation of COSEC products, prioritizing the following:
*   **COSEC ATOM RD100E (12):**  For data rooms and IT rooms, providing robust biometric authentication and IP65 rating for reliable operation.
*   **COSEC PATH DCFE (10):**  For smaller departments or areas requiring a more comprehensive system, offering a cost-effective single-door solution with PIN fallback.
*   **COSEC ARGO FACEE (12):**  For visitor access control, leveraging EM card and BLE authentication for a secure and convenient entry point.
*   **COSEC ATOM RD100E (10):**  For wider facility deployment, offering a versatile solution for various applications.
*   **COSEC ARC DC200P (10):**  For multi-building environments, providing flexibility and adaptability to different layouts.
This solution leverages Adani’s commitment to innovation and provides a tailored approach to meet the specific requirements of each facility.
**Technical Specifications:**
*   COSEC ATOM RD100E: Dual-factor authentication (fingerprint, EM card, BLE), IP65 rating, QR e-pass functionality.
*   COSEC PATH DCFE: Single-door controller, keypad-based PIN fallback, ANPR and boom barrier integration.
*   COSEC ARGO FACEE: Face recognition, EM card and BLE authentication, IP65 rating.
*   COSEC ARC DC200P: Compact design, multi-door management, IP65 rating, keypad-based PIN fallback.
*   COSEC ATOM RD100E: Dual-factor authentication, IP65 rating, QR e-pass functionality.
  **Total Investment:** $677,520.00
  **Expected Benefits:** Reduced risk of data breaches, streamlined visitor management, improved operational efficiency, enhanced data protection, and a scalable access control solution.</w:t>
      </w:r>
    </w:p>
    <w:p>
      <w:pPr>
        <w:pStyle w:val="Heading1"/>
      </w:pPr>
      <w:r>
        <w:t xml:space="preserve">Product Recommendations</w:t>
      </w:r>
    </w:p>
    <w:p>
      <w:pPr>
        <w:spacing w:after="240"/>
      </w:pPr>
      <w:r>
        <w:t xml:space="preserve">We strongly recommend the COSEC ATOM RD100E readers as the primary solution for this project. Their robust design, dual-factor authentication capabilities, and IP65 rating make them ideal for a manufacturing facility with stringent access control requirements.  The COSEC PATH DCFE offers a cost-effective alternative for smaller departments, while the COSEC ARGO FACEE provides a secure and convenient visitor access solution.  The COSEC ARC DC200P is a valuable addition for multi-building environments, and the COSEC ATOM RD100E provides a versatile solution for a wide range of applications.  Adani’s commitment to quality and reliability ensures a long-term investment in a secure and efficient access control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Product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Quantity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Unit Price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ATOM RD100E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12</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$45,600.00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PATH DCFE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$12,500.00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$125,000.00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ARGO FACEE</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12</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$19,000.00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$228,000.00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ATOM RD100E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$38,000.00</w:t>
            </w:r>
          </w:p>
        </w:tc>
      </w:tr>
      <w:tr>
        <w:tc>
          <w:tcPr>
            <w:tcW w:type="dxa" w:w="3744"/>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t xml:space="preserve">COSEC ARC DC200P</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$9,000.00</w:t>
            </w:r>
          </w:p>
        </w:tc>
        <w:tc>
          <w:tcPr>
            <w:tcW w:type="dxa" w:w="187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$90,000.00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COSEC ATOM RD100E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$3,800.00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t xml:space="preserve">$38,000.00</w:t>
            </w:r>
          </w:p>
        </w:tc>
      </w:tr>
    </w:tbl>
    <w:p>
      <w:pPr>
        <w:spacing w:after="480"/>
      </w:pPr>
    </w:p>
    <w:p>
      <w:pPr>
        <w:pStyle w:val="Heading1"/>
      </w:pPr>
      <w:r>
        <w:t xml:space="preserve">Implementation Plan</w:t>
      </w:r>
    </w:p>
    <w:p>
      <w:pPr>
        <w:spacing w:after="240"/>
      </w:pPr>
      <w:r>
        <w:t xml:space="preserve">Our implementation plan will involve:
1.  **Assessment:**  Detailed assessment of existing access control infrastructure and facility layout.
2.  **System Design:**  Customized system design based on facility requirements.
3.  **Hardware Installation:**  Installation of COSEC ATOM RD100E readers, COSEC PATH DCFE controllers, and COSEC ARGO FACEE.
4.  **Software Configuration:**  Configuration of access control software and integration with existing systems.
5.  **Training:**  Training for facility personnel on system operation and maintenance.
6.  **Testing &amp; Validation:**  Thorough testing and validation to ensure system functionality.
7.  **Ongoing Support:**  Dedicated support and maintenance services.
We will work closely with the client to ensure a smooth and successful implementation.
**Timeline:**  Estimated implementation timeframe: 8-12 weeks.
**Budget Breakdown:**  (Detailed breakdown will be provided upon request, including hardware, software, installation, training, and ongoing support.)</w:t>
      </w:r>
    </w:p>
    <w:p>
      <w:pPr>
        <w:pStyle w:val="Heading1"/>
      </w:pPr>
      <w:r>
        <w:t xml:space="preserve">Investment Summary</w:t>
      </w:r>
    </w:p>
    <w:p>
      <w:pPr>
        <w:spacing w:after="240"/>
      </w:pPr>
      <w:r>
        <w:t xml:space="preserve">The proposed investment of $677,520.00 represents a strategic investment in a robust and scalable access control solution from Adani.  This investment will significantly reduce risk, streamline operations, and enhance data protection, ultimately contributing to improved operational efficiency and a secure manufacturing environment.  We are confident that this solution will deliver a strong return on investment through reduced security incidents, improved compliance, and enhanced productivity.  We are prepared to provide a detailed cost-benefit analysis and customized implementation plan to meet the specific needs of your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Products &amp; Equipment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$564,600.00</w:t>
            </w:r>
          </w:p>
        </w:tc>
      </w:tr>
      <w:tr>
        <w:tc>
          <w:tcPr>
            <w:tcW w:type="dxa" w:w="6552"/>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bCs/>
              </w:rPr>
              <w:t xml:space="preserve">Installation &amp; Configuration</w:t>
            </w:r>
          </w:p>
        </w:tc>
        <w:tc>
          <w:tcPr>
            <w:tcW w:type="dxa" w:w="2808"/>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right"/>
            </w:pPr>
            <w:r>
              <w:t xml:space="preserve">$112,920.00</w:t>
            </w:r>
          </w:p>
        </w:tc>
      </w:tr>
      <w:tr>
        <w:tc>
          <w:tcPr>
            <w:tcW w:type="dxa" w:w="655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6"/>
                <w:szCs w:val="26"/>
              </w:rPr>
              <w:t xml:space="preserve">TOTAL INVESTMENT</w:t>
            </w:r>
          </w:p>
        </w:tc>
        <w:tc>
          <w:tcPr>
            <w:tcW w:type="dxa" w:w="2808"/>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pPr>
              <w:jc w:val="right"/>
            </w:pPr>
            <w:r>
              <w:rPr>
                <w:b/>
                <w:bCs/>
                <w:sz w:val="26"/>
                <w:szCs w:val="26"/>
              </w:rPr>
              <w:t xml:space="preserve">$677,520.00</w:t>
            </w:r>
          </w:p>
        </w:tc>
      </w:tr>
      <w:tr>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Maintenance (Premium SLA)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$84,690.00/year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75B6"/>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2026-05-01T06:22:23.057Z</dcterms:created>
  <dcterms:modified xsi:type="dcterms:W3CDTF">2026-05-01T06:22:23.057Z</dcterms:modified>
</cp:coreProperties>
</file>

<file path=docProps/custom.xml><?xml version="1.0" encoding="utf-8"?>
<Properties xmlns="http://schemas.openxmlformats.org/officeDocument/2006/custom-properties" xmlns:vt="http://schemas.openxmlformats.org/officeDocument/2006/docPropsVTypes"/>
</file>