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9599E" w14:textId="6456A62B" w:rsidR="000A094E" w:rsidRPr="00A34CED" w:rsidRDefault="00A34CED">
      <w:pPr>
        <w:rPr>
          <w:lang w:val="en-US"/>
        </w:rPr>
      </w:pPr>
      <w:r w:rsidRPr="00A34CED">
        <w:rPr>
          <w:lang w:val="en-US"/>
        </w:rPr>
        <w:t>XRP 35/70 is lexicographically better</w:t>
      </w:r>
    </w:p>
    <w:p w14:paraId="28F5B629" w14:textId="7FE26ED3" w:rsidR="00A34CED" w:rsidRDefault="00A34CED">
      <w:pPr>
        <w:rPr>
          <w:lang w:val="en-US"/>
        </w:rPr>
      </w:pPr>
      <w:r w:rsidRPr="00A34CED">
        <w:rPr>
          <w:lang w:val="en-US"/>
        </w:rPr>
        <w:t>TRX 35</w:t>
      </w:r>
      <w:r>
        <w:rPr>
          <w:lang w:val="en-US"/>
        </w:rPr>
        <w:t>/70</w:t>
      </w:r>
    </w:p>
    <w:p w14:paraId="3F4E4D4F" w14:textId="04BEE34D" w:rsidR="00A34CED" w:rsidRDefault="00A34CED">
      <w:pPr>
        <w:rPr>
          <w:lang w:val="en-US"/>
        </w:rPr>
      </w:pPr>
      <w:r>
        <w:rPr>
          <w:lang w:val="en-US"/>
        </w:rPr>
        <w:t>SOL 35/75</w:t>
      </w:r>
    </w:p>
    <w:p w14:paraId="0DE7CEAE" w14:textId="60F3E4AB" w:rsidR="00A34CED" w:rsidRDefault="00A34CED">
      <w:pPr>
        <w:rPr>
          <w:lang w:val="en-US"/>
        </w:rPr>
      </w:pPr>
      <w:r>
        <w:rPr>
          <w:lang w:val="en-US"/>
        </w:rPr>
        <w:t>ETH 35/65</w:t>
      </w:r>
    </w:p>
    <w:p w14:paraId="7C40C204" w14:textId="7C3E60D6" w:rsidR="00A34CED" w:rsidRDefault="00A34CED">
      <w:pPr>
        <w:rPr>
          <w:lang w:val="en-US"/>
        </w:rPr>
      </w:pPr>
      <w:r>
        <w:rPr>
          <w:lang w:val="en-US"/>
        </w:rPr>
        <w:t>DOGE 35/75</w:t>
      </w:r>
    </w:p>
    <w:p w14:paraId="662054F3" w14:textId="047546A2" w:rsidR="00A34CED" w:rsidRDefault="00A34CED">
      <w:pPr>
        <w:rPr>
          <w:lang w:val="en-US"/>
        </w:rPr>
      </w:pPr>
      <w:r>
        <w:rPr>
          <w:lang w:val="en-US"/>
        </w:rPr>
        <w:t>BNB 35/75</w:t>
      </w:r>
    </w:p>
    <w:p w14:paraId="46125168" w14:textId="5ABC7277" w:rsidR="00A34CED" w:rsidRDefault="00A34CED">
      <w:pPr>
        <w:rPr>
          <w:lang w:val="en-US"/>
        </w:rPr>
      </w:pPr>
      <w:r>
        <w:rPr>
          <w:lang w:val="en-US"/>
        </w:rPr>
        <w:t>Bitcoin 35/75</w:t>
      </w:r>
    </w:p>
    <w:p w14:paraId="6FB334AF" w14:textId="7B57CB90" w:rsidR="00A34CED" w:rsidRDefault="00A34CED">
      <w:pPr>
        <w:rPr>
          <w:lang w:val="en-US"/>
        </w:rPr>
      </w:pPr>
      <w:r>
        <w:rPr>
          <w:lang w:val="en-US"/>
        </w:rPr>
        <w:t>AVAX 30/75 and 30/70</w:t>
      </w:r>
    </w:p>
    <w:p w14:paraId="37E2D034" w14:textId="5EEEF682" w:rsidR="00A34CED" w:rsidRDefault="00A34CED">
      <w:pPr>
        <w:rPr>
          <w:lang w:val="en-US"/>
        </w:rPr>
      </w:pPr>
      <w:r>
        <w:rPr>
          <w:lang w:val="en-US"/>
        </w:rPr>
        <w:t>ADA 30/75 and 30/70</w:t>
      </w:r>
    </w:p>
    <w:p w14:paraId="429AD9FC" w14:textId="5A935206" w:rsidR="00A34CED" w:rsidRDefault="00A34CED">
      <w:pPr>
        <w:rPr>
          <w:lang w:val="en-US"/>
        </w:rPr>
      </w:pPr>
      <w:r>
        <w:rPr>
          <w:lang w:val="en-US"/>
        </w:rPr>
        <w:t xml:space="preserve">Then we do </w:t>
      </w:r>
      <w:proofErr w:type="spellStart"/>
      <w:r>
        <w:rPr>
          <w:lang w:val="en-US"/>
        </w:rPr>
        <w:t>sensistivity</w:t>
      </w:r>
      <w:proofErr w:type="spellEnd"/>
      <w:r>
        <w:rPr>
          <w:lang w:val="en-US"/>
        </w:rPr>
        <w:t xml:space="preserve"> analysis to compare between the usual rule and the proposed ones. This is the contribution</w:t>
      </w:r>
    </w:p>
    <w:p w14:paraId="04C81312" w14:textId="77777777" w:rsidR="00A34CED" w:rsidRDefault="00A34CED">
      <w:pPr>
        <w:rPr>
          <w:b/>
          <w:bCs/>
          <w:color w:val="EE0000"/>
          <w:lang w:val="en-US"/>
        </w:rPr>
      </w:pPr>
      <w:r>
        <w:rPr>
          <w:lang w:val="en-US"/>
        </w:rPr>
        <w:t xml:space="preserve">Part of the contribution is to propose a lexicographic approach to the </w:t>
      </w:r>
      <w:r w:rsidRPr="00A34CED">
        <w:rPr>
          <w:b/>
          <w:bCs/>
          <w:color w:val="EE0000"/>
          <w:lang w:val="en-US"/>
        </w:rPr>
        <w:t>problem</w:t>
      </w:r>
    </w:p>
    <w:p w14:paraId="0C428B24" w14:textId="2491F04F" w:rsidR="00A34CED" w:rsidRDefault="00A34CED">
      <w:pPr>
        <w:rPr>
          <w:lang w:val="en-US"/>
        </w:rPr>
      </w:pPr>
      <w:r w:rsidRPr="00A34CED">
        <w:rPr>
          <w:b/>
          <w:bCs/>
          <w:color w:val="000000" w:themeColor="text1"/>
          <w:lang w:val="en-US"/>
        </w:rPr>
        <w:t xml:space="preserve">Since </w:t>
      </w:r>
      <w:proofErr w:type="gramStart"/>
      <w:r w:rsidRPr="00A34CED">
        <w:rPr>
          <w:b/>
          <w:bCs/>
          <w:color w:val="000000" w:themeColor="text1"/>
          <w:lang w:val="en-US"/>
        </w:rPr>
        <w:t xml:space="preserve">they </w:t>
      </w:r>
      <w:r w:rsidRPr="00A34CED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are</w:t>
      </w:r>
      <w:proofErr w:type="gramEnd"/>
      <w:r>
        <w:rPr>
          <w:color w:val="000000" w:themeColor="text1"/>
          <w:lang w:val="en-US"/>
        </w:rPr>
        <w:t xml:space="preserve"> </w:t>
      </w:r>
      <w:r>
        <w:rPr>
          <w:lang w:val="en-US"/>
        </w:rPr>
        <w:t>lexicographic</w:t>
      </w:r>
      <w:r>
        <w:rPr>
          <w:lang w:val="en-US"/>
        </w:rPr>
        <w:t xml:space="preserve">ally equivalent, we can go for the normal one 30/70, but notice it is not the only option. In the next paper we can look for </w:t>
      </w:r>
      <w:r w:rsidR="00DB13E7">
        <w:rPr>
          <w:lang w:val="en-US"/>
        </w:rPr>
        <w:t>fifth</w:t>
      </w:r>
      <w:r>
        <w:rPr>
          <w:lang w:val="en-US"/>
        </w:rPr>
        <w:t xml:space="preserve"> criterion. </w:t>
      </w:r>
    </w:p>
    <w:p w14:paraId="2021B546" w14:textId="77777777" w:rsidR="00DB13E7" w:rsidRDefault="00DB13E7">
      <w:pPr>
        <w:rPr>
          <w:lang w:val="en-US"/>
        </w:rPr>
      </w:pPr>
    </w:p>
    <w:p w14:paraId="42DD82CD" w14:textId="77777777" w:rsidR="00A34CED" w:rsidRPr="00A34CED" w:rsidRDefault="00A34CED">
      <w:pPr>
        <w:rPr>
          <w:color w:val="000000" w:themeColor="text1"/>
          <w:lang w:val="en-US"/>
        </w:rPr>
      </w:pPr>
    </w:p>
    <w:sectPr w:rsidR="00A34CED" w:rsidRPr="00A34C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CED"/>
    <w:rsid w:val="000A094E"/>
    <w:rsid w:val="000E78C5"/>
    <w:rsid w:val="004B3D80"/>
    <w:rsid w:val="00525B53"/>
    <w:rsid w:val="00A34CED"/>
    <w:rsid w:val="00CD4B16"/>
    <w:rsid w:val="00DB1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78AFD9"/>
  <w15:chartTrackingRefBased/>
  <w15:docId w15:val="{EEAE7FCA-6B58-8549-AE5D-2AE60CB29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Hatem Mohamed Mahmoud Mabrouk</dc:creator>
  <cp:keywords/>
  <dc:description/>
  <cp:lastModifiedBy>Hatem Mohamed Mahmoud Mabrouk</cp:lastModifiedBy>
  <cp:revision>1</cp:revision>
  <dcterms:created xsi:type="dcterms:W3CDTF">2026-03-13T16:32:00Z</dcterms:created>
  <dcterms:modified xsi:type="dcterms:W3CDTF">2026-03-13T16:50:00Z</dcterms:modified>
</cp:coreProperties>
</file>