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Visual Inspection Notes</w:t>
      </w:r>
    </w:p>
    <w:p>
      <w:pPr>
        <w:pStyle w:val="MdParagraph"/>
      </w:pPr>
      <w:r>
        <w:t xml:space="preserve">Figure 1 rendered correctly as a Robinson-projection world map with all verified ICO project points, selected labels, a location legend, a scale bar, and dataset/projection note. The output resolution is publication-ready at 3560 × 1607 pixels.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Figure 2 rendered correctly as a proportional-symbol world map with aggregated city-level fundraising bubbles and selected labels. The output resolution is publication-ready at 3198 × 1606 pixels. One refinement is needed: the bubble legend uses symbols large enough that the largest example circle is crowded against the lower-left boundary, so the legend should be redrawn using smaller proxy marker sizes while preserving the mapped bubble sizes on the map itself.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After regenerating the maps, Figure 2 was rechecked. The proportional-symbol legend is now readable, contained within the lower-left legend box, and no longer crowded against the map boundary. The map continues to show all verified aggregated city-country locations with bubbles scaled by total fundraising.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Figure 3 was rechecked after regeneration. The top-10 hub labels are readable, the proportional-symbol legend is contained within the legend box, and the title, scale bar, and projection/dataset note are visible. Some U.S. Northeast labels are necessarily close together because of spatial clustering, but they remain legible due to white text halos.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2026-06-11T04:19:49.298Z</dcterms:created>
  <dcterms:modified xsi:type="dcterms:W3CDTF">2026-06-11T04:19:49.298Z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