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Stage 5 Methodological Note: GIS Mapping and Spatial Analysis</w:t>
      </w:r>
    </w:p>
    <w:p>
      <w:pPr>
        <w:pStyle w:val="MdParagraph"/>
      </w:pPr>
      <w:r>
        <w:t xml:space="preserve">Fundraising data were integrated with the verified geographic and regional datasets through a project-level relational join. The fundraising values were taken from the CryptoRank top-50 corpus and converted into whole U.S. dollars, while country, city, latitude, longitude, and regional attributes were taken from the previously prepared verification, geocoding, and regional-classification outputs. Project name served as the common identifier across files, and the merge was checked to ensure that each of the 50 projects was retained exactly once. This procedure produced a spatially enabled project dataset in which every fundraising observation is linked, where possible, to a verified country, an urban location or capital-city coordinate fallback, and a standardized macro-region.</w:t>
      </w:r>
    </w:p>
    <w:p>
      <w:pPr>
        <w:pStyle w:val="MdSpace"/>
        <w:spacing w:before="0" w:after="60"/>
      </w:pPr>
    </w:p>
    <w:p>
      <w:pPr>
        <w:pStyle w:val="MdParagraph"/>
      </w:pPr>
      <w:r>
        <w:t xml:space="preserve">Country-level and regional analyses were calculated by grouping the merged project records by country and region. For each group, the number of projects was counted, total funds raised were summed, and the average funds raised per project was computed by dividing the total by the project count. City-level fundraising activity was calculated by grouping records by city-country pair and summing the associated fundraising totals. Equivalent city names were standardized where necessary to avoid splitting the same location into separate records. Projects with unverified country and city values were retained in the country, region, city, and GIS datasets as explicit missing-location categories, rather than being assigned inferred locations.</w:t>
      </w:r>
    </w:p>
    <w:p>
      <w:pPr>
        <w:pStyle w:val="MdSpace"/>
        <w:spacing w:before="0" w:after="60"/>
      </w:pPr>
    </w:p>
    <w:p>
      <w:pPr>
        <w:pStyle w:val="MdParagraph"/>
      </w:pPr>
      <w:r>
        <w:t xml:space="preserve">Blockchain fundraising hubs were identified from the city-level aggregation by ranking verified city-country locations according to total funds raised. Unverified locations were excluded from the hub ranking because they do not represent mappable urban concentrations. The GIS-ready dataset can be imported into QGIS, ArcGIS, GeoPandas, or comparable software as a point layer for proportional-symbol mapping, hotspot detection, regional comparison, and overlay analysis with administrative, demographic, or economic geography layers.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2026-06-11T01:14:36.376Z</dcterms:created>
  <dcterms:modified xsi:type="dcterms:W3CDTF">2026-06-11T01:14:36.376Z</dcterms:modified>
</cp:coreProperties>
</file>

<file path=docProps/custom.xml><?xml version="1.0" encoding="utf-8"?>
<Properties xmlns="http://schemas.openxmlformats.org/officeDocument/2006/custom-properties" xmlns:vt="http://schemas.openxmlformats.org/officeDocument/2006/docPropsVTypes"/>
</file>