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Publication Map Captions and Interpretations</w:t>
      </w:r>
    </w:p>
    <w:p>
      <w:pPr>
        <w:pStyle w:val="MdParagraph"/>
      </w:pPr>
      <w:r>
        <w:rPr>
          <w:rStyle w:val="MdStrong"/>
          <w:b/>
          <w:bCs/>
        </w:rPr>
        <w:t xml:space="preserve">Dataset note.</w:t>
      </w:r>
      <w:r>
        <w:t xml:space="preserve"> The maps use the Stage 5 source-embedded GIS dataset. Of the 50 high-funded ICO projects in the corpus, 47 have verified mappable coordinates and 3 remain unmapped because both country and city were coded as not verified. Fundraising totals across the full corpus equal $23,345,070,000; proportional-symbol maps use only verified locations.</w:t>
      </w:r>
    </w:p>
    <w:p>
      <w:pPr>
        <w:pStyle w:val="MdSpace"/>
        <w:spacing w:before="0" w:after="60"/>
      </w:pPr>
    </w:p>
    <w:p>
      <w:pPr>
        <w:pStyle w:val="Heading2"/>
        <w:pStyle w:val="MdHeading2"/>
      </w:pPr>
      <w:r>
        <w:t xml:space="preserve">Figure 1. Global Distribution of High-Funded ICO Projects</w:t>
      </w:r>
    </w:p>
    <w:p>
      <w:pPr>
        <w:pStyle w:val="MdParagraph"/>
      </w:pPr>
      <w:r>
        <w:rPr>
          <w:rStyle w:val="MdStrong"/>
          <w:b/>
          <w:bCs/>
        </w:rPr>
        <w:t xml:space="preserve">Caption.</w:t>
      </w:r>
      <w:r>
        <w:t xml:space="preserve"> Global distribution of verified high-funded ICO project locations in the Top 50 CryptoRank fundraising corpus. Each point represents one verified project location, plotted from WGS84 decimal-degree coordinates. Labels are shown for selected cities with repeated project activity or high fundraising salience.</w:t>
      </w:r>
    </w:p>
    <w:p>
      <w:pPr>
        <w:pStyle w:val="MdSpace"/>
        <w:spacing w:before="0" w:after="60"/>
      </w:pPr>
    </w:p>
    <w:p>
      <w:pPr>
        <w:pStyle w:val="MdParagraph"/>
      </w:pPr>
      <w:r>
        <w:rPr>
          <w:rStyle w:val="MdStrong"/>
          <w:b/>
          <w:bCs/>
        </w:rPr>
        <w:t xml:space="preserve">Interpretation.</w:t>
      </w:r>
      <w:r>
        <w:t xml:space="preserve"> Figure 1 shows that high-funded ICO entrepreneurship is spatially concentrated rather than evenly distributed across the world economy. The densest pattern appears in North America and Europe, with repeated activity in United States cities, Canadian locations, and Swiss blockchain centers such as Zug and Bern. Asian locations, including Taipei, Singapore, Hong Kong, Jakarta, Bangkok, Phuket, and Tel Aviv, indicate a secondary but geographically extensive corridor across East, Southeast, and West Asia. The Caribbean and offshore jurisdictions also appear as important legal or organizational locations, particularly Antigua and Barbuda, the Cayman Islands, Puerto Rico, and Barbados. Africa and South America are absent from verified locations in this top-funded cohort, suggesting that the largest ICO fundraising events were disproportionately tied to North American, European, Asian, and selected offshore financial geographies.</w:t>
      </w:r>
    </w:p>
    <w:p>
      <w:pPr>
        <w:pStyle w:val="MdSpace"/>
        <w:spacing w:before="0" w:after="60"/>
      </w:pPr>
    </w:p>
    <w:p>
      <w:pPr>
        <w:pStyle w:val="Heading2"/>
        <w:pStyle w:val="MdHeading2"/>
      </w:pPr>
      <w:r>
        <w:t xml:space="preserve">Figure 2. Global Fundraising Concentration Map</w:t>
      </w:r>
    </w:p>
    <w:p>
      <w:pPr>
        <w:pStyle w:val="MdParagraph"/>
      </w:pPr>
      <w:r>
        <w:rPr>
          <w:rStyle w:val="MdStrong"/>
          <w:b/>
          <w:bCs/>
        </w:rPr>
        <w:t xml:space="preserve">Caption.</w:t>
      </w:r>
      <w:r>
        <w:t xml:space="preserve"> Proportional-symbol map of total ICO funds raised at verified city-country locations. Bubble size represents the sum of project-level fundraising assigned to each verified location, while overlapping or co-located projects are aggregated at the city level.</w:t>
      </w:r>
    </w:p>
    <w:p>
      <w:pPr>
        <w:pStyle w:val="MdSpace"/>
        <w:spacing w:before="0" w:after="60"/>
      </w:pPr>
    </w:p>
    <w:p>
      <w:pPr>
        <w:pStyle w:val="MdParagraph"/>
      </w:pPr>
      <w:r>
        <w:rPr>
          <w:rStyle w:val="MdStrong"/>
          <w:b/>
          <w:bCs/>
        </w:rPr>
        <w:t xml:space="preserve">Interpretation.</w:t>
      </w:r>
      <w:r>
        <w:t xml:space="preserve"> Figure 2 demonstrates that the financial geography of high-funded ICOs is even more concentrated than the distribution of project counts alone. Calgary dominates the map because Vaulta/EOS accounts for the largest single fundraising total in the dataset, while Saint John’s, Solana Beach, Taipei, Vancouver, Wilmington, Zug, New York, and San Francisco form a second tier of major fundraising locations. The proportional-symbol pattern highlights how a small number of cities and legal domiciles capture a large share of the capital represented in the top-funded ICO cohort. Europe’s role is anchored strongly by Switzerland, especially Zug, whereas North America combines both large single-project locations and multi-project urban clusters. The map therefore reveals a dual geography: operational technology hubs and legal-financial jurisdictions both shape where blockchain fundraising is recorded.</w:t>
      </w:r>
    </w:p>
    <w:p>
      <w:pPr>
        <w:pStyle w:val="MdSpace"/>
        <w:spacing w:before="0" w:after="60"/>
      </w:pPr>
    </w:p>
    <w:p>
      <w:pPr>
        <w:pStyle w:val="Heading2"/>
        <w:pStyle w:val="MdHeading2"/>
      </w:pPr>
      <w:r>
        <w:t xml:space="preserve">Figure 3. Leading Blockchain Fundraising Hubs</w:t>
      </w:r>
    </w:p>
    <w:p>
      <w:pPr>
        <w:pStyle w:val="MdParagraph"/>
      </w:pPr>
      <w:r>
        <w:rPr>
          <w:rStyle w:val="MdStrong"/>
          <w:b/>
          <w:bCs/>
        </w:rPr>
        <w:t xml:space="preserve">Caption.</w:t>
      </w:r>
      <w:r>
        <w:t xml:space="preserve"> Leading blockchain fundraising hubs ranked by total verified city-level ICO fundraising. The figure displays the top 10 city-country hubs, with rank labels corresponding to descending total funds raised.</w:t>
      </w:r>
    </w:p>
    <w:p>
      <w:pPr>
        <w:pStyle w:val="MdSpace"/>
        <w:spacing w:before="0" w:after="60"/>
      </w:pPr>
    </w:p>
    <w:p>
      <w:pPr>
        <w:pStyle w:val="MdParagraph"/>
      </w:pPr>
      <w:r>
        <w:rPr>
          <w:rStyle w:val="MdStrong"/>
          <w:b/>
          <w:bCs/>
        </w:rPr>
        <w:t xml:space="preserve">Interpretation.</w:t>
      </w:r>
      <w:r>
        <w:t xml:space="preserve"> Figure 3 isolates the leading urban hubs and shows that top-ranked fundraising is not simply a function of having many projects. Calgary and Saint John’s rank first and second because each is associated with a very large project, while Zug, New York, San Francisco, Vancouver, and Wilmington combine substantial totals with repeated or institutionally significant project activity. The United States supplies several leading hubs, but Switzerland’s Zug remains a major European concentration, reflecting the broader role of Swiss crypto foundations and legal infrastructure. The inclusion of Taipei further demonstrates that Asia’s contribution is significant even within a top-10 hierarchy dominated by North American and European nodes. Overall, the leading-hub map emphasizes the uneven urban hierarchy of blockchain fundraising and the importance of both technology ecosystems and legal headquarters choices.</w:t>
      </w:r>
    </w:p>
    <w:p>
      <w:pPr>
        <w:pStyle w:val="MdSpace"/>
        <w:spacing w:before="0" w:after="60"/>
      </w:pPr>
    </w:p>
    <w:p>
      <w:pPr>
        <w:pStyle w:val="Heading2"/>
        <w:pStyle w:val="MdHeading2"/>
      </w:pPr>
      <w:r>
        <w:t xml:space="preserve">Output Files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Figure</w:t>
            </w:r>
          </w:p>
        </w:tc>
        <w:tc>
          <w:tcPr>
            <w:tcBorders>
              <w:right w:val="none"/>
            </w:tcBorders>
            <w:tcMar>
              <w:top w:type="dxa" w:w="100"/>
              <w:left w:type="dxa" w:w="120"/>
              <w:bottom w:type="dxa" w:w="100"/>
              <w:right w:type="dxa" w:w="120"/>
            </w:tcMar>
            <w:vAlign w:val="center"/>
          </w:tcPr>
          <w:p>
            <w:pPr>
              <w:pStyle w:val="MdTableHeader"/>
            </w:pPr>
            <w:r>
              <w:t xml:space="preserve">File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Figure 1</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/home/ubuntu/ico_publication_maps/figure1_global_distribution_ico_projects.png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Figure 2</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/home/ubuntu/ico_publication_maps/figure2_global_fundraising_concentration_bubble_map.png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Figure 3</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/home/ubuntu/ico_publication_maps/figure3_leading_blockchain_fundraising_hubs.png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2026-06-11T04:19:23.055Z</dcterms:created>
  <dcterms:modified xsi:type="dcterms:W3CDTF">2026-06-11T04:19:23.055Z</dcterms:modified>
</cp:coreProperties>
</file>

<file path=docProps/custom.xml><?xml version="1.0" encoding="utf-8"?>
<Properties xmlns="http://schemas.openxmlformats.org/officeDocument/2006/custom-properties" xmlns:vt="http://schemas.openxmlformats.org/officeDocument/2006/docPropsVTypes"/>
</file>