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про роботу відділу</w:t>
      </w:r>
    </w:p>
    <w:p>
      <w:r>
        <w:rPr>
          <w:i/>
          <w:color w:val="5F6368"/>
        </w:rPr>
        <w:t>Підсумки третього кварталу 2026 року</w:t>
      </w:r>
    </w:p>
    <w:p>
      <w:r>
        <w:t xml:space="preserve">У третьому кварталі відділ виконав </w:t>
      </w:r>
      <w:r>
        <w:rPr>
          <w:b/>
        </w:rPr>
        <w:t>усі ключові плани</w:t>
      </w:r>
      <w:r>
        <w:t xml:space="preserve"> і запустив два нові проєкти. Нижче — основні цифри та висновки.</w:t>
      </w:r>
    </w:p>
    <w:p>
      <w:pPr>
        <w:pStyle w:val="ListBullet"/>
      </w:pPr>
      <w:r>
        <w:t>Запустили мобільний застосунок для клієнтів</w:t>
      </w:r>
    </w:p>
    <w:p>
      <w:pPr>
        <w:pStyle w:val="ListBullet"/>
      </w:pPr>
      <w:r>
        <w:t>Скоротили час відповіді підтримки до 2 годин</w:t>
      </w:r>
    </w:p>
    <w:p>
      <w:pPr>
        <w:pStyle w:val="ListBullet"/>
      </w:pPr>
      <w:r>
        <w:t>Провели навчання для 40 працівників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Показник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Клієнти</w:t>
            </w:r>
          </w:p>
        </w:tc>
        <w:tc>
          <w:tcPr>
            <w:tcW w:type="dxa" w:w="2880"/>
          </w:tcPr>
          <w:p>
            <w:r>
              <w:t>12 400</w:t>
            </w:r>
          </w:p>
        </w:tc>
        <w:tc>
          <w:tcPr>
            <w:tcW w:type="dxa" w:w="2880"/>
          </w:tcPr>
          <w:p>
            <w:r>
              <w:t>15 900</w:t>
            </w:r>
          </w:p>
        </w:tc>
      </w:tr>
      <w:tr>
        <w:tc>
          <w:tcPr>
            <w:tcW w:type="dxa" w:w="2880"/>
          </w:tcPr>
          <w:p>
            <w:r>
              <w:t>Звернення</w:t>
            </w:r>
          </w:p>
        </w:tc>
        <w:tc>
          <w:tcPr>
            <w:tcW w:type="dxa" w:w="2880"/>
          </w:tcPr>
          <w:p>
            <w:r>
              <w:t>3 100</w:t>
            </w:r>
          </w:p>
        </w:tc>
        <w:tc>
          <w:tcPr>
            <w:tcW w:type="dxa" w:w="2880"/>
          </w:tcPr>
          <w:p>
            <w:r>
              <w:t>2 450</w:t>
            </w:r>
          </w:p>
        </w:tc>
      </w:tr>
      <w:tr>
        <w:tc>
          <w:tcPr>
            <w:tcW w:type="dxa" w:w="2880"/>
          </w:tcPr>
          <w:p>
            <w:r>
              <w:t>Оцінка</w:t>
            </w:r>
          </w:p>
        </w:tc>
        <w:tc>
          <w:tcPr>
            <w:tcW w:type="dxa" w:w="2880"/>
          </w:tcPr>
          <w:p>
            <w:r>
              <w:t>4,5</w:t>
            </w:r>
          </w:p>
        </w:tc>
        <w:tc>
          <w:tcPr>
            <w:tcW w:type="dxa" w:w="2880"/>
          </w:tcPr>
          <w:p>
            <w:r>
              <w:t>4,8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nta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Висновки</w:t>
      </w:r>
    </w:p>
    <w:p>
      <w:r>
        <w:t>Динаміка позитивна: кількість клієнтів зросла на 28 %, а звернень до підтримки стало менше.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роботу відділу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