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Calibri"/>
          <w:b/>
          <w:color w:val="2E74B5"/>
          <w:sz w:val="18"/>
        </w:rPr>
        <w:t>MODEL AUDIT | PRIORITIZED ACTIONS</w:t>
      </w:r>
    </w:p>
    <w:p>
      <w:pPr>
        <w:pStyle w:val="AuditTitle"/>
      </w:pPr>
      <w:r>
        <w:t>MLB Model V2 Priority Recommendations</w:t>
      </w:r>
    </w:p>
    <w:p>
      <w:pPr>
        <w:pStyle w:val="AuditSubtitle"/>
      </w:pPr>
      <w:r>
        <w:t>Audit Subtitle: Implementation follow-up | Updated August 19, 2026</w:t>
      </w:r>
    </w:p>
    <w:p>
      <w:pPr>
        <w:spacing w:after="200"/>
      </w:pPr>
      <w:r>
        <w:t>Purpose: Turn the audit into copy-ready implementation notes</w:t>
        <w:br/>
        <w:t>Scope: Moneyline model, data pipeline, automation, bankroll tracking, and props</w:t>
        <w:br/>
        <w:t>Change status: Recommendations retained as the baseline; implementation results appended</w:t>
      </w:r>
    </w:p>
    <w:p>
      <w:pPr>
        <w:spacing w:before="40" w:after="200" w:line="300" w:lineRule="auto"/>
        <w:ind w:left="173" w:right="115"/>
        <w:shd w:fill="F4F6F9" w:val="clear"/>
        <w:pBdr>
          <w:left w:val="single" w:sz="20" w:space="8" w:color="2E74B5"/>
        </w:pBdr>
      </w:pPr>
      <w:r>
        <w:t>Original audit bottom line (superseded by the implementation update at the end): The project was a strong modeling prototype, but was not yet a decision-grade betting system.</w:t>
      </w:r>
    </w:p>
    <w:p>
      <w:pPr>
        <w:pStyle w:val="Heading1"/>
      </w:pPr>
      <w:r>
        <w:t>Current assessment</w:t>
      </w:r>
    </w:p>
    <w:p>
      <w:pPr>
        <w:pStyle w:val="Caption"/>
      </w:pPr>
      <w:r>
        <w:t>Assessment against the goal of a reliable, executable, and evidence-backed MLB betting system.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color="C8D0DA"/>
          <w:left w:val="single" w:sz="4" w:color="C8D0DA"/>
          <w:bottom w:val="single" w:sz="4" w:color="C8D0DA"/>
          <w:right w:val="single" w:sz="4" w:color="C8D0DA"/>
          <w:insideH w:val="single" w:sz="4" w:color="C8D0DA"/>
          <w:insideV w:val="single" w:sz="4" w:color="C8D0DA"/>
        </w:tblBorders>
      </w:tblPr>
      <w:tblGrid>
        <w:gridCol w:w="3168"/>
        <w:gridCol w:w="1008"/>
        <w:gridCol w:w="5184"/>
      </w:tblGrid>
      <w:tr>
        <w:trPr>
          <w:tblHeader w:val="true"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Score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Interpretation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color w:val="1F2933"/>
                <w:sz w:val="18"/>
              </w:rPr>
              <w:t>Data collection and structure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1F2933"/>
                <w:sz w:val="18"/>
              </w:rPr>
              <w:t>8/10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color w:val="1F2933"/>
                <w:sz w:val="18"/>
              </w:rPr>
              <w:t>Broad, healthy, and internally consistent raw data.</w:t>
            </w:r>
          </w:p>
        </w:tc>
      </w:tr>
      <w:tr>
        <w:tc>
          <w:tcPr>
            <w:tcW w:type="dxa" w:w="3168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color w:val="1F2933"/>
                <w:sz w:val="18"/>
              </w:rPr>
              <w:t>Moneyline predictive signal</w:t>
            </w:r>
          </w:p>
        </w:tc>
        <w:tc>
          <w:tcPr>
            <w:tcW w:type="dxa" w:w="1008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1F2933"/>
                <w:sz w:val="18"/>
              </w:rPr>
              <w:t>6/10</w:t>
            </w:r>
          </w:p>
        </w:tc>
        <w:tc>
          <w:tcPr>
            <w:tcW w:type="dxa" w:w="5184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color w:val="1F2933"/>
                <w:sz w:val="18"/>
              </w:rPr>
              <w:t>Real signal is present, but 2026 performance has weakened.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color w:val="1F2933"/>
                <w:sz w:val="18"/>
              </w:rPr>
              <w:t>Operational reliability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>4/10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color w:val="1F2933"/>
                <w:sz w:val="18"/>
              </w:rPr>
              <w:t>Scheduled execution and failure handling can miss or mis-log decisions.</w:t>
            </w:r>
          </w:p>
        </w:tc>
      </w:tr>
      <w:tr>
        <w:tc>
          <w:tcPr>
            <w:tcW w:type="dxa" w:w="3168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color w:val="1F2933"/>
                <w:sz w:val="18"/>
              </w:rPr>
              <w:t>Profitability evidence</w:t>
            </w:r>
          </w:p>
        </w:tc>
        <w:tc>
          <w:tcPr>
            <w:tcW w:type="dxa" w:w="1008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>2/10</w:t>
            </w:r>
          </w:p>
        </w:tc>
        <w:tc>
          <w:tcPr>
            <w:tcW w:type="dxa" w:w="5184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color w:val="1F2933"/>
                <w:sz w:val="18"/>
              </w:rPr>
              <w:t>Current ROI evidence is too small and partly invalidated by price assumptions.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color w:val="1F2933"/>
                <w:sz w:val="18"/>
              </w:rPr>
              <w:t>Props research quality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1F2933"/>
                <w:sz w:val="18"/>
              </w:rPr>
              <w:t>6/10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color w:val="1F2933"/>
                <w:sz w:val="18"/>
              </w:rPr>
              <w:t>Models beat simple rolling baselines in offline tests.</w:t>
            </w:r>
          </w:p>
        </w:tc>
      </w:tr>
      <w:tr>
        <w:tc>
          <w:tcPr>
            <w:tcW w:type="dxa" w:w="3168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color w:val="1F2933"/>
                <w:sz w:val="18"/>
              </w:rPr>
              <w:t>Props deployment readiness</w:t>
            </w:r>
          </w:p>
        </w:tc>
        <w:tc>
          <w:tcPr>
            <w:tcW w:type="dxa" w:w="1008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>1/10</w:t>
            </w:r>
          </w:p>
        </w:tc>
        <w:tc>
          <w:tcPr>
            <w:tcW w:type="dxa" w:w="5184"/>
            <w:shd w:fill="FAFBFC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Calibri"/>
                <w:b w:val="0"/>
                <w:color w:val="1F2933"/>
                <w:sz w:val="18"/>
              </w:rPr>
              <w:t>No complete daily scoring, pricing, settlement, or bankroll workflow.</w:t>
            </w:r>
          </w:p>
        </w:tc>
      </w:tr>
    </w:tbl>
    <w:p>
      <w:pPr>
        <w:pStyle w:val="Heading1"/>
      </w:pPr>
      <w:r>
        <w:t>Recommended order of work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1F2933"/>
        </w:rPr>
        <w:t>Make historical features immutable and rebuild the evaluation without lookahead.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1F2933"/>
        </w:rPr>
        <w:t>Backtest the actual production betting strategy using captured sportsbook prices.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1F2933"/>
        </w:rPr>
        <w:t>Harden scheduling, failure handling, and freshness gates so every decision is reproducible.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1F2933"/>
        </w:rPr>
        <w:t>Refresh and version the production model using rolling-origin validation and time-aware calibration.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color w:val="1F2933"/>
        </w:rPr>
        <w:t>Complete bankroll controls, the decision audit trail, and the props production pipeline before scaling stake or scope.</w:t>
      </w:r>
    </w:p>
    <w:p>
      <w:pPr>
        <w:pStyle w:val="Heading1"/>
      </w:pPr>
      <w:r>
        <w:t>Priority 0 - fix before trusting ROI</w:t>
      </w:r>
    </w:p>
    <w:p>
      <w:pPr>
        <w:spacing w:after="160"/>
      </w:pPr>
      <w:r>
        <w:t>These items directly affect whether historical results and live betting records can be trusted. Complete them before using ROI to justify larger stakes or claiming the strategy is validated.</w:t>
      </w:r>
    </w:p>
    <w:p>
      <w:pPr>
        <w:pStyle w:val="Heading2"/>
        <w:pageBreakBefore w:val="0"/>
      </w:pPr>
      <w:r>
        <w:rPr>
          <w:rFonts w:ascii="Calibri" w:hAnsi="Calibri" w:eastAsia="Calibri"/>
          <w:b/>
          <w:color w:val="9B1C1C"/>
          <w:sz w:val="26"/>
        </w:rPr>
        <w:t xml:space="preserve">[P0] </w:t>
      </w:r>
      <w:r>
        <w:rPr>
          <w:rFonts w:ascii="Calibri" w:hAnsi="Calibri" w:eastAsia="Calibri"/>
          <w:b/>
          <w:color w:val="1F4D78"/>
          <w:sz w:val="26"/>
        </w:rPr>
        <w:t>Remove temporal leakage from park and umpire features</w:t>
      </w:r>
    </w:p>
    <w:p>
      <w:pPr>
        <w:spacing w:before="40" w:after="160" w:line="300" w:lineRule="auto"/>
        <w:ind w:left="173" w:right="115"/>
        <w:shd w:fill="F4F6F9" w:val="clear"/>
        <w:pBdr>
          <w:left w:val="single" w:sz="20" w:space="8" w:color="9B1C1C"/>
        </w:pBdr>
      </w:pPr>
      <w:r>
        <w:rPr>
          <w:rFonts w:ascii="Calibri" w:hAnsi="Calibri" w:eastAsia="Calibri"/>
          <w:b/>
          <w:color w:val="9B1C1C"/>
        </w:rPr>
        <w:t xml:space="preserve">Copy-ready recommendation: </w:t>
      </w:r>
      <w:r>
        <w:rPr>
          <w:rFonts w:ascii="Calibri" w:hAnsi="Calibri" w:eastAsia="Calibri"/>
          <w:color w:val="1F2933"/>
        </w:rPr>
        <w:t>Replace same-season full-year park and umpire factors with prior-year or expanding as-of-game calculations. Add a future-mutation invariance test and persist versioned feature snapshots with an explicit data cutoff.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Why this matters: </w:t>
      </w:r>
      <w:r>
        <w:rPr>
          <w:rFonts w:ascii="Calibri" w:hAnsi="Calibri" w:eastAsia="Calibri"/>
          <w:color w:val="1F2933"/>
        </w:rPr>
        <w:t>A historical row must contain only information available before that game. If future games can change an earlier feature, reported out-of-sample performance is optimistic and cannot be reproduced later.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Evidence from the review: </w:t>
      </w:r>
      <w:r>
        <w:rPr>
          <w:rFonts w:ascii="Calibri" w:hAnsi="Calibri" w:eastAsia="Calibri"/>
          <w:color w:val="1F2933"/>
        </w:rPr>
        <w:t>Park factors are calculated from the completed season and joined back to games in that same season. Umpire tendencies use outcomes from 2021-2026 and are applied to earlier games; umpire_run_factor was the second-most important feature. The frozen 2024 AUC changed from 0.5849 on July 23 to 0.5859 on July 31 as later data arrived.</w:t>
      </w:r>
    </w:p>
    <w:p>
      <w:pPr>
        <w:keepNext/>
        <w:spacing w:before="40" w:after="60"/>
      </w:pPr>
      <w:r>
        <w:rPr>
          <w:rFonts w:ascii="Calibri" w:hAnsi="Calibri" w:eastAsia="Calibri"/>
          <w:b/>
          <w:color w:val="1F5D42"/>
        </w:rPr>
        <w:t>Done when: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For each game, park and umpire values use only prior seasons or observations dated before first pitch.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Sparse umpire samples are regressed toward league average with a documented minimum-sample rule.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Adding future games to the raw data does not change any already-built historical feature row.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Every model artifact records its feature snapshot, source cutoff, and build timestamp.</w:t>
      </w:r>
    </w:p>
    <w:p>
      <w:pPr>
        <w:spacing w:before="20" w:after="140"/>
        <w:ind w:left="173"/>
      </w:pPr>
      <w:r>
        <w:rPr>
          <w:rFonts w:ascii="Calibri" w:hAnsi="Calibri" w:eastAsia="Calibri"/>
          <w:b/>
          <w:color w:val="5B6573"/>
          <w:sz w:val="18"/>
        </w:rPr>
        <w:t xml:space="preserve">Files: </w:t>
      </w:r>
      <w:r>
        <w:rPr>
          <w:rFonts w:ascii="Consolas" w:hAnsi="Consolas" w:eastAsia="Consolas"/>
          <w:color w:val="5B6573"/>
          <w:sz w:val="17"/>
        </w:rPr>
        <w:t>R/06_collect_park_factors.R:59-70; R/07_collect_umpires.R:67-75; features/builder.py:451</w:t>
      </w:r>
    </w:p>
    <w:p>
      <w:pPr>
        <w:pStyle w:val="Heading2"/>
        <w:pageBreakBefore w:val="0"/>
      </w:pPr>
      <w:r>
        <w:rPr>
          <w:rFonts w:ascii="Calibri" w:hAnsi="Calibri" w:eastAsia="Calibri"/>
          <w:b/>
          <w:color w:val="9B1C1C"/>
          <w:sz w:val="26"/>
        </w:rPr>
        <w:t xml:space="preserve">[P0] </w:t>
      </w:r>
      <w:r>
        <w:rPr>
          <w:rFonts w:ascii="Calibri" w:hAnsi="Calibri" w:eastAsia="Calibri"/>
          <w:b/>
          <w:color w:val="1F4D78"/>
          <w:sz w:val="26"/>
        </w:rPr>
        <w:t>Rebuild profitability testing with real sportsbook prices</w:t>
      </w:r>
    </w:p>
    <w:p>
      <w:pPr>
        <w:spacing w:before="40" w:after="160" w:line="300" w:lineRule="auto"/>
        <w:ind w:left="173" w:right="115"/>
        <w:shd w:fill="F4F6F9" w:val="clear"/>
        <w:pBdr>
          <w:left w:val="single" w:sz="20" w:space="8" w:color="9B1C1C"/>
        </w:pBdr>
      </w:pPr>
      <w:r>
        <w:rPr>
          <w:rFonts w:ascii="Calibri" w:hAnsi="Calibri" w:eastAsia="Calibri"/>
          <w:b/>
          <w:color w:val="9B1C1C"/>
        </w:rPr>
        <w:t xml:space="preserve">Copy-ready recommendation: </w:t>
      </w:r>
      <w:r>
        <w:rPr>
          <w:rFonts w:ascii="Calibri" w:hAnsi="Calibri" w:eastAsia="Calibri"/>
          <w:color w:val="1F2933"/>
        </w:rPr>
        <w:t>Backtest the production decision rule against actual captured home_ml_close and away_ml_close prices, including vig, bet caps, Kelly fraction, settlement rules, and bankroll state. Mark the strategy as unvalidated until a sufficient real-price sample exists.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Why this matters: </w:t>
      </w:r>
      <w:r>
        <w:rPr>
          <w:rFonts w:ascii="Calibri" w:hAnsi="Calibri" w:eastAsia="Calibri"/>
          <w:color w:val="1F2933"/>
        </w:rPr>
        <w:t>Predictive accuracy does not prove a bet is profitable. A valid strategy test must compare the model probability with a price that could actually have been bet and must reproduce the live staking rules.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Evidence from the review: </w:t>
      </w:r>
      <w:r>
        <w:rPr>
          <w:rFonts w:ascii="Calibri" w:hAnsi="Calibri" w:eastAsia="Calibri"/>
          <w:color w:val="1F2933"/>
        </w:rPr>
        <w:t>outputs/backtest_2024.json reports AUC, accuracy, and Brier score but has no 2024 odds. scripts/03_backtest.py converts a de-vigged fair probability back into payout odds, which removes the bookmaker margin and overstates expected ROI. The live ledger has only 15 settled bets: 8-7, +$116.35, +1.16% bankroll, and 2.31% ROI on settled stake; the simple bootstrap interval is approximately -50.8% to +56.5%.</w:t>
      </w:r>
    </w:p>
    <w:p>
      <w:pPr>
        <w:keepNext/>
        <w:spacing w:before="40" w:after="60"/>
      </w:pPr>
      <w:r>
        <w:rPr>
          <w:rFonts w:ascii="Calibri" w:hAnsi="Calibri" w:eastAsia="Calibri"/>
          <w:b/>
          <w:color w:val="1F5D42"/>
        </w:rPr>
        <w:t>Done when: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Each simulated wager stores the bookmaker, offered price, capture timestamp, decision timestamp, model probability, edge, stake, and result.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Backtest stake sizing and all caps exactly match production configuration.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Reporting includes ROI, yield, maximum drawdown, calibration, CLV, bet count, and uncertainty intervals.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The output carries strategy_validated=false until data quality and sample-size thresholds are explicitly met.</w:t>
      </w:r>
    </w:p>
    <w:p>
      <w:pPr>
        <w:spacing w:before="20" w:after="140"/>
        <w:ind w:left="173"/>
      </w:pPr>
      <w:r>
        <w:rPr>
          <w:rFonts w:ascii="Calibri" w:hAnsi="Calibri" w:eastAsia="Calibri"/>
          <w:b/>
          <w:color w:val="5B6573"/>
          <w:sz w:val="18"/>
        </w:rPr>
        <w:t xml:space="preserve">Files: </w:t>
      </w:r>
      <w:r>
        <w:rPr>
          <w:rFonts w:ascii="Consolas" w:hAnsi="Consolas" w:eastAsia="Consolas"/>
          <w:color w:val="5B6573"/>
          <w:sz w:val="17"/>
        </w:rPr>
        <w:t>outputs/backtest_2024.json; scripts/03_backtest.py:85-91; scripts/05_bankroll.py</w:t>
      </w:r>
    </w:p>
    <w:p>
      <w:pPr>
        <w:pStyle w:val="Heading2"/>
        <w:pageBreakBefore w:val="0"/>
      </w:pPr>
      <w:r>
        <w:rPr>
          <w:rFonts w:ascii="Calibri" w:hAnsi="Calibri" w:eastAsia="Calibri"/>
          <w:b/>
          <w:color w:val="9B1C1C"/>
          <w:sz w:val="26"/>
        </w:rPr>
        <w:t xml:space="preserve">[P0] </w:t>
      </w:r>
      <w:r>
        <w:rPr>
          <w:rFonts w:ascii="Calibri" w:hAnsi="Calibri" w:eastAsia="Calibri"/>
          <w:b/>
          <w:color w:val="1F4D78"/>
          <w:sz w:val="26"/>
        </w:rPr>
        <w:t>Align automation with each game's betting window</w:t>
      </w:r>
    </w:p>
    <w:p>
      <w:pPr>
        <w:spacing w:before="40" w:after="160" w:line="300" w:lineRule="auto"/>
        <w:ind w:left="173" w:right="115"/>
        <w:shd w:fill="F4F6F9" w:val="clear"/>
        <w:pBdr>
          <w:left w:val="single" w:sz="20" w:space="8" w:color="9B1C1C"/>
        </w:pBdr>
      </w:pPr>
      <w:r>
        <w:rPr>
          <w:rFonts w:ascii="Calibri" w:hAnsi="Calibri" w:eastAsia="Calibri"/>
          <w:b/>
          <w:color w:val="9B1C1C"/>
        </w:rPr>
        <w:t xml:space="preserve">Copy-ready recommendation: </w:t>
      </w:r>
      <w:r>
        <w:rPr>
          <w:rFonts w:ascii="Calibri" w:hAnsi="Calibri" w:eastAsia="Calibri"/>
          <w:color w:val="1F2933"/>
        </w:rPr>
        <w:t>Schedule prediction and price capture relative to each game's start time, process unstarted games immediately after a late launch, and add explicit monitoring for scheduler, freshness, and bet-logging success.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Why this matters: </w:t>
      </w:r>
      <w:r>
        <w:rPr>
          <w:rFonts w:ascii="Calibri" w:hAnsi="Calibri" w:eastAsia="Calibri"/>
          <w:color w:val="1F2933"/>
        </w:rPr>
        <w:t>A model can be statistically useful and still fail operationally if the job runs before lineups are known, skips the configured capture window, or never records a qualified wager.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Evidence from the review: </w:t>
      </w:r>
      <w:r>
        <w:rPr>
          <w:rFonts w:ascii="Calibri" w:hAnsi="Calibri" w:eastAsia="Calibri"/>
          <w:color w:val="1F2933"/>
        </w:rPr>
        <w:t>From July 28-31, closing-line capture launched around 4:22-5:42 PM instead of the intended 8:30 PM and followed the skip branch. Prediction files contained 14 flagged bets from July 28-30, but none were logged. On July 27, lineup fallback was about 92%. Task Scheduler returned code 1 even though parts of the pipeline completed.</w:t>
      </w:r>
    </w:p>
    <w:p>
      <w:pPr>
        <w:keepNext/>
        <w:spacing w:before="40" w:after="60"/>
      </w:pPr>
      <w:r>
        <w:rPr>
          <w:rFonts w:ascii="Calibri" w:hAnsi="Calibri" w:eastAsia="Calibri"/>
          <w:b/>
          <w:color w:val="1F5D42"/>
        </w:rPr>
        <w:t>Done when: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Daily orchestration reads the schedule and creates configurable pregame windows per game or start-time cluster.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A late launch processes every unstarted game still within an allowed window instead of skipping the whole slate.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Every flagged decision is either logged or assigned a durable reason code explaining why it was not bet.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A failed, late, stale, or partially completed task produces a visible alert and a non-success status.</w:t>
      </w:r>
    </w:p>
    <w:p>
      <w:pPr>
        <w:spacing w:before="20" w:after="140"/>
        <w:ind w:left="173"/>
      </w:pPr>
      <w:r>
        <w:rPr>
          <w:rFonts w:ascii="Calibri" w:hAnsi="Calibri" w:eastAsia="Calibri"/>
          <w:b/>
          <w:color w:val="5B6573"/>
          <w:sz w:val="18"/>
        </w:rPr>
        <w:t xml:space="preserve">Files: </w:t>
      </w:r>
      <w:r>
        <w:rPr>
          <w:rFonts w:ascii="Consolas" w:hAnsi="Consolas" w:eastAsia="Consolas"/>
          <w:color w:val="5B6573"/>
          <w:sz w:val="17"/>
        </w:rPr>
        <w:t>scripts/07_capture_closing_lines.py:252-259; scripts/06_runner.py; Windows Task Scheduler configuration</w:t>
      </w:r>
    </w:p>
    <w:p>
      <w:pPr>
        <w:pStyle w:val="Heading2"/>
        <w:pageBreakBefore w:val="0"/>
      </w:pPr>
      <w:r>
        <w:rPr>
          <w:rFonts w:ascii="Calibri" w:hAnsi="Calibri" w:eastAsia="Calibri"/>
          <w:b/>
          <w:color w:val="9B1C1C"/>
          <w:sz w:val="26"/>
        </w:rPr>
        <w:t xml:space="preserve">[P0] </w:t>
      </w:r>
      <w:r>
        <w:rPr>
          <w:rFonts w:ascii="Calibri" w:hAnsi="Calibri" w:eastAsia="Calibri"/>
          <w:b/>
          <w:color w:val="1F4D78"/>
          <w:sz w:val="26"/>
        </w:rPr>
        <w:t>Prevent stale predictions from flowing into bankroll logging</w:t>
      </w:r>
    </w:p>
    <w:p>
      <w:pPr>
        <w:spacing w:before="40" w:after="160" w:line="300" w:lineRule="auto"/>
        <w:ind w:left="173" w:right="115"/>
        <w:shd w:fill="F4F6F9" w:val="clear"/>
        <w:pBdr>
          <w:left w:val="single" w:sz="20" w:space="8" w:color="9B1C1C"/>
        </w:pBdr>
      </w:pPr>
      <w:r>
        <w:rPr>
          <w:rFonts w:ascii="Calibri" w:hAnsi="Calibri" w:eastAsia="Calibri"/>
          <w:b/>
          <w:color w:val="9B1C1C"/>
        </w:rPr>
        <w:t xml:space="preserve">Copy-ready recommendation: </w:t>
      </w:r>
      <w:r>
        <w:rPr>
          <w:rFonts w:ascii="Calibri" w:hAnsi="Calibri" w:eastAsia="Calibri"/>
          <w:color w:val="1F2933"/>
        </w:rPr>
        <w:t>Require the predictor to exit successfully, then validate that the prediction artifact is newly created, current for the requested slate, and schema-complete before any bankroll entry is written. Stop downstream processing on failure.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Why this matters: </w:t>
      </w:r>
      <w:r>
        <w:rPr>
          <w:rFonts w:ascii="Calibri" w:hAnsi="Calibri" w:eastAsia="Calibri"/>
          <w:color w:val="1F2933"/>
        </w:rPr>
        <w:t>The current control flow can continue after a predictor failure and consume an older output file. That can create a valid-looking ledger entry for a decision the current run never produced.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Evidence from the review: </w:t>
      </w:r>
      <w:r>
        <w:rPr>
          <w:rFonts w:ascii="Calibri" w:hAnsi="Calibri" w:eastAsia="Calibri"/>
          <w:color w:val="1F2933"/>
        </w:rPr>
        <w:t>scripts/07_capture_closing_lines.py invokes both the predictor and bankroll logger with check=False. There is no hard gate proving that the output belongs to the current run before logging begins.</w:t>
      </w:r>
    </w:p>
    <w:p>
      <w:pPr>
        <w:keepNext/>
        <w:spacing w:before="40" w:after="60"/>
      </w:pPr>
      <w:r>
        <w:rPr>
          <w:rFonts w:ascii="Calibri" w:hAnsi="Calibri" w:eastAsia="Calibri"/>
          <w:b/>
          <w:color w:val="1F5D42"/>
        </w:rPr>
        <w:t>Done when: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A non-zero predictor exit stops the workflow before bankroll logging.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The prediction file includes a run ID, slate date, model version, data cutoff, generated timestamp, and required schema version.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The logger rejects missing, stale, duplicated, or mismatched artifacts and records the rejection reason.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Writes are atomic so a partial prediction file cannot be consumed.</w:t>
      </w:r>
    </w:p>
    <w:p>
      <w:pPr>
        <w:spacing w:before="20" w:after="140"/>
        <w:ind w:left="173"/>
      </w:pPr>
      <w:r>
        <w:rPr>
          <w:rFonts w:ascii="Calibri" w:hAnsi="Calibri" w:eastAsia="Calibri"/>
          <w:b/>
          <w:color w:val="5B6573"/>
          <w:sz w:val="18"/>
        </w:rPr>
        <w:t xml:space="preserve">Files: </w:t>
      </w:r>
      <w:r>
        <w:rPr>
          <w:rFonts w:ascii="Consolas" w:hAnsi="Consolas" w:eastAsia="Consolas"/>
          <w:color w:val="5B6573"/>
          <w:sz w:val="17"/>
        </w:rPr>
        <w:t>scripts/07_capture_closing_lines.py:195-198; scripts/05_bankroll.py</w:t>
      </w:r>
    </w:p>
    <w:p>
      <w:pPr>
        <w:pStyle w:val="Heading1"/>
      </w:pPr>
      <w:r>
        <w:t>Priority 1 - fix before scaling</w:t>
      </w:r>
    </w:p>
    <w:p>
      <w:pPr>
        <w:spacing w:after="160"/>
      </w:pPr>
      <w:r>
        <w:t>These improvements address drift, reproducibility, risk, and the gap between research output and an operational betting product.</w:t>
      </w:r>
    </w:p>
    <w:p>
      <w:pPr>
        <w:pStyle w:val="Heading2"/>
        <w:pageBreakBefore w:val="0"/>
      </w:pPr>
      <w:r>
        <w:rPr>
          <w:rFonts w:ascii="Calibri" w:hAnsi="Calibri" w:eastAsia="Calibri"/>
          <w:b/>
          <w:color w:val="7A5A00"/>
          <w:sz w:val="26"/>
        </w:rPr>
        <w:t xml:space="preserve">[P1] </w:t>
      </w:r>
      <w:r>
        <w:rPr>
          <w:rFonts w:ascii="Calibri" w:hAnsi="Calibri" w:eastAsia="Calibri"/>
          <w:b/>
          <w:color w:val="1F4D78"/>
          <w:sz w:val="26"/>
        </w:rPr>
        <w:t>Separate the benchmark model from the current production fit</w:t>
      </w:r>
    </w:p>
    <w:p>
      <w:pPr>
        <w:spacing w:before="40" w:after="160" w:line="300" w:lineRule="auto"/>
        <w:ind w:left="173" w:right="115"/>
        <w:shd w:fill="F4F6F9" w:val="clear"/>
        <w:pBdr>
          <w:left w:val="single" w:sz="20" w:space="8" w:color="7A5A00"/>
        </w:pBdr>
      </w:pPr>
      <w:r>
        <w:rPr>
          <w:rFonts w:ascii="Calibri" w:hAnsi="Calibri" w:eastAsia="Calibri"/>
          <w:b/>
          <w:color w:val="7A5A00"/>
        </w:rPr>
        <w:t xml:space="preserve">Copy-ready recommendation: </w:t>
      </w:r>
      <w:r>
        <w:rPr>
          <w:rFonts w:ascii="Calibri" w:hAnsi="Calibri" w:eastAsia="Calibri"/>
          <w:color w:val="1F2933"/>
        </w:rPr>
        <w:t>Keep the frozen 2021-2023 benchmark for comparable evaluation, but create a separately versioned production model trained through the latest completed season. Select and calibrate it with rolling-origin validation.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Why this matters: </w:t>
      </w:r>
      <w:r>
        <w:rPr>
          <w:rFonts w:ascii="Calibri" w:hAnsi="Calibri" w:eastAsia="Calibri"/>
          <w:color w:val="1F2933"/>
        </w:rPr>
        <w:t>A stable benchmark is useful for research, but a 2026 production decision engine should not rely exclusively on a fit that stops in 2023 when player roles, parks, rules, and run environments have changed.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Evidence from the review: </w:t>
      </w:r>
      <w:r>
        <w:rPr>
          <w:rFonts w:ascii="Calibri" w:hAnsi="Calibri" w:eastAsia="Calibri"/>
          <w:color w:val="1F2933"/>
        </w:rPr>
        <w:t>config/config.py trains the deployed model only on 2021-2023. Out-of-sample AUC was 0.5859 in 2024, 0.5771 in 2025, and 0.5412 through July 31, 2026; Brier score weakened to 0.2488 in 2026.</w:t>
      </w:r>
    </w:p>
    <w:p>
      <w:pPr>
        <w:keepNext/>
        <w:spacing w:before="40" w:after="60"/>
      </w:pPr>
      <w:r>
        <w:rPr>
          <w:rFonts w:ascii="Calibri" w:hAnsi="Calibri" w:eastAsia="Calibri"/>
          <w:b/>
          <w:color w:val="1F5D42"/>
        </w:rPr>
        <w:t>Done when: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Benchmark and production artifacts have distinct names, purposes, and evaluation reports.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Production training includes data through the latest completed season, with the current season reserved for forward validation where practical.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Model selection and calibration use rolling-origin folds rather than a random split.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A manifest records features, hyperparameters, calibration method, training window, source cutoff, and dataset hash.</w:t>
      </w:r>
    </w:p>
    <w:p>
      <w:pPr>
        <w:spacing w:before="20" w:after="140"/>
        <w:ind w:left="173"/>
      </w:pPr>
      <w:r>
        <w:rPr>
          <w:rFonts w:ascii="Calibri" w:hAnsi="Calibri" w:eastAsia="Calibri"/>
          <w:b/>
          <w:color w:val="5B6573"/>
          <w:sz w:val="18"/>
        </w:rPr>
        <w:t xml:space="preserve">Files: </w:t>
      </w:r>
      <w:r>
        <w:rPr>
          <w:rFonts w:ascii="Consolas" w:hAnsi="Consolas" w:eastAsia="Consolas"/>
          <w:color w:val="5B6573"/>
          <w:sz w:val="17"/>
        </w:rPr>
        <w:t>config/config.py:32-35; scripts/02_train_model.py; outputs/backtest_2024.json</w:t>
      </w:r>
    </w:p>
    <w:p>
      <w:pPr>
        <w:pStyle w:val="Heading2"/>
        <w:pageBreakBefore w:val="0"/>
      </w:pPr>
      <w:r>
        <w:rPr>
          <w:rFonts w:ascii="Calibri" w:hAnsi="Calibri" w:eastAsia="Calibri"/>
          <w:b/>
          <w:color w:val="7A5A00"/>
          <w:sz w:val="26"/>
        </w:rPr>
        <w:t xml:space="preserve">[P1] </w:t>
      </w:r>
      <w:r>
        <w:rPr>
          <w:rFonts w:ascii="Calibri" w:hAnsi="Calibri" w:eastAsia="Calibri"/>
          <w:b/>
          <w:color w:val="1F4D78"/>
          <w:sz w:val="26"/>
        </w:rPr>
        <w:t>Make the collection and feature pipeline fail closed</w:t>
      </w:r>
    </w:p>
    <w:p>
      <w:pPr>
        <w:spacing w:before="40" w:after="160" w:line="300" w:lineRule="auto"/>
        <w:ind w:left="173" w:right="115"/>
        <w:shd w:fill="F4F6F9" w:val="clear"/>
        <w:pBdr>
          <w:left w:val="single" w:sz="20" w:space="8" w:color="7A5A00"/>
        </w:pBdr>
      </w:pPr>
      <w:r>
        <w:rPr>
          <w:rFonts w:ascii="Calibri" w:hAnsi="Calibri" w:eastAsia="Calibri"/>
          <w:b/>
          <w:color w:val="7A5A00"/>
        </w:rPr>
        <w:t xml:space="preserve">Copy-ready recommendation: </w:t>
      </w:r>
      <w:r>
        <w:rPr>
          <w:rFonts w:ascii="Calibri" w:hAnsi="Calibri" w:eastAsia="Calibri"/>
          <w:color w:val="1F2933"/>
        </w:rPr>
        <w:t>Treat collector or feature-stage errors as pipeline failures unless explicit freshness, row-count, key-uniqueness, and coverage gates pass. Return a non-zero exit code when any required stage is unhealthy.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Why this matters: </w:t>
      </w:r>
      <w:r>
        <w:rPr>
          <w:rFonts w:ascii="Calibri" w:hAnsi="Calibri" w:eastAsia="Calibri"/>
          <w:color w:val="1F2933"/>
        </w:rPr>
        <w:t>Continuing after a required stage fails makes partial output look successful. That weakens every downstream prediction and makes scheduled monitoring unreliable.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Evidence from the review: </w:t>
      </w:r>
      <w:r>
        <w:rPr>
          <w:rFonts w:ascii="Calibri" w:hAnsi="Calibri" w:eastAsia="Calibri"/>
          <w:color w:val="1F2933"/>
        </w:rPr>
        <w:t>R/00_run_all.R catches collector errors and can still exit successfully. scripts/06_runner.py continues after failures. The latest raw snapshot was healthy, but the current architecture does not guarantee that future scheduled runs will stop when it becomes unhealthy.</w:t>
      </w:r>
    </w:p>
    <w:p>
      <w:pPr>
        <w:keepNext/>
        <w:spacing w:before="40" w:after="60"/>
      </w:pPr>
      <w:r>
        <w:rPr>
          <w:rFonts w:ascii="Calibri" w:hAnsi="Calibri" w:eastAsia="Calibri"/>
          <w:b/>
          <w:color w:val="1F5D42"/>
        </w:rPr>
        <w:t>Done when: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Required collectors and feature stages have explicit success contracts and freshness thresholds.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Game keys, row counts, two-team-per-game structure, mappings, and required-field coverage are checked before model scoring.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Any failed gate stops dependent stages and returns a non-zero process status.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Optional sources are clearly labeled and have intentional fallback behavior rather than silent continuation.</w:t>
      </w:r>
    </w:p>
    <w:p>
      <w:pPr>
        <w:spacing w:before="20" w:after="140"/>
        <w:ind w:left="173"/>
      </w:pPr>
      <w:r>
        <w:rPr>
          <w:rFonts w:ascii="Calibri" w:hAnsi="Calibri" w:eastAsia="Calibri"/>
          <w:b/>
          <w:color w:val="5B6573"/>
          <w:sz w:val="18"/>
        </w:rPr>
        <w:t xml:space="preserve">Files: </w:t>
      </w:r>
      <w:r>
        <w:rPr>
          <w:rFonts w:ascii="Consolas" w:hAnsi="Consolas" w:eastAsia="Consolas"/>
          <w:color w:val="5B6573"/>
          <w:sz w:val="17"/>
        </w:rPr>
        <w:t>R/00_run_all.R:57-69; scripts/06_runner.py:121-124; scripts/00_smoke_test.py</w:t>
      </w:r>
    </w:p>
    <w:p>
      <w:pPr>
        <w:pStyle w:val="Heading2"/>
        <w:pageBreakBefore w:val="0"/>
      </w:pPr>
      <w:r>
        <w:rPr>
          <w:rFonts w:ascii="Calibri" w:hAnsi="Calibri" w:eastAsia="Calibri"/>
          <w:b/>
          <w:color w:val="7A5A00"/>
          <w:sz w:val="26"/>
        </w:rPr>
        <w:t xml:space="preserve">[P1] </w:t>
      </w:r>
      <w:r>
        <w:rPr>
          <w:rFonts w:ascii="Calibri" w:hAnsi="Calibri" w:eastAsia="Calibri"/>
          <w:b/>
          <w:color w:val="1F4D78"/>
          <w:sz w:val="26"/>
        </w:rPr>
        <w:t>Create an immutable betting decision audit trail</w:t>
      </w:r>
    </w:p>
    <w:p>
      <w:pPr>
        <w:spacing w:before="40" w:after="160" w:line="300" w:lineRule="auto"/>
        <w:ind w:left="173" w:right="115"/>
        <w:shd w:fill="F4F6F9" w:val="clear"/>
        <w:pBdr>
          <w:left w:val="single" w:sz="20" w:space="8" w:color="7A5A00"/>
        </w:pBdr>
      </w:pPr>
      <w:r>
        <w:rPr>
          <w:rFonts w:ascii="Calibri" w:hAnsi="Calibri" w:eastAsia="Calibri"/>
          <w:b/>
          <w:color w:val="7A5A00"/>
        </w:rPr>
        <w:t xml:space="preserve">Copy-ready recommendation: </w:t>
      </w:r>
      <w:r>
        <w:rPr>
          <w:rFonts w:ascii="Calibri" w:hAnsi="Calibri" w:eastAsia="Calibri"/>
          <w:color w:val="1F2933"/>
        </w:rPr>
        <w:t>Persist each decision as an immutable record keyed by game_pk and decision ID, including model probability, edge, offered price, bookmaker, timestamps, model/data versions, lineup and umpire availability, stake, status, and settlement history.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Why this matters: </w:t>
      </w:r>
      <w:r>
        <w:rPr>
          <w:rFonts w:ascii="Calibri" w:hAnsi="Calibri" w:eastAsia="Calibri"/>
          <w:color w:val="1F2933"/>
        </w:rPr>
        <w:t>A ledger should explain exactly what was known, what was offered, why a bet was or was not placed, and how it settled. Overwritten prediction files and incomplete identifiers make that reconstruction impossible.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Evidence from the review: </w:t>
      </w:r>
      <w:r>
        <w:rPr>
          <w:rFonts w:ascii="Calibri" w:hAnsi="Calibri" w:eastAsia="Calibri"/>
          <w:color w:val="1F2933"/>
        </w:rPr>
        <w:t>The current bankroll ledger omits game_pk, model probability, edge, bookmaker, decision timestamp, model/data version, and lineup/umpire availability. Prediction outputs are overwritten. Two postponed or unplayed matchups from July 10 and July 27 remain pending indefinitely.</w:t>
      </w:r>
    </w:p>
    <w:p>
      <w:pPr>
        <w:keepNext/>
        <w:spacing w:before="40" w:after="60"/>
      </w:pPr>
      <w:r>
        <w:rPr>
          <w:rFonts w:ascii="Calibri" w:hAnsi="Calibri" w:eastAsia="Calibri"/>
          <w:b/>
          <w:color w:val="1F5D42"/>
        </w:rPr>
        <w:t>Done when: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Every decision has game_pk, a unique decision ID, and an immutable snapshot of inputs and offered market price.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Statuses cover pending, won, lost, push, void, postponed, cancelled, rejected, and no-bet with timestamps.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Settlement reconciliation uses durable game identifiers and cannot silently duplicate or orphan a wager.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Historical predictions remain queryable after newer slates are generated.</w:t>
      </w:r>
    </w:p>
    <w:p>
      <w:pPr>
        <w:spacing w:before="20" w:after="140"/>
        <w:ind w:left="173"/>
      </w:pPr>
      <w:r>
        <w:rPr>
          <w:rFonts w:ascii="Calibri" w:hAnsi="Calibri" w:eastAsia="Calibri"/>
          <w:b/>
          <w:color w:val="5B6573"/>
          <w:sz w:val="18"/>
        </w:rPr>
        <w:t xml:space="preserve">Files: </w:t>
      </w:r>
      <w:r>
        <w:rPr>
          <w:rFonts w:ascii="Consolas" w:hAnsi="Consolas" w:eastAsia="Consolas"/>
          <w:color w:val="5B6573"/>
          <w:sz w:val="17"/>
        </w:rPr>
        <w:t>scripts/05_bankroll.py:31-34; outputs/predictions_*.csv; bankroll ledger files</w:t>
      </w:r>
    </w:p>
    <w:p>
      <w:pPr>
        <w:pStyle w:val="Heading2"/>
        <w:pageBreakBefore w:val="0"/>
      </w:pPr>
      <w:r>
        <w:rPr>
          <w:rFonts w:ascii="Calibri" w:hAnsi="Calibri" w:eastAsia="Calibri"/>
          <w:b/>
          <w:color w:val="7A5A00"/>
          <w:sz w:val="26"/>
        </w:rPr>
        <w:t xml:space="preserve">[P1] </w:t>
      </w:r>
      <w:r>
        <w:rPr>
          <w:rFonts w:ascii="Calibri" w:hAnsi="Calibri" w:eastAsia="Calibri"/>
          <w:b/>
          <w:color w:val="1F4D78"/>
          <w:sz w:val="26"/>
        </w:rPr>
        <w:t>Constrain bankroll exposure before increasing stake</w:t>
      </w:r>
    </w:p>
    <w:p>
      <w:pPr>
        <w:spacing w:before="40" w:after="160" w:line="300" w:lineRule="auto"/>
        <w:ind w:left="173" w:right="115"/>
        <w:shd w:fill="F4F6F9" w:val="clear"/>
        <w:pBdr>
          <w:left w:val="single" w:sz="20" w:space="8" w:color="7A5A00"/>
        </w:pBdr>
      </w:pPr>
      <w:r>
        <w:rPr>
          <w:rFonts w:ascii="Calibri" w:hAnsi="Calibri" w:eastAsia="Calibri"/>
          <w:b/>
          <w:color w:val="7A5A00"/>
        </w:rPr>
        <w:t xml:space="preserve">Copy-ready recommendation: </w:t>
      </w:r>
      <w:r>
        <w:rPr>
          <w:rFonts w:ascii="Calibri" w:hAnsi="Calibri" w:eastAsia="Calibri"/>
          <w:color w:val="1F2933"/>
        </w:rPr>
        <w:t>Reserve pending stakes, add explicit per-bet and daily exposure caps, use a conservative Kelly fraction, and compare against executable book-specific prices rather than a representative consensus line.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Why this matters: </w:t>
      </w:r>
      <w:r>
        <w:rPr>
          <w:rFonts w:ascii="Calibri" w:hAnsi="Calibri" w:eastAsia="Calibri"/>
          <w:color w:val="1F2933"/>
        </w:rPr>
        <w:t>Even a positive-edge model can experience long losing sequences. Exposure limits protect the bankroll while the sample is too small to estimate the true edge precisely.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Evidence from the review: </w:t>
      </w:r>
      <w:r>
        <w:rPr>
          <w:rFonts w:ascii="Calibri" w:hAnsi="Calibri" w:eastAsia="Calibri"/>
          <w:color w:val="1F2933"/>
        </w:rPr>
        <w:t>Daily exposure reached 15.9% and 16.3% of starting bankroll. Pending stakes are not reserved, there is no explicit maximum individual stake or daily exposure cap, and the current representative consensus price may not be available at a user's book.</w:t>
      </w:r>
    </w:p>
    <w:p>
      <w:pPr>
        <w:keepNext/>
        <w:spacing w:before="40" w:after="60"/>
      </w:pPr>
      <w:r>
        <w:rPr>
          <w:rFonts w:ascii="Calibri" w:hAnsi="Calibri" w:eastAsia="Calibri"/>
          <w:b/>
          <w:color w:val="1F5D42"/>
        </w:rPr>
        <w:t>Done when: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Available bankroll subtracts all pending stake before sizing a new wager.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Configuration defines and enforces a Kelly fraction, maximum stake per bet, maximum daily risk, and correlated-exposure policy.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Each decision uses a named sportsbook price that was available at the recorded timestamp.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Risk limits are stress-tested against drawdown simulations before production stake increases.</w:t>
      </w:r>
    </w:p>
    <w:p>
      <w:pPr>
        <w:spacing w:before="20" w:after="140"/>
        <w:ind w:left="173"/>
      </w:pPr>
      <w:r>
        <w:rPr>
          <w:rFonts w:ascii="Calibri" w:hAnsi="Calibri" w:eastAsia="Calibri"/>
          <w:b/>
          <w:color w:val="5B6573"/>
          <w:sz w:val="18"/>
        </w:rPr>
        <w:t xml:space="preserve">Files: </w:t>
      </w:r>
      <w:r>
        <w:rPr>
          <w:rFonts w:ascii="Consolas" w:hAnsi="Consolas" w:eastAsia="Consolas"/>
          <w:color w:val="5B6573"/>
          <w:sz w:val="17"/>
        </w:rPr>
        <w:t>scripts/04_predict_today.py; scripts/05_bankroll.py; config/config.py</w:t>
      </w:r>
    </w:p>
    <w:p>
      <w:pPr>
        <w:pStyle w:val="Heading2"/>
        <w:pageBreakBefore w:val="0"/>
      </w:pPr>
      <w:r>
        <w:rPr>
          <w:rFonts w:ascii="Calibri" w:hAnsi="Calibri" w:eastAsia="Calibri"/>
          <w:b/>
          <w:color w:val="7A5A00"/>
          <w:sz w:val="26"/>
        </w:rPr>
        <w:t xml:space="preserve">[P1] </w:t>
      </w:r>
      <w:r>
        <w:rPr>
          <w:rFonts w:ascii="Calibri" w:hAnsi="Calibri" w:eastAsia="Calibri"/>
          <w:b/>
          <w:color w:val="1F4D78"/>
          <w:sz w:val="26"/>
        </w:rPr>
        <w:t>Keep props labeled research-only until the end-to-end workflow exists</w:t>
      </w:r>
    </w:p>
    <w:p>
      <w:pPr>
        <w:spacing w:before="40" w:after="160" w:line="300" w:lineRule="auto"/>
        <w:ind w:left="173" w:right="115"/>
        <w:shd w:fill="F4F6F9" w:val="clear"/>
        <w:pBdr>
          <w:left w:val="single" w:sz="20" w:space="8" w:color="7A5A00"/>
        </w:pBdr>
      </w:pPr>
      <w:r>
        <w:rPr>
          <w:rFonts w:ascii="Calibri" w:hAnsi="Calibri" w:eastAsia="Calibri"/>
          <w:b/>
          <w:color w:val="7A5A00"/>
        </w:rPr>
        <w:t xml:space="preserve">Copy-ready recommendation: </w:t>
      </w:r>
      <w:r>
        <w:rPr>
          <w:rFonts w:ascii="Calibri" w:hAnsi="Calibri" w:eastAsia="Calibri"/>
          <w:color w:val="1F2933"/>
        </w:rPr>
        <w:t>Build a complete props path from current feature generation through probability calibration, sportsbook-line ingestion, push handling, backtesting, daily scoring, decision logging, settlement, and bankroll integration. Until then, label props outputs as research-only.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Why this matters: </w:t>
      </w:r>
      <w:r>
        <w:rPr>
          <w:rFonts w:ascii="Calibri" w:hAnsi="Calibri" w:eastAsia="Calibri"/>
          <w:color w:val="1F2933"/>
        </w:rPr>
        <w:t>Lower RMSE than a baseline is encouraging, but it does not show that a threshold bet beats a sportsbook price after vig or that the workflow can place and settle that bet correctly.</w:t>
      </w:r>
    </w:p>
    <w:p>
      <w:pPr>
        <w:spacing w:after="100" w:line="300" w:lineRule="auto"/>
      </w:pPr>
      <w:r>
        <w:rPr>
          <w:rFonts w:ascii="Calibri" w:hAnsi="Calibri" w:eastAsia="Calibri"/>
          <w:b/>
          <w:color w:val="1F4D78"/>
        </w:rPr>
        <w:t xml:space="preserve">Evidence from the review: </w:t>
      </w:r>
      <w:r>
        <w:rPr>
          <w:rFonts w:ascii="Calibri" w:hAnsi="Calibri" w:eastAsia="Calibri"/>
          <w:color w:val="1F2933"/>
        </w:rPr>
        <w:t>Batter and pitcher props models beat rolling baselines across 2024-2026 by roughly 1-3% and 4-6% RMSE, respectively. However, there is no complete daily props scoring, odds collection, push treatment, calibrated bet probability, wagering backtest, or bankroll integration; props matrices were stale on July 24 while raw data extended to July 31.</w:t>
      </w:r>
    </w:p>
    <w:p>
      <w:pPr>
        <w:keepNext/>
        <w:spacing w:before="40" w:after="60"/>
      </w:pPr>
      <w:r>
        <w:rPr>
          <w:rFonts w:ascii="Calibri" w:hAnsi="Calibri" w:eastAsia="Calibri"/>
          <w:b/>
          <w:color w:val="1F5D42"/>
        </w:rPr>
        <w:t>Done when: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Props feature matrices refresh through the current raw-data cutoff and pass the same as-of-time tests as moneyline features.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The model produces a calibrated probability for each sportsbook threshold, not only a point estimate.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Backtests use actual prop prices, book-specific grading rules, pushes, voids, limits, and settlement.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Daily prop decisions and results use the same immutable audit and bankroll controls as moneyline wagers.</w:t>
      </w:r>
    </w:p>
    <w:p>
      <w:pPr>
        <w:spacing w:before="20" w:after="140"/>
        <w:ind w:left="173"/>
      </w:pPr>
      <w:r>
        <w:rPr>
          <w:rFonts w:ascii="Calibri" w:hAnsi="Calibri" w:eastAsia="Calibri"/>
          <w:b/>
          <w:color w:val="5B6573"/>
          <w:sz w:val="18"/>
        </w:rPr>
        <w:t xml:space="preserve">Files: </w:t>
      </w:r>
      <w:r>
        <w:rPr>
          <w:rFonts w:ascii="Consolas" w:hAnsi="Consolas" w:eastAsia="Consolas"/>
          <w:color w:val="5B6573"/>
          <w:sz w:val="17"/>
        </w:rPr>
        <w:t>features/props_builder.py; props model training/evaluation scripts; outputs/props_*</w:t>
      </w:r>
    </w:p>
    <w:p>
      <w:pPr>
        <w:pStyle w:val="Heading1"/>
      </w:pPr>
      <w:r>
        <w:t>Priority 2 - engineering and data-quality backlog</w:t>
      </w:r>
    </w:p>
    <w:p>
      <w:pPr>
        <w:spacing w:after="140"/>
      </w:pPr>
      <w:r>
        <w:t>These items are narrower than the P0/P1 controls but should be resolved as part of the same hardening cycle.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Filter pitcher game logs to actual starts. Approximately 8-15% of yearly rows did not match the game's actual starter, and many were one-inning relief appearances.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Correct the pitcher rolling-form date alignment. The current shift plus allow_exact_matches=False makes the rolling feature one start older than intended.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Fix switch-hitter handling in moneyline platoon calculations so switch hitters are evaluated against the pitcher's throwing hand correctly.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Enforce unique Odds API event IDs when matching doubleheaders. The current matcher prevents game_pk reuse but can assign one market event to both legs.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Update the Athletics' park coordinates for Sutter Health Park for the 2025-2027 seasons; the configuration still points to the Oakland Coliseum.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Restore R dependency reproducibility. Installed baseballr and curl versions differ from renv.lock, and httr2 plus rappdirs are not recorded.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Expand the smoke suite to cover props, R behavior, bankroll settlement, closing-line matching, scheduled-task freshness, and 2025/2026 model drift.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Remove hard-coded SEASON=2026 from the stats app and derive the season from configuration or the selected date.</w:t>
      </w:r>
    </w:p>
    <w:p>
      <w:pPr>
        <w:pStyle w:val="Heading1"/>
      </w:pPr>
      <w:r>
        <w:t>What is already working well</w:t>
      </w:r>
    </w:p>
    <w:p>
      <w:pPr>
        <w:pStyle w:val="ListBullet"/>
        <w:keepNext/>
        <w:spacing w:before="0" w:after="80" w:line="300" w:lineRule="auto"/>
      </w:pPr>
      <w:r>
        <w:rPr>
          <w:rFonts w:ascii="Calibri" w:hAnsi="Calibri" w:eastAsia="Calibri"/>
          <w:color w:val="1F2933"/>
        </w:rPr>
        <w:t>The latest run completed all 14 collectors.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The main game dataset contains 13,793 games with exactly two team rows per game, no duplicate team-game keys, and no unmapped teams.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The offline smoke test passed; 22 Python files and 16 R files parsed successfully.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The Streamlit health check and Python dependency consistency check passed.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The moneyline model shows modest out-of-sample signal, and the props models outperform simple rolling baselines in offline research.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Calibri"/>
          <w:color w:val="1F2933"/>
        </w:rPr>
        <w:t>A separate 128-game closing-line sample produced model Brier 0.2420 versus market Brier 0.2451, which is encouraging but still too small and leakage-affected for a profitability claim.</w:t>
      </w:r>
    </w:p>
    <w:p>
      <w:pPr>
        <w:pStyle w:val="Heading1"/>
      </w:pPr>
      <w:r>
        <w:t>Suggested implementation sequence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1F2933"/>
        </w:rPr>
        <w:t>Freeze the present baseline artifacts and write temporal-integrity tests.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1F2933"/>
        </w:rPr>
        <w:t>Repair as-of feature construction, pitcher-start filtering, rolling alignment, and market-event matching.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1F2933"/>
        </w:rPr>
        <w:t>Add pipeline gates, atomic artifacts, run IDs, and failure monitoring.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1F2933"/>
        </w:rPr>
        <w:t>Rebuild the historical evaluation using actual captured prices and production-equivalent stake sizing.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1F2933"/>
        </w:rPr>
        <w:t>Train and calibrate a separately versioned production model, then run it in shadow mode.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1F2933"/>
        </w:rPr>
        <w:t>Upgrade the decision ledger and bankroll controls before increasing stake.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color w:val="1F2933"/>
        </w:rPr>
        <w:t>Productize props only after the moneyline path is fully reproducible and monitored.</w:t>
      </w:r>
    </w:p>
    <w:p>
      <w:pPr>
        <w:spacing w:before="160" w:after="0" w:line="300" w:lineRule="auto"/>
        <w:ind w:left="173" w:right="115"/>
        <w:shd w:fill="E8EEF5" w:val="clear"/>
        <w:pBdr>
          <w:left w:val="single" w:sz="20" w:space="8" w:color="2E74B5"/>
        </w:pBdr>
      </w:pPr>
      <w:r>
        <w:rPr>
          <w:rFonts w:ascii="Calibri" w:hAnsi="Calibri" w:eastAsia="Calibri"/>
          <w:b/>
          <w:color w:val="0B2545"/>
        </w:rPr>
        <w:t xml:space="preserve">Implementation branch note: </w:t>
      </w:r>
      <w:r>
        <w:rPr>
          <w:rFonts w:ascii="Calibri" w:hAnsi="Calibri" w:eastAsia="Calibri"/>
          <w:color w:val="1F2933"/>
        </w:rPr>
        <w:t>When changes begin, use a separate worktree such as codex/model-audit-fixes. Keep the production checkout on its current branch until the revised pipeline, artifacts, and scheduler behavior pass shadow-mode verification.</w:t>
      </w:r>
    </w:p>
    <w:p>
      <w:r>
        <w:br w:type="page"/>
      </w:r>
    </w:p>
    <w:p>
      <w:pPr>
        <w:pStyle w:val="Heading1"/>
      </w:pPr>
      <w:r>
        <w:t>Implementation update - August 19, 2026</w:t>
      </w:r>
    </w:p>
    <w:p>
      <w:r>
        <w:rPr>
          <w:b/>
        </w:rPr>
        <w:t xml:space="preserve">Current verdict: </w:t>
      </w:r>
      <w:r>
        <w:t>The system is materially safer, reproducible, and operationally testable. It is still not proven profitable. The production real-price result is promising but remains below the required sample size and its uncertainty interval includes zero, so strategy_validated remains false.</w:t>
      </w:r>
    </w:p>
    <w:p>
      <w:pPr>
        <w:pStyle w:val="Heading2"/>
      </w:pPr>
      <w:r>
        <w:t>Priority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1656"/>
        <w:gridCol w:w="5616"/>
      </w:tblGrid>
      <w:tr>
        <w:trPr>
          <w:tblHeader w:val="true"/>
        </w:trPr>
        <w:tc>
          <w:tcPr>
            <w:tcW w:type="dxa" w:w="2088"/>
            <w:vAlign w:val="center"/>
            <w:shd w:fill="244A6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1656"/>
            <w:vAlign w:val="center"/>
            <w:shd w:fill="244A6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616"/>
            <w:vAlign w:val="center"/>
            <w:shd w:fill="244A6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FFFFFF"/>
              </w:rPr>
              <w:t>Implementation result</w:t>
            </w:r>
          </w:p>
        </w:tc>
      </w:tr>
      <w:tr>
        <w:trPr/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Temporal integrity</w:t>
            </w:r>
          </w:p>
        </w:tc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Implemented</w:t>
            </w:r>
          </w:p>
        </w:tc>
        <w:tc>
          <w:tcPr>
            <w:tcW w:type="dxa" w:w="56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Prior-year park factors; date-expanding umpire baseline; future-mutation tests; corrected rolling-start alignment.</w:t>
            </w:r>
          </w:p>
        </w:tc>
      </w:tr>
      <w:tr>
        <w:trPr/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Real-price backtest</w:t>
            </w:r>
          </w:p>
        </w:tc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Implemented / evidence open</w:t>
            </w:r>
          </w:p>
        </w:tc>
        <w:tc>
          <w:tcPr>
            <w:tcW w:type="dxa" w:w="56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Quoted American prices, vig, production risk rules, market coverage, maximum drawdown, and bootstrap ROI interval.</w:t>
            </w:r>
          </w:p>
        </w:tc>
      </w:tr>
      <w:tr>
        <w:trPr/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Automation</w:t>
            </w:r>
          </w:p>
        </w:tc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Implemented</w:t>
            </w:r>
          </w:p>
        </w:tc>
        <w:tc>
          <w:tcPr>
            <w:tcW w:type="dxa" w:w="56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Per-start-time clusters, immediate late-launch handling, game-specific logging, durable no-bet reasons, and non-zero failure exits.</w:t>
            </w:r>
          </w:p>
        </w:tc>
      </w:tr>
      <w:tr>
        <w:trPr/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Stale artifacts</w:t>
            </w:r>
          </w:p>
        </w:tc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Implemented</w:t>
            </w:r>
          </w:p>
        </w:tc>
        <w:tc>
          <w:tcPr>
            <w:tcW w:type="dxa" w:w="56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Fresh run ID/date/schema checks, atomic writes, immutable prediction history, and fail-before-ledger behavior.</w:t>
            </w:r>
          </w:p>
        </w:tc>
      </w:tr>
      <w:tr>
        <w:trPr/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Production model</w:t>
            </w:r>
          </w:p>
        </w:tc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Implemented</w:t>
            </w:r>
          </w:p>
        </w:tc>
        <w:tc>
          <w:tcPr>
            <w:tcW w:type="dxa" w:w="56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Frozen benchmark remains separate; completed-season production bundles are versioned and atomically published.</w:t>
            </w:r>
          </w:p>
        </w:tc>
      </w:tr>
      <w:tr>
        <w:trPr/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Pipeline health</w:t>
            </w:r>
          </w:p>
        </w:tc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Implemented</w:t>
            </w:r>
          </w:p>
        </w:tc>
        <w:tc>
          <w:tcPr>
            <w:tcW w:type="dxa" w:w="56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Collector, freshness, key, row, schema, coverage, and artifact-hash gates stop dependent stages.</w:t>
            </w:r>
          </w:p>
        </w:tc>
      </w:tr>
      <w:tr>
        <w:trPr/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Audit and risk</w:t>
            </w:r>
          </w:p>
        </w:tc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Implemented</w:t>
            </w:r>
          </w:p>
        </w:tc>
        <w:tc>
          <w:tcPr>
            <w:tcW w:type="dxa" w:w="56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game_pk lineage, book/event quote, model/data versions, pending-stake reserve, 2% bet cap, 8% daily cap, 15% open cap, lock, reconciliation, and void path.</w:t>
            </w:r>
          </w:p>
        </w:tc>
      </w:tr>
      <w:tr>
        <w:trPr/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Props</w:t>
            </w:r>
          </w:p>
        </w:tc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Research-only guard retained</w:t>
            </w:r>
          </w:p>
        </w:tc>
        <w:tc>
          <w:tcPr>
            <w:tcW w:type="dxa" w:w="56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t>Temporal joins and feature refresh were fixed; deployment remains blocked until timestamped prop odds, pushes, grading, scoring, and settlement exist.</w:t>
            </w:r>
          </w:p>
        </w:tc>
      </w:tr>
    </w:tbl>
    <w:p>
      <w:pPr>
        <w:pStyle w:val="Heading2"/>
      </w:pPr>
      <w:r>
        <w:t>Verified results</w:t>
      </w:r>
    </w:p>
    <w:p>
      <w:pPr>
        <w:pStyle w:val="ListBullet"/>
      </w:pPr>
      <w:r>
        <w:t>Frozen benchmark: 2024 AUC 0.5826 and Brier 0.2446.</w:t>
      </w:r>
    </w:p>
    <w:p>
      <w:pPr>
        <w:pStyle w:val="ListBullet"/>
      </w:pPr>
      <w:r>
        <w:t>Frozen benchmark against real prices: 74 bets, -7.25% ROI, 21.8% maximum drawdown, 95% bootstrap interval approximately -32.4% to +19.0%.</w:t>
      </w:r>
    </w:p>
    <w:p>
      <w:pPr>
        <w:pStyle w:val="ListBullet"/>
      </w:pPr>
      <w:r>
        <w:t>Production bundle on 2026 out-of-sample games: AUC 0.5585 and Brier 0.2463.</w:t>
      </w:r>
    </w:p>
    <w:p>
      <w:pPr>
        <w:pStyle w:val="ListBullet"/>
      </w:pPr>
      <w:r>
        <w:t>Production bundle against real prices: 64 bets, +13.60% ROI, 9.3% maximum drawdown, 81.8% captured-date market coverage, 95% bootstrap interval approximately -15.0% to +41.4%.</w:t>
      </w:r>
    </w:p>
    <w:p>
      <w:pPr>
        <w:pStyle w:val="ListBullet"/>
      </w:pPr>
      <w:r>
        <w:t>Validation decision: false. The configured gate requires at least 200 real bets, at least 80% market coverage, and a positive lower confidence bound.</w:t>
      </w:r>
    </w:p>
    <w:p>
      <w:pPr>
        <w:pStyle w:val="Heading2"/>
      </w:pPr>
      <w:r>
        <w:t>Execution and quality checks</w:t>
      </w:r>
    </w:p>
    <w:p>
      <w:pPr>
        <w:pStyle w:val="ListBullet"/>
      </w:pPr>
      <w:r>
        <w:t>Feature build completed on 14,051 games; all 93 moneyline candidates passed their documented coverage thresholds.</w:t>
      </w:r>
    </w:p>
    <w:p>
      <w:pPr>
        <w:pStyle w:val="ListBullet"/>
      </w:pPr>
      <w:r>
        <w:t>Starter verification retained 23,991 of 28,074 pitcher appearances and excluded 4,083 relief or non-matching appearances without rewriting raw data.</w:t>
      </w:r>
    </w:p>
    <w:p>
      <w:pPr>
        <w:pStyle w:val="ListBullet"/>
      </w:pPr>
      <w:r>
        <w:t>Batter props built 284,976 rows with 59 of 59 candidate features; pitcher props built 28,099 rows with 39 of 43 candidates.</w:t>
      </w:r>
    </w:p>
    <w:p>
      <w:pPr>
        <w:pStyle w:val="ListBullet"/>
      </w:pPr>
      <w:r>
        <w:t>Nine temporal, matching, risk, ledger, and artifact tests passed; the complete offline smoke suite passed.</w:t>
      </w:r>
    </w:p>
    <w:p>
      <w:pPr>
        <w:pStyle w:val="ListBullet"/>
      </w:pPr>
      <w:r>
        <w:t>A live nine-game prediction run produced nine unique game and odds-event matches with full lineage. Because lineups were not posted, all nine were correctly marked ineligible and no bets were flagged.</w:t>
      </w:r>
    </w:p>
    <w:p>
      <w:pPr>
        <w:pStyle w:val="ListBullet"/>
      </w:pPr>
      <w:r>
        <w:t>R files parsed successfully and renv.lock now matches the installed baseballr, curl, rlang, httr2, and rappdirs dependency set.</w:t>
      </w:r>
    </w:p>
    <w:p>
      <w:pPr>
        <w:pStyle w:val="Heading2"/>
      </w:pPr>
      <w:r>
        <w:t>What remains before increasing stake</w:t>
      </w:r>
    </w:p>
    <w:p>
      <w:pPr>
        <w:pStyle w:val="ListBullet"/>
      </w:pPr>
      <w:r>
        <w:t>Continue shadow-mode collection until at least 200 real, production-rule bets exist and the lower ROI confidence bound is above zero.</w:t>
      </w:r>
    </w:p>
    <w:p>
      <w:pPr>
        <w:pStyle w:val="ListBullet"/>
      </w:pPr>
      <w:r>
        <w:t>Improve closing-line capture coverage and investigate the production model's modest 2026 discrimination before treating the positive ROI point estimate as durable.</w:t>
      </w:r>
    </w:p>
    <w:p>
      <w:pPr>
        <w:pStyle w:val="ListBullet"/>
      </w:pPr>
      <w:r>
        <w:t>Deploy and observe the revised Windows scheduled tasks; code paths are hardened, but machine wake/shutdown behavior still requires real-world monitoring.</w:t>
      </w:r>
    </w:p>
    <w:p>
      <w:pPr>
        <w:pStyle w:val="ListBullet"/>
      </w:pPr>
      <w:r>
        <w:t>Keep props research-only until real book-specific thresholds and prices, push/void grading, calibrated probabilities, daily decisions, and settlement are implemented.</w:t>
      </w:r>
    </w:p>
    <w:p>
      <w:pPr>
        <w:pStyle w:val="Heading2"/>
      </w:pPr>
      <w:r>
        <w:t>Branch and handoff</w:t>
      </w:r>
    </w:p>
    <w:p>
      <w:r>
        <w:t>Implementation is isolated in worktree D:\mlb_model_v2_codex_model_audit_fixes on branch codex/model-audit-fixes. The production checkout and its pre-existing uncommitted bankroll work were not overwritten.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920"/>
      <w:gridCol w:w="1440"/>
    </w:tblGrid>
    <w:tr>
      <w:trPr>
        <w:tblHeader w:val="true"/>
      </w:trPr>
      <w:tc>
        <w:tcPr>
          <w:tcW w:type="dxa" w:w="792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before="0" w:after="0"/>
          </w:pPr>
          <w:r>
            <w:rPr>
              <w:rFonts w:ascii="Calibri" w:hAnsi="Calibri" w:eastAsia="Calibri"/>
              <w:color w:val="5B6573"/>
              <w:sz w:val="17"/>
            </w:rPr>
            <w:t>MLB MODEL V2 | PRIORITY RECOMMENDATIONS</w:t>
          </w:r>
        </w:p>
      </w:tc>
      <w:tc>
        <w:tcPr>
          <w:tcW w:type="dxa" w:w="144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before="0" w:after="0"/>
            <w:jc w:val="right"/>
          </w:pPr>
          <w:r>
            <w:rPr>
              <w:rFonts w:ascii="Calibri" w:hAnsi="Calibri" w:eastAsia="Calibri"/>
              <w:color w:val="5B6573"/>
              <w:sz w:val="17"/>
            </w:rPr>
            <w:t xml:space="preserve">Page </w:t>
          </w:r>
          <w:fldSimple w:instr="PAGE">
            <w:r>
              <w:rPr>
                <w:color w:val="5B6573"/>
                <w:sz w:val="17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/>
      <w:color w:val="1F29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/>
      <w:b/>
      <w:bCs/>
      <w:i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Title">
    <w:name w:val="Audit Title"/>
    <w:pPr>
      <w:keepNext/>
      <w:spacing w:before="0" w:after="80" w:line="240" w:lineRule="auto"/>
    </w:pPr>
    <w:rPr>
      <w:rFonts w:ascii="Calibri" w:hAnsi="Calibri"/>
      <w:b/>
      <w:color w:val="0B2545"/>
      <w:sz w:val="48"/>
    </w:rPr>
  </w:style>
  <w:style w:type="paragraph" w:customStyle="1" w:styleId="AuditSubtitle">
    <w:name w:val="Audit Subtitle"/>
    <w:pPr>
      <w:spacing w:before="0" w:after="200" w:line="264" w:lineRule="auto"/>
    </w:pPr>
    <w:rPr>
      <w:rFonts w:ascii="Calibri" w:hAnsi="Calibri"/>
      <w:color w:val="5B6573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MLB Model V2 Priority Recommendations</dc:title>
  <dc:subject>Prioritized recommendations from the July 31, 2026 model audit</dc:subject>
  <dc:creator/>
  <cp:keywords>MLB, model audit, recommendations, backtest, automation, bankroll, props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