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Calibri" w:hAnsi="Calibri" w:eastAsia="Calibri"/>
          <w:b/>
          <w:color w:val="2E74B5"/>
          <w:sz w:val="18"/>
        </w:rPr>
        <w:t>MODEL AUDIT | PRIORITIZED ACTIONS</w:t>
      </w:r>
    </w:p>
    <w:p>
      <w:pPr>
        <w:pStyle w:val="AuditTitle"/>
      </w:pPr>
      <w:r>
        <w:t>MLB Model V2 Priority Recommendations</w:t>
      </w:r>
    </w:p>
    <w:p>
      <w:pPr>
        <w:pStyle w:val="AuditSubtitle"/>
      </w:pPr>
      <w:r>
        <w:t>Read-only review follow-up | Prepared July 31, 2026</w:t>
      </w:r>
    </w:p>
    <w:p>
      <w:pPr>
        <w:spacing w:after="200"/>
      </w:pPr>
      <w:r>
        <w:rPr>
          <w:rFonts w:ascii="Calibri" w:hAnsi="Calibri" w:eastAsia="Calibri"/>
          <w:b/>
          <w:color w:val="1F4D78"/>
          <w:sz w:val="19"/>
        </w:rPr>
        <w:t xml:space="preserve">Purpose: </w:t>
      </w:r>
      <w:r>
        <w:rPr>
          <w:rFonts w:ascii="Calibri" w:hAnsi="Calibri" w:eastAsia="Calibri"/>
          <w:color w:val="5B6573"/>
          <w:sz w:val="19"/>
        </w:rPr>
        <w:t>Turn the audit into copy-ready implementation notes</w:t>
        <w:br/>
      </w:r>
      <w:r>
        <w:rPr>
          <w:rFonts w:ascii="Calibri" w:hAnsi="Calibri" w:eastAsia="Calibri"/>
          <w:b/>
          <w:color w:val="1F4D78"/>
          <w:sz w:val="19"/>
        </w:rPr>
        <w:t xml:space="preserve">Scope: </w:t>
      </w:r>
      <w:r>
        <w:rPr>
          <w:rFonts w:ascii="Calibri" w:hAnsi="Calibri" w:eastAsia="Calibri"/>
          <w:color w:val="5B6573"/>
          <w:sz w:val="19"/>
        </w:rPr>
        <w:t>Moneyline model, data pipeline, automation, bankroll tracking, and props</w:t>
        <w:br/>
      </w:r>
      <w:r>
        <w:rPr>
          <w:rFonts w:ascii="Calibri" w:hAnsi="Calibri" w:eastAsia="Calibri"/>
          <w:b/>
          <w:color w:val="1F4D78"/>
          <w:sz w:val="19"/>
        </w:rPr>
        <w:t xml:space="preserve">Change status: </w:t>
      </w:r>
      <w:r>
        <w:rPr>
          <w:rFonts w:ascii="Calibri" w:hAnsi="Calibri" w:eastAsia="Calibri"/>
          <w:color w:val="5B6573"/>
          <w:sz w:val="19"/>
        </w:rPr>
        <w:t>Recommendations only; no model or source-code changes included</w:t>
      </w:r>
    </w:p>
    <w:p>
      <w:pPr>
        <w:spacing w:before="40" w:after="200" w:line="300" w:lineRule="auto"/>
        <w:ind w:left="173" w:right="115"/>
        <w:shd w:fill="F4F6F9" w:val="clear"/>
        <w:pBdr>
          <w:left w:val="single" w:sz="20" w:space="8" w:color="2E74B5"/>
        </w:pBdr>
      </w:pPr>
      <w:r>
        <w:rPr>
          <w:rFonts w:ascii="Calibri" w:hAnsi="Calibri" w:eastAsia="Calibri"/>
          <w:b/>
          <w:color w:val="0B2545"/>
          <w:sz w:val="23"/>
        </w:rPr>
        <w:t xml:space="preserve">Bottom line: </w:t>
      </w:r>
      <w:r>
        <w:rPr>
          <w:rFonts w:ascii="Calibri" w:hAnsi="Calibri" w:eastAsia="Calibri"/>
          <w:color w:val="1F2933"/>
          <w:sz w:val="23"/>
        </w:rPr>
        <w:t>The project is a strong modeling prototype with healthy raw data and measurable predictive signal. It is not yet a decision-grade betting system because the historical evaluation contains temporal leakage, the ROI backtest does not use actual executable prices, and the live automation can miss or mis-log betting windows.</w:t>
      </w:r>
    </w:p>
    <w:p>
      <w:pPr>
        <w:pStyle w:val="Heading1"/>
      </w:pPr>
      <w:r>
        <w:t>Current assessment</w:t>
      </w:r>
    </w:p>
    <w:p>
      <w:pPr>
        <w:pStyle w:val="Caption"/>
      </w:pPr>
      <w:r>
        <w:t>Assessment against the goal of a reliable, executable, and evidence-backed MLB betting system.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type="dxa" w:w="120"/>
        <w:tblBorders>
          <w:top w:val="single" w:sz="4" w:color="C8D0DA"/>
          <w:left w:val="single" w:sz="4" w:color="C8D0DA"/>
          <w:bottom w:val="single" w:sz="4" w:color="C8D0DA"/>
          <w:right w:val="single" w:sz="4" w:color="C8D0DA"/>
          <w:insideH w:val="single" w:sz="4" w:color="C8D0DA"/>
          <w:insideV w:val="single" w:sz="4" w:color="C8D0DA"/>
        </w:tblBorders>
      </w:tblPr>
      <w:tblGrid>
        <w:gridCol w:w="3168"/>
        <w:gridCol w:w="1008"/>
        <w:gridCol w:w="5184"/>
      </w:tblGrid>
      <w:tr>
        <w:trPr>
          <w:tblHeader w:val="true"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Area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Score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Interpretation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Data collection and structure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Calibri"/>
                <w:b/>
                <w:color w:val="1F2933"/>
                <w:sz w:val="18"/>
              </w:rPr>
              <w:t>8/10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Broad, healthy, and internally consistent raw data.</w:t>
            </w:r>
          </w:p>
        </w:tc>
      </w:tr>
      <w:tr>
        <w:tc>
          <w:tcPr>
            <w:tcW w:type="dxa" w:w="3168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Moneyline predictive signal</w:t>
            </w:r>
          </w:p>
        </w:tc>
        <w:tc>
          <w:tcPr>
            <w:tcW w:type="dxa" w:w="1008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Calibri"/>
                <w:b/>
                <w:color w:val="1F2933"/>
                <w:sz w:val="18"/>
              </w:rPr>
              <w:t>6/10</w:t>
            </w:r>
          </w:p>
        </w:tc>
        <w:tc>
          <w:tcPr>
            <w:tcW w:type="dxa" w:w="5184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Real signal is present, but 2026 performance has weakened.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Operational reliability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Calibri"/>
                <w:b/>
                <w:color w:val="9B1C1C"/>
                <w:sz w:val="18"/>
              </w:rPr>
              <w:t>4/10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Scheduled execution and failure handling can miss or mis-log decisions.</w:t>
            </w:r>
          </w:p>
        </w:tc>
      </w:tr>
      <w:tr>
        <w:tc>
          <w:tcPr>
            <w:tcW w:type="dxa" w:w="3168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Profitability evidence</w:t>
            </w:r>
          </w:p>
        </w:tc>
        <w:tc>
          <w:tcPr>
            <w:tcW w:type="dxa" w:w="1008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Calibri"/>
                <w:b/>
                <w:color w:val="9B1C1C"/>
                <w:sz w:val="18"/>
              </w:rPr>
              <w:t>2/10</w:t>
            </w:r>
          </w:p>
        </w:tc>
        <w:tc>
          <w:tcPr>
            <w:tcW w:type="dxa" w:w="5184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Current ROI evidence is too small and partly invalidated by price assumptions.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Props research quality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Calibri"/>
                <w:b/>
                <w:color w:val="1F2933"/>
                <w:sz w:val="18"/>
              </w:rPr>
              <w:t>6/10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Models beat simple rolling baselines in offline tests.</w:t>
            </w:r>
          </w:p>
        </w:tc>
      </w:tr>
      <w:tr>
        <w:tc>
          <w:tcPr>
            <w:tcW w:type="dxa" w:w="3168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Props deployment readiness</w:t>
            </w:r>
          </w:p>
        </w:tc>
        <w:tc>
          <w:tcPr>
            <w:tcW w:type="dxa" w:w="1008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Calibri"/>
                <w:b/>
                <w:color w:val="9B1C1C"/>
                <w:sz w:val="18"/>
              </w:rPr>
              <w:t>1/10</w:t>
            </w:r>
          </w:p>
        </w:tc>
        <w:tc>
          <w:tcPr>
            <w:tcW w:type="dxa" w:w="5184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Calibri"/>
                <w:b w:val="0"/>
                <w:color w:val="1F2933"/>
                <w:sz w:val="18"/>
              </w:rPr>
              <w:t>No complete daily scoring, pricing, settlement, or bankroll workflow.</w:t>
            </w:r>
          </w:p>
        </w:tc>
      </w:tr>
    </w:tbl>
    <w:p>
      <w:pPr>
        <w:pStyle w:val="Heading1"/>
      </w:pPr>
      <w:r>
        <w:t>Recommended order of work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Make historical features immutable and rebuild the evaluation without lookahead.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Backtest the actual production betting strategy using captured sportsbook prices.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Harden scheduling, failure handling, and freshness gates so every decision is reproducible.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Refresh and version the production model using rolling-origin validation and time-aware calibration.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Complete bankroll controls, the decision audit trail, and the props production pipeline before scaling stake or scope.</w:t>
      </w:r>
    </w:p>
    <w:p>
      <w:pPr>
        <w:pStyle w:val="Heading1"/>
      </w:pPr>
      <w:r>
        <w:t>Priority 0 - fix before trusting ROI</w:t>
      </w:r>
    </w:p>
    <w:p>
      <w:pPr>
        <w:spacing w:after="160"/>
      </w:pPr>
      <w:r>
        <w:t>These items directly affect whether historical results and live betting records can be trusted. Complete them before using ROI to justify larger stakes or claiming the strategy is validated.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9B1C1C"/>
          <w:sz w:val="26"/>
        </w:rPr>
        <w:t xml:space="preserve">[P0] </w:t>
      </w:r>
      <w:r>
        <w:rPr>
          <w:rFonts w:ascii="Calibri" w:hAnsi="Calibri" w:eastAsia="Calibri"/>
          <w:b/>
          <w:color w:val="1F4D78"/>
          <w:sz w:val="26"/>
        </w:rPr>
        <w:t>Remove temporal leakage from park and umpire features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9B1C1C"/>
        </w:pBdr>
      </w:pPr>
      <w:r>
        <w:rPr>
          <w:rFonts w:ascii="Calibri" w:hAnsi="Calibri" w:eastAsia="Calibri"/>
          <w:b/>
          <w:color w:val="9B1C1C"/>
        </w:rPr>
        <w:t xml:space="preserve">Copy-ready recommendation: </w:t>
      </w:r>
      <w:r>
        <w:rPr>
          <w:rFonts w:ascii="Calibri" w:hAnsi="Calibri" w:eastAsia="Calibri"/>
          <w:color w:val="1F2933"/>
        </w:rPr>
        <w:t>Replace same-season full-year park and umpire factors with prior-year or expanding as-of-game calculations. Add a future-mutation invariance test and persist versioned feature snapshots with an explicit data cutoff.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A historical row must contain only information available before that game. If future games can change an earlier feature, reported out-of-sample performance is optimistic and cannot be reproduced later.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Park factors are calculated from the completed season and joined back to games in that same season. Umpire tendencies use outcomes from 2021-2026 and are applied to earlier games; umpire_run_factor was the second-most important feature. The frozen 2024 AUC changed from 0.5849 on July 23 to 0.5859 on July 31 as later data arrived.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For each game, park and umpire values use only prior seasons or observations dated before first pitch.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Sparse umpire samples are regressed toward league average with a documented minimum-sample rule.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Adding future games to the raw data does not change any already-built historical feature row.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Every model artifact records its feature snapshot, source cutoff, and build timestamp.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R/06_collect_park_factors.R:59-70; R/07_collect_umpires.R:67-75; features/builder.py:451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9B1C1C"/>
          <w:sz w:val="26"/>
        </w:rPr>
        <w:t xml:space="preserve">[P0] </w:t>
      </w:r>
      <w:r>
        <w:rPr>
          <w:rFonts w:ascii="Calibri" w:hAnsi="Calibri" w:eastAsia="Calibri"/>
          <w:b/>
          <w:color w:val="1F4D78"/>
          <w:sz w:val="26"/>
        </w:rPr>
        <w:t>Rebuild profitability testing with real sportsbook prices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9B1C1C"/>
        </w:pBdr>
      </w:pPr>
      <w:r>
        <w:rPr>
          <w:rFonts w:ascii="Calibri" w:hAnsi="Calibri" w:eastAsia="Calibri"/>
          <w:b/>
          <w:color w:val="9B1C1C"/>
        </w:rPr>
        <w:t xml:space="preserve">Copy-ready recommendation: </w:t>
      </w:r>
      <w:r>
        <w:rPr>
          <w:rFonts w:ascii="Calibri" w:hAnsi="Calibri" w:eastAsia="Calibri"/>
          <w:color w:val="1F2933"/>
        </w:rPr>
        <w:t>Backtest the production decision rule against actual captured home_ml_close and away_ml_close prices, including vig, bet caps, Kelly fraction, settlement rules, and bankroll state. Mark the strategy as unvalidated until a sufficient real-price sample exists.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Predictive accuracy does not prove a bet is profitable. A valid strategy test must compare the model probability with a price that could actually have been bet and must reproduce the live staking rules.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outputs/backtest_2024.json reports AUC, accuracy, and Brier score but has no 2024 odds. scripts/03_backtest.py converts a de-vigged fair probability back into payout odds, which removes the bookmaker margin and overstates expected ROI. The live ledger has only 15 settled bets: 8-7, +$116.35, +1.16% bankroll, and 2.31% ROI on settled stake; the simple bootstrap interval is approximately -50.8% to +56.5%.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Each simulated wager stores the bookmaker, offered price, capture timestamp, decision timestamp, model probability, edge, stake, and result.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Backtest stake sizing and all caps exactly match production configuration.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Reporting includes ROI, yield, maximum drawdown, calibration, CLV, bet count, and uncertainty intervals.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The output carries strategy_validated=false until data quality and sample-size thresholds are explicitly met.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outputs/backtest_2024.json; scripts/03_backtest.py:85-91; scripts/05_bankroll.py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9B1C1C"/>
          <w:sz w:val="26"/>
        </w:rPr>
        <w:t xml:space="preserve">[P0] </w:t>
      </w:r>
      <w:r>
        <w:rPr>
          <w:rFonts w:ascii="Calibri" w:hAnsi="Calibri" w:eastAsia="Calibri"/>
          <w:b/>
          <w:color w:val="1F4D78"/>
          <w:sz w:val="26"/>
        </w:rPr>
        <w:t>Align automation with each game's betting window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9B1C1C"/>
        </w:pBdr>
      </w:pPr>
      <w:r>
        <w:rPr>
          <w:rFonts w:ascii="Calibri" w:hAnsi="Calibri" w:eastAsia="Calibri"/>
          <w:b/>
          <w:color w:val="9B1C1C"/>
        </w:rPr>
        <w:t xml:space="preserve">Copy-ready recommendation: </w:t>
      </w:r>
      <w:r>
        <w:rPr>
          <w:rFonts w:ascii="Calibri" w:hAnsi="Calibri" w:eastAsia="Calibri"/>
          <w:color w:val="1F2933"/>
        </w:rPr>
        <w:t>Schedule prediction and price capture relative to each game's start time, process unstarted games immediately after a late launch, and add explicit monitoring for scheduler, freshness, and bet-logging success.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A model can be statistically useful and still fail operationally if the job runs before lineups are known, skips the configured capture window, or never records a qualified wager.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From July 28-31, closing-line capture launched around 4:22-5:42 PM instead of the intended 8:30 PM and followed the skip branch. Prediction files contained 14 flagged bets from July 28-30, but none were logged. On July 27, lineup fallback was about 92%. Task Scheduler returned code 1 even though parts of the pipeline completed.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Daily orchestration reads the schedule and creates configurable pregame windows per game or start-time cluster.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A late launch processes every unstarted game still within an allowed window instead of skipping the whole slate.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Every flagged decision is either logged or assigned a durable reason code explaining why it was not bet.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A failed, late, stale, or partially completed task produces a visible alert and a non-success status.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scripts/07_capture_closing_lines.py:252-259; scripts/06_runner.py; Windows Task Scheduler configuration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9B1C1C"/>
          <w:sz w:val="26"/>
        </w:rPr>
        <w:t xml:space="preserve">[P0] </w:t>
      </w:r>
      <w:r>
        <w:rPr>
          <w:rFonts w:ascii="Calibri" w:hAnsi="Calibri" w:eastAsia="Calibri"/>
          <w:b/>
          <w:color w:val="1F4D78"/>
          <w:sz w:val="26"/>
        </w:rPr>
        <w:t>Prevent stale predictions from flowing into bankroll logging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9B1C1C"/>
        </w:pBdr>
      </w:pPr>
      <w:r>
        <w:rPr>
          <w:rFonts w:ascii="Calibri" w:hAnsi="Calibri" w:eastAsia="Calibri"/>
          <w:b/>
          <w:color w:val="9B1C1C"/>
        </w:rPr>
        <w:t xml:space="preserve">Copy-ready recommendation: </w:t>
      </w:r>
      <w:r>
        <w:rPr>
          <w:rFonts w:ascii="Calibri" w:hAnsi="Calibri" w:eastAsia="Calibri"/>
          <w:color w:val="1F2933"/>
        </w:rPr>
        <w:t>Require the predictor to exit successfully, then validate that the prediction artifact is newly created, current for the requested slate, and schema-complete before any bankroll entry is written. Stop downstream processing on failure.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The current control flow can continue after a predictor failure and consume an older output file. That can create a valid-looking ledger entry for a decision the current run never produced.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scripts/07_capture_closing_lines.py invokes both the predictor and bankroll logger with check=False. There is no hard gate proving that the output belongs to the current run before logging begins.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A non-zero predictor exit stops the workflow before bankroll logging.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The prediction file includes a run ID, slate date, model version, data cutoff, generated timestamp, and required schema version.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The logger rejects missing, stale, duplicated, or mismatched artifacts and records the rejection reason.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Writes are atomic so a partial prediction file cannot be consumed.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scripts/07_capture_closing_lines.py:195-198; scripts/05_bankroll.py</w:t>
      </w:r>
    </w:p>
    <w:p>
      <w:pPr>
        <w:pStyle w:val="Heading1"/>
      </w:pPr>
      <w:r>
        <w:t>Priority 1 - fix before scaling</w:t>
      </w:r>
    </w:p>
    <w:p>
      <w:pPr>
        <w:spacing w:after="160"/>
      </w:pPr>
      <w:r>
        <w:t>These improvements address drift, reproducibility, risk, and the gap between research output and an operational betting product.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7A5A00"/>
          <w:sz w:val="26"/>
        </w:rPr>
        <w:t xml:space="preserve">[P1] </w:t>
      </w:r>
      <w:r>
        <w:rPr>
          <w:rFonts w:ascii="Calibri" w:hAnsi="Calibri" w:eastAsia="Calibri"/>
          <w:b/>
          <w:color w:val="1F4D78"/>
          <w:sz w:val="26"/>
        </w:rPr>
        <w:t>Separate the benchmark model from the current production fit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7A5A00"/>
        </w:pBdr>
      </w:pPr>
      <w:r>
        <w:rPr>
          <w:rFonts w:ascii="Calibri" w:hAnsi="Calibri" w:eastAsia="Calibri"/>
          <w:b/>
          <w:color w:val="7A5A00"/>
        </w:rPr>
        <w:t xml:space="preserve">Copy-ready recommendation: </w:t>
      </w:r>
      <w:r>
        <w:rPr>
          <w:rFonts w:ascii="Calibri" w:hAnsi="Calibri" w:eastAsia="Calibri"/>
          <w:color w:val="1F2933"/>
        </w:rPr>
        <w:t>Keep the frozen 2021-2023 benchmark for comparable evaluation, but create a separately versioned production model trained through the latest completed season. Select and calibrate it with rolling-origin validation.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A stable benchmark is useful for research, but a 2026 production decision engine should not rely exclusively on a fit that stops in 2023 when player roles, parks, rules, and run environments have changed.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config/config.py trains the deployed model only on 2021-2023. Out-of-sample AUC was 0.5859 in 2024, 0.5771 in 2025, and 0.5412 through July 31, 2026; Brier score weakened to 0.2488 in 2026.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Benchmark and production artifacts have distinct names, purposes, and evaluation reports.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Production training includes data through the latest completed season, with the current season reserved for forward validation where practical.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Model selection and calibration use rolling-origin folds rather than a random split.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A manifest records features, hyperparameters, calibration method, training window, source cutoff, and dataset hash.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config/config.py:32-35; scripts/02_train_model.py; outputs/backtest_2024.json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7A5A00"/>
          <w:sz w:val="26"/>
        </w:rPr>
        <w:t xml:space="preserve">[P1] </w:t>
      </w:r>
      <w:r>
        <w:rPr>
          <w:rFonts w:ascii="Calibri" w:hAnsi="Calibri" w:eastAsia="Calibri"/>
          <w:b/>
          <w:color w:val="1F4D78"/>
          <w:sz w:val="26"/>
        </w:rPr>
        <w:t>Make the collection and feature pipeline fail closed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7A5A00"/>
        </w:pBdr>
      </w:pPr>
      <w:r>
        <w:rPr>
          <w:rFonts w:ascii="Calibri" w:hAnsi="Calibri" w:eastAsia="Calibri"/>
          <w:b/>
          <w:color w:val="7A5A00"/>
        </w:rPr>
        <w:t xml:space="preserve">Copy-ready recommendation: </w:t>
      </w:r>
      <w:r>
        <w:rPr>
          <w:rFonts w:ascii="Calibri" w:hAnsi="Calibri" w:eastAsia="Calibri"/>
          <w:color w:val="1F2933"/>
        </w:rPr>
        <w:t>Treat collector or feature-stage errors as pipeline failures unless explicit freshness, row-count, key-uniqueness, and coverage gates pass. Return a non-zero exit code when any required stage is unhealthy.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Continuing after a required stage fails makes partial output look successful. That weakens every downstream prediction and makes scheduled monitoring unreliable.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R/00_run_all.R catches collector errors and can still exit successfully. scripts/06_runner.py continues after failures. The latest raw snapshot was healthy, but the current architecture does not guarantee that future scheduled runs will stop when it becomes unhealthy.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Required collectors and feature stages have explicit success contracts and freshness thresholds.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Game keys, row counts, two-team-per-game structure, mappings, and required-field coverage are checked before model scoring.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Any failed gate stops dependent stages and returns a non-zero process status.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Optional sources are clearly labeled and have intentional fallback behavior rather than silent continuation.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R/00_run_all.R:57-69; scripts/06_runner.py:121-124; scripts/00_smoke_test.py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7A5A00"/>
          <w:sz w:val="26"/>
        </w:rPr>
        <w:t xml:space="preserve">[P1] </w:t>
      </w:r>
      <w:r>
        <w:rPr>
          <w:rFonts w:ascii="Calibri" w:hAnsi="Calibri" w:eastAsia="Calibri"/>
          <w:b/>
          <w:color w:val="1F4D78"/>
          <w:sz w:val="26"/>
        </w:rPr>
        <w:t>Create an immutable betting decision audit trail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7A5A00"/>
        </w:pBdr>
      </w:pPr>
      <w:r>
        <w:rPr>
          <w:rFonts w:ascii="Calibri" w:hAnsi="Calibri" w:eastAsia="Calibri"/>
          <w:b/>
          <w:color w:val="7A5A00"/>
        </w:rPr>
        <w:t xml:space="preserve">Copy-ready recommendation: </w:t>
      </w:r>
      <w:r>
        <w:rPr>
          <w:rFonts w:ascii="Calibri" w:hAnsi="Calibri" w:eastAsia="Calibri"/>
          <w:color w:val="1F2933"/>
        </w:rPr>
        <w:t>Persist each decision as an immutable record keyed by game_pk and decision ID, including model probability, edge, offered price, bookmaker, timestamps, model/data versions, lineup and umpire availability, stake, status, and settlement history.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A ledger should explain exactly what was known, what was offered, why a bet was or was not placed, and how it settled. Overwritten prediction files and incomplete identifiers make that reconstruction impossible.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The current bankroll ledger omits game_pk, model probability, edge, bookmaker, decision timestamp, model/data version, and lineup/umpire availability. Prediction outputs are overwritten. Two postponed or unplayed matchups from July 10 and July 27 remain pending indefinitely.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Every decision has game_pk, a unique decision ID, and an immutable snapshot of inputs and offered market price.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Statuses cover pending, won, lost, push, void, postponed, cancelled, rejected, and no-bet with timestamps.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Settlement reconciliation uses durable game identifiers and cannot silently duplicate or orphan a wager.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Historical predictions remain queryable after newer slates are generated.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scripts/05_bankroll.py:31-34; outputs/predictions_*.csv; bankroll ledger files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7A5A00"/>
          <w:sz w:val="26"/>
        </w:rPr>
        <w:t xml:space="preserve">[P1] </w:t>
      </w:r>
      <w:r>
        <w:rPr>
          <w:rFonts w:ascii="Calibri" w:hAnsi="Calibri" w:eastAsia="Calibri"/>
          <w:b/>
          <w:color w:val="1F4D78"/>
          <w:sz w:val="26"/>
        </w:rPr>
        <w:t>Constrain bankroll exposure before increasing stake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7A5A00"/>
        </w:pBdr>
      </w:pPr>
      <w:r>
        <w:rPr>
          <w:rFonts w:ascii="Calibri" w:hAnsi="Calibri" w:eastAsia="Calibri"/>
          <w:b/>
          <w:color w:val="7A5A00"/>
        </w:rPr>
        <w:t xml:space="preserve">Copy-ready recommendation: </w:t>
      </w:r>
      <w:r>
        <w:rPr>
          <w:rFonts w:ascii="Calibri" w:hAnsi="Calibri" w:eastAsia="Calibri"/>
          <w:color w:val="1F2933"/>
        </w:rPr>
        <w:t>Reserve pending stakes, add explicit per-bet and daily exposure caps, use a conservative Kelly fraction, and compare against executable book-specific prices rather than a representative consensus line.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Even a positive-edge model can experience long losing sequences. Exposure limits protect the bankroll while the sample is too small to estimate the true edge precisely.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Daily exposure reached 15.9% and 16.3% of starting bankroll. Pending stakes are not reserved, there is no explicit maximum individual stake or daily exposure cap, and the current representative consensus price may not be available at a user's book.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Available bankroll subtracts all pending stake before sizing a new wager.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Configuration defines and enforces a Kelly fraction, maximum stake per bet, maximum daily risk, and correlated-exposure policy.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Each decision uses a named sportsbook price that was available at the recorded timestamp.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Risk limits are stress-tested against drawdown simulations before production stake increases.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scripts/04_predict_today.py; scripts/05_bankroll.py; config/config.py</w:t>
      </w:r>
    </w:p>
    <w:p>
      <w:pPr>
        <w:pStyle w:val="Heading2"/>
        <w:pageBreakBefore w:val="0"/>
      </w:pPr>
      <w:r>
        <w:rPr>
          <w:rFonts w:ascii="Calibri" w:hAnsi="Calibri" w:eastAsia="Calibri"/>
          <w:b/>
          <w:color w:val="7A5A00"/>
          <w:sz w:val="26"/>
        </w:rPr>
        <w:t xml:space="preserve">[P1] </w:t>
      </w:r>
      <w:r>
        <w:rPr>
          <w:rFonts w:ascii="Calibri" w:hAnsi="Calibri" w:eastAsia="Calibri"/>
          <w:b/>
          <w:color w:val="1F4D78"/>
          <w:sz w:val="26"/>
        </w:rPr>
        <w:t>Keep props labeled research-only until the end-to-end workflow exists</w:t>
      </w:r>
    </w:p>
    <w:p>
      <w:pPr>
        <w:spacing w:before="40" w:after="160" w:line="300" w:lineRule="auto"/>
        <w:ind w:left="173" w:right="115"/>
        <w:shd w:fill="F4F6F9" w:val="clear"/>
        <w:pBdr>
          <w:left w:val="single" w:sz="20" w:space="8" w:color="7A5A00"/>
        </w:pBdr>
      </w:pPr>
      <w:r>
        <w:rPr>
          <w:rFonts w:ascii="Calibri" w:hAnsi="Calibri" w:eastAsia="Calibri"/>
          <w:b/>
          <w:color w:val="7A5A00"/>
        </w:rPr>
        <w:t xml:space="preserve">Copy-ready recommendation: </w:t>
      </w:r>
      <w:r>
        <w:rPr>
          <w:rFonts w:ascii="Calibri" w:hAnsi="Calibri" w:eastAsia="Calibri"/>
          <w:color w:val="1F2933"/>
        </w:rPr>
        <w:t>Build a complete props path from current feature generation through probability calibration, sportsbook-line ingestion, push handling, backtesting, daily scoring, decision logging, settlement, and bankroll integration. Until then, label props outputs as research-only.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Why this matters: </w:t>
      </w:r>
      <w:r>
        <w:rPr>
          <w:rFonts w:ascii="Calibri" w:hAnsi="Calibri" w:eastAsia="Calibri"/>
          <w:color w:val="1F2933"/>
        </w:rPr>
        <w:t>Lower RMSE than a baseline is encouraging, but it does not show that a threshold bet beats a sportsbook price after vig or that the workflow can place and settle that bet correctly.</w:t>
      </w:r>
    </w:p>
    <w:p>
      <w:pPr>
        <w:spacing w:after="100" w:line="300" w:lineRule="auto"/>
      </w:pPr>
      <w:r>
        <w:rPr>
          <w:rFonts w:ascii="Calibri" w:hAnsi="Calibri" w:eastAsia="Calibri"/>
          <w:b/>
          <w:color w:val="1F4D78"/>
        </w:rPr>
        <w:t xml:space="preserve">Evidence from the review: </w:t>
      </w:r>
      <w:r>
        <w:rPr>
          <w:rFonts w:ascii="Calibri" w:hAnsi="Calibri" w:eastAsia="Calibri"/>
          <w:color w:val="1F2933"/>
        </w:rPr>
        <w:t>Batter and pitcher props models beat rolling baselines across 2024-2026 by roughly 1-3% and 4-6% RMSE, respectively. However, there is no complete daily props scoring, odds collection, push treatment, calibrated bet probability, wagering backtest, or bankroll integration; props matrices were stale on July 24 while raw data extended to July 31.</w:t>
      </w:r>
    </w:p>
    <w:p>
      <w:pPr>
        <w:keepNext/>
        <w:spacing w:before="40" w:after="60"/>
      </w:pPr>
      <w:r>
        <w:rPr>
          <w:rFonts w:ascii="Calibri" w:hAnsi="Calibri" w:eastAsia="Calibri"/>
          <w:b/>
          <w:color w:val="1F5D42"/>
        </w:rPr>
        <w:t>Done when: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Props feature matrices refresh through the current raw-data cutoff and pass the same as-of-time tests as moneyline features.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The model produces a calibrated probability for each sportsbook threshold, not only a point estimate.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Backtests use actual prop prices, book-specific grading rules, pushes, voids, limits, and settlement.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Daily prop decisions and results use the same immutable audit and bankroll controls as moneyline wagers.</w:t>
      </w:r>
    </w:p>
    <w:p>
      <w:pPr>
        <w:spacing w:before="20" w:after="140"/>
        <w:ind w:left="173"/>
      </w:pPr>
      <w:r>
        <w:rPr>
          <w:rFonts w:ascii="Calibri" w:hAnsi="Calibri" w:eastAsia="Calibri"/>
          <w:b/>
          <w:color w:val="5B6573"/>
          <w:sz w:val="18"/>
        </w:rPr>
        <w:t xml:space="preserve">Files: </w:t>
      </w:r>
      <w:r>
        <w:rPr>
          <w:rFonts w:ascii="Consolas" w:hAnsi="Consolas" w:eastAsia="Consolas"/>
          <w:color w:val="5B6573"/>
          <w:sz w:val="17"/>
        </w:rPr>
        <w:t>features/props_builder.py; props model training/evaluation scripts; outputs/props_*</w:t>
      </w:r>
    </w:p>
    <w:p>
      <w:pPr>
        <w:pStyle w:val="Heading1"/>
      </w:pPr>
      <w:r>
        <w:t>Priority 2 - engineering and data-quality backlog</w:t>
      </w:r>
    </w:p>
    <w:p>
      <w:pPr>
        <w:spacing w:after="140"/>
      </w:pPr>
      <w:r>
        <w:t>These items are narrower than the P0/P1 controls but should be resolved as part of the same hardening cycle.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Filter pitcher game logs to actual starts. Approximately 8-15% of yearly rows did not match the game's actual starter, and many were one-inning relief appearances.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Correct the pitcher rolling-form date alignment. The current shift plus allow_exact_matches=False makes the rolling feature one start older than intended.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Fix switch-hitter handling in moneyline platoon calculations so switch hitters are evaluated against the pitcher's throwing hand correctly.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Enforce unique Odds API event IDs when matching doubleheaders. The current matcher prevents game_pk reuse but can assign one market event to both legs.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Update the Athletics' park coordinates for Sutter Health Park for the 2025-2027 seasons; the configuration still points to the Oakland Coliseum.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Restore R dependency reproducibility. Installed baseballr and curl versions differ from renv.lock, and httr2 plus rappdirs are not recorded.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Expand the smoke suite to cover props, R behavior, bankroll settlement, closing-line matching, scheduled-task freshness, and 2025/2026 model drift.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Remove hard-coded SEASON=2026 from the stats app and derive the season from configuration or the selected date.</w:t>
      </w:r>
    </w:p>
    <w:p>
      <w:pPr>
        <w:pStyle w:val="Heading1"/>
      </w:pPr>
      <w:r>
        <w:t>What is already working well</w:t>
      </w:r>
    </w:p>
    <w:p>
      <w:pPr>
        <w:pStyle w:val="ListBullet"/>
        <w:keepNext/>
        <w:spacing w:before="0" w:after="80" w:line="300" w:lineRule="auto"/>
      </w:pPr>
      <w:r>
        <w:rPr>
          <w:rFonts w:ascii="Calibri" w:hAnsi="Calibri" w:eastAsia="Calibri"/>
          <w:color w:val="1F2933"/>
        </w:rPr>
        <w:t>The latest run completed all 14 collectors.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The main game dataset contains 13,793 games with exactly two team rows per game, no duplicate team-game keys, and no unmapped teams.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The offline smoke test passed; 22 Python files and 16 R files parsed successfully.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The Streamlit health check and Python dependency consistency check passed.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The moneyline model shows modest out-of-sample signal, and the props models outperform simple rolling baselines in offline research.</w:t>
      </w:r>
    </w:p>
    <w:p>
      <w:pPr>
        <w:pStyle w:val="ListBullet"/>
        <w:keepNext w:val="0"/>
        <w:spacing w:before="0" w:after="80" w:line="300" w:lineRule="auto"/>
      </w:pPr>
      <w:r>
        <w:rPr>
          <w:rFonts w:ascii="Calibri" w:hAnsi="Calibri" w:eastAsia="Calibri"/>
          <w:color w:val="1F2933"/>
        </w:rPr>
        <w:t>A separate 128-game closing-line sample produced model Brier 0.2420 versus market Brier 0.2451, which is encouraging but still too small and leakage-affected for a profitability claim.</w:t>
      </w:r>
    </w:p>
    <w:p>
      <w:pPr>
        <w:pStyle w:val="Heading1"/>
      </w:pPr>
      <w:r>
        <w:t>Suggested implementation sequence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Freeze the present baseline artifacts and write temporal-integrity tests.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Repair as-of feature construction, pitcher-start filtering, rolling alignment, and market-event matching.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Add pipeline gates, atomic artifacts, run IDs, and failure monitoring.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Rebuild the historical evaluation using actual captured prices and production-equivalent stake sizing.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Train and calibrate a separately versioned production model, then run it in shadow mode.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Upgrade the decision ledger and bankroll controls before increasing stake.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  <w:color w:val="1F2933"/>
        </w:rPr>
        <w:t>Productize props only after the moneyline path is fully reproducible and monitored.</w:t>
      </w:r>
    </w:p>
    <w:p>
      <w:pPr>
        <w:spacing w:before="160" w:after="0" w:line="300" w:lineRule="auto"/>
        <w:ind w:left="173" w:right="115"/>
        <w:shd w:fill="E8EEF5" w:val="clear"/>
        <w:pBdr>
          <w:left w:val="single" w:sz="20" w:space="8" w:color="2E74B5"/>
        </w:pBdr>
      </w:pPr>
      <w:r>
        <w:rPr>
          <w:rFonts w:ascii="Calibri" w:hAnsi="Calibri" w:eastAsia="Calibri"/>
          <w:b/>
          <w:color w:val="0B2545"/>
        </w:rPr>
        <w:t xml:space="preserve">Implementation branch note: </w:t>
      </w:r>
      <w:r>
        <w:rPr>
          <w:rFonts w:ascii="Calibri" w:hAnsi="Calibri" w:eastAsia="Calibri"/>
          <w:color w:val="1F2933"/>
        </w:rPr>
        <w:t>When changes begin, use a separate worktree such as codex/model-audit-fixes. Keep the production checkout on its current branch until the revised pipeline, artifacts, and scheduler behavior pass shadow-mode verification.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type="dxa" w:w="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7920"/>
      <w:gridCol w:w="1440"/>
    </w:tblGrid>
    <w:tr>
      <w:trPr>
        <w:tblHeader w:val="true"/>
      </w:trPr>
      <w:tc>
        <w:tcPr>
          <w:tcW w:type="dxa" w:w="7920"/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before="0" w:after="0"/>
          </w:pPr>
          <w:r>
            <w:rPr>
              <w:rFonts w:ascii="Calibri" w:hAnsi="Calibri" w:eastAsia="Calibri"/>
              <w:color w:val="5B6573"/>
              <w:sz w:val="17"/>
            </w:rPr>
            <w:t>MLB MODEL V2 | PRIORITY RECOMMENDATIONS</w:t>
          </w:r>
        </w:p>
      </w:tc>
      <w:tc>
        <w:tcPr>
          <w:tcW w:type="dxa" w:w="1440"/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Calibri" w:hAnsi="Calibri" w:eastAsia="Calibri"/>
              <w:color w:val="5B6573"/>
              <w:sz w:val="17"/>
            </w:rPr>
            <w:t xml:space="preserve">Page </w:t>
          </w:r>
          <w:fldSimple w:instr="PAGE">
            <w:r>
              <w:rPr>
                <w:color w:val="5B6573"/>
                <w:sz w:val="17"/>
              </w:rP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color w:val="1F29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/>
      <w:b/>
      <w:bCs/>
      <w:i/>
      <w:color w:val="5B65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uditTitle">
    <w:name w:val="Audit Title"/>
    <w:pPr>
      <w:keepNext/>
      <w:spacing w:before="0" w:after="80" w:line="240" w:lineRule="auto"/>
    </w:pPr>
    <w:rPr>
      <w:rFonts w:ascii="Calibri" w:hAnsi="Calibri"/>
      <w:b/>
      <w:color w:val="0B2545"/>
      <w:sz w:val="48"/>
    </w:rPr>
  </w:style>
  <w:style w:type="paragraph" w:customStyle="1" w:styleId="AuditSubtitle">
    <w:name w:val="Audit Subtitle"/>
    <w:pPr>
      <w:spacing w:before="0" w:after="200" w:line="264" w:lineRule="auto"/>
    </w:pPr>
    <w:rPr>
      <w:rFonts w:ascii="Calibri" w:hAnsi="Calibri"/>
      <w:color w:val="5B6573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MLB Model V2 Priority Recommendations</dc:title>
  <dc:subject>Prioritized recommendations from the July 31, 2026 model audit</dc:subject>
  <dc:creator/>
  <cp:keywords>MLB, model audit, recommendations, backtest, automation, bankroll, props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