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59" w:rsidRDefault="0066326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560E59" w:rsidRDefault="0066326C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1551060831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  <w:t xml:space="preserve">Hà </w:t>
      </w:r>
      <w:proofErr w:type="spellStart"/>
      <w:r>
        <w:t>Tuấn</w:t>
      </w:r>
      <w:proofErr w:type="spellEnd"/>
      <w:r>
        <w:t xml:space="preserve"> </w:t>
      </w:r>
      <w:proofErr w:type="spellStart"/>
      <w:r>
        <w:t>Dũng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 xml:space="preserve">:   </w:t>
      </w:r>
      <w:r w:rsidRPr="0066326C">
        <w:t>57TH4</w:t>
      </w:r>
    </w:p>
    <w:p w:rsidR="00560E59" w:rsidRDefault="0066326C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60E59" w:rsidRDefault="006632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60E59" w:rsidRDefault="006632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60E59" w:rsidRDefault="006632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560E59" w:rsidRDefault="0066326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60E59" w:rsidRDefault="0066326C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560E59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560E59" w:rsidRDefault="0066326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60E59" w:rsidRDefault="006632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60E59" w:rsidRDefault="006632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560E59" w:rsidRDefault="0066326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560E59" w:rsidRDefault="00560E59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0.75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1.25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3.5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60E59" w:rsidRDefault="0066326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60E5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560E59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0E59" w:rsidRDefault="0066326C" w:rsidP="0066326C">
            <w:pPr>
              <w:pStyle w:val="TableContents"/>
              <w:spacing w:line="360" w:lineRule="auto"/>
              <w:jc w:val="center"/>
            </w:pPr>
            <w:r>
              <w:t>8</w:t>
            </w:r>
          </w:p>
        </w:tc>
      </w:tr>
    </w:tbl>
    <w:p w:rsidR="00560E59" w:rsidRDefault="00560E59">
      <w:pPr>
        <w:spacing w:line="360" w:lineRule="auto"/>
      </w:pPr>
    </w:p>
    <w:sectPr w:rsidR="00560E59" w:rsidSect="00560E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0523"/>
    <w:multiLevelType w:val="multilevel"/>
    <w:tmpl w:val="233E695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5E792141"/>
    <w:multiLevelType w:val="multilevel"/>
    <w:tmpl w:val="EFE244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560E59"/>
    <w:rsid w:val="00560E59"/>
    <w:rsid w:val="0066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60E5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60E59"/>
    <w:pPr>
      <w:spacing w:after="140" w:line="288" w:lineRule="auto"/>
    </w:pPr>
  </w:style>
  <w:style w:type="paragraph" w:styleId="List">
    <w:name w:val="List"/>
    <w:basedOn w:val="BodyText"/>
    <w:rsid w:val="00560E59"/>
  </w:style>
  <w:style w:type="paragraph" w:styleId="Caption">
    <w:name w:val="caption"/>
    <w:basedOn w:val="Normal"/>
    <w:qFormat/>
    <w:rsid w:val="00560E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60E59"/>
    <w:pPr>
      <w:suppressLineNumbers/>
    </w:pPr>
  </w:style>
  <w:style w:type="paragraph" w:customStyle="1" w:styleId="TableContents">
    <w:name w:val="Table Contents"/>
    <w:basedOn w:val="Normal"/>
    <w:qFormat/>
    <w:rsid w:val="00560E59"/>
    <w:pPr>
      <w:suppressLineNumbers/>
    </w:pPr>
  </w:style>
  <w:style w:type="paragraph" w:customStyle="1" w:styleId="TableHeading">
    <w:name w:val="Table Heading"/>
    <w:basedOn w:val="TableContents"/>
    <w:qFormat/>
    <w:rsid w:val="00560E5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2</cp:revision>
  <dcterms:created xsi:type="dcterms:W3CDTF">2018-04-03T09:00:00Z</dcterms:created>
  <dcterms:modified xsi:type="dcterms:W3CDTF">2018-04-03T09:00:00Z</dcterms:modified>
  <dc:language>en-US</dc:language>
</cp:coreProperties>
</file>