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bin" ContentType="application/vnd.openxmlformats-officedocument.wordprocessingml.document"/>
  <Override PartName="/media/image2.bin" ContentType="image/gif"/>
  <Override PartName="/customXml/itemProps3.xml" ContentType="application/vnd.openxmlformats-officedocument.customXmlProperties+xml"/>
  <Override PartName="/word/footnotes.xml" ContentType="application/vnd.openxmlformats-officedocument.wordprocessingml.footnotes+xml"/>
  <Override PartName="/word/glossary/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customXml/itemProps6.xml" ContentType="application/vnd.openxmlformats-officedocument.customXmlPropertie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media/image.bin" ContentType="image/gif"/>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6CB" w:rsidRPr="00A65737" w:rsidRDefault="00175096" w:rsidP="00A65737">
      <w:pPr>
        <w:pStyle w:val="FPBody"/>
        <w:spacing w:after="120" w:line="240" w:lineRule="exact"/>
        <w:ind w:right="3269"/>
        <w:rPr>
          <w:sz w:val="21"/>
          <w:szCs w:val="21"/>
        </w:rPr>
      </w:pPr>
      <w:r w:rsidRPr="00A65737">
        <w:rPr>
          <w:sz w:val="21"/>
          <w:szCs w:val="21"/>
        </w:rPr>
        <w:t>On July 1</w:t>
      </w:r>
      <w:r w:rsidRPr="00A65737">
        <w:rPr>
          <w:sz w:val="21"/>
          <w:szCs w:val="21"/>
          <w:vertAlign w:val="superscript"/>
        </w:rPr>
        <w:t>st</w:t>
      </w:r>
      <w:r w:rsidRPr="00A65737">
        <w:rPr>
          <w:sz w:val="21"/>
          <w:szCs w:val="21"/>
        </w:rPr>
        <w:t xml:space="preserve"> we hosted group meetings with Klaus Schaffer</w:t>
      </w:r>
      <w:r w:rsidR="00892684" w:rsidRPr="00A65737">
        <w:rPr>
          <w:sz w:val="21"/>
          <w:szCs w:val="21"/>
        </w:rPr>
        <w:t>, E</w:t>
      </w:r>
      <w:r w:rsidR="00DE26C2" w:rsidRPr="00A65737">
        <w:rPr>
          <w:sz w:val="21"/>
          <w:szCs w:val="21"/>
        </w:rPr>
        <w:t>.</w:t>
      </w:r>
      <w:r w:rsidR="00892684" w:rsidRPr="00A65737">
        <w:rPr>
          <w:sz w:val="21"/>
          <w:szCs w:val="21"/>
        </w:rPr>
        <w:t>ON’s CFO, Stein Dale, E</w:t>
      </w:r>
      <w:r w:rsidR="00DE26C2" w:rsidRPr="00A65737">
        <w:rPr>
          <w:sz w:val="21"/>
          <w:szCs w:val="21"/>
        </w:rPr>
        <w:t>.</w:t>
      </w:r>
      <w:r w:rsidR="00892684" w:rsidRPr="00A65737">
        <w:rPr>
          <w:sz w:val="21"/>
          <w:szCs w:val="21"/>
        </w:rPr>
        <w:t>ON’</w:t>
      </w:r>
      <w:r w:rsidR="005D4881" w:rsidRPr="00A65737">
        <w:rPr>
          <w:sz w:val="21"/>
          <w:szCs w:val="21"/>
        </w:rPr>
        <w:t>s Head of S</w:t>
      </w:r>
      <w:r w:rsidRPr="00A65737">
        <w:rPr>
          <w:sz w:val="21"/>
          <w:szCs w:val="21"/>
        </w:rPr>
        <w:t>trategy, Peter Terium, RWE</w:t>
      </w:r>
      <w:r w:rsidR="005D4881" w:rsidRPr="00A65737">
        <w:rPr>
          <w:sz w:val="21"/>
          <w:szCs w:val="21"/>
        </w:rPr>
        <w:t>’s</w:t>
      </w:r>
      <w:r w:rsidRPr="00A65737">
        <w:rPr>
          <w:sz w:val="21"/>
          <w:szCs w:val="21"/>
        </w:rPr>
        <w:t xml:space="preserve"> CEO</w:t>
      </w:r>
      <w:r w:rsidR="00892684" w:rsidRPr="00A65737">
        <w:rPr>
          <w:sz w:val="21"/>
          <w:szCs w:val="21"/>
        </w:rPr>
        <w:t>,</w:t>
      </w:r>
      <w:r w:rsidRPr="00A65737">
        <w:rPr>
          <w:sz w:val="21"/>
          <w:szCs w:val="21"/>
        </w:rPr>
        <w:t xml:space="preserve"> and Martin Hermann</w:t>
      </w:r>
      <w:r w:rsidR="005D4881" w:rsidRPr="00A65737">
        <w:rPr>
          <w:sz w:val="21"/>
          <w:szCs w:val="21"/>
        </w:rPr>
        <w:t>,</w:t>
      </w:r>
      <w:r w:rsidR="008F4E21" w:rsidRPr="00A65737">
        <w:rPr>
          <w:sz w:val="21"/>
          <w:szCs w:val="21"/>
        </w:rPr>
        <w:t xml:space="preserve"> CEO of RWE East. RWE</w:t>
      </w:r>
      <w:r w:rsidRPr="00A65737">
        <w:rPr>
          <w:sz w:val="21"/>
          <w:szCs w:val="21"/>
        </w:rPr>
        <w:t xml:space="preserve"> </w:t>
      </w:r>
      <w:r w:rsidR="00153568" w:rsidRPr="00A65737">
        <w:rPr>
          <w:sz w:val="21"/>
          <w:szCs w:val="21"/>
        </w:rPr>
        <w:t xml:space="preserve">conveyed the </w:t>
      </w:r>
      <w:r w:rsidRPr="00A65737">
        <w:rPr>
          <w:sz w:val="21"/>
          <w:szCs w:val="21"/>
        </w:rPr>
        <w:t xml:space="preserve">vision of a leaner group </w:t>
      </w:r>
      <w:r w:rsidR="006314EB" w:rsidRPr="00A65737">
        <w:rPr>
          <w:sz w:val="21"/>
          <w:szCs w:val="21"/>
        </w:rPr>
        <w:t xml:space="preserve">focused on downstream with a </w:t>
      </w:r>
      <w:r w:rsidRPr="00A65737">
        <w:rPr>
          <w:sz w:val="21"/>
          <w:szCs w:val="21"/>
        </w:rPr>
        <w:t>free opt</w:t>
      </w:r>
      <w:r w:rsidR="006314EB" w:rsidRPr="00A65737">
        <w:rPr>
          <w:sz w:val="21"/>
          <w:szCs w:val="21"/>
        </w:rPr>
        <w:t>ion</w:t>
      </w:r>
      <w:r w:rsidRPr="00A65737">
        <w:rPr>
          <w:sz w:val="21"/>
          <w:szCs w:val="21"/>
        </w:rPr>
        <w:t xml:space="preserve"> in power generation</w:t>
      </w:r>
      <w:r w:rsidR="008F4E21" w:rsidRPr="00A65737">
        <w:rPr>
          <w:sz w:val="21"/>
          <w:szCs w:val="21"/>
        </w:rPr>
        <w:t>,</w:t>
      </w:r>
      <w:r w:rsidR="00153568" w:rsidRPr="00A65737">
        <w:rPr>
          <w:sz w:val="21"/>
          <w:szCs w:val="21"/>
        </w:rPr>
        <w:t xml:space="preserve"> which in our view conti</w:t>
      </w:r>
      <w:r w:rsidR="005675EB" w:rsidRPr="00A65737">
        <w:rPr>
          <w:sz w:val="21"/>
          <w:szCs w:val="21"/>
        </w:rPr>
        <w:t>nues to contrast favorably with</w:t>
      </w:r>
      <w:r w:rsidR="00153568" w:rsidRPr="00A65737">
        <w:rPr>
          <w:sz w:val="21"/>
          <w:szCs w:val="21"/>
        </w:rPr>
        <w:t xml:space="preserve"> </w:t>
      </w:r>
      <w:r w:rsidR="005675EB" w:rsidRPr="00A65737">
        <w:rPr>
          <w:sz w:val="21"/>
          <w:szCs w:val="21"/>
        </w:rPr>
        <w:t>E.</w:t>
      </w:r>
      <w:r w:rsidR="00153568" w:rsidRPr="00A65737">
        <w:rPr>
          <w:sz w:val="21"/>
          <w:szCs w:val="21"/>
        </w:rPr>
        <w:t>ON</w:t>
      </w:r>
      <w:r w:rsidR="006314EB" w:rsidRPr="00A65737">
        <w:rPr>
          <w:sz w:val="21"/>
          <w:szCs w:val="21"/>
        </w:rPr>
        <w:t xml:space="preserve"> </w:t>
      </w:r>
      <w:r w:rsidR="007B0531" w:rsidRPr="00A65737">
        <w:rPr>
          <w:sz w:val="21"/>
          <w:szCs w:val="21"/>
        </w:rPr>
        <w:t>(see links to previous research in the right panel)</w:t>
      </w:r>
      <w:r w:rsidR="00421BDE" w:rsidRPr="00A65737">
        <w:rPr>
          <w:sz w:val="21"/>
          <w:szCs w:val="21"/>
        </w:rPr>
        <w:t xml:space="preserve">. That being said, </w:t>
      </w:r>
      <w:r w:rsidR="005D4881" w:rsidRPr="00A65737">
        <w:rPr>
          <w:sz w:val="21"/>
          <w:szCs w:val="21"/>
        </w:rPr>
        <w:t>at these levels w</w:t>
      </w:r>
      <w:r w:rsidRPr="00A65737">
        <w:rPr>
          <w:sz w:val="21"/>
          <w:szCs w:val="21"/>
        </w:rPr>
        <w:t xml:space="preserve">e </w:t>
      </w:r>
      <w:r w:rsidR="00421BDE" w:rsidRPr="00A65737">
        <w:rPr>
          <w:sz w:val="21"/>
          <w:szCs w:val="21"/>
        </w:rPr>
        <w:t xml:space="preserve">see </w:t>
      </w:r>
      <w:r w:rsidRPr="00A65737">
        <w:rPr>
          <w:sz w:val="21"/>
          <w:szCs w:val="21"/>
        </w:rPr>
        <w:t>more potential value in</w:t>
      </w:r>
      <w:r w:rsidR="005D4881" w:rsidRPr="00A65737">
        <w:rPr>
          <w:sz w:val="21"/>
          <w:szCs w:val="21"/>
        </w:rPr>
        <w:t xml:space="preserve"> the latter (positive gearing to a CO2 recovery and German capacity markets, gr</w:t>
      </w:r>
      <w:r w:rsidR="007B0531" w:rsidRPr="00A65737">
        <w:rPr>
          <w:sz w:val="21"/>
          <w:szCs w:val="21"/>
        </w:rPr>
        <w:t>owth options outside of Europe)</w:t>
      </w:r>
      <w:r w:rsidRPr="00A65737">
        <w:rPr>
          <w:sz w:val="21"/>
          <w:szCs w:val="21"/>
        </w:rPr>
        <w:t>.</w:t>
      </w:r>
      <w:r w:rsidR="007B0531" w:rsidRPr="00A65737">
        <w:rPr>
          <w:sz w:val="21"/>
          <w:szCs w:val="21"/>
        </w:rPr>
        <w:t xml:space="preserve"> </w:t>
      </w:r>
      <w:r w:rsidR="00421BDE" w:rsidRPr="00A65737">
        <w:rPr>
          <w:sz w:val="21"/>
          <w:szCs w:val="21"/>
        </w:rPr>
        <w:t>Near term</w:t>
      </w:r>
      <w:r w:rsidR="008F4E21" w:rsidRPr="00A65737">
        <w:rPr>
          <w:sz w:val="21"/>
          <w:szCs w:val="21"/>
        </w:rPr>
        <w:t>,</w:t>
      </w:r>
      <w:r w:rsidR="00421BDE" w:rsidRPr="00A65737">
        <w:rPr>
          <w:sz w:val="21"/>
          <w:szCs w:val="21"/>
        </w:rPr>
        <w:t xml:space="preserve"> however</w:t>
      </w:r>
      <w:r w:rsidR="008F4E21" w:rsidRPr="00A65737">
        <w:rPr>
          <w:sz w:val="21"/>
          <w:szCs w:val="21"/>
        </w:rPr>
        <w:t>,</w:t>
      </w:r>
      <w:r w:rsidR="00421BDE" w:rsidRPr="00A65737">
        <w:rPr>
          <w:sz w:val="21"/>
          <w:szCs w:val="21"/>
        </w:rPr>
        <w:t xml:space="preserve"> </w:t>
      </w:r>
      <w:r w:rsidR="007B0531" w:rsidRPr="00A65737">
        <w:rPr>
          <w:sz w:val="21"/>
          <w:szCs w:val="21"/>
        </w:rPr>
        <w:t xml:space="preserve">we </w:t>
      </w:r>
      <w:r w:rsidR="00CD069B" w:rsidRPr="00A65737">
        <w:rPr>
          <w:sz w:val="21"/>
          <w:szCs w:val="21"/>
        </w:rPr>
        <w:t xml:space="preserve">would </w:t>
      </w:r>
      <w:r w:rsidR="007B0531" w:rsidRPr="00A65737">
        <w:rPr>
          <w:sz w:val="21"/>
          <w:szCs w:val="21"/>
        </w:rPr>
        <w:t>expect investors to continue reducing underweight positions indiscriminately</w:t>
      </w:r>
      <w:r w:rsidR="00CD069B" w:rsidRPr="00A65737">
        <w:rPr>
          <w:sz w:val="21"/>
          <w:szCs w:val="21"/>
        </w:rPr>
        <w:t xml:space="preserve"> </w:t>
      </w:r>
      <w:r w:rsidR="008F4E21" w:rsidRPr="00A65737">
        <w:rPr>
          <w:sz w:val="21"/>
          <w:szCs w:val="21"/>
        </w:rPr>
        <w:t>in both</w:t>
      </w:r>
      <w:r w:rsidR="00421BDE" w:rsidRPr="00A65737">
        <w:rPr>
          <w:sz w:val="21"/>
          <w:szCs w:val="21"/>
        </w:rPr>
        <w:t xml:space="preserve"> </w:t>
      </w:r>
      <w:r w:rsidR="006314EB" w:rsidRPr="00A65737">
        <w:rPr>
          <w:sz w:val="21"/>
          <w:szCs w:val="21"/>
        </w:rPr>
        <w:t>E</w:t>
      </w:r>
      <w:r w:rsidR="00DE26C2" w:rsidRPr="00A65737">
        <w:rPr>
          <w:sz w:val="21"/>
          <w:szCs w:val="21"/>
        </w:rPr>
        <w:t>.</w:t>
      </w:r>
      <w:r w:rsidR="006314EB" w:rsidRPr="00A65737">
        <w:rPr>
          <w:sz w:val="21"/>
          <w:szCs w:val="21"/>
        </w:rPr>
        <w:t xml:space="preserve">ON and RWE </w:t>
      </w:r>
      <w:r w:rsidR="00CD069B" w:rsidRPr="00A65737">
        <w:rPr>
          <w:sz w:val="21"/>
          <w:szCs w:val="21"/>
        </w:rPr>
        <w:t xml:space="preserve">given the perceived potential upside from capacity payments, higher power prices, further cost cutting and </w:t>
      </w:r>
      <w:r w:rsidR="005726D9" w:rsidRPr="00A65737">
        <w:rPr>
          <w:sz w:val="21"/>
          <w:szCs w:val="21"/>
        </w:rPr>
        <w:t>a</w:t>
      </w:r>
      <w:r w:rsidR="00CD069B" w:rsidRPr="00A65737">
        <w:rPr>
          <w:sz w:val="21"/>
          <w:szCs w:val="21"/>
        </w:rPr>
        <w:t xml:space="preserve"> </w:t>
      </w:r>
      <w:r w:rsidR="005726D9" w:rsidRPr="00A65737">
        <w:rPr>
          <w:sz w:val="21"/>
          <w:szCs w:val="21"/>
        </w:rPr>
        <w:t>burden sharing d</w:t>
      </w:r>
      <w:r w:rsidR="00892684" w:rsidRPr="00A65737">
        <w:rPr>
          <w:sz w:val="21"/>
          <w:szCs w:val="21"/>
        </w:rPr>
        <w:t>eal with the government on long-</w:t>
      </w:r>
      <w:r w:rsidR="005726D9" w:rsidRPr="00A65737">
        <w:rPr>
          <w:sz w:val="21"/>
          <w:szCs w:val="21"/>
        </w:rPr>
        <w:t>term nuclear liabilities</w:t>
      </w:r>
      <w:r w:rsidR="00CD069B" w:rsidRPr="00A65737">
        <w:rPr>
          <w:sz w:val="21"/>
          <w:szCs w:val="21"/>
        </w:rPr>
        <w:t xml:space="preserve">.  </w:t>
      </w:r>
    </w:p>
    <w:p w:rsidR="005236CB" w:rsidRPr="00DE26C2" w:rsidRDefault="008727E7" w:rsidP="00DE26C2">
      <w:pPr>
        <w:pStyle w:val="FPBullet"/>
        <w:spacing w:after="120" w:line="240" w:lineRule="exact"/>
        <w:rPr>
          <w:sz w:val="21"/>
          <w:szCs w:val="21"/>
        </w:rPr>
      </w:pPr>
      <w:r w:rsidRPr="00DE26C2">
        <w:rPr>
          <w:b/>
          <w:sz w:val="21"/>
          <w:szCs w:val="21"/>
        </w:rPr>
        <w:t>German political backdrop:</w:t>
      </w:r>
      <w:r w:rsidRPr="00DE26C2">
        <w:rPr>
          <w:sz w:val="21"/>
          <w:szCs w:val="21"/>
        </w:rPr>
        <w:t xml:space="preserve"> </w:t>
      </w:r>
      <w:r w:rsidRPr="00DE26C2">
        <w:rPr>
          <w:b/>
          <w:sz w:val="21"/>
          <w:szCs w:val="21"/>
        </w:rPr>
        <w:t>benign</w:t>
      </w:r>
      <w:r w:rsidR="00CD069B" w:rsidRPr="00DE26C2">
        <w:rPr>
          <w:b/>
          <w:sz w:val="21"/>
          <w:szCs w:val="21"/>
        </w:rPr>
        <w:t>,</w:t>
      </w:r>
      <w:r w:rsidRPr="00DE26C2">
        <w:rPr>
          <w:b/>
          <w:sz w:val="21"/>
          <w:szCs w:val="21"/>
        </w:rPr>
        <w:t xml:space="preserve"> not yet supportive</w:t>
      </w:r>
      <w:r w:rsidRPr="00DE26C2">
        <w:rPr>
          <w:sz w:val="21"/>
          <w:szCs w:val="21"/>
        </w:rPr>
        <w:t xml:space="preserve">. </w:t>
      </w:r>
      <w:r w:rsidR="00CD069B" w:rsidRPr="00DE26C2">
        <w:rPr>
          <w:sz w:val="21"/>
          <w:szCs w:val="21"/>
        </w:rPr>
        <w:t xml:space="preserve">According to E.ON and RWE, the reformed </w:t>
      </w:r>
      <w:r w:rsidRPr="00DE26C2">
        <w:rPr>
          <w:sz w:val="21"/>
          <w:szCs w:val="21"/>
        </w:rPr>
        <w:t xml:space="preserve">EEG law </w:t>
      </w:r>
      <w:r w:rsidR="00CD069B" w:rsidRPr="00DE26C2">
        <w:rPr>
          <w:sz w:val="21"/>
          <w:szCs w:val="21"/>
        </w:rPr>
        <w:t>will change very little for conventional utilities</w:t>
      </w:r>
      <w:r w:rsidRPr="00DE26C2">
        <w:rPr>
          <w:sz w:val="21"/>
          <w:szCs w:val="21"/>
        </w:rPr>
        <w:t>,</w:t>
      </w:r>
      <w:r w:rsidR="00CD069B" w:rsidRPr="00DE26C2">
        <w:rPr>
          <w:sz w:val="21"/>
          <w:szCs w:val="21"/>
        </w:rPr>
        <w:t xml:space="preserve"> with renewable</w:t>
      </w:r>
      <w:r w:rsidRPr="00DE26C2">
        <w:rPr>
          <w:sz w:val="21"/>
          <w:szCs w:val="21"/>
        </w:rPr>
        <w:t xml:space="preserve"> </w:t>
      </w:r>
      <w:r w:rsidR="00CD069B" w:rsidRPr="00DE26C2">
        <w:rPr>
          <w:sz w:val="21"/>
          <w:szCs w:val="21"/>
        </w:rPr>
        <w:t>additions simply slowing down versus 201</w:t>
      </w:r>
      <w:r w:rsidR="005B7D6E" w:rsidRPr="00DE26C2">
        <w:rPr>
          <w:sz w:val="21"/>
          <w:szCs w:val="21"/>
        </w:rPr>
        <w:t xml:space="preserve">2/13. RWE’s lignite mining business will continue to </w:t>
      </w:r>
      <w:r w:rsidR="005726D9" w:rsidRPr="00DE26C2">
        <w:rPr>
          <w:sz w:val="21"/>
          <w:szCs w:val="21"/>
        </w:rPr>
        <w:t>be exempt</w:t>
      </w:r>
      <w:r w:rsidR="005B7D6E" w:rsidRPr="00DE26C2">
        <w:rPr>
          <w:sz w:val="21"/>
          <w:szCs w:val="21"/>
        </w:rPr>
        <w:t xml:space="preserve"> from the EEG levy for now, but there is no clarity beyond 2016 (maximum downside to EBIT €190m p.a. or 10% of 2017 EPS). Both companies reiterated their wishes for a non-discriminatory capacity market but</w:t>
      </w:r>
      <w:r w:rsidR="00BE11CC" w:rsidRPr="00DE26C2">
        <w:rPr>
          <w:sz w:val="21"/>
          <w:szCs w:val="21"/>
        </w:rPr>
        <w:t xml:space="preserve"> E</w:t>
      </w:r>
      <w:r w:rsidR="00892684" w:rsidRPr="00DE26C2">
        <w:rPr>
          <w:sz w:val="21"/>
          <w:szCs w:val="21"/>
        </w:rPr>
        <w:t>.</w:t>
      </w:r>
      <w:r w:rsidR="00BE11CC" w:rsidRPr="00DE26C2">
        <w:rPr>
          <w:sz w:val="21"/>
          <w:szCs w:val="21"/>
        </w:rPr>
        <w:t xml:space="preserve">ON management in particular </w:t>
      </w:r>
      <w:r w:rsidR="008365FE" w:rsidRPr="00DE26C2">
        <w:rPr>
          <w:sz w:val="21"/>
          <w:szCs w:val="21"/>
        </w:rPr>
        <w:t>is</w:t>
      </w:r>
      <w:r w:rsidR="00BE11CC" w:rsidRPr="00DE26C2">
        <w:rPr>
          <w:sz w:val="21"/>
          <w:szCs w:val="21"/>
        </w:rPr>
        <w:t xml:space="preserve"> realistic about the likelihood of the system being geographically and technologically selective. Timing wise, the capacity market design should be finalized by the end of this year and a white paper should be published by the middle of next year. This will be followed by a consultation with the</w:t>
      </w:r>
      <w:r w:rsidR="008365FE" w:rsidRPr="00DE26C2">
        <w:rPr>
          <w:sz w:val="21"/>
          <w:szCs w:val="21"/>
        </w:rPr>
        <w:t xml:space="preserve"> EU and other countries which </w:t>
      </w:r>
      <w:r w:rsidR="006F4F5A">
        <w:rPr>
          <w:sz w:val="21"/>
          <w:szCs w:val="21"/>
        </w:rPr>
        <w:t>may</w:t>
      </w:r>
      <w:r w:rsidR="00BE11CC" w:rsidRPr="00DE26C2">
        <w:rPr>
          <w:sz w:val="21"/>
          <w:szCs w:val="21"/>
        </w:rPr>
        <w:t xml:space="preserve"> lead to legislation </w:t>
      </w:r>
      <w:r w:rsidR="008365FE" w:rsidRPr="00DE26C2">
        <w:rPr>
          <w:sz w:val="21"/>
          <w:szCs w:val="21"/>
        </w:rPr>
        <w:t>before</w:t>
      </w:r>
      <w:r w:rsidR="006F4F5A">
        <w:rPr>
          <w:sz w:val="21"/>
          <w:szCs w:val="21"/>
        </w:rPr>
        <w:t xml:space="preserve"> 2016</w:t>
      </w:r>
      <w:r w:rsidR="00BE11CC" w:rsidRPr="00DE26C2">
        <w:rPr>
          <w:sz w:val="21"/>
          <w:szCs w:val="21"/>
        </w:rPr>
        <w:t xml:space="preserve">. </w:t>
      </w:r>
    </w:p>
    <w:p w:rsidR="005236CB" w:rsidRPr="00DE26C2" w:rsidRDefault="00672BFA" w:rsidP="00DE26C2">
      <w:pPr>
        <w:pStyle w:val="FPBullet"/>
        <w:spacing w:after="120" w:line="240" w:lineRule="exact"/>
        <w:rPr>
          <w:sz w:val="21"/>
          <w:szCs w:val="21"/>
        </w:rPr>
      </w:pPr>
      <w:r w:rsidRPr="00672BFA">
        <w:rPr>
          <w:b/>
          <w:noProof/>
          <w:sz w:val="21"/>
          <w:szCs w:val="21"/>
        </w:rPr>
        <w:pict>
          <v:shapetype id="_x0000_t202" coordsize="21600,21600" o:spt="202" path="m,l,21600r21600,l21600,xe">
            <v:stroke joinstyle="miter"/>
            <v:path gradientshapeok="t" o:connecttype="rect"/>
          </v:shapetype>
          <v:shape id="FrontCoverRightPanel" o:spid="_x0000_s1027" type="#_x0000_t202" style="position:absolute;left:0;text-align:left;margin-left:404.4pt;margin-top:239.4pt;width:141.1pt;height:469.35pt;z-index:251658240;mso-position-horizontal:right;mso-position-horizontal-relative:margin;mso-position-vertical:absolute;mso-position-vertical-relative:page" filled="f" stroked="f">
            <v:textbox style="mso-next-textbox:#FrontCoverRightPanel" inset="0,0,0,0">
              <w:txbxContent>
                <w:p w:rsidR="00CE4CDB" w:rsidRDefault="00CE4CDB" w:rsidP="005D4881">
                  <w:pPr>
                    <w:rPr>
                      <w:rFonts w:ascii="Times" w:hAnsi="Times" w:cs="Arial"/>
                      <w:b/>
                      <w:i/>
                      <w:sz w:val="20"/>
                      <w:szCs w:val="20"/>
                    </w:rPr>
                  </w:pPr>
                  <w:r w:rsidRPr="00BE4721">
                    <w:rPr>
                      <w:rFonts w:ascii="Times" w:hAnsi="Times" w:cs="Arial"/>
                      <w:b/>
                      <w:i/>
                      <w:sz w:val="20"/>
                      <w:szCs w:val="20"/>
                    </w:rPr>
                    <w:t>Previous research:</w:t>
                  </w:r>
                </w:p>
                <w:p w:rsidR="00CE4CDB" w:rsidRPr="00892684" w:rsidRDefault="00CE4CDB" w:rsidP="005D4881">
                  <w:pPr>
                    <w:rPr>
                      <w:rFonts w:ascii="Times" w:hAnsi="Times" w:cs="Arial"/>
                      <w:b/>
                      <w:sz w:val="20"/>
                      <w:szCs w:val="20"/>
                    </w:rPr>
                  </w:pPr>
                </w:p>
                <w:p w:rsidR="00CE4CDB" w:rsidRPr="00892684" w:rsidRDefault="00CE4CDB" w:rsidP="00892684">
                  <w:pPr>
                    <w:pStyle w:val="ListParagraph"/>
                    <w:numPr>
                      <w:ilvl w:val="0"/>
                      <w:numId w:val="48"/>
                    </w:numPr>
                    <w:spacing w:after="120"/>
                    <w:contextualSpacing w:val="0"/>
                    <w:rPr>
                      <w:rFonts w:ascii="Times" w:hAnsi="Times" w:cs="Arial"/>
                      <w:sz w:val="19"/>
                      <w:szCs w:val="19"/>
                    </w:rPr>
                  </w:pPr>
                  <w:r w:rsidRPr="00892684">
                    <w:rPr>
                      <w:rFonts w:ascii="Times" w:hAnsi="Times" w:cs="Arial"/>
                      <w:b/>
                      <w:sz w:val="19"/>
                      <w:szCs w:val="19"/>
                    </w:rPr>
                    <w:t>Sept. 4</w:t>
                  </w:r>
                  <w:r w:rsidRPr="00892684">
                    <w:rPr>
                      <w:rFonts w:ascii="Times" w:hAnsi="Times" w:cs="Arial"/>
                      <w:b/>
                      <w:sz w:val="19"/>
                      <w:szCs w:val="19"/>
                      <w:vertAlign w:val="superscript"/>
                    </w:rPr>
                    <w:t>th</w:t>
                  </w:r>
                  <w:r w:rsidRPr="00892684">
                    <w:rPr>
                      <w:rFonts w:ascii="Times" w:hAnsi="Times" w:cs="Arial"/>
                      <w:b/>
                      <w:sz w:val="19"/>
                      <w:szCs w:val="19"/>
                    </w:rPr>
                    <w:t>:</w:t>
                  </w:r>
                  <w:r w:rsidRPr="00892684">
                    <w:rPr>
                      <w:rFonts w:ascii="Times" w:hAnsi="Times" w:cs="Arial"/>
                      <w:sz w:val="19"/>
                      <w:szCs w:val="19"/>
                    </w:rPr>
                    <w:t xml:space="preserve"> </w:t>
                  </w:r>
                  <w:hyperlink r:id="rId13" w:history="1">
                    <w:r w:rsidRPr="00892684">
                      <w:rPr>
                        <w:rStyle w:val="Hyperlink"/>
                        <w:rFonts w:ascii="Times" w:hAnsi="Times" w:cs="Arial"/>
                        <w:sz w:val="19"/>
                        <w:szCs w:val="19"/>
                      </w:rPr>
                      <w:t>German utilities: RWE: balance sheet and political risks discounted - upgrade to Neutral; prefer to E.ON (UW)</w:t>
                    </w:r>
                  </w:hyperlink>
                </w:p>
                <w:p w:rsidR="00CE4CDB" w:rsidRPr="00892684" w:rsidRDefault="00CE4CDB" w:rsidP="00892684">
                  <w:pPr>
                    <w:pStyle w:val="ListParagraph"/>
                    <w:numPr>
                      <w:ilvl w:val="0"/>
                      <w:numId w:val="48"/>
                    </w:numPr>
                    <w:spacing w:after="120"/>
                    <w:contextualSpacing w:val="0"/>
                    <w:rPr>
                      <w:rFonts w:ascii="Times" w:hAnsi="Times" w:cs="Arial"/>
                      <w:sz w:val="19"/>
                      <w:szCs w:val="19"/>
                    </w:rPr>
                  </w:pPr>
                  <w:r w:rsidRPr="00892684">
                    <w:rPr>
                      <w:rFonts w:ascii="Times" w:hAnsi="Times" w:cs="Arial"/>
                      <w:b/>
                      <w:sz w:val="19"/>
                      <w:szCs w:val="19"/>
                    </w:rPr>
                    <w:t>Sept. 13</w:t>
                  </w:r>
                  <w:r w:rsidRPr="00892684">
                    <w:rPr>
                      <w:rFonts w:ascii="Times" w:hAnsi="Times" w:cs="Arial"/>
                      <w:b/>
                      <w:sz w:val="19"/>
                      <w:szCs w:val="19"/>
                      <w:vertAlign w:val="superscript"/>
                    </w:rPr>
                    <w:t>th</w:t>
                  </w:r>
                  <w:r w:rsidRPr="00892684">
                    <w:rPr>
                      <w:rFonts w:ascii="Times" w:hAnsi="Times" w:cs="Arial"/>
                      <w:b/>
                      <w:sz w:val="19"/>
                      <w:szCs w:val="19"/>
                    </w:rPr>
                    <w:t>:</w:t>
                  </w:r>
                  <w:r w:rsidRPr="00892684">
                    <w:rPr>
                      <w:rFonts w:ascii="Times" w:hAnsi="Times" w:cs="Arial"/>
                      <w:sz w:val="19"/>
                      <w:szCs w:val="19"/>
                    </w:rPr>
                    <w:t xml:space="preserve"> </w:t>
                  </w:r>
                  <w:hyperlink r:id="rId14" w:history="1">
                    <w:r w:rsidRPr="00892684">
                      <w:rPr>
                        <w:rStyle w:val="Hyperlink"/>
                        <w:rFonts w:ascii="Times" w:hAnsi="Times" w:cs="Arial"/>
                        <w:sz w:val="19"/>
                        <w:szCs w:val="19"/>
                      </w:rPr>
                      <w:t>Rising bond yields: an overlooked tailwind for EDF, RWE, and E.ON</w:t>
                    </w:r>
                  </w:hyperlink>
                </w:p>
                <w:p w:rsidR="00CE4CDB" w:rsidRPr="00892684" w:rsidRDefault="00A75A72" w:rsidP="00892684">
                  <w:pPr>
                    <w:pStyle w:val="ListParagraph"/>
                    <w:numPr>
                      <w:ilvl w:val="0"/>
                      <w:numId w:val="48"/>
                    </w:numPr>
                    <w:spacing w:after="120"/>
                    <w:contextualSpacing w:val="0"/>
                    <w:rPr>
                      <w:rFonts w:ascii="Times" w:hAnsi="Times" w:cs="Arial"/>
                      <w:sz w:val="19"/>
                      <w:szCs w:val="19"/>
                    </w:rPr>
                  </w:pPr>
                  <w:r>
                    <w:rPr>
                      <w:rFonts w:ascii="Times" w:hAnsi="Times" w:cs="Arial"/>
                      <w:b/>
                      <w:sz w:val="19"/>
                      <w:szCs w:val="19"/>
                    </w:rPr>
                    <w:t>Sept. 19</w:t>
                  </w:r>
                  <w:r w:rsidR="00CE4CDB" w:rsidRPr="00892684">
                    <w:rPr>
                      <w:rFonts w:ascii="Times" w:hAnsi="Times" w:cs="Arial"/>
                      <w:b/>
                      <w:sz w:val="19"/>
                      <w:szCs w:val="19"/>
                      <w:vertAlign w:val="superscript"/>
                    </w:rPr>
                    <w:t>th</w:t>
                  </w:r>
                  <w:r w:rsidR="00CE4CDB" w:rsidRPr="00892684">
                    <w:rPr>
                      <w:rFonts w:ascii="Times" w:hAnsi="Times" w:cs="Arial"/>
                      <w:b/>
                      <w:sz w:val="19"/>
                      <w:szCs w:val="19"/>
                    </w:rPr>
                    <w:t>:</w:t>
                  </w:r>
                  <w:r w:rsidR="00CE4CDB" w:rsidRPr="00892684">
                    <w:rPr>
                      <w:rFonts w:ascii="Times" w:hAnsi="Times" w:cs="Arial"/>
                      <w:sz w:val="19"/>
                      <w:szCs w:val="19"/>
                    </w:rPr>
                    <w:t xml:space="preserve"> </w:t>
                  </w:r>
                  <w:hyperlink r:id="rId15" w:history="1">
                    <w:r w:rsidR="00CE4CDB" w:rsidRPr="00892684">
                      <w:rPr>
                        <w:rStyle w:val="Hyperlink"/>
                        <w:rFonts w:ascii="Times" w:hAnsi="Times" w:cs="Arial"/>
                        <w:sz w:val="19"/>
                        <w:szCs w:val="19"/>
                      </w:rPr>
                      <w:t>RWE: Dividend cut a signaling move, rights issue now off the table</w:t>
                    </w:r>
                  </w:hyperlink>
                  <w:r w:rsidR="00CE4CDB" w:rsidRPr="00892684">
                    <w:rPr>
                      <w:rFonts w:ascii="Times" w:hAnsi="Times" w:cs="Arial"/>
                      <w:sz w:val="19"/>
                      <w:szCs w:val="19"/>
                    </w:rPr>
                    <w:t xml:space="preserve"> </w:t>
                  </w:r>
                </w:p>
                <w:p w:rsidR="00CE4CDB" w:rsidRPr="00892684" w:rsidRDefault="00CE4CDB" w:rsidP="00892684">
                  <w:pPr>
                    <w:pStyle w:val="ListParagraph"/>
                    <w:numPr>
                      <w:ilvl w:val="0"/>
                      <w:numId w:val="48"/>
                    </w:numPr>
                    <w:spacing w:after="120"/>
                    <w:contextualSpacing w:val="0"/>
                    <w:rPr>
                      <w:rFonts w:ascii="Times" w:hAnsi="Times" w:cs="Arial"/>
                      <w:sz w:val="19"/>
                      <w:szCs w:val="19"/>
                    </w:rPr>
                  </w:pPr>
                  <w:r w:rsidRPr="00892684">
                    <w:rPr>
                      <w:rFonts w:ascii="Times" w:hAnsi="Times" w:cs="Arial"/>
                      <w:b/>
                      <w:sz w:val="19"/>
                      <w:szCs w:val="19"/>
                    </w:rPr>
                    <w:t>Oct. 4</w:t>
                  </w:r>
                  <w:r w:rsidRPr="00892684">
                    <w:rPr>
                      <w:rFonts w:ascii="Times" w:hAnsi="Times" w:cs="Arial"/>
                      <w:b/>
                      <w:sz w:val="19"/>
                      <w:szCs w:val="19"/>
                      <w:vertAlign w:val="superscript"/>
                    </w:rPr>
                    <w:t>th</w:t>
                  </w:r>
                  <w:r w:rsidRPr="00892684">
                    <w:rPr>
                      <w:rFonts w:ascii="Times" w:hAnsi="Times" w:cs="Arial"/>
                      <w:b/>
                      <w:sz w:val="19"/>
                      <w:szCs w:val="19"/>
                    </w:rPr>
                    <w:t>:</w:t>
                  </w:r>
                  <w:r w:rsidRPr="00892684">
                    <w:rPr>
                      <w:rFonts w:ascii="Times" w:hAnsi="Times" w:cs="Arial"/>
                      <w:sz w:val="19"/>
                      <w:szCs w:val="19"/>
                    </w:rPr>
                    <w:t xml:space="preserve"> </w:t>
                  </w:r>
                  <w:hyperlink r:id="rId16" w:history="1">
                    <w:r w:rsidRPr="00892684">
                      <w:rPr>
                        <w:rStyle w:val="Hyperlink"/>
                        <w:rFonts w:ascii="Times" w:hAnsi="Times" w:cs="Arial"/>
                        <w:sz w:val="19"/>
                        <w:szCs w:val="19"/>
                      </w:rPr>
                      <w:t>German utilities: Reiterate preference for RWE over E</w:t>
                    </w:r>
                    <w:r w:rsidR="00892684" w:rsidRPr="00892684">
                      <w:rPr>
                        <w:rStyle w:val="Hyperlink"/>
                        <w:rFonts w:ascii="Times" w:hAnsi="Times" w:cs="Arial"/>
                        <w:sz w:val="19"/>
                        <w:szCs w:val="19"/>
                      </w:rPr>
                      <w:t>.</w:t>
                    </w:r>
                    <w:r w:rsidRPr="00892684">
                      <w:rPr>
                        <w:rStyle w:val="Hyperlink"/>
                        <w:rFonts w:ascii="Times" w:hAnsi="Times" w:cs="Arial"/>
                        <w:sz w:val="19"/>
                        <w:szCs w:val="19"/>
                      </w:rPr>
                      <w:t xml:space="preserve">ON into Q3 results following power price rally </w:t>
                    </w:r>
                  </w:hyperlink>
                  <w:r w:rsidRPr="00892684">
                    <w:rPr>
                      <w:rFonts w:ascii="Times" w:hAnsi="Times" w:cs="Arial"/>
                      <w:sz w:val="19"/>
                      <w:szCs w:val="19"/>
                    </w:rPr>
                    <w:t xml:space="preserve"> </w:t>
                  </w:r>
                </w:p>
                <w:p w:rsidR="00CE4CDB" w:rsidRPr="00892684" w:rsidRDefault="00CE4CDB" w:rsidP="00892684">
                  <w:pPr>
                    <w:pStyle w:val="ListParagraph"/>
                    <w:numPr>
                      <w:ilvl w:val="0"/>
                      <w:numId w:val="48"/>
                    </w:numPr>
                    <w:spacing w:after="120"/>
                    <w:contextualSpacing w:val="0"/>
                    <w:rPr>
                      <w:rFonts w:ascii="Times" w:hAnsi="Times" w:cs="Arial"/>
                      <w:sz w:val="19"/>
                      <w:szCs w:val="19"/>
                    </w:rPr>
                  </w:pPr>
                  <w:r w:rsidRPr="00892684">
                    <w:rPr>
                      <w:rFonts w:ascii="Times" w:hAnsi="Times" w:cs="Arial"/>
                      <w:b/>
                      <w:sz w:val="19"/>
                      <w:szCs w:val="19"/>
                    </w:rPr>
                    <w:t>Oct. 15</w:t>
                  </w:r>
                  <w:r w:rsidRPr="00892684">
                    <w:rPr>
                      <w:rFonts w:ascii="Times" w:hAnsi="Times" w:cs="Arial"/>
                      <w:b/>
                      <w:sz w:val="19"/>
                      <w:szCs w:val="19"/>
                      <w:vertAlign w:val="superscript"/>
                    </w:rPr>
                    <w:t>th</w:t>
                  </w:r>
                  <w:r w:rsidRPr="00892684">
                    <w:rPr>
                      <w:rFonts w:ascii="Times" w:hAnsi="Times" w:cs="Arial"/>
                      <w:b/>
                      <w:sz w:val="19"/>
                      <w:szCs w:val="19"/>
                    </w:rPr>
                    <w:t>:</w:t>
                  </w:r>
                  <w:r w:rsidRPr="00892684">
                    <w:rPr>
                      <w:rFonts w:ascii="Times" w:hAnsi="Times" w:cs="Arial"/>
                      <w:sz w:val="19"/>
                      <w:szCs w:val="19"/>
                    </w:rPr>
                    <w:t xml:space="preserve"> </w:t>
                  </w:r>
                  <w:r w:rsidRPr="00892684">
                    <w:rPr>
                      <w:rStyle w:val="Hyperlink"/>
                      <w:rFonts w:ascii="Times" w:hAnsi="Times" w:cs="Arial"/>
                      <w:sz w:val="19"/>
                      <w:szCs w:val="19"/>
                    </w:rPr>
                    <w:t xml:space="preserve">RWE: </w:t>
                  </w:r>
                  <w:hyperlink r:id="rId17" w:history="1">
                    <w:r w:rsidRPr="00892684">
                      <w:rPr>
                        <w:rStyle w:val="Hyperlink"/>
                        <w:rFonts w:ascii="Times" w:hAnsi="Times" w:cs="Arial"/>
                        <w:sz w:val="19"/>
                        <w:szCs w:val="19"/>
                      </w:rPr>
                      <w:t>Credit day comforts our non-consensus view on the balance sheet</w:t>
                    </w:r>
                  </w:hyperlink>
                </w:p>
                <w:p w:rsidR="00CE4CDB" w:rsidRPr="00892684" w:rsidRDefault="00A75A72" w:rsidP="00892684">
                  <w:pPr>
                    <w:pStyle w:val="ListParagraph"/>
                    <w:numPr>
                      <w:ilvl w:val="0"/>
                      <w:numId w:val="48"/>
                    </w:numPr>
                    <w:spacing w:after="120"/>
                    <w:contextualSpacing w:val="0"/>
                    <w:rPr>
                      <w:rFonts w:ascii="Times" w:hAnsi="Times" w:cs="Arial"/>
                      <w:sz w:val="19"/>
                      <w:szCs w:val="19"/>
                    </w:rPr>
                  </w:pPr>
                  <w:r>
                    <w:rPr>
                      <w:rFonts w:ascii="Times" w:hAnsi="Times" w:cs="Arial"/>
                      <w:b/>
                      <w:sz w:val="19"/>
                      <w:szCs w:val="19"/>
                    </w:rPr>
                    <w:t>Nov. 19</w:t>
                  </w:r>
                  <w:r w:rsidR="00CE4CDB" w:rsidRPr="00892684">
                    <w:rPr>
                      <w:rFonts w:ascii="Times" w:hAnsi="Times" w:cs="Arial"/>
                      <w:b/>
                      <w:sz w:val="19"/>
                      <w:szCs w:val="19"/>
                      <w:vertAlign w:val="superscript"/>
                    </w:rPr>
                    <w:t>th</w:t>
                  </w:r>
                  <w:r w:rsidR="00CE4CDB" w:rsidRPr="00892684">
                    <w:rPr>
                      <w:rFonts w:ascii="Times" w:hAnsi="Times" w:cs="Arial"/>
                      <w:b/>
                      <w:sz w:val="19"/>
                      <w:szCs w:val="19"/>
                    </w:rPr>
                    <w:t>:</w:t>
                  </w:r>
                  <w:r w:rsidR="00CE4CDB" w:rsidRPr="00892684">
                    <w:rPr>
                      <w:rFonts w:ascii="Times" w:hAnsi="Times" w:cs="Arial"/>
                      <w:sz w:val="19"/>
                      <w:szCs w:val="19"/>
                    </w:rPr>
                    <w:t xml:space="preserve"> </w:t>
                  </w:r>
                  <w:hyperlink r:id="rId18" w:history="1">
                    <w:r w:rsidR="00CE4CDB" w:rsidRPr="00892684">
                      <w:rPr>
                        <w:rStyle w:val="Hyperlink"/>
                        <w:rFonts w:ascii="Times" w:hAnsi="Times" w:cs="Arial"/>
                        <w:sz w:val="19"/>
                        <w:szCs w:val="19"/>
                      </w:rPr>
                      <w:t>RWE: Balance sheet story continuing to unfold, maintain preference vs. E.ON</w:t>
                    </w:r>
                  </w:hyperlink>
                </w:p>
                <w:p w:rsidR="00CE4CDB" w:rsidRPr="00892684" w:rsidRDefault="00CE4CDB" w:rsidP="00892684">
                  <w:pPr>
                    <w:pStyle w:val="ListParagraph"/>
                    <w:numPr>
                      <w:ilvl w:val="0"/>
                      <w:numId w:val="48"/>
                    </w:numPr>
                    <w:spacing w:after="120"/>
                    <w:contextualSpacing w:val="0"/>
                    <w:rPr>
                      <w:rStyle w:val="Hyperlink"/>
                      <w:rFonts w:ascii="Times" w:hAnsi="Times" w:cs="Arial"/>
                      <w:sz w:val="19"/>
                      <w:szCs w:val="19"/>
                    </w:rPr>
                  </w:pPr>
                  <w:r w:rsidRPr="00892684">
                    <w:rPr>
                      <w:rFonts w:ascii="Times" w:hAnsi="Times" w:cs="Arial"/>
                      <w:b/>
                      <w:sz w:val="19"/>
                      <w:szCs w:val="19"/>
                    </w:rPr>
                    <w:t>Jan 2</w:t>
                  </w:r>
                  <w:r w:rsidRPr="00892684">
                    <w:rPr>
                      <w:rFonts w:ascii="Times" w:hAnsi="Times" w:cs="Arial"/>
                      <w:b/>
                      <w:sz w:val="19"/>
                      <w:szCs w:val="19"/>
                      <w:vertAlign w:val="superscript"/>
                    </w:rPr>
                    <w:t>nd</w:t>
                  </w:r>
                  <w:r w:rsidRPr="00892684">
                    <w:rPr>
                      <w:rFonts w:ascii="Times" w:hAnsi="Times" w:cs="Arial"/>
                      <w:b/>
                      <w:sz w:val="19"/>
                      <w:szCs w:val="19"/>
                    </w:rPr>
                    <w:t>:</w:t>
                  </w:r>
                  <w:r w:rsidRPr="00892684">
                    <w:rPr>
                      <w:rStyle w:val="Hyperlink"/>
                      <w:rFonts w:ascii="Times" w:hAnsi="Times" w:cs="Arial"/>
                      <w:sz w:val="19"/>
                      <w:szCs w:val="19"/>
                    </w:rPr>
                    <w:t xml:space="preserve"> RWE: </w:t>
                  </w:r>
                  <w:hyperlink r:id="rId19" w:history="1">
                    <w:r w:rsidRPr="00892684">
                      <w:rPr>
                        <w:rStyle w:val="Hyperlink"/>
                        <w:rFonts w:ascii="Times" w:hAnsi="Times" w:cs="Arial"/>
                        <w:sz w:val="19"/>
                        <w:szCs w:val="19"/>
                      </w:rPr>
                      <w:t>Capital increase fears resurface temporarily, but are still overdone</w:t>
                    </w:r>
                  </w:hyperlink>
                  <w:r w:rsidRPr="00892684">
                    <w:rPr>
                      <w:rStyle w:val="Hyperlink"/>
                      <w:rFonts w:ascii="Times" w:hAnsi="Times" w:cs="Arial"/>
                      <w:sz w:val="19"/>
                      <w:szCs w:val="19"/>
                    </w:rPr>
                    <w:t xml:space="preserve"> </w:t>
                  </w:r>
                </w:p>
                <w:p w:rsidR="00CE4CDB" w:rsidRPr="00892684" w:rsidRDefault="00CE4CDB" w:rsidP="00892684">
                  <w:pPr>
                    <w:pStyle w:val="ListParagraph"/>
                    <w:numPr>
                      <w:ilvl w:val="0"/>
                      <w:numId w:val="48"/>
                    </w:numPr>
                    <w:spacing w:after="120"/>
                    <w:contextualSpacing w:val="0"/>
                    <w:rPr>
                      <w:rFonts w:ascii="Times" w:hAnsi="Times" w:cs="Arial"/>
                      <w:sz w:val="19"/>
                      <w:szCs w:val="19"/>
                    </w:rPr>
                  </w:pPr>
                  <w:r w:rsidRPr="00892684">
                    <w:rPr>
                      <w:rFonts w:ascii="Times" w:hAnsi="Times" w:cs="Arial"/>
                      <w:b/>
                      <w:sz w:val="19"/>
                      <w:szCs w:val="19"/>
                    </w:rPr>
                    <w:t>Jan.</w:t>
                  </w:r>
                  <w:r w:rsidRPr="00892684">
                    <w:rPr>
                      <w:rFonts w:ascii="Times" w:hAnsi="Times" w:cs="Arial"/>
                      <w:sz w:val="19"/>
                      <w:szCs w:val="19"/>
                    </w:rPr>
                    <w:t xml:space="preserve"> </w:t>
                  </w:r>
                  <w:r w:rsidRPr="00892684">
                    <w:rPr>
                      <w:rFonts w:ascii="Times" w:hAnsi="Times" w:cs="Arial"/>
                      <w:b/>
                      <w:sz w:val="19"/>
                      <w:szCs w:val="19"/>
                    </w:rPr>
                    <w:t>31</w:t>
                  </w:r>
                  <w:r w:rsidRPr="00892684">
                    <w:rPr>
                      <w:rFonts w:ascii="Times" w:hAnsi="Times" w:cs="Arial"/>
                      <w:b/>
                      <w:sz w:val="19"/>
                      <w:szCs w:val="19"/>
                      <w:vertAlign w:val="superscript"/>
                    </w:rPr>
                    <w:t>s</w:t>
                  </w:r>
                  <w:r w:rsidRPr="00892684">
                    <w:rPr>
                      <w:rFonts w:ascii="Times" w:hAnsi="Times" w:cs="Arial"/>
                      <w:sz w:val="19"/>
                      <w:szCs w:val="19"/>
                      <w:vertAlign w:val="superscript"/>
                    </w:rPr>
                    <w:t>t</w:t>
                  </w:r>
                  <w:r w:rsidRPr="00892684">
                    <w:rPr>
                      <w:rFonts w:ascii="Times" w:hAnsi="Times" w:cs="Arial"/>
                      <w:sz w:val="19"/>
                      <w:szCs w:val="19"/>
                    </w:rPr>
                    <w:t xml:space="preserve">: </w:t>
                  </w:r>
                  <w:hyperlink r:id="rId20" w:history="1">
                    <w:r w:rsidRPr="00892684">
                      <w:rPr>
                        <w:rStyle w:val="Hyperlink"/>
                        <w:rFonts w:ascii="Times" w:hAnsi="Times" w:cs="Arial"/>
                        <w:sz w:val="19"/>
                        <w:szCs w:val="19"/>
                      </w:rPr>
                      <w:t>E.ON: 2014 expectations rebased, supportive court case news flow set to continue. Upgrade to Neutral</w:t>
                    </w:r>
                  </w:hyperlink>
                </w:p>
                <w:p w:rsidR="00CE4CDB" w:rsidRPr="00892684" w:rsidRDefault="00CE4CDB" w:rsidP="00F6139A">
                  <w:pPr>
                    <w:pStyle w:val="ListParagraph"/>
                    <w:numPr>
                      <w:ilvl w:val="0"/>
                      <w:numId w:val="48"/>
                    </w:numPr>
                    <w:rPr>
                      <w:rFonts w:ascii="Times" w:hAnsi="Times" w:cs="Arial"/>
                      <w:sz w:val="19"/>
                      <w:szCs w:val="19"/>
                    </w:rPr>
                  </w:pPr>
                  <w:r w:rsidRPr="00892684">
                    <w:rPr>
                      <w:rFonts w:ascii="Times" w:hAnsi="Times" w:cs="Arial"/>
                      <w:b/>
                      <w:sz w:val="19"/>
                      <w:szCs w:val="19"/>
                    </w:rPr>
                    <w:t>May 15</w:t>
                  </w:r>
                  <w:r w:rsidRPr="00892684">
                    <w:rPr>
                      <w:rFonts w:ascii="Times" w:hAnsi="Times" w:cs="Arial"/>
                      <w:sz w:val="19"/>
                      <w:szCs w:val="19"/>
                      <w:vertAlign w:val="superscript"/>
                    </w:rPr>
                    <w:t>th</w:t>
                  </w:r>
                  <w:r w:rsidRPr="00892684">
                    <w:rPr>
                      <w:rFonts w:ascii="Times" w:hAnsi="Times" w:cs="Arial"/>
                      <w:sz w:val="19"/>
                      <w:szCs w:val="19"/>
                    </w:rPr>
                    <w:t xml:space="preserve">: </w:t>
                  </w:r>
                  <w:hyperlink r:id="rId21" w:history="1">
                    <w:r w:rsidRPr="00892684">
                      <w:rPr>
                        <w:rStyle w:val="Hyperlink"/>
                        <w:rFonts w:ascii="Times" w:hAnsi="Times" w:cs="Arial"/>
                        <w:sz w:val="19"/>
                        <w:szCs w:val="19"/>
                      </w:rPr>
                      <w:t>German utilities: Lack of earnings upside is no longer the focus. "Bad utility" concept could gain traction</w:t>
                    </w:r>
                  </w:hyperlink>
                </w:p>
                <w:p w:rsidR="00CE4CDB" w:rsidRPr="003010FA" w:rsidRDefault="00CE4CDB">
                  <w:pPr>
                    <w:rPr>
                      <w:rFonts w:ascii="Arial" w:hAnsi="Arial" w:cs="Arial"/>
                      <w:sz w:val="16"/>
                    </w:rPr>
                  </w:pPr>
                </w:p>
              </w:txbxContent>
            </v:textbox>
            <w10:wrap anchorx="margin" anchory="page"/>
            <w10:anchorlock/>
          </v:shape>
        </w:pict>
      </w:r>
      <w:r w:rsidR="008F4E21" w:rsidRPr="00DE26C2">
        <w:rPr>
          <w:b/>
          <w:sz w:val="21"/>
          <w:szCs w:val="21"/>
        </w:rPr>
        <w:t>No discussions on a nuclear “bad utility”</w:t>
      </w:r>
      <w:r w:rsidR="00D7465B" w:rsidRPr="00DE26C2">
        <w:rPr>
          <w:b/>
          <w:sz w:val="21"/>
          <w:szCs w:val="21"/>
        </w:rPr>
        <w:t>.</w:t>
      </w:r>
      <w:r w:rsidR="008F4E21" w:rsidRPr="00DE26C2">
        <w:rPr>
          <w:sz w:val="21"/>
          <w:szCs w:val="21"/>
        </w:rPr>
        <w:t xml:space="preserve"> Both companies reiterated that there are currently no discussions with politicians on </w:t>
      </w:r>
      <w:r w:rsidR="008727E7" w:rsidRPr="00DE26C2">
        <w:rPr>
          <w:sz w:val="21"/>
          <w:szCs w:val="21"/>
        </w:rPr>
        <w:t xml:space="preserve">the subject </w:t>
      </w:r>
      <w:r w:rsidR="00D7465B" w:rsidRPr="00DE26C2">
        <w:rPr>
          <w:sz w:val="21"/>
          <w:szCs w:val="21"/>
        </w:rPr>
        <w:t xml:space="preserve">of a </w:t>
      </w:r>
      <w:r w:rsidR="0024261D" w:rsidRPr="00DE26C2">
        <w:rPr>
          <w:sz w:val="21"/>
          <w:szCs w:val="21"/>
        </w:rPr>
        <w:t>potential burden sharing agreement on long term nuclear liabilities</w:t>
      </w:r>
      <w:r w:rsidR="00CE4CDB" w:rsidRPr="00DE26C2">
        <w:rPr>
          <w:sz w:val="21"/>
          <w:szCs w:val="21"/>
        </w:rPr>
        <w:t>, though clearly they would be open to this</w:t>
      </w:r>
      <w:r w:rsidR="008727E7" w:rsidRPr="00DE26C2">
        <w:rPr>
          <w:sz w:val="21"/>
          <w:szCs w:val="21"/>
        </w:rPr>
        <w:t xml:space="preserve">. </w:t>
      </w:r>
      <w:r w:rsidR="00D7465B" w:rsidRPr="00DE26C2">
        <w:rPr>
          <w:sz w:val="21"/>
          <w:szCs w:val="21"/>
        </w:rPr>
        <w:t>As detailed in our May 15</w:t>
      </w:r>
      <w:r w:rsidR="00D7465B" w:rsidRPr="00DE26C2">
        <w:rPr>
          <w:sz w:val="21"/>
          <w:szCs w:val="21"/>
          <w:vertAlign w:val="superscript"/>
        </w:rPr>
        <w:t>th</w:t>
      </w:r>
      <w:r w:rsidR="00D7465B" w:rsidRPr="00DE26C2">
        <w:rPr>
          <w:sz w:val="21"/>
          <w:szCs w:val="21"/>
        </w:rPr>
        <w:t xml:space="preserve"> </w:t>
      </w:r>
      <w:hyperlink r:id="rId22" w:history="1">
        <w:r w:rsidR="00D7465B" w:rsidRPr="00DE26C2">
          <w:rPr>
            <w:rStyle w:val="Hyperlink"/>
            <w:sz w:val="21"/>
            <w:szCs w:val="21"/>
          </w:rPr>
          <w:t>note</w:t>
        </w:r>
      </w:hyperlink>
      <w:r w:rsidR="00D7465B" w:rsidRPr="00DE26C2">
        <w:rPr>
          <w:sz w:val="21"/>
          <w:szCs w:val="21"/>
        </w:rPr>
        <w:t>, unburdening E</w:t>
      </w:r>
      <w:r w:rsidR="00892684" w:rsidRPr="00DE26C2">
        <w:rPr>
          <w:sz w:val="21"/>
          <w:szCs w:val="21"/>
        </w:rPr>
        <w:t>.</w:t>
      </w:r>
      <w:r w:rsidR="00D7465B" w:rsidRPr="00DE26C2">
        <w:rPr>
          <w:sz w:val="21"/>
          <w:szCs w:val="21"/>
        </w:rPr>
        <w:t>ON and RWE of their long term fuel storage liabilities (the most sensitive topic from the point of view of public health and the envir</w:t>
      </w:r>
      <w:r w:rsidR="00CE4CDB" w:rsidRPr="00DE26C2">
        <w:rPr>
          <w:sz w:val="21"/>
          <w:szCs w:val="21"/>
        </w:rPr>
        <w:t>onment) c</w:t>
      </w:r>
      <w:r w:rsidR="00D7465B" w:rsidRPr="00DE26C2">
        <w:rPr>
          <w:sz w:val="21"/>
          <w:szCs w:val="21"/>
        </w:rPr>
        <w:t xml:space="preserve">ould </w:t>
      </w:r>
      <w:r w:rsidR="00CE4CDB" w:rsidRPr="00DE26C2">
        <w:rPr>
          <w:sz w:val="21"/>
          <w:szCs w:val="21"/>
        </w:rPr>
        <w:t xml:space="preserve">potentially </w:t>
      </w:r>
      <w:r w:rsidR="00D7465B" w:rsidRPr="00DE26C2">
        <w:rPr>
          <w:sz w:val="21"/>
          <w:szCs w:val="21"/>
        </w:rPr>
        <w:t>accrete equity values by €6.6bn</w:t>
      </w:r>
      <w:r w:rsidR="0064433A" w:rsidRPr="00DE26C2">
        <w:rPr>
          <w:sz w:val="21"/>
          <w:szCs w:val="21"/>
        </w:rPr>
        <w:t xml:space="preserve"> </w:t>
      </w:r>
      <w:r w:rsidR="00D7465B" w:rsidRPr="00DE26C2">
        <w:rPr>
          <w:sz w:val="21"/>
          <w:szCs w:val="21"/>
        </w:rPr>
        <w:t>and €5.5bn</w:t>
      </w:r>
      <w:r w:rsidR="00892684" w:rsidRPr="00DE26C2">
        <w:rPr>
          <w:sz w:val="21"/>
          <w:szCs w:val="21"/>
        </w:rPr>
        <w:t>,</w:t>
      </w:r>
      <w:r w:rsidR="00D7465B" w:rsidRPr="00DE26C2">
        <w:rPr>
          <w:sz w:val="21"/>
          <w:szCs w:val="21"/>
        </w:rPr>
        <w:t xml:space="preserve"> respectively.</w:t>
      </w:r>
      <w:r w:rsidR="00CE4CDB" w:rsidRPr="00DE26C2">
        <w:rPr>
          <w:sz w:val="21"/>
          <w:szCs w:val="21"/>
        </w:rPr>
        <w:t xml:space="preserve"> Any potential negotiation </w:t>
      </w:r>
      <w:r w:rsidR="00892684" w:rsidRPr="00DE26C2">
        <w:rPr>
          <w:sz w:val="21"/>
          <w:szCs w:val="21"/>
        </w:rPr>
        <w:t>will</w:t>
      </w:r>
      <w:r w:rsidR="00CE4CDB" w:rsidRPr="00DE26C2">
        <w:rPr>
          <w:sz w:val="21"/>
          <w:szCs w:val="21"/>
        </w:rPr>
        <w:t xml:space="preserve"> likely take several years to conclude</w:t>
      </w:r>
      <w:r w:rsidR="00892684" w:rsidRPr="00DE26C2">
        <w:rPr>
          <w:sz w:val="21"/>
          <w:szCs w:val="21"/>
        </w:rPr>
        <w:t>,</w:t>
      </w:r>
      <w:r w:rsidR="00CE4CDB" w:rsidRPr="00DE26C2">
        <w:rPr>
          <w:sz w:val="21"/>
          <w:szCs w:val="21"/>
        </w:rPr>
        <w:t xml:space="preserve"> in our view. </w:t>
      </w:r>
    </w:p>
    <w:p w:rsidR="005236CB" w:rsidRPr="00DE26C2" w:rsidRDefault="008727E7" w:rsidP="006F4F5A">
      <w:pPr>
        <w:pStyle w:val="FPBullet"/>
        <w:spacing w:after="0" w:line="240" w:lineRule="exact"/>
        <w:rPr>
          <w:sz w:val="21"/>
          <w:szCs w:val="21"/>
        </w:rPr>
      </w:pPr>
      <w:r w:rsidRPr="00DE26C2">
        <w:rPr>
          <w:b/>
          <w:sz w:val="21"/>
          <w:szCs w:val="21"/>
        </w:rPr>
        <w:t>Generation a free option?</w:t>
      </w:r>
      <w:r w:rsidRPr="00DE26C2">
        <w:rPr>
          <w:sz w:val="21"/>
          <w:szCs w:val="21"/>
        </w:rPr>
        <w:t xml:space="preserve"> </w:t>
      </w:r>
      <w:r w:rsidR="005726D9" w:rsidRPr="00DE26C2">
        <w:rPr>
          <w:sz w:val="21"/>
          <w:szCs w:val="21"/>
        </w:rPr>
        <w:t>Both companies expect their</w:t>
      </w:r>
      <w:r w:rsidR="0064433A" w:rsidRPr="00DE26C2">
        <w:rPr>
          <w:sz w:val="21"/>
          <w:szCs w:val="21"/>
        </w:rPr>
        <w:t xml:space="preserve"> generation business</w:t>
      </w:r>
      <w:r w:rsidR="005726D9" w:rsidRPr="00DE26C2">
        <w:rPr>
          <w:sz w:val="21"/>
          <w:szCs w:val="21"/>
        </w:rPr>
        <w:t>es</w:t>
      </w:r>
      <w:r w:rsidR="0064433A" w:rsidRPr="00DE26C2">
        <w:rPr>
          <w:sz w:val="21"/>
          <w:szCs w:val="21"/>
        </w:rPr>
        <w:t xml:space="preserve"> will not turn cash negative on a mark to market basis (according to E</w:t>
      </w:r>
      <w:r w:rsidR="00DE26C2" w:rsidRPr="00DE26C2">
        <w:rPr>
          <w:sz w:val="21"/>
          <w:szCs w:val="21"/>
        </w:rPr>
        <w:t>.</w:t>
      </w:r>
      <w:r w:rsidR="0064433A" w:rsidRPr="00DE26C2">
        <w:rPr>
          <w:sz w:val="21"/>
          <w:szCs w:val="21"/>
        </w:rPr>
        <w:t xml:space="preserve">ON, €1.2bn of EBITDA in the medium term is a reasonable objective, which would allow the company to cover both maintenance capex of c€0.3-0.4bn and cash outflows related to nuclear liabilities of c€0.8bn). According to RWE, with </w:t>
      </w:r>
      <w:r w:rsidRPr="00DE26C2">
        <w:rPr>
          <w:sz w:val="21"/>
          <w:szCs w:val="21"/>
        </w:rPr>
        <w:t xml:space="preserve">coal prices </w:t>
      </w:r>
      <w:r w:rsidR="0064433A" w:rsidRPr="00DE26C2">
        <w:rPr>
          <w:sz w:val="21"/>
          <w:szCs w:val="21"/>
        </w:rPr>
        <w:t xml:space="preserve">having bottomed out (which we do not </w:t>
      </w:r>
      <w:r w:rsidR="00BC4F0B" w:rsidRPr="00DE26C2">
        <w:rPr>
          <w:sz w:val="21"/>
          <w:szCs w:val="21"/>
        </w:rPr>
        <w:t>think is evident</w:t>
      </w:r>
      <w:r w:rsidR="005726D9" w:rsidRPr="00DE26C2">
        <w:rPr>
          <w:sz w:val="21"/>
          <w:szCs w:val="21"/>
        </w:rPr>
        <w:t xml:space="preserve">, as per </w:t>
      </w:r>
      <w:r w:rsidR="00AC4C5D" w:rsidRPr="00DE26C2">
        <w:rPr>
          <w:sz w:val="21"/>
          <w:szCs w:val="21"/>
        </w:rPr>
        <w:t xml:space="preserve">JPM </w:t>
      </w:r>
      <w:r w:rsidR="005726D9" w:rsidRPr="00DE26C2">
        <w:rPr>
          <w:sz w:val="21"/>
          <w:szCs w:val="21"/>
        </w:rPr>
        <w:t>coal analysts</w:t>
      </w:r>
      <w:r w:rsidR="00AC4C5D" w:rsidRPr="00DE26C2">
        <w:rPr>
          <w:sz w:val="21"/>
          <w:szCs w:val="21"/>
        </w:rPr>
        <w:t>’</w:t>
      </w:r>
      <w:r w:rsidR="005726D9" w:rsidRPr="00DE26C2">
        <w:rPr>
          <w:sz w:val="21"/>
          <w:szCs w:val="21"/>
        </w:rPr>
        <w:t xml:space="preserve"> latest </w:t>
      </w:r>
      <w:hyperlink r:id="rId23" w:history="1">
        <w:r w:rsidR="005726D9" w:rsidRPr="00DE26C2">
          <w:rPr>
            <w:rStyle w:val="Hyperlink"/>
            <w:sz w:val="21"/>
            <w:szCs w:val="21"/>
          </w:rPr>
          <w:t>report</w:t>
        </w:r>
      </w:hyperlink>
      <w:r w:rsidR="0064433A" w:rsidRPr="00DE26C2">
        <w:rPr>
          <w:sz w:val="21"/>
          <w:szCs w:val="21"/>
        </w:rPr>
        <w:t xml:space="preserve">) </w:t>
      </w:r>
      <w:r w:rsidR="00BC4F0B" w:rsidRPr="00DE26C2">
        <w:rPr>
          <w:sz w:val="21"/>
          <w:szCs w:val="21"/>
        </w:rPr>
        <w:t>and plans for capacity payments being drawn up in the UK and Germany, generatio</w:t>
      </w:r>
      <w:r w:rsidR="00CE4CDB" w:rsidRPr="00DE26C2">
        <w:rPr>
          <w:sz w:val="21"/>
          <w:szCs w:val="21"/>
        </w:rPr>
        <w:t>n now represents a free option</w:t>
      </w:r>
      <w:r w:rsidRPr="00DE26C2">
        <w:rPr>
          <w:sz w:val="21"/>
          <w:szCs w:val="21"/>
        </w:rPr>
        <w:t xml:space="preserve">. </w:t>
      </w:r>
      <w:r w:rsidR="00290721" w:rsidRPr="00DE26C2">
        <w:rPr>
          <w:sz w:val="21"/>
          <w:szCs w:val="21"/>
        </w:rPr>
        <w:t xml:space="preserve">That the business </w:t>
      </w:r>
      <w:r w:rsidR="00AC4C5D" w:rsidRPr="00DE26C2">
        <w:rPr>
          <w:sz w:val="21"/>
          <w:szCs w:val="21"/>
        </w:rPr>
        <w:t>stays</w:t>
      </w:r>
      <w:r w:rsidR="00290721" w:rsidRPr="00DE26C2">
        <w:rPr>
          <w:sz w:val="21"/>
          <w:szCs w:val="21"/>
        </w:rPr>
        <w:t xml:space="preserve"> cash positive remains a</w:t>
      </w:r>
      <w:r w:rsidR="00AC4C5D" w:rsidRPr="00DE26C2">
        <w:rPr>
          <w:sz w:val="21"/>
          <w:szCs w:val="21"/>
        </w:rPr>
        <w:t xml:space="preserve"> strict</w:t>
      </w:r>
      <w:r w:rsidR="00290721" w:rsidRPr="00DE26C2">
        <w:rPr>
          <w:sz w:val="21"/>
          <w:szCs w:val="21"/>
        </w:rPr>
        <w:t xml:space="preserve"> requirement and further cost cutting efforts, if necessary, will ensure this is the case. </w:t>
      </w:r>
    </w:p>
    <w:p w:rsidR="008727E7" w:rsidRPr="00DE26C2" w:rsidRDefault="002B3C92" w:rsidP="00DE26C2">
      <w:pPr>
        <w:pStyle w:val="ShiftFPBullet"/>
        <w:spacing w:after="120" w:line="240" w:lineRule="exact"/>
        <w:rPr>
          <w:sz w:val="21"/>
          <w:szCs w:val="21"/>
        </w:rPr>
      </w:pPr>
      <w:r w:rsidRPr="00DE26C2">
        <w:rPr>
          <w:b/>
          <w:sz w:val="21"/>
          <w:szCs w:val="21"/>
        </w:rPr>
        <w:lastRenderedPageBreak/>
        <w:t xml:space="preserve">Clear vision of the </w:t>
      </w:r>
      <w:r w:rsidR="008727E7" w:rsidRPr="00DE26C2">
        <w:rPr>
          <w:b/>
          <w:sz w:val="21"/>
          <w:szCs w:val="21"/>
        </w:rPr>
        <w:t>equity story transformation at RWE</w:t>
      </w:r>
      <w:r w:rsidR="0080195E" w:rsidRPr="00DE26C2">
        <w:rPr>
          <w:b/>
          <w:sz w:val="21"/>
          <w:szCs w:val="21"/>
        </w:rPr>
        <w:t xml:space="preserve">. </w:t>
      </w:r>
      <w:r w:rsidR="00DE26C2" w:rsidRPr="00DE26C2">
        <w:rPr>
          <w:sz w:val="21"/>
          <w:szCs w:val="21"/>
        </w:rPr>
        <w:t>RWE’</w:t>
      </w:r>
      <w:r w:rsidR="00E52294" w:rsidRPr="00DE26C2">
        <w:rPr>
          <w:sz w:val="21"/>
          <w:szCs w:val="21"/>
        </w:rPr>
        <w:t xml:space="preserve">s CEO </w:t>
      </w:r>
      <w:r w:rsidR="00AC4C5D" w:rsidRPr="00DE26C2">
        <w:rPr>
          <w:sz w:val="21"/>
          <w:szCs w:val="21"/>
        </w:rPr>
        <w:t xml:space="preserve">thus </w:t>
      </w:r>
      <w:r w:rsidR="00E52294" w:rsidRPr="00DE26C2">
        <w:rPr>
          <w:sz w:val="21"/>
          <w:szCs w:val="21"/>
        </w:rPr>
        <w:t xml:space="preserve">conveyed a clear message </w:t>
      </w:r>
      <w:r w:rsidR="00AC4C5D" w:rsidRPr="00DE26C2">
        <w:rPr>
          <w:sz w:val="21"/>
          <w:szCs w:val="21"/>
        </w:rPr>
        <w:t xml:space="preserve">of deep </w:t>
      </w:r>
      <w:r w:rsidR="00E52294" w:rsidRPr="00DE26C2">
        <w:rPr>
          <w:sz w:val="21"/>
          <w:szCs w:val="21"/>
        </w:rPr>
        <w:t>equity story transformation</w:t>
      </w:r>
      <w:r w:rsidR="00AC4C5D" w:rsidRPr="00DE26C2">
        <w:rPr>
          <w:sz w:val="21"/>
          <w:szCs w:val="21"/>
        </w:rPr>
        <w:t>, in our view</w:t>
      </w:r>
      <w:r w:rsidR="00CE4CDB" w:rsidRPr="00DE26C2">
        <w:rPr>
          <w:sz w:val="21"/>
          <w:szCs w:val="21"/>
        </w:rPr>
        <w:t>. Fo</w:t>
      </w:r>
      <w:r w:rsidR="00457F08" w:rsidRPr="00DE26C2">
        <w:rPr>
          <w:sz w:val="21"/>
          <w:szCs w:val="21"/>
        </w:rPr>
        <w:t xml:space="preserve">llowing the sale of DEA (which is </w:t>
      </w:r>
      <w:r w:rsidR="00CE4CDB" w:rsidRPr="00DE26C2">
        <w:rPr>
          <w:sz w:val="21"/>
          <w:szCs w:val="21"/>
        </w:rPr>
        <w:t xml:space="preserve">very likely </w:t>
      </w:r>
      <w:r w:rsidR="00457F08" w:rsidRPr="00DE26C2">
        <w:rPr>
          <w:sz w:val="21"/>
          <w:szCs w:val="21"/>
        </w:rPr>
        <w:t>to complete, with the government expected to give its view on the deal by the end of the year)</w:t>
      </w:r>
      <w:r w:rsidR="00DE26C2" w:rsidRPr="00DE26C2">
        <w:rPr>
          <w:sz w:val="21"/>
          <w:szCs w:val="21"/>
        </w:rPr>
        <w:t>,</w:t>
      </w:r>
      <w:r w:rsidR="00457F08" w:rsidRPr="00DE26C2">
        <w:rPr>
          <w:sz w:val="21"/>
          <w:szCs w:val="21"/>
        </w:rPr>
        <w:t xml:space="preserve"> </w:t>
      </w:r>
      <w:r w:rsidR="00CE4CDB" w:rsidRPr="00DE26C2">
        <w:rPr>
          <w:sz w:val="21"/>
          <w:szCs w:val="21"/>
        </w:rPr>
        <w:t xml:space="preserve">RWE’s refinancing requirements </w:t>
      </w:r>
      <w:r w:rsidR="00DE26C2" w:rsidRPr="00DE26C2">
        <w:rPr>
          <w:sz w:val="21"/>
          <w:szCs w:val="21"/>
        </w:rPr>
        <w:t>should</w:t>
      </w:r>
      <w:r w:rsidR="00CE4CDB" w:rsidRPr="00DE26C2">
        <w:rPr>
          <w:sz w:val="21"/>
          <w:szCs w:val="21"/>
        </w:rPr>
        <w:t xml:space="preserve"> be very manageable. However</w:t>
      </w:r>
      <w:r w:rsidR="00605256" w:rsidRPr="00DE26C2">
        <w:rPr>
          <w:sz w:val="21"/>
          <w:szCs w:val="21"/>
        </w:rPr>
        <w:t>,</w:t>
      </w:r>
      <w:r w:rsidR="00CE4CDB" w:rsidRPr="00DE26C2">
        <w:rPr>
          <w:sz w:val="21"/>
          <w:szCs w:val="21"/>
        </w:rPr>
        <w:t xml:space="preserve"> management continues to consider </w:t>
      </w:r>
      <w:r w:rsidR="00605256" w:rsidRPr="00DE26C2">
        <w:rPr>
          <w:sz w:val="21"/>
          <w:szCs w:val="21"/>
        </w:rPr>
        <w:t xml:space="preserve">that a 3.0x </w:t>
      </w:r>
      <w:r w:rsidR="00CE4CDB" w:rsidRPr="00DE26C2">
        <w:rPr>
          <w:sz w:val="21"/>
          <w:szCs w:val="21"/>
        </w:rPr>
        <w:t xml:space="preserve">economic leverage </w:t>
      </w:r>
      <w:r w:rsidR="00605256" w:rsidRPr="00DE26C2">
        <w:rPr>
          <w:sz w:val="21"/>
          <w:szCs w:val="21"/>
        </w:rPr>
        <w:t xml:space="preserve">target is prudent, </w:t>
      </w:r>
      <w:r w:rsidR="00892684" w:rsidRPr="00DE26C2">
        <w:rPr>
          <w:sz w:val="21"/>
          <w:szCs w:val="21"/>
        </w:rPr>
        <w:t>and</w:t>
      </w:r>
      <w:r w:rsidR="00225477" w:rsidRPr="00DE26C2">
        <w:rPr>
          <w:sz w:val="21"/>
          <w:szCs w:val="21"/>
        </w:rPr>
        <w:t xml:space="preserve"> it is </w:t>
      </w:r>
      <w:r w:rsidR="00605256" w:rsidRPr="00DE26C2">
        <w:rPr>
          <w:sz w:val="21"/>
          <w:szCs w:val="21"/>
        </w:rPr>
        <w:t xml:space="preserve">also an important point of focus for the company’s internal focus on efficiency. </w:t>
      </w:r>
      <w:r w:rsidR="00225477" w:rsidRPr="00DE26C2">
        <w:rPr>
          <w:sz w:val="21"/>
          <w:szCs w:val="21"/>
        </w:rPr>
        <w:t xml:space="preserve">Our view however remains that the leverage target could be reviewed over the next 18-24 months. </w:t>
      </w:r>
      <w:r w:rsidR="00457F08" w:rsidRPr="00DE26C2">
        <w:rPr>
          <w:sz w:val="21"/>
          <w:szCs w:val="21"/>
        </w:rPr>
        <w:t xml:space="preserve">The group remains very focused on </w:t>
      </w:r>
      <w:r w:rsidR="00AC4C5D" w:rsidRPr="00DE26C2">
        <w:rPr>
          <w:sz w:val="21"/>
          <w:szCs w:val="21"/>
        </w:rPr>
        <w:t xml:space="preserve">FCF </w:t>
      </w:r>
      <w:r w:rsidR="00457F08" w:rsidRPr="00DE26C2">
        <w:rPr>
          <w:sz w:val="21"/>
          <w:szCs w:val="21"/>
        </w:rPr>
        <w:t xml:space="preserve">generation (including working capital management) and a third cost cutting wave will be announced, </w:t>
      </w:r>
      <w:r w:rsidR="000759DF" w:rsidRPr="00DE26C2">
        <w:rPr>
          <w:sz w:val="21"/>
          <w:szCs w:val="21"/>
        </w:rPr>
        <w:t xml:space="preserve">most likely </w:t>
      </w:r>
      <w:r w:rsidR="00457F08" w:rsidRPr="00DE26C2">
        <w:rPr>
          <w:sz w:val="21"/>
          <w:szCs w:val="21"/>
        </w:rPr>
        <w:t>in March 2015.</w:t>
      </w:r>
      <w:r w:rsidR="00B45148" w:rsidRPr="00DE26C2">
        <w:rPr>
          <w:sz w:val="21"/>
          <w:szCs w:val="21"/>
        </w:rPr>
        <w:t xml:space="preserve"> </w:t>
      </w:r>
      <w:r w:rsidR="00AC4C5D" w:rsidRPr="00DE26C2">
        <w:rPr>
          <w:sz w:val="21"/>
          <w:szCs w:val="21"/>
        </w:rPr>
        <w:t xml:space="preserve">Given the above, </w:t>
      </w:r>
      <w:r w:rsidR="00B45148" w:rsidRPr="00DE26C2">
        <w:rPr>
          <w:sz w:val="21"/>
          <w:szCs w:val="21"/>
        </w:rPr>
        <w:t xml:space="preserve">and </w:t>
      </w:r>
      <w:r w:rsidR="00AC4C5D" w:rsidRPr="00DE26C2">
        <w:rPr>
          <w:sz w:val="21"/>
          <w:szCs w:val="21"/>
        </w:rPr>
        <w:t xml:space="preserve">with </w:t>
      </w:r>
      <w:r w:rsidR="00B45148" w:rsidRPr="00DE26C2">
        <w:rPr>
          <w:sz w:val="21"/>
          <w:szCs w:val="21"/>
        </w:rPr>
        <w:t xml:space="preserve">cash costs of nuclear decommissioning </w:t>
      </w:r>
      <w:r w:rsidR="00AC4C5D" w:rsidRPr="00DE26C2">
        <w:rPr>
          <w:sz w:val="21"/>
          <w:szCs w:val="21"/>
        </w:rPr>
        <w:t xml:space="preserve">expected to stay </w:t>
      </w:r>
      <w:r w:rsidR="00B45148" w:rsidRPr="00DE26C2">
        <w:rPr>
          <w:sz w:val="21"/>
          <w:szCs w:val="21"/>
        </w:rPr>
        <w:t xml:space="preserve">stable </w:t>
      </w:r>
      <w:r w:rsidR="00AC4C5D" w:rsidRPr="00DE26C2">
        <w:rPr>
          <w:sz w:val="21"/>
          <w:szCs w:val="21"/>
        </w:rPr>
        <w:t xml:space="preserve">at €0.3-0.4bn p.a. </w:t>
      </w:r>
      <w:r w:rsidR="00B45148" w:rsidRPr="00DE26C2">
        <w:rPr>
          <w:sz w:val="21"/>
          <w:szCs w:val="21"/>
        </w:rPr>
        <w:t xml:space="preserve">for the next decade, </w:t>
      </w:r>
      <w:r w:rsidR="000759DF" w:rsidRPr="00DE26C2">
        <w:rPr>
          <w:sz w:val="21"/>
          <w:szCs w:val="21"/>
        </w:rPr>
        <w:t xml:space="preserve">we believe </w:t>
      </w:r>
      <w:r w:rsidR="00B45148" w:rsidRPr="00DE26C2">
        <w:rPr>
          <w:sz w:val="21"/>
          <w:szCs w:val="21"/>
        </w:rPr>
        <w:t xml:space="preserve">a return to growth capex or indeed a payout ratio increase (though obviously politically </w:t>
      </w:r>
      <w:r w:rsidR="000759DF" w:rsidRPr="00DE26C2">
        <w:rPr>
          <w:sz w:val="21"/>
          <w:szCs w:val="21"/>
        </w:rPr>
        <w:t xml:space="preserve">unadvisable </w:t>
      </w:r>
      <w:r w:rsidR="00B45148" w:rsidRPr="00DE26C2">
        <w:rPr>
          <w:sz w:val="21"/>
          <w:szCs w:val="21"/>
        </w:rPr>
        <w:t xml:space="preserve">near term) are options that </w:t>
      </w:r>
      <w:r w:rsidR="000759DF" w:rsidRPr="00DE26C2">
        <w:rPr>
          <w:sz w:val="21"/>
          <w:szCs w:val="21"/>
        </w:rPr>
        <w:t>will</w:t>
      </w:r>
      <w:r w:rsidR="00B45148" w:rsidRPr="00DE26C2">
        <w:rPr>
          <w:sz w:val="21"/>
          <w:szCs w:val="21"/>
        </w:rPr>
        <w:t xml:space="preserve"> be considered once the company has “earned its right to grow again</w:t>
      </w:r>
      <w:r w:rsidR="00AC4C5D" w:rsidRPr="00DE26C2">
        <w:rPr>
          <w:sz w:val="21"/>
          <w:szCs w:val="21"/>
        </w:rPr>
        <w:t>”</w:t>
      </w:r>
      <w:r w:rsidR="00B45148" w:rsidRPr="00DE26C2">
        <w:rPr>
          <w:sz w:val="21"/>
          <w:szCs w:val="21"/>
        </w:rPr>
        <w:t>.</w:t>
      </w:r>
    </w:p>
    <w:p w:rsidR="002B3C92" w:rsidRPr="00DE26C2" w:rsidRDefault="0080195E" w:rsidP="00DE26C2">
      <w:pPr>
        <w:pStyle w:val="ShiftFPBullet"/>
        <w:spacing w:after="120" w:line="240" w:lineRule="exact"/>
        <w:rPr>
          <w:sz w:val="21"/>
          <w:szCs w:val="21"/>
        </w:rPr>
      </w:pPr>
      <w:r w:rsidRPr="00DE26C2">
        <w:rPr>
          <w:b/>
          <w:sz w:val="21"/>
          <w:szCs w:val="21"/>
        </w:rPr>
        <w:t xml:space="preserve">More uncertainty about the future shape of the group at </w:t>
      </w:r>
      <w:r w:rsidR="002B3C92" w:rsidRPr="00DE26C2">
        <w:rPr>
          <w:b/>
          <w:sz w:val="21"/>
          <w:szCs w:val="21"/>
        </w:rPr>
        <w:t>E.ON</w:t>
      </w:r>
      <w:r w:rsidR="002B3C92" w:rsidRPr="00DE26C2">
        <w:rPr>
          <w:sz w:val="21"/>
          <w:szCs w:val="21"/>
        </w:rPr>
        <w:t>.</w:t>
      </w:r>
      <w:r w:rsidR="00B45148" w:rsidRPr="00DE26C2">
        <w:rPr>
          <w:sz w:val="21"/>
          <w:szCs w:val="21"/>
        </w:rPr>
        <w:t xml:space="preserve"> Our perception remains that there is less strategic clarity at E</w:t>
      </w:r>
      <w:r w:rsidR="00DE26C2" w:rsidRPr="00DE26C2">
        <w:rPr>
          <w:sz w:val="21"/>
          <w:szCs w:val="21"/>
        </w:rPr>
        <w:t>.</w:t>
      </w:r>
      <w:r w:rsidR="00B45148" w:rsidRPr="00DE26C2">
        <w:rPr>
          <w:sz w:val="21"/>
          <w:szCs w:val="21"/>
        </w:rPr>
        <w:t xml:space="preserve">ON than at RWE, partly because of the group’s higher geographical and business diversification. Management </w:t>
      </w:r>
      <w:r w:rsidR="00AC4C5D" w:rsidRPr="00DE26C2">
        <w:rPr>
          <w:sz w:val="21"/>
          <w:szCs w:val="21"/>
        </w:rPr>
        <w:t xml:space="preserve">is </w:t>
      </w:r>
      <w:r w:rsidR="00B45148" w:rsidRPr="00DE26C2">
        <w:rPr>
          <w:sz w:val="21"/>
          <w:szCs w:val="21"/>
        </w:rPr>
        <w:t xml:space="preserve">pleased with the progress of its Turkish business, whilst </w:t>
      </w:r>
      <w:r w:rsidR="00AC4C5D" w:rsidRPr="00DE26C2">
        <w:rPr>
          <w:sz w:val="21"/>
          <w:szCs w:val="21"/>
        </w:rPr>
        <w:t xml:space="preserve">it continues </w:t>
      </w:r>
      <w:r w:rsidR="00B45148" w:rsidRPr="00DE26C2">
        <w:rPr>
          <w:sz w:val="21"/>
          <w:szCs w:val="21"/>
        </w:rPr>
        <w:t>to focus on stabilizing Eneva before further growth options are examined. E&amp;P is managed as a standalone business, given the lack of synergies with the rest of the group. Capex over t</w:t>
      </w:r>
      <w:r w:rsidR="00AC4C5D" w:rsidRPr="00DE26C2">
        <w:rPr>
          <w:sz w:val="21"/>
          <w:szCs w:val="21"/>
        </w:rPr>
        <w:t xml:space="preserve">he next few years will focus </w:t>
      </w:r>
      <w:r w:rsidR="00B45148" w:rsidRPr="00DE26C2">
        <w:rPr>
          <w:sz w:val="21"/>
          <w:szCs w:val="21"/>
        </w:rPr>
        <w:t>on renewable</w:t>
      </w:r>
      <w:r w:rsidR="00292678" w:rsidRPr="00DE26C2">
        <w:rPr>
          <w:sz w:val="21"/>
          <w:szCs w:val="21"/>
        </w:rPr>
        <w:t>s</w:t>
      </w:r>
      <w:r w:rsidR="00B45148" w:rsidRPr="00DE26C2">
        <w:rPr>
          <w:sz w:val="21"/>
          <w:szCs w:val="21"/>
        </w:rPr>
        <w:t xml:space="preserve">, distributed energy and regulated grids. </w:t>
      </w:r>
      <w:r w:rsidR="00D21E01" w:rsidRPr="00DE26C2">
        <w:rPr>
          <w:sz w:val="21"/>
          <w:szCs w:val="21"/>
        </w:rPr>
        <w:t xml:space="preserve">Cost cutting efforts will continue, potentially beyond the need to offset inflation, but the company does not expect to communicate group-wide targets at this stage. </w:t>
      </w:r>
      <w:r w:rsidR="00B45148" w:rsidRPr="00DE26C2">
        <w:rPr>
          <w:sz w:val="21"/>
          <w:szCs w:val="21"/>
        </w:rPr>
        <w:t>Management says it will rotate assets on an opportunistic basis (no comment on press reports of a disposal process in Italy</w:t>
      </w:r>
      <w:r w:rsidR="00D21E01" w:rsidRPr="00DE26C2">
        <w:rPr>
          <w:sz w:val="21"/>
          <w:szCs w:val="21"/>
        </w:rPr>
        <w:t xml:space="preserve"> or Spain)</w:t>
      </w:r>
      <w:r w:rsidR="000A0A62" w:rsidRPr="00DE26C2">
        <w:rPr>
          <w:sz w:val="21"/>
          <w:szCs w:val="21"/>
        </w:rPr>
        <w:t>. In summary,</w:t>
      </w:r>
      <w:r w:rsidR="00D21E01" w:rsidRPr="00DE26C2">
        <w:rPr>
          <w:sz w:val="21"/>
          <w:szCs w:val="21"/>
        </w:rPr>
        <w:t xml:space="preserve"> </w:t>
      </w:r>
      <w:r w:rsidR="000A0A62" w:rsidRPr="00DE26C2">
        <w:rPr>
          <w:sz w:val="21"/>
          <w:szCs w:val="21"/>
        </w:rPr>
        <w:t xml:space="preserve">E.ON’s </w:t>
      </w:r>
      <w:r w:rsidR="00D21E01" w:rsidRPr="00DE26C2">
        <w:rPr>
          <w:sz w:val="21"/>
          <w:szCs w:val="21"/>
        </w:rPr>
        <w:t>diversification seem</w:t>
      </w:r>
      <w:r w:rsidR="000A0A62" w:rsidRPr="00DE26C2">
        <w:rPr>
          <w:sz w:val="21"/>
          <w:szCs w:val="21"/>
        </w:rPr>
        <w:t>s</w:t>
      </w:r>
      <w:r w:rsidR="00D21E01" w:rsidRPr="00DE26C2">
        <w:rPr>
          <w:sz w:val="21"/>
          <w:szCs w:val="21"/>
        </w:rPr>
        <w:t xml:space="preserve"> </w:t>
      </w:r>
      <w:r w:rsidR="000A0A62" w:rsidRPr="00DE26C2">
        <w:rPr>
          <w:sz w:val="21"/>
          <w:szCs w:val="21"/>
        </w:rPr>
        <w:t xml:space="preserve">to be </w:t>
      </w:r>
      <w:r w:rsidR="00D21E01" w:rsidRPr="00DE26C2">
        <w:rPr>
          <w:sz w:val="21"/>
          <w:szCs w:val="21"/>
        </w:rPr>
        <w:t xml:space="preserve">less of an advantage versus peers </w:t>
      </w:r>
      <w:r w:rsidR="000A0A62" w:rsidRPr="00DE26C2">
        <w:rPr>
          <w:sz w:val="21"/>
          <w:szCs w:val="21"/>
        </w:rPr>
        <w:t xml:space="preserve">(particularly RWE) </w:t>
      </w:r>
      <w:r w:rsidR="00292678" w:rsidRPr="00DE26C2">
        <w:rPr>
          <w:sz w:val="21"/>
          <w:szCs w:val="21"/>
        </w:rPr>
        <w:t>than it c</w:t>
      </w:r>
      <w:r w:rsidR="00D21E01" w:rsidRPr="00DE26C2">
        <w:rPr>
          <w:sz w:val="21"/>
          <w:szCs w:val="21"/>
        </w:rPr>
        <w:t>ould</w:t>
      </w:r>
      <w:r w:rsidR="00292678" w:rsidRPr="00DE26C2">
        <w:rPr>
          <w:sz w:val="21"/>
          <w:szCs w:val="21"/>
        </w:rPr>
        <w:t xml:space="preserve"> be</w:t>
      </w:r>
      <w:r w:rsidR="00D21E01" w:rsidRPr="00DE26C2">
        <w:rPr>
          <w:sz w:val="21"/>
          <w:szCs w:val="21"/>
        </w:rPr>
        <w:t xml:space="preserve">. </w:t>
      </w:r>
    </w:p>
    <w:p w:rsidR="002F1A58" w:rsidRDefault="002F1A58" w:rsidP="002256F8"/>
    <w:p w:rsidR="002F1A58" w:rsidRDefault="002F1A58" w:rsidP="002256F8">
      <w:pPr>
        <w:sectPr w:rsidR="002F1A58" w:rsidSect="00096996">
          <w:headerReference w:type="even" r:id="rId24"/>
          <w:headerReference w:type="default" r:id="rId25"/>
          <w:footerReference w:type="even" r:id="rId26"/>
          <w:footerReference w:type="default" r:id="rId27"/>
          <w:headerReference w:type="first" r:id="rId28"/>
          <w:footerReference w:type="first" r:id="rId29"/>
          <w:pgSz w:w="12240" w:h="15840" w:code="1"/>
          <w:pgMar w:top="2376" w:right="578" w:bottom="720" w:left="1729" w:header="431" w:footer="720" w:gutter="0"/>
          <w:cols w:space="720"/>
          <w:formProt w:val="0"/>
          <w:titlePg/>
          <w:docGrid w:linePitch="360"/>
        </w:sectPr>
      </w:pPr>
    </w:p>
    <w:p w:rsidR="00B07313" w:rsidRDefault="00B07313" w:rsidP="00752C9E">
      <w:pPr>
        <w:pStyle w:val="Body"/>
      </w:pPr>
    </w:p>
    <w:p w:rsidR="004F30A5" w:rsidRPr="00752C9E" w:rsidRDefault="004F30A5" w:rsidP="00752C9E">
      <w:pPr>
        <w:pStyle w:val="Body"/>
        <w:sectPr w:rsidR="004F30A5" w:rsidRPr="00752C9E" w:rsidSect="004D53D4">
          <w:type w:val="continuous"/>
          <w:pgSz w:w="12240" w:h="15840" w:code="1"/>
          <w:pgMar w:top="2376" w:right="576" w:bottom="720" w:left="1728" w:header="936" w:footer="576" w:gutter="0"/>
          <w:cols w:space="720"/>
          <w:formProt w:val="0"/>
          <w:docGrid w:linePitch="360"/>
        </w:sectPr>
      </w:pPr>
    </w:p>
    <w:bookmarkStart w:id="0" w:name="_LegalDisclosure" w:displacedByCustomXml="next"/>
    <w:sdt>
      <w:sdtPr>
        <w:rPr>
          <w:sz w:val="20"/>
        </w:rPr>
        <w:alias w:val="DISCLOSURE"/>
        <w:tag w:val="DISCLOSURE"/>
        <w:id w:val="166324026"/>
        <w:lock w:val="sdtContentLocked"/>
        <w:placeholder>
          <w:docPart w:val="DF941368A9DB48489189927D0BAD9E15"/>
        </w:placeholder>
      </w:sdtPr>
      <w:sdtContent>
        <w:p w:rsidR="002A0467" w:rsidRDefault="002A0467">
          <w:pPr>
            <w:divId w:val="1448430651"/>
            <w:rPr>
              <w:rFonts w:eastAsia="Times New Roman"/>
              <w:sz w:val="12"/>
              <w:szCs w:val="12"/>
            </w:rPr>
          </w:pPr>
        </w:p>
        <w:p w:rsidR="002A0467" w:rsidRDefault="002A0467">
          <w:pPr>
            <w:divId w:val="1754936151"/>
            <w:rPr>
              <w:rFonts w:eastAsia="Times New Roman"/>
              <w:sz w:val="18"/>
              <w:szCs w:val="18"/>
            </w:rPr>
          </w:pPr>
          <w:r>
            <w:rPr>
              <w:rFonts w:eastAsia="Times New Roman"/>
              <w:b/>
              <w:bCs/>
              <w:sz w:val="20"/>
              <w:szCs w:val="20"/>
            </w:rPr>
            <w:t xml:space="preserve">Companies Discussed in This Report </w:t>
          </w:r>
          <w:r>
            <w:rPr>
              <w:rFonts w:eastAsia="Times New Roman"/>
              <w:sz w:val="20"/>
              <w:szCs w:val="20"/>
            </w:rPr>
            <w:t>(all prices in this report as of market close on 02 July 2014, unless otherwise indicated)</w:t>
          </w:r>
          <w:r>
            <w:rPr>
              <w:rFonts w:eastAsia="Times New Roman"/>
              <w:sz w:val="20"/>
              <w:szCs w:val="20"/>
            </w:rPr>
            <w:br/>
            <w:t xml:space="preserve">E.ON (EONGn.DE/€15.21[01 July 2014]/Neutral), RWE (RWEG.DE/€32.15/Neutral) </w:t>
          </w:r>
        </w:p>
        <w:p w:rsidR="002A0467" w:rsidRDefault="002A0467">
          <w:pPr>
            <w:divId w:val="34698203"/>
            <w:rPr>
              <w:rFonts w:eastAsia="Times New Roman"/>
              <w:sz w:val="12"/>
              <w:szCs w:val="12"/>
            </w:rPr>
          </w:pPr>
        </w:p>
        <w:p w:rsidR="002A0467" w:rsidRDefault="002A0467">
          <w:pPr>
            <w:divId w:val="1754936151"/>
            <w:rPr>
              <w:rFonts w:eastAsia="Times New Roman"/>
              <w:sz w:val="20"/>
              <w:szCs w:val="20"/>
            </w:rPr>
          </w:pPr>
          <w:r>
            <w:rPr>
              <w:rFonts w:eastAsia="Times New Roman"/>
              <w:b/>
              <w:bCs/>
              <w:sz w:val="18"/>
              <w:szCs w:val="18"/>
            </w:rPr>
            <w:t xml:space="preserve">Analyst Certification: </w:t>
          </w:r>
          <w:r>
            <w:rPr>
              <w:rFonts w:eastAsia="Times New Roman"/>
              <w:sz w:val="18"/>
              <w:szCs w:val="18"/>
            </w:rPr>
            <w:t>The research analyst(s) denoted by an “AC” on the cover of this report certifies (or, where multiple research analysts are primarily responsible for this report, the research analyst denoted by an “AC” on the cover or within the document individually certifies, with respect to each security or issuer that the research analyst covers in this research) that: (1) all of the views expressed in this report accurately reflect his or her personal views about any and all of the subject securities or issuers; and (2) no part of any of the research analyst's compensation was, is, or will be directly or indirectly related to the specific recommendations or views expressed by the research analyst(s) in this report. For all Korea-based research analysts listed on the front cover, they also certify, as per KOFIA requirements, that their analysis was made in good faith and that the views reflect their own opinion, without undue influence or intervention.</w:t>
          </w:r>
        </w:p>
        <w:p w:rsidR="002A0467" w:rsidRDefault="002A0467">
          <w:pPr>
            <w:divId w:val="1003436375"/>
            <w:rPr>
              <w:rFonts w:eastAsia="Times New Roman"/>
              <w:sz w:val="12"/>
              <w:szCs w:val="12"/>
            </w:rPr>
          </w:pPr>
        </w:p>
        <w:p w:rsidR="002A0467" w:rsidRDefault="002A0467" w:rsidP="002A0467">
          <w:pPr>
            <w:divId w:val="1754936151"/>
            <w:rPr>
              <w:rFonts w:eastAsia="Times New Roman"/>
              <w:sz w:val="20"/>
              <w:szCs w:val="20"/>
            </w:rPr>
          </w:pPr>
          <w:r>
            <w:rPr>
              <w:rFonts w:eastAsia="Times New Roman"/>
              <w:b/>
              <w:bCs/>
              <w:sz w:val="20"/>
              <w:szCs w:val="20"/>
            </w:rPr>
            <w:t>Important Disclosures</w:t>
          </w:r>
          <w:r>
            <w:rPr>
              <w:rFonts w:eastAsia="Times New Roman"/>
              <w:sz w:val="20"/>
              <w:szCs w:val="20"/>
            </w:rPr>
            <w:t xml:space="preserve"> </w:t>
          </w:r>
        </w:p>
        <w:p w:rsidR="002A0467" w:rsidRDefault="002A0467" w:rsidP="002A0467">
          <w:pPr>
            <w:spacing w:line="100" w:lineRule="auto"/>
            <w:divId w:val="1754936151"/>
            <w:rPr>
              <w:rFonts w:eastAsia="Times New Roman"/>
              <w:sz w:val="20"/>
              <w:szCs w:val="20"/>
            </w:rPr>
          </w:pPr>
          <w:r>
            <w:rPr>
              <w:rFonts w:eastAsia="Times New Roman"/>
              <w:sz w:val="20"/>
              <w:szCs w:val="20"/>
            </w:rPr>
            <w:pict>
              <v:rect id="_x0000_i1031" style="width:0;height:1.65pt" o:hralign="center" o:hrstd="t" o:hrnoshade="t" o:hr="t" fillcolor="black" stroked="f"/>
            </w:pict>
          </w:r>
        </w:p>
        <w:p w:rsidR="002A0467" w:rsidRDefault="002A0467" w:rsidP="002A0467">
          <w:pPr>
            <w:divId w:val="690306344"/>
            <w:rPr>
              <w:rFonts w:eastAsia="Times New Roman"/>
              <w:sz w:val="12"/>
              <w:szCs w:val="12"/>
            </w:rPr>
          </w:pPr>
        </w:p>
        <w:p w:rsidR="002A0467" w:rsidRDefault="002A0467">
          <w:pPr>
            <w:divId w:val="1754936151"/>
            <w:rPr>
              <w:rFonts w:eastAsia="Times New Roman"/>
            </w:rPr>
          </w:pPr>
          <w:r>
            <w:rPr>
              <w:rFonts w:eastAsia="Times New Roman" w:hAnsi="Symbol"/>
            </w:rPr>
            <w:t></w:t>
          </w:r>
          <w:r>
            <w:rPr>
              <w:rFonts w:eastAsia="Times New Roman"/>
            </w:rPr>
            <w:t xml:space="preserve">  </w:t>
          </w:r>
          <w:r>
            <w:rPr>
              <w:rFonts w:eastAsia="Times New Roman"/>
              <w:b/>
              <w:bCs/>
              <w:sz w:val="18"/>
              <w:szCs w:val="18"/>
            </w:rPr>
            <w:t xml:space="preserve">Market Maker/ Liquidity Provider: </w:t>
          </w:r>
          <w:r>
            <w:rPr>
              <w:rFonts w:eastAsia="Times New Roman"/>
              <w:sz w:val="18"/>
              <w:szCs w:val="18"/>
            </w:rPr>
            <w:t>J.P. Morgan Securities plc and/or an affiliate is a market maker and/or liquidity provider in E.ON, RWE.</w:t>
          </w:r>
        </w:p>
        <w:p w:rsidR="002A0467" w:rsidRDefault="002A0467">
          <w:pPr>
            <w:divId w:val="1754936151"/>
            <w:rPr>
              <w:rFonts w:eastAsia="Times New Roman"/>
            </w:rPr>
          </w:pPr>
          <w:r>
            <w:rPr>
              <w:rFonts w:eastAsia="Times New Roman" w:hAnsi="Symbol"/>
            </w:rPr>
            <w:t></w:t>
          </w:r>
          <w:r>
            <w:rPr>
              <w:rFonts w:eastAsia="Times New Roman"/>
            </w:rPr>
            <w:t xml:space="preserve">  </w:t>
          </w:r>
          <w:r>
            <w:rPr>
              <w:rFonts w:eastAsia="Times New Roman"/>
              <w:b/>
              <w:bCs/>
              <w:sz w:val="18"/>
              <w:szCs w:val="18"/>
            </w:rPr>
            <w:t xml:space="preserve">Lead or Co-manager: </w:t>
          </w:r>
          <w:r>
            <w:rPr>
              <w:rFonts w:eastAsia="Times New Roman"/>
              <w:sz w:val="18"/>
              <w:szCs w:val="18"/>
            </w:rPr>
            <w:t>J.P. Morgan acted as lead or co-manager in a public offering of equity and/or debt securities for E.ON, RWE within the past 12 months.</w:t>
          </w:r>
        </w:p>
        <w:p w:rsidR="002A0467" w:rsidRDefault="002A0467">
          <w:pPr>
            <w:divId w:val="1754936151"/>
            <w:rPr>
              <w:rFonts w:eastAsia="Times New Roman"/>
            </w:rPr>
          </w:pPr>
          <w:r>
            <w:rPr>
              <w:rFonts w:eastAsia="Times New Roman" w:hAnsi="Symbol"/>
            </w:rPr>
            <w:t></w:t>
          </w:r>
          <w:r>
            <w:rPr>
              <w:rFonts w:eastAsia="Times New Roman"/>
            </w:rPr>
            <w:t xml:space="preserve">  </w:t>
          </w:r>
          <w:r>
            <w:rPr>
              <w:rFonts w:eastAsia="Times New Roman"/>
              <w:b/>
              <w:bCs/>
              <w:sz w:val="18"/>
              <w:szCs w:val="18"/>
            </w:rPr>
            <w:t>Client:</w:t>
          </w:r>
          <w:r>
            <w:rPr>
              <w:rFonts w:eastAsia="Times New Roman"/>
              <w:sz w:val="18"/>
              <w:szCs w:val="18"/>
            </w:rPr>
            <w:t xml:space="preserve"> J.P. Morgan currently has, or had within the past 12 months, the following company(ies) as clients: E.ON, RWE.</w:t>
          </w:r>
        </w:p>
        <w:p w:rsidR="002A0467" w:rsidRDefault="002A0467">
          <w:pPr>
            <w:divId w:val="1754936151"/>
            <w:rPr>
              <w:rFonts w:eastAsia="Times New Roman"/>
            </w:rPr>
          </w:pPr>
          <w:r>
            <w:rPr>
              <w:rFonts w:eastAsia="Times New Roman" w:hAnsi="Symbol"/>
            </w:rPr>
            <w:t></w:t>
          </w:r>
          <w:r>
            <w:rPr>
              <w:rFonts w:eastAsia="Times New Roman"/>
            </w:rPr>
            <w:t xml:space="preserve">  </w:t>
          </w:r>
          <w:r>
            <w:rPr>
              <w:rFonts w:eastAsia="Times New Roman"/>
              <w:b/>
              <w:bCs/>
              <w:sz w:val="18"/>
              <w:szCs w:val="18"/>
            </w:rPr>
            <w:t xml:space="preserve">Client/Investment Banking: </w:t>
          </w:r>
          <w:r>
            <w:rPr>
              <w:rFonts w:eastAsia="Times New Roman"/>
              <w:sz w:val="18"/>
              <w:szCs w:val="18"/>
            </w:rPr>
            <w:t>J.P. Morgan currently has, or had within the past 12 months, the following company(ies) as investment banking clients: E.ON, RWE.</w:t>
          </w:r>
        </w:p>
        <w:p w:rsidR="002A0467" w:rsidRDefault="002A0467">
          <w:pPr>
            <w:divId w:val="1754936151"/>
            <w:rPr>
              <w:rFonts w:eastAsia="Times New Roman"/>
            </w:rPr>
          </w:pPr>
          <w:r>
            <w:rPr>
              <w:rFonts w:eastAsia="Times New Roman" w:hAnsi="Symbol"/>
            </w:rPr>
            <w:t></w:t>
          </w:r>
          <w:r>
            <w:rPr>
              <w:rFonts w:eastAsia="Times New Roman"/>
            </w:rPr>
            <w:t xml:space="preserve">  </w:t>
          </w:r>
          <w:r>
            <w:rPr>
              <w:rFonts w:eastAsia="Times New Roman"/>
              <w:b/>
              <w:bCs/>
              <w:sz w:val="18"/>
              <w:szCs w:val="18"/>
            </w:rPr>
            <w:t xml:space="preserve">Client/Non-Investment Banking, Securities-Related: </w:t>
          </w:r>
          <w:r>
            <w:rPr>
              <w:rFonts w:eastAsia="Times New Roman"/>
              <w:sz w:val="18"/>
              <w:szCs w:val="18"/>
            </w:rPr>
            <w:t>J.P. Morgan currently has, or had within the past 12 months, the following company(ies) as clients, and the services provided were non-investment-banking, securities-related: E.ON, RWE.</w:t>
          </w:r>
        </w:p>
        <w:p w:rsidR="002A0467" w:rsidRDefault="002A0467">
          <w:pPr>
            <w:divId w:val="1754936151"/>
            <w:rPr>
              <w:rFonts w:eastAsia="Times New Roman"/>
            </w:rPr>
          </w:pPr>
          <w:r>
            <w:rPr>
              <w:rFonts w:eastAsia="Times New Roman" w:hAnsi="Symbol"/>
            </w:rPr>
            <w:t></w:t>
          </w:r>
          <w:r>
            <w:rPr>
              <w:rFonts w:eastAsia="Times New Roman"/>
            </w:rPr>
            <w:t xml:space="preserve">  </w:t>
          </w:r>
          <w:r>
            <w:rPr>
              <w:rFonts w:eastAsia="Times New Roman"/>
              <w:b/>
              <w:bCs/>
              <w:sz w:val="18"/>
              <w:szCs w:val="18"/>
            </w:rPr>
            <w:t xml:space="preserve">Client/Non-Securities-Related: </w:t>
          </w:r>
          <w:r>
            <w:rPr>
              <w:rFonts w:eastAsia="Times New Roman"/>
              <w:sz w:val="18"/>
              <w:szCs w:val="18"/>
            </w:rPr>
            <w:t>J.P. Morgan currently has, or had within the past 12 months, the following company(ies) as clients, and the services provided were non-securities-related: E.ON, RWE.</w:t>
          </w:r>
        </w:p>
        <w:p w:rsidR="002A0467" w:rsidRDefault="002A0467">
          <w:pPr>
            <w:divId w:val="1754936151"/>
            <w:rPr>
              <w:rFonts w:eastAsia="Times New Roman"/>
            </w:rPr>
          </w:pPr>
          <w:r>
            <w:rPr>
              <w:rFonts w:eastAsia="Times New Roman" w:hAnsi="Symbol"/>
            </w:rPr>
            <w:t></w:t>
          </w:r>
          <w:r>
            <w:rPr>
              <w:rFonts w:eastAsia="Times New Roman"/>
            </w:rPr>
            <w:t xml:space="preserve">  </w:t>
          </w:r>
          <w:r>
            <w:rPr>
              <w:rFonts w:eastAsia="Times New Roman"/>
              <w:b/>
              <w:bCs/>
              <w:sz w:val="18"/>
              <w:szCs w:val="18"/>
            </w:rPr>
            <w:t>Investment Banking (past 12 months):</w:t>
          </w:r>
          <w:r>
            <w:rPr>
              <w:rFonts w:eastAsia="Times New Roman"/>
              <w:sz w:val="18"/>
              <w:szCs w:val="18"/>
            </w:rPr>
            <w:t xml:space="preserve"> J.P. Morgan received in the past 12 months compensation from investment banking E.ON, RWE.</w:t>
          </w:r>
        </w:p>
        <w:p w:rsidR="002A0467" w:rsidRDefault="002A0467">
          <w:pPr>
            <w:divId w:val="1754936151"/>
            <w:rPr>
              <w:rFonts w:eastAsia="Times New Roman"/>
            </w:rPr>
          </w:pPr>
          <w:r>
            <w:rPr>
              <w:rFonts w:eastAsia="Times New Roman" w:hAnsi="Symbol"/>
            </w:rPr>
            <w:t></w:t>
          </w:r>
          <w:r>
            <w:rPr>
              <w:rFonts w:eastAsia="Times New Roman"/>
            </w:rPr>
            <w:t xml:space="preserve">  </w:t>
          </w:r>
          <w:r>
            <w:rPr>
              <w:rFonts w:eastAsia="Times New Roman"/>
              <w:b/>
              <w:bCs/>
              <w:sz w:val="18"/>
              <w:szCs w:val="18"/>
            </w:rPr>
            <w:t>Investment Banking (next 3 months):</w:t>
          </w:r>
          <w:r>
            <w:rPr>
              <w:rFonts w:eastAsia="Times New Roman"/>
              <w:sz w:val="18"/>
              <w:szCs w:val="18"/>
            </w:rPr>
            <w:t xml:space="preserve"> J.P. Morgan expects to receive, or intends to seek, compensation for investment banking services in the next three months from E.ON, RWE.</w:t>
          </w:r>
        </w:p>
        <w:p w:rsidR="002A0467" w:rsidRDefault="002A0467">
          <w:pPr>
            <w:divId w:val="1754936151"/>
            <w:rPr>
              <w:rFonts w:eastAsia="Times New Roman"/>
              <w:b/>
              <w:bCs/>
              <w:sz w:val="18"/>
              <w:szCs w:val="18"/>
            </w:rPr>
          </w:pPr>
          <w:r>
            <w:rPr>
              <w:rFonts w:eastAsia="Times New Roman" w:hAnsi="Symbol"/>
            </w:rPr>
            <w:t></w:t>
          </w:r>
          <w:r>
            <w:rPr>
              <w:rFonts w:eastAsia="Times New Roman"/>
            </w:rPr>
            <w:t xml:space="preserve">  </w:t>
          </w:r>
          <w:r>
            <w:rPr>
              <w:rFonts w:eastAsia="Times New Roman"/>
              <w:b/>
              <w:bCs/>
              <w:sz w:val="18"/>
              <w:szCs w:val="18"/>
            </w:rPr>
            <w:t>Non-Investment Banking Compensation:</w:t>
          </w:r>
          <w:r>
            <w:rPr>
              <w:rFonts w:eastAsia="Times New Roman"/>
              <w:sz w:val="18"/>
              <w:szCs w:val="18"/>
            </w:rPr>
            <w:t xml:space="preserve"> J.P. Morgan has received compensation in the past 12 months for products or services other than investment banking from E.ON, RWE.</w:t>
          </w:r>
        </w:p>
        <w:p w:rsidR="002A0467" w:rsidRDefault="002A0467">
          <w:pPr>
            <w:divId w:val="1167093096"/>
            <w:rPr>
              <w:rFonts w:eastAsia="Times New Roman"/>
              <w:b/>
              <w:bCs/>
              <w:sz w:val="12"/>
              <w:szCs w:val="12"/>
            </w:rPr>
          </w:pPr>
        </w:p>
        <w:p w:rsidR="002A0467" w:rsidRDefault="002A0467">
          <w:pPr>
            <w:divId w:val="1754936151"/>
            <w:rPr>
              <w:rFonts w:eastAsia="Times New Roman"/>
              <w:sz w:val="18"/>
              <w:szCs w:val="18"/>
            </w:rPr>
          </w:pPr>
          <w:r>
            <w:rPr>
              <w:rFonts w:eastAsia="Times New Roman"/>
              <w:b/>
              <w:bCs/>
              <w:sz w:val="18"/>
              <w:szCs w:val="18"/>
            </w:rPr>
            <w:t xml:space="preserve">Company-Specific Disclosures: </w:t>
          </w:r>
          <w:r>
            <w:rPr>
              <w:rFonts w:eastAsia="Times New Roman"/>
              <w:sz w:val="18"/>
              <w:szCs w:val="18"/>
            </w:rPr>
            <w:t>Important disclosures, including price charts, are available for compendium reports and all J.P. Morgan–covered companies by visiting</w:t>
          </w:r>
          <w:r>
            <w:rPr>
              <w:rFonts w:eastAsia="Times New Roman"/>
              <w:b/>
              <w:bCs/>
              <w:sz w:val="18"/>
              <w:szCs w:val="18"/>
            </w:rPr>
            <w:t xml:space="preserve"> </w:t>
          </w:r>
          <w:hyperlink r:id="rId30" w:history="1">
            <w:r>
              <w:rPr>
                <w:rStyle w:val="Hyperlink"/>
                <w:rFonts w:eastAsia="Times New Roman"/>
                <w:sz w:val="18"/>
                <w:szCs w:val="18"/>
              </w:rPr>
              <w:t>https://jpmm.com/research/disclosures</w:t>
            </w:r>
          </w:hyperlink>
          <w:r>
            <w:rPr>
              <w:rFonts w:eastAsia="Times New Roman"/>
              <w:sz w:val="18"/>
              <w:szCs w:val="18"/>
            </w:rPr>
            <w:t xml:space="preserve">, calling 1-800-477-0406, or e-mailing </w:t>
          </w:r>
          <w:hyperlink r:id="rId31" w:history="1">
            <w:r>
              <w:rPr>
                <w:rStyle w:val="Hyperlink"/>
                <w:rFonts w:eastAsia="Times New Roman"/>
                <w:sz w:val="18"/>
                <w:szCs w:val="18"/>
              </w:rPr>
              <w:t>research.disclosure.inquiries@jpmorgan.com</w:t>
            </w:r>
          </w:hyperlink>
          <w:r>
            <w:rPr>
              <w:rFonts w:eastAsia="Times New Roman"/>
              <w:sz w:val="18"/>
              <w:szCs w:val="18"/>
            </w:rPr>
            <w:t xml:space="preserve"> with your request. J.P. Morgan’s Strategy, Technical, and Quantitative Research teams may screen companies not covered by J.P. Morgan. For important disclosures for these companies, please call 1-800-477-0406 or e-mail </w:t>
          </w:r>
          <w:hyperlink r:id="rId32" w:history="1">
            <w:r>
              <w:rPr>
                <w:rStyle w:val="Hyperlink"/>
                <w:rFonts w:eastAsia="Times New Roman"/>
                <w:sz w:val="18"/>
                <w:szCs w:val="18"/>
              </w:rPr>
              <w:t>research.disclosure.inquiries@jpmorgan.com</w:t>
            </w:r>
          </w:hyperlink>
          <w:r>
            <w:rPr>
              <w:rFonts w:eastAsia="Times New Roman"/>
              <w:sz w:val="18"/>
              <w:szCs w:val="18"/>
            </w:rPr>
            <w:t>.</w:t>
          </w:r>
        </w:p>
        <w:p w:rsidR="002A0467" w:rsidRDefault="002A0467">
          <w:pPr>
            <w:divId w:val="1416827342"/>
            <w:rPr>
              <w:rFonts w:eastAsia="Times New Roman"/>
              <w:sz w:val="12"/>
              <w:szCs w:val="12"/>
            </w:rPr>
          </w:pPr>
        </w:p>
        <w:tbl>
          <w:tblPr>
            <w:tblW w:w="0" w:type="auto"/>
            <w:tblCellSpacing w:w="15" w:type="dxa"/>
            <w:tblCellMar>
              <w:top w:w="15" w:type="dxa"/>
              <w:left w:w="15" w:type="dxa"/>
              <w:bottom w:w="15" w:type="dxa"/>
              <w:right w:w="15" w:type="dxa"/>
            </w:tblCellMar>
            <w:tblLook w:val="04A0"/>
          </w:tblPr>
          <w:tblGrid>
            <w:gridCol w:w="6841"/>
            <w:gridCol w:w="3228"/>
          </w:tblGrid>
          <w:tr w:rsidR="002A0467">
            <w:trPr>
              <w:divId w:val="1754936151"/>
              <w:tblCellSpacing w:w="15" w:type="dxa"/>
            </w:trPr>
            <w:tc>
              <w:tcPr>
                <w:tcW w:w="0" w:type="auto"/>
                <w:vAlign w:val="center"/>
                <w:hideMark/>
              </w:tcPr>
              <w:p w:rsidR="002A0467" w:rsidRDefault="002A0467">
                <w:pPr>
                  <w:rPr>
                    <w:rFonts w:eastAsia="Times New Roman"/>
                  </w:rPr>
                </w:pPr>
                <w:r>
                  <w:rPr>
                    <w:rFonts w:eastAsia="Times New Roman"/>
                    <w:noProof/>
                  </w:rPr>
                  <w:lastRenderedPageBreak/>
                  <w:drawing>
                    <wp:inline distT="0" distB="0" distL="0" distR="0">
                      <wp:extent cx="4343400" cy="2743200"/>
                      <wp:effectExtent l="19050" t="0" r="0" b="0"/>
                      <wp:docPr id="2" name="Picture 2" descr="http://gps-app.amer.jpmchase.net:6080/server/console/chart/?shareClassId=1003185&amp;shareClassServerId=1&amp;chartDesignation=1&amp;actionType=CHART&amp;isAdr=false&amp;isUSDTranslation=false&amp;cos=false&amp;imageTypeId=4&amp;chartHeight=288&amp;chartWidth=456&amp;svrTs=1404343106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gps-app.amer.jpmchase.net:6080/server/console/chart/?shareClassId=1003185&amp;shareClassServerId=1&amp;chartDesignation=1&amp;actionType=CHART&amp;isAdr=false&amp;isUSDTranslation=false&amp;cos=false&amp;imageTypeId=4&amp;chartHeight=288&amp;chartWidth=456&amp;svrTs=1404343106756"/>
                              <pic:cNvPicPr>
                                <a:picLocks noChangeAspect="1" noChangeArrowheads="1"/>
                              </pic:cNvPicPr>
                            </pic:nvPicPr>
                            <pic:blipFill>
                              <a:blip r:embed="rId33"/>
                              <a:srcRect/>
                              <a:stretch>
                                <a:fillRect/>
                              </a:stretch>
                            </pic:blipFill>
                            <pic:spPr bwMode="auto">
                              <a:xfrm>
                                <a:off x="0" y="0"/>
                                <a:ext cx="4343400" cy="2743200"/>
                              </a:xfrm>
                              <a:prstGeom prst="rect">
                                <a:avLst/>
                              </a:prstGeom>
                              <a:noFill/>
                              <a:ln w="9525">
                                <a:noFill/>
                                <a:miter lim="800000"/>
                                <a:headEnd/>
                                <a:tailEnd/>
                              </a:ln>
                            </pic:spPr>
                          </pic:pic>
                        </a:graphicData>
                      </a:graphic>
                    </wp:inline>
                  </w:drawing>
                </w:r>
              </w:p>
            </w:tc>
            <w:tc>
              <w:tcPr>
                <w:tcW w:w="0" w:type="auto"/>
                <w:vAlign w:val="center"/>
                <w:hideMark/>
              </w:tcPr>
              <w:tbl>
                <w:tblPr>
                  <w:tblpPr w:leftFromText="45" w:rightFromText="45" w:vertAnchor="text"/>
                  <w:tblW w:w="3198" w:type="dxa"/>
                  <w:tblCellMar>
                    <w:left w:w="0" w:type="dxa"/>
                    <w:right w:w="0" w:type="dxa"/>
                  </w:tblCellMar>
                  <w:tblLook w:val="04A0"/>
                </w:tblPr>
                <w:tblGrid>
                  <w:gridCol w:w="779"/>
                  <w:gridCol w:w="564"/>
                  <w:gridCol w:w="905"/>
                  <w:gridCol w:w="905"/>
                </w:tblGrid>
                <w:tr w:rsidR="002A0467">
                  <w:tc>
                    <w:tcPr>
                      <w:tcW w:w="790" w:type="dxa"/>
                      <w:tcBorders>
                        <w:top w:val="single" w:sz="8" w:space="0" w:color="auto"/>
                        <w:left w:val="nil"/>
                        <w:bottom w:val="single" w:sz="8" w:space="0" w:color="auto"/>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b/>
                          <w:bCs/>
                          <w:sz w:val="14"/>
                          <w:szCs w:val="14"/>
                        </w:rPr>
                        <w:t>Date</w:t>
                      </w:r>
                    </w:p>
                  </w:tc>
                  <w:tc>
                    <w:tcPr>
                      <w:tcW w:w="572" w:type="dxa"/>
                      <w:tcBorders>
                        <w:top w:val="single" w:sz="8" w:space="0" w:color="auto"/>
                        <w:left w:val="nil"/>
                        <w:bottom w:val="single" w:sz="8" w:space="0" w:color="auto"/>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b/>
                          <w:bCs/>
                          <w:sz w:val="14"/>
                          <w:szCs w:val="14"/>
                        </w:rPr>
                        <w:t>Rating</w:t>
                      </w:r>
                    </w:p>
                  </w:tc>
                  <w:tc>
                    <w:tcPr>
                      <w:tcW w:w="918" w:type="dxa"/>
                      <w:tcBorders>
                        <w:top w:val="single" w:sz="8" w:space="0" w:color="auto"/>
                        <w:left w:val="nil"/>
                        <w:bottom w:val="single" w:sz="8" w:space="0" w:color="auto"/>
                        <w:right w:val="nil"/>
                      </w:tcBorders>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b/>
                          <w:bCs/>
                          <w:sz w:val="14"/>
                          <w:szCs w:val="14"/>
                        </w:rPr>
                        <w:t>Share Price (€)</w:t>
                      </w:r>
                    </w:p>
                  </w:tc>
                  <w:tc>
                    <w:tcPr>
                      <w:tcW w:w="918" w:type="dxa"/>
                      <w:tcBorders>
                        <w:top w:val="single" w:sz="8" w:space="0" w:color="auto"/>
                        <w:left w:val="nil"/>
                        <w:bottom w:val="single" w:sz="8" w:space="0" w:color="auto"/>
                        <w:right w:val="nil"/>
                      </w:tcBorders>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b/>
                          <w:bCs/>
                          <w:sz w:val="14"/>
                          <w:szCs w:val="14"/>
                        </w:rPr>
                        <w:t>Price Target (€)</w:t>
                      </w:r>
                    </w:p>
                  </w:tc>
                </w:tr>
                <w:tr w:rsidR="002A0467">
                  <w:tc>
                    <w:tcPr>
                      <w:tcW w:w="790"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08-May-07</w:t>
                      </w:r>
                    </w:p>
                  </w:tc>
                  <w:tc>
                    <w:tcPr>
                      <w:tcW w:w="572"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OW</w:t>
                      </w:r>
                    </w:p>
                  </w:tc>
                  <w:tc>
                    <w:tcPr>
                      <w:tcW w:w="918"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37.26</w:t>
                      </w:r>
                    </w:p>
                  </w:tc>
                  <w:tc>
                    <w:tcPr>
                      <w:tcW w:w="918"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43.50</w:t>
                      </w:r>
                    </w:p>
                  </w:tc>
                </w:tr>
                <w:tr w:rsidR="002A0467">
                  <w:tc>
                    <w:tcPr>
                      <w:tcW w:w="790"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31-May-07</w:t>
                      </w:r>
                    </w:p>
                  </w:tc>
                  <w:tc>
                    <w:tcPr>
                      <w:tcW w:w="572"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OW</w:t>
                      </w:r>
                    </w:p>
                  </w:tc>
                  <w:tc>
                    <w:tcPr>
                      <w:tcW w:w="918"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40.80</w:t>
                      </w:r>
                    </w:p>
                  </w:tc>
                  <w:tc>
                    <w:tcPr>
                      <w:tcW w:w="918"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47.00</w:t>
                      </w:r>
                    </w:p>
                  </w:tc>
                </w:tr>
                <w:tr w:rsidR="002A0467">
                  <w:tc>
                    <w:tcPr>
                      <w:tcW w:w="790"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26-Sep-07</w:t>
                      </w:r>
                    </w:p>
                  </w:tc>
                  <w:tc>
                    <w:tcPr>
                      <w:tcW w:w="572"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OW</w:t>
                      </w:r>
                    </w:p>
                  </w:tc>
                  <w:tc>
                    <w:tcPr>
                      <w:tcW w:w="918"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42.55</w:t>
                      </w:r>
                    </w:p>
                  </w:tc>
                  <w:tc>
                    <w:tcPr>
                      <w:tcW w:w="918"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51.90</w:t>
                      </w:r>
                    </w:p>
                  </w:tc>
                </w:tr>
                <w:tr w:rsidR="002A0467">
                  <w:tc>
                    <w:tcPr>
                      <w:tcW w:w="790"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14-Jan-08</w:t>
                      </w:r>
                    </w:p>
                  </w:tc>
                  <w:tc>
                    <w:tcPr>
                      <w:tcW w:w="572"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OW</w:t>
                      </w:r>
                    </w:p>
                  </w:tc>
                  <w:tc>
                    <w:tcPr>
                      <w:tcW w:w="918"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49.16</w:t>
                      </w:r>
                    </w:p>
                  </w:tc>
                  <w:tc>
                    <w:tcPr>
                      <w:tcW w:w="918"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58.00</w:t>
                      </w:r>
                    </w:p>
                  </w:tc>
                </w:tr>
                <w:tr w:rsidR="002A0467">
                  <w:tc>
                    <w:tcPr>
                      <w:tcW w:w="790"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10-Mar-08</w:t>
                      </w:r>
                    </w:p>
                  </w:tc>
                  <w:tc>
                    <w:tcPr>
                      <w:tcW w:w="572"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OW</w:t>
                      </w:r>
                    </w:p>
                  </w:tc>
                  <w:tc>
                    <w:tcPr>
                      <w:tcW w:w="918"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40.67</w:t>
                      </w:r>
                    </w:p>
                  </w:tc>
                  <w:tc>
                    <w:tcPr>
                      <w:tcW w:w="918"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57.00</w:t>
                      </w:r>
                    </w:p>
                  </w:tc>
                </w:tr>
                <w:tr w:rsidR="002A0467">
                  <w:tc>
                    <w:tcPr>
                      <w:tcW w:w="790"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30-Jun-08</w:t>
                      </w:r>
                    </w:p>
                  </w:tc>
                  <w:tc>
                    <w:tcPr>
                      <w:tcW w:w="572"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OW</w:t>
                      </w:r>
                    </w:p>
                  </w:tc>
                  <w:tc>
                    <w:tcPr>
                      <w:tcW w:w="918"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42.26</w:t>
                      </w:r>
                    </w:p>
                  </w:tc>
                  <w:tc>
                    <w:tcPr>
                      <w:tcW w:w="918"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60.50</w:t>
                      </w:r>
                    </w:p>
                  </w:tc>
                </w:tr>
                <w:tr w:rsidR="002A0467">
                  <w:tc>
                    <w:tcPr>
                      <w:tcW w:w="790"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28-Nov-08</w:t>
                      </w:r>
                    </w:p>
                  </w:tc>
                  <w:tc>
                    <w:tcPr>
                      <w:tcW w:w="572"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OW</w:t>
                      </w:r>
                    </w:p>
                  </w:tc>
                  <w:tc>
                    <w:tcPr>
                      <w:tcW w:w="918"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27.58</w:t>
                      </w:r>
                    </w:p>
                  </w:tc>
                  <w:tc>
                    <w:tcPr>
                      <w:tcW w:w="918"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44.00</w:t>
                      </w:r>
                    </w:p>
                  </w:tc>
                </w:tr>
                <w:tr w:rsidR="002A0467">
                  <w:tc>
                    <w:tcPr>
                      <w:tcW w:w="790"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03-Feb-09</w:t>
                      </w:r>
                    </w:p>
                  </w:tc>
                  <w:tc>
                    <w:tcPr>
                      <w:tcW w:w="572"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OW</w:t>
                      </w:r>
                    </w:p>
                  </w:tc>
                  <w:tc>
                    <w:tcPr>
                      <w:tcW w:w="918"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25.29</w:t>
                      </w:r>
                    </w:p>
                  </w:tc>
                  <w:tc>
                    <w:tcPr>
                      <w:tcW w:w="918"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41.00</w:t>
                      </w:r>
                    </w:p>
                  </w:tc>
                </w:tr>
                <w:tr w:rsidR="002A0467">
                  <w:tc>
                    <w:tcPr>
                      <w:tcW w:w="790"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11-Mar-09</w:t>
                      </w:r>
                    </w:p>
                  </w:tc>
                  <w:tc>
                    <w:tcPr>
                      <w:tcW w:w="572"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OW</w:t>
                      </w:r>
                    </w:p>
                  </w:tc>
                  <w:tc>
                    <w:tcPr>
                      <w:tcW w:w="918"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19.34</w:t>
                      </w:r>
                    </w:p>
                  </w:tc>
                  <w:tc>
                    <w:tcPr>
                      <w:tcW w:w="918"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32.00</w:t>
                      </w:r>
                    </w:p>
                  </w:tc>
                </w:tr>
                <w:tr w:rsidR="002A0467">
                  <w:tc>
                    <w:tcPr>
                      <w:tcW w:w="790"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15-May-09</w:t>
                      </w:r>
                    </w:p>
                  </w:tc>
                  <w:tc>
                    <w:tcPr>
                      <w:tcW w:w="572"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N</w:t>
                      </w:r>
                    </w:p>
                  </w:tc>
                  <w:tc>
                    <w:tcPr>
                      <w:tcW w:w="918"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24.04</w:t>
                      </w:r>
                    </w:p>
                  </w:tc>
                  <w:tc>
                    <w:tcPr>
                      <w:tcW w:w="918"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32.00</w:t>
                      </w:r>
                    </w:p>
                  </w:tc>
                </w:tr>
                <w:tr w:rsidR="002A0467">
                  <w:tc>
                    <w:tcPr>
                      <w:tcW w:w="790"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01-Mar-10</w:t>
                      </w:r>
                    </w:p>
                  </w:tc>
                  <w:tc>
                    <w:tcPr>
                      <w:tcW w:w="572"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N</w:t>
                      </w:r>
                    </w:p>
                  </w:tc>
                  <w:tc>
                    <w:tcPr>
                      <w:tcW w:w="918"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26.13</w:t>
                      </w:r>
                    </w:p>
                  </w:tc>
                  <w:tc>
                    <w:tcPr>
                      <w:tcW w:w="918"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 xml:space="preserve">-- </w:t>
                      </w:r>
                    </w:p>
                  </w:tc>
                </w:tr>
                <w:tr w:rsidR="002A0467">
                  <w:tc>
                    <w:tcPr>
                      <w:tcW w:w="790"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26-Mar-10</w:t>
                      </w:r>
                    </w:p>
                  </w:tc>
                  <w:tc>
                    <w:tcPr>
                      <w:tcW w:w="572"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N</w:t>
                      </w:r>
                    </w:p>
                  </w:tc>
                  <w:tc>
                    <w:tcPr>
                      <w:tcW w:w="918"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26.73</w:t>
                      </w:r>
                    </w:p>
                  </w:tc>
                  <w:tc>
                    <w:tcPr>
                      <w:tcW w:w="918"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29.00</w:t>
                      </w:r>
                    </w:p>
                  </w:tc>
                </w:tr>
                <w:tr w:rsidR="002A0467">
                  <w:tc>
                    <w:tcPr>
                      <w:tcW w:w="790"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30-Apr-10</w:t>
                      </w:r>
                    </w:p>
                  </w:tc>
                  <w:tc>
                    <w:tcPr>
                      <w:tcW w:w="572"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N</w:t>
                      </w:r>
                    </w:p>
                  </w:tc>
                  <w:tc>
                    <w:tcPr>
                      <w:tcW w:w="918"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28.15</w:t>
                      </w:r>
                    </w:p>
                  </w:tc>
                  <w:tc>
                    <w:tcPr>
                      <w:tcW w:w="918"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30.00</w:t>
                      </w:r>
                    </w:p>
                  </w:tc>
                </w:tr>
                <w:tr w:rsidR="002A0467">
                  <w:tc>
                    <w:tcPr>
                      <w:tcW w:w="790"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10-Aug-10</w:t>
                      </w:r>
                    </w:p>
                  </w:tc>
                  <w:tc>
                    <w:tcPr>
                      <w:tcW w:w="572"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N</w:t>
                      </w:r>
                    </w:p>
                  </w:tc>
                  <w:tc>
                    <w:tcPr>
                      <w:tcW w:w="918"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23.40</w:t>
                      </w:r>
                    </w:p>
                  </w:tc>
                  <w:tc>
                    <w:tcPr>
                      <w:tcW w:w="918"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28.50</w:t>
                      </w:r>
                    </w:p>
                  </w:tc>
                </w:tr>
                <w:tr w:rsidR="002A0467">
                  <w:tc>
                    <w:tcPr>
                      <w:tcW w:w="790"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05-Oct-10</w:t>
                      </w:r>
                    </w:p>
                  </w:tc>
                  <w:tc>
                    <w:tcPr>
                      <w:tcW w:w="572"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N</w:t>
                      </w:r>
                    </w:p>
                  </w:tc>
                  <w:tc>
                    <w:tcPr>
                      <w:tcW w:w="918"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21.38</w:t>
                      </w:r>
                    </w:p>
                  </w:tc>
                  <w:tc>
                    <w:tcPr>
                      <w:tcW w:w="918"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27.00</w:t>
                      </w:r>
                    </w:p>
                  </w:tc>
                </w:tr>
                <w:tr w:rsidR="002A0467">
                  <w:tc>
                    <w:tcPr>
                      <w:tcW w:w="790"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05-Apr-11</w:t>
                      </w:r>
                    </w:p>
                  </w:tc>
                  <w:tc>
                    <w:tcPr>
                      <w:tcW w:w="572"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N</w:t>
                      </w:r>
                    </w:p>
                  </w:tc>
                  <w:tc>
                    <w:tcPr>
                      <w:tcW w:w="918"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22.10</w:t>
                      </w:r>
                    </w:p>
                  </w:tc>
                  <w:tc>
                    <w:tcPr>
                      <w:tcW w:w="918"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24.00</w:t>
                      </w:r>
                    </w:p>
                  </w:tc>
                </w:tr>
                <w:tr w:rsidR="002A0467">
                  <w:tc>
                    <w:tcPr>
                      <w:tcW w:w="790"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20-Jul-11</w:t>
                      </w:r>
                    </w:p>
                  </w:tc>
                  <w:tc>
                    <w:tcPr>
                      <w:tcW w:w="572"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N</w:t>
                      </w:r>
                    </w:p>
                  </w:tc>
                  <w:tc>
                    <w:tcPr>
                      <w:tcW w:w="918"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18.78</w:t>
                      </w:r>
                    </w:p>
                  </w:tc>
                  <w:tc>
                    <w:tcPr>
                      <w:tcW w:w="918"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22.00</w:t>
                      </w:r>
                    </w:p>
                  </w:tc>
                </w:tr>
                <w:tr w:rsidR="002A0467">
                  <w:tc>
                    <w:tcPr>
                      <w:tcW w:w="790"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16-Sep-11</w:t>
                      </w:r>
                    </w:p>
                  </w:tc>
                  <w:tc>
                    <w:tcPr>
                      <w:tcW w:w="572"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OW</w:t>
                      </w:r>
                    </w:p>
                  </w:tc>
                  <w:tc>
                    <w:tcPr>
                      <w:tcW w:w="918"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15.22</w:t>
                      </w:r>
                    </w:p>
                  </w:tc>
                  <w:tc>
                    <w:tcPr>
                      <w:tcW w:w="918"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20.00</w:t>
                      </w:r>
                    </w:p>
                  </w:tc>
                </w:tr>
                <w:tr w:rsidR="002A0467">
                  <w:tc>
                    <w:tcPr>
                      <w:tcW w:w="790"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09-Mar-12</w:t>
                      </w:r>
                    </w:p>
                  </w:tc>
                  <w:tc>
                    <w:tcPr>
                      <w:tcW w:w="572"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OW</w:t>
                      </w:r>
                    </w:p>
                  </w:tc>
                  <w:tc>
                    <w:tcPr>
                      <w:tcW w:w="918"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16.94</w:t>
                      </w:r>
                    </w:p>
                  </w:tc>
                  <w:tc>
                    <w:tcPr>
                      <w:tcW w:w="918"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19.00</w:t>
                      </w:r>
                    </w:p>
                  </w:tc>
                </w:tr>
                <w:tr w:rsidR="002A0467">
                  <w:tc>
                    <w:tcPr>
                      <w:tcW w:w="790"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04-Jul-12</w:t>
                      </w:r>
                    </w:p>
                  </w:tc>
                  <w:tc>
                    <w:tcPr>
                      <w:tcW w:w="572"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N</w:t>
                      </w:r>
                    </w:p>
                  </w:tc>
                  <w:tc>
                    <w:tcPr>
                      <w:tcW w:w="918"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17.16</w:t>
                      </w:r>
                    </w:p>
                  </w:tc>
                  <w:tc>
                    <w:tcPr>
                      <w:tcW w:w="918"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19.00</w:t>
                      </w:r>
                    </w:p>
                  </w:tc>
                </w:tr>
                <w:tr w:rsidR="002A0467">
                  <w:tc>
                    <w:tcPr>
                      <w:tcW w:w="790"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14-Nov-12</w:t>
                      </w:r>
                    </w:p>
                  </w:tc>
                  <w:tc>
                    <w:tcPr>
                      <w:tcW w:w="572"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UW</w:t>
                      </w:r>
                    </w:p>
                  </w:tc>
                  <w:tc>
                    <w:tcPr>
                      <w:tcW w:w="918"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14.18</w:t>
                      </w:r>
                    </w:p>
                  </w:tc>
                  <w:tc>
                    <w:tcPr>
                      <w:tcW w:w="918"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14.00</w:t>
                      </w:r>
                    </w:p>
                  </w:tc>
                </w:tr>
                <w:tr w:rsidR="002A0467">
                  <w:tc>
                    <w:tcPr>
                      <w:tcW w:w="790"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28-Jan-13</w:t>
                      </w:r>
                    </w:p>
                  </w:tc>
                  <w:tc>
                    <w:tcPr>
                      <w:tcW w:w="572"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UW</w:t>
                      </w:r>
                    </w:p>
                  </w:tc>
                  <w:tc>
                    <w:tcPr>
                      <w:tcW w:w="918"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13.34</w:t>
                      </w:r>
                    </w:p>
                  </w:tc>
                  <w:tc>
                    <w:tcPr>
                      <w:tcW w:w="918"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13.00</w:t>
                      </w:r>
                    </w:p>
                  </w:tc>
                </w:tr>
                <w:tr w:rsidR="002A0467">
                  <w:tc>
                    <w:tcPr>
                      <w:tcW w:w="790"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06-Feb-13</w:t>
                      </w:r>
                    </w:p>
                  </w:tc>
                  <w:tc>
                    <w:tcPr>
                      <w:tcW w:w="572"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UW</w:t>
                      </w:r>
                    </w:p>
                  </w:tc>
                  <w:tc>
                    <w:tcPr>
                      <w:tcW w:w="918"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12.56</w:t>
                      </w:r>
                    </w:p>
                  </w:tc>
                  <w:tc>
                    <w:tcPr>
                      <w:tcW w:w="918"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12.50</w:t>
                      </w:r>
                    </w:p>
                  </w:tc>
                </w:tr>
                <w:tr w:rsidR="002A0467">
                  <w:tc>
                    <w:tcPr>
                      <w:tcW w:w="790"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04-Sep-13</w:t>
                      </w:r>
                    </w:p>
                  </w:tc>
                  <w:tc>
                    <w:tcPr>
                      <w:tcW w:w="572"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UW</w:t>
                      </w:r>
                    </w:p>
                  </w:tc>
                  <w:tc>
                    <w:tcPr>
                      <w:tcW w:w="918"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12.04</w:t>
                      </w:r>
                    </w:p>
                  </w:tc>
                  <w:tc>
                    <w:tcPr>
                      <w:tcW w:w="918"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11.00</w:t>
                      </w:r>
                    </w:p>
                  </w:tc>
                </w:tr>
                <w:tr w:rsidR="002A0467">
                  <w:tc>
                    <w:tcPr>
                      <w:tcW w:w="790"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04-Oct-13</w:t>
                      </w:r>
                    </w:p>
                  </w:tc>
                  <w:tc>
                    <w:tcPr>
                      <w:tcW w:w="572"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UW</w:t>
                      </w:r>
                    </w:p>
                  </w:tc>
                  <w:tc>
                    <w:tcPr>
                      <w:tcW w:w="918"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13.12</w:t>
                      </w:r>
                    </w:p>
                  </w:tc>
                  <w:tc>
                    <w:tcPr>
                      <w:tcW w:w="918"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12.00</w:t>
                      </w:r>
                    </w:p>
                  </w:tc>
                </w:tr>
                <w:tr w:rsidR="002A0467">
                  <w:tc>
                    <w:tcPr>
                      <w:tcW w:w="790"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31-Jan-14</w:t>
                      </w:r>
                    </w:p>
                  </w:tc>
                  <w:tc>
                    <w:tcPr>
                      <w:tcW w:w="572"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N</w:t>
                      </w:r>
                    </w:p>
                  </w:tc>
                  <w:tc>
                    <w:tcPr>
                      <w:tcW w:w="918"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13.33</w:t>
                      </w:r>
                    </w:p>
                  </w:tc>
                  <w:tc>
                    <w:tcPr>
                      <w:tcW w:w="918"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13.00</w:t>
                      </w:r>
                    </w:p>
                  </w:tc>
                </w:tr>
                <w:tr w:rsidR="002A0467">
                  <w:tc>
                    <w:tcPr>
                      <w:tcW w:w="790" w:type="dxa"/>
                      <w:tcBorders>
                        <w:top w:val="nil"/>
                        <w:left w:val="nil"/>
                        <w:bottom w:val="single" w:sz="8" w:space="0" w:color="auto"/>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15-May-14</w:t>
                      </w:r>
                    </w:p>
                  </w:tc>
                  <w:tc>
                    <w:tcPr>
                      <w:tcW w:w="572" w:type="dxa"/>
                      <w:tcBorders>
                        <w:top w:val="nil"/>
                        <w:left w:val="nil"/>
                        <w:bottom w:val="single" w:sz="8" w:space="0" w:color="auto"/>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N</w:t>
                      </w:r>
                    </w:p>
                  </w:tc>
                  <w:tc>
                    <w:tcPr>
                      <w:tcW w:w="918" w:type="dxa"/>
                      <w:tcBorders>
                        <w:top w:val="nil"/>
                        <w:left w:val="nil"/>
                        <w:bottom w:val="single" w:sz="8" w:space="0" w:color="auto"/>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13.18</w:t>
                      </w:r>
                    </w:p>
                  </w:tc>
                  <w:tc>
                    <w:tcPr>
                      <w:tcW w:w="918" w:type="dxa"/>
                      <w:tcBorders>
                        <w:top w:val="nil"/>
                        <w:left w:val="nil"/>
                        <w:bottom w:val="single" w:sz="8" w:space="0" w:color="auto"/>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14.00</w:t>
                      </w:r>
                    </w:p>
                  </w:tc>
                </w:tr>
              </w:tbl>
              <w:p w:rsidR="002A0467" w:rsidRDefault="002A0467">
                <w:pPr>
                  <w:rPr>
                    <w:rFonts w:eastAsia="Times New Roman"/>
                  </w:rPr>
                </w:pPr>
              </w:p>
            </w:tc>
          </w:tr>
        </w:tbl>
        <w:p w:rsidR="002A0467" w:rsidRDefault="002A0467">
          <w:pPr>
            <w:divId w:val="1754936151"/>
            <w:rPr>
              <w:rFonts w:eastAsia="Times New Roman"/>
              <w:vanish/>
              <w:sz w:val="18"/>
              <w:szCs w:val="18"/>
            </w:rPr>
          </w:pPr>
        </w:p>
        <w:tbl>
          <w:tblPr>
            <w:tblW w:w="0" w:type="auto"/>
            <w:tblCellSpacing w:w="15" w:type="dxa"/>
            <w:tblCellMar>
              <w:top w:w="15" w:type="dxa"/>
              <w:left w:w="15" w:type="dxa"/>
              <w:bottom w:w="15" w:type="dxa"/>
              <w:right w:w="15" w:type="dxa"/>
            </w:tblCellMar>
            <w:tblLook w:val="04A0"/>
          </w:tblPr>
          <w:tblGrid>
            <w:gridCol w:w="6841"/>
            <w:gridCol w:w="3228"/>
          </w:tblGrid>
          <w:tr w:rsidR="002A0467">
            <w:trPr>
              <w:divId w:val="1754936151"/>
              <w:tblCellSpacing w:w="15" w:type="dxa"/>
            </w:trPr>
            <w:tc>
              <w:tcPr>
                <w:tcW w:w="0" w:type="auto"/>
                <w:vAlign w:val="center"/>
                <w:hideMark/>
              </w:tcPr>
              <w:p w:rsidR="002A0467" w:rsidRDefault="002A0467">
                <w:pPr>
                  <w:rPr>
                    <w:rFonts w:eastAsia="Times New Roman"/>
                  </w:rPr>
                </w:pPr>
                <w:r>
                  <w:rPr>
                    <w:rFonts w:eastAsia="Times New Roman"/>
                    <w:noProof/>
                  </w:rPr>
                  <w:drawing>
                    <wp:inline distT="0" distB="0" distL="0" distR="0">
                      <wp:extent cx="4343400" cy="2743200"/>
                      <wp:effectExtent l="19050" t="0" r="0" b="0"/>
                      <wp:docPr id="3" name="Picture 3" descr="http://gps-app.amer.jpmchase.net:6080/server/console/chart/?shareClassId=1003187&amp;shareClassServerId=1&amp;chartDesignation=1&amp;actionType=CHART&amp;isAdr=false&amp;isUSDTranslation=false&amp;cos=false&amp;imageTypeId=4&amp;chartHeight=288&amp;chartWidth=456&amp;svrTs=1404343106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ps-app.amer.jpmchase.net:6080/server/console/chart/?shareClassId=1003187&amp;shareClassServerId=1&amp;chartDesignation=1&amp;actionType=CHART&amp;isAdr=false&amp;isUSDTranslation=false&amp;cos=false&amp;imageTypeId=4&amp;chartHeight=288&amp;chartWidth=456&amp;svrTs=1404343106756"/>
                              <pic:cNvPicPr>
                                <a:picLocks noChangeAspect="1" noChangeArrowheads="1"/>
                              </pic:cNvPicPr>
                            </pic:nvPicPr>
                            <pic:blipFill>
                              <a:blip r:embed="rId34"/>
                              <a:srcRect/>
                              <a:stretch>
                                <a:fillRect/>
                              </a:stretch>
                            </pic:blipFill>
                            <pic:spPr bwMode="auto">
                              <a:xfrm>
                                <a:off x="0" y="0"/>
                                <a:ext cx="4343400" cy="2743200"/>
                              </a:xfrm>
                              <a:prstGeom prst="rect">
                                <a:avLst/>
                              </a:prstGeom>
                              <a:noFill/>
                              <a:ln w="9525">
                                <a:noFill/>
                                <a:miter lim="800000"/>
                                <a:headEnd/>
                                <a:tailEnd/>
                              </a:ln>
                            </pic:spPr>
                          </pic:pic>
                        </a:graphicData>
                      </a:graphic>
                    </wp:inline>
                  </w:drawing>
                </w:r>
              </w:p>
            </w:tc>
            <w:tc>
              <w:tcPr>
                <w:tcW w:w="0" w:type="auto"/>
                <w:vAlign w:val="center"/>
                <w:hideMark/>
              </w:tcPr>
              <w:tbl>
                <w:tblPr>
                  <w:tblpPr w:leftFromText="45" w:rightFromText="45" w:vertAnchor="text"/>
                  <w:tblW w:w="3198" w:type="dxa"/>
                  <w:tblCellMar>
                    <w:left w:w="0" w:type="dxa"/>
                    <w:right w:w="0" w:type="dxa"/>
                  </w:tblCellMar>
                  <w:tblLook w:val="04A0"/>
                </w:tblPr>
                <w:tblGrid>
                  <w:gridCol w:w="779"/>
                  <w:gridCol w:w="564"/>
                  <w:gridCol w:w="905"/>
                  <w:gridCol w:w="905"/>
                </w:tblGrid>
                <w:tr w:rsidR="002A0467">
                  <w:tc>
                    <w:tcPr>
                      <w:tcW w:w="790" w:type="dxa"/>
                      <w:tcBorders>
                        <w:top w:val="single" w:sz="8" w:space="0" w:color="auto"/>
                        <w:left w:val="nil"/>
                        <w:bottom w:val="single" w:sz="8" w:space="0" w:color="auto"/>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b/>
                          <w:bCs/>
                          <w:sz w:val="14"/>
                          <w:szCs w:val="14"/>
                        </w:rPr>
                        <w:t>Date</w:t>
                      </w:r>
                    </w:p>
                  </w:tc>
                  <w:tc>
                    <w:tcPr>
                      <w:tcW w:w="572" w:type="dxa"/>
                      <w:tcBorders>
                        <w:top w:val="single" w:sz="8" w:space="0" w:color="auto"/>
                        <w:left w:val="nil"/>
                        <w:bottom w:val="single" w:sz="8" w:space="0" w:color="auto"/>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b/>
                          <w:bCs/>
                          <w:sz w:val="14"/>
                          <w:szCs w:val="14"/>
                        </w:rPr>
                        <w:t>Rating</w:t>
                      </w:r>
                    </w:p>
                  </w:tc>
                  <w:tc>
                    <w:tcPr>
                      <w:tcW w:w="918" w:type="dxa"/>
                      <w:tcBorders>
                        <w:top w:val="single" w:sz="8" w:space="0" w:color="auto"/>
                        <w:left w:val="nil"/>
                        <w:bottom w:val="single" w:sz="8" w:space="0" w:color="auto"/>
                        <w:right w:val="nil"/>
                      </w:tcBorders>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b/>
                          <w:bCs/>
                          <w:sz w:val="14"/>
                          <w:szCs w:val="14"/>
                        </w:rPr>
                        <w:t>Share Price (€)</w:t>
                      </w:r>
                    </w:p>
                  </w:tc>
                  <w:tc>
                    <w:tcPr>
                      <w:tcW w:w="918" w:type="dxa"/>
                      <w:tcBorders>
                        <w:top w:val="single" w:sz="8" w:space="0" w:color="auto"/>
                        <w:left w:val="nil"/>
                        <w:bottom w:val="single" w:sz="8" w:space="0" w:color="auto"/>
                        <w:right w:val="nil"/>
                      </w:tcBorders>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b/>
                          <w:bCs/>
                          <w:sz w:val="14"/>
                          <w:szCs w:val="14"/>
                        </w:rPr>
                        <w:t>Price Target (€)</w:t>
                      </w:r>
                    </w:p>
                  </w:tc>
                </w:tr>
                <w:tr w:rsidR="002A0467">
                  <w:tc>
                    <w:tcPr>
                      <w:tcW w:w="790"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08-May-07</w:t>
                      </w:r>
                    </w:p>
                  </w:tc>
                  <w:tc>
                    <w:tcPr>
                      <w:tcW w:w="572"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N</w:t>
                      </w:r>
                    </w:p>
                  </w:tc>
                  <w:tc>
                    <w:tcPr>
                      <w:tcW w:w="918"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79.25</w:t>
                      </w:r>
                    </w:p>
                  </w:tc>
                  <w:tc>
                    <w:tcPr>
                      <w:tcW w:w="918"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77.50</w:t>
                      </w:r>
                    </w:p>
                  </w:tc>
                </w:tr>
                <w:tr w:rsidR="002A0467">
                  <w:tc>
                    <w:tcPr>
                      <w:tcW w:w="790"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25-Jun-07</w:t>
                      </w:r>
                    </w:p>
                  </w:tc>
                  <w:tc>
                    <w:tcPr>
                      <w:tcW w:w="572"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N</w:t>
                      </w:r>
                    </w:p>
                  </w:tc>
                  <w:tc>
                    <w:tcPr>
                      <w:tcW w:w="918"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78.41</w:t>
                      </w:r>
                    </w:p>
                  </w:tc>
                  <w:tc>
                    <w:tcPr>
                      <w:tcW w:w="918"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72.70</w:t>
                      </w:r>
                    </w:p>
                  </w:tc>
                </w:tr>
                <w:tr w:rsidR="002A0467">
                  <w:tc>
                    <w:tcPr>
                      <w:tcW w:w="790"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09-Aug-07</w:t>
                      </w:r>
                    </w:p>
                  </w:tc>
                  <w:tc>
                    <w:tcPr>
                      <w:tcW w:w="572"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N</w:t>
                      </w:r>
                    </w:p>
                  </w:tc>
                  <w:tc>
                    <w:tcPr>
                      <w:tcW w:w="918"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78.97</w:t>
                      </w:r>
                    </w:p>
                  </w:tc>
                  <w:tc>
                    <w:tcPr>
                      <w:tcW w:w="918"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73.20</w:t>
                      </w:r>
                    </w:p>
                  </w:tc>
                </w:tr>
                <w:tr w:rsidR="002A0467">
                  <w:tc>
                    <w:tcPr>
                      <w:tcW w:w="790"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25-Sep-07</w:t>
                      </w:r>
                    </w:p>
                  </w:tc>
                  <w:tc>
                    <w:tcPr>
                      <w:tcW w:w="572"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N</w:t>
                      </w:r>
                    </w:p>
                  </w:tc>
                  <w:tc>
                    <w:tcPr>
                      <w:tcW w:w="918"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85.66</w:t>
                      </w:r>
                    </w:p>
                  </w:tc>
                  <w:tc>
                    <w:tcPr>
                      <w:tcW w:w="918"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82.20</w:t>
                      </w:r>
                    </w:p>
                  </w:tc>
                </w:tr>
                <w:tr w:rsidR="002A0467">
                  <w:tc>
                    <w:tcPr>
                      <w:tcW w:w="790"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14-Jan-08</w:t>
                      </w:r>
                    </w:p>
                  </w:tc>
                  <w:tc>
                    <w:tcPr>
                      <w:tcW w:w="572"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N</w:t>
                      </w:r>
                    </w:p>
                  </w:tc>
                  <w:tc>
                    <w:tcPr>
                      <w:tcW w:w="918"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94.16</w:t>
                      </w:r>
                    </w:p>
                  </w:tc>
                  <w:tc>
                    <w:tcPr>
                      <w:tcW w:w="918"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93.80</w:t>
                      </w:r>
                    </w:p>
                  </w:tc>
                </w:tr>
                <w:tr w:rsidR="002A0467">
                  <w:tc>
                    <w:tcPr>
                      <w:tcW w:w="790"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29-Feb-08</w:t>
                      </w:r>
                    </w:p>
                  </w:tc>
                  <w:tc>
                    <w:tcPr>
                      <w:tcW w:w="572"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OW</w:t>
                      </w:r>
                    </w:p>
                  </w:tc>
                  <w:tc>
                    <w:tcPr>
                      <w:tcW w:w="918"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79.86</w:t>
                      </w:r>
                    </w:p>
                  </w:tc>
                  <w:tc>
                    <w:tcPr>
                      <w:tcW w:w="918"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98.00</w:t>
                      </w:r>
                    </w:p>
                  </w:tc>
                </w:tr>
                <w:tr w:rsidR="002A0467">
                  <w:tc>
                    <w:tcPr>
                      <w:tcW w:w="790"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30-Jun-08</w:t>
                      </w:r>
                    </w:p>
                  </w:tc>
                  <w:tc>
                    <w:tcPr>
                      <w:tcW w:w="572"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OW</w:t>
                      </w:r>
                    </w:p>
                  </w:tc>
                  <w:tc>
                    <w:tcPr>
                      <w:tcW w:w="918"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78.68</w:t>
                      </w:r>
                    </w:p>
                  </w:tc>
                  <w:tc>
                    <w:tcPr>
                      <w:tcW w:w="918"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105.00</w:t>
                      </w:r>
                    </w:p>
                  </w:tc>
                </w:tr>
                <w:tr w:rsidR="002A0467">
                  <w:tc>
                    <w:tcPr>
                      <w:tcW w:w="790"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28-Nov-08</w:t>
                      </w:r>
                    </w:p>
                  </w:tc>
                  <w:tc>
                    <w:tcPr>
                      <w:tcW w:w="572"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N</w:t>
                      </w:r>
                    </w:p>
                  </w:tc>
                  <w:tc>
                    <w:tcPr>
                      <w:tcW w:w="918"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65.73</w:t>
                      </w:r>
                    </w:p>
                  </w:tc>
                  <w:tc>
                    <w:tcPr>
                      <w:tcW w:w="918"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86.00</w:t>
                      </w:r>
                    </w:p>
                  </w:tc>
                </w:tr>
                <w:tr w:rsidR="002A0467">
                  <w:tc>
                    <w:tcPr>
                      <w:tcW w:w="790"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14-Jan-09</w:t>
                      </w:r>
                    </w:p>
                  </w:tc>
                  <w:tc>
                    <w:tcPr>
                      <w:tcW w:w="572"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N</w:t>
                      </w:r>
                    </w:p>
                  </w:tc>
                  <w:tc>
                    <w:tcPr>
                      <w:tcW w:w="918"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61.55</w:t>
                      </w:r>
                    </w:p>
                  </w:tc>
                  <w:tc>
                    <w:tcPr>
                      <w:tcW w:w="918"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84.00</w:t>
                      </w:r>
                    </w:p>
                  </w:tc>
                </w:tr>
                <w:tr w:rsidR="002A0467">
                  <w:tc>
                    <w:tcPr>
                      <w:tcW w:w="790"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02-Feb-09</w:t>
                      </w:r>
                    </w:p>
                  </w:tc>
                  <w:tc>
                    <w:tcPr>
                      <w:tcW w:w="572"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N</w:t>
                      </w:r>
                    </w:p>
                  </w:tc>
                  <w:tc>
                    <w:tcPr>
                      <w:tcW w:w="918"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61.14</w:t>
                      </w:r>
                    </w:p>
                  </w:tc>
                  <w:tc>
                    <w:tcPr>
                      <w:tcW w:w="918"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78.00</w:t>
                      </w:r>
                    </w:p>
                  </w:tc>
                </w:tr>
                <w:tr w:rsidR="002A0467">
                  <w:tc>
                    <w:tcPr>
                      <w:tcW w:w="790"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01-Mar-10</w:t>
                      </w:r>
                    </w:p>
                  </w:tc>
                  <w:tc>
                    <w:tcPr>
                      <w:tcW w:w="572"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N</w:t>
                      </w:r>
                    </w:p>
                  </w:tc>
                  <w:tc>
                    <w:tcPr>
                      <w:tcW w:w="918"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62.30</w:t>
                      </w:r>
                    </w:p>
                  </w:tc>
                  <w:tc>
                    <w:tcPr>
                      <w:tcW w:w="918"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 xml:space="preserve">-- </w:t>
                      </w:r>
                    </w:p>
                  </w:tc>
                </w:tr>
                <w:tr w:rsidR="002A0467">
                  <w:tc>
                    <w:tcPr>
                      <w:tcW w:w="790"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26-Mar-10</w:t>
                      </w:r>
                    </w:p>
                  </w:tc>
                  <w:tc>
                    <w:tcPr>
                      <w:tcW w:w="572"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N</w:t>
                      </w:r>
                    </w:p>
                  </w:tc>
                  <w:tc>
                    <w:tcPr>
                      <w:tcW w:w="918"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64.50</w:t>
                      </w:r>
                    </w:p>
                  </w:tc>
                  <w:tc>
                    <w:tcPr>
                      <w:tcW w:w="918"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68.00</w:t>
                      </w:r>
                    </w:p>
                  </w:tc>
                </w:tr>
                <w:tr w:rsidR="002A0467">
                  <w:tc>
                    <w:tcPr>
                      <w:tcW w:w="790"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10-Aug-10</w:t>
                      </w:r>
                    </w:p>
                  </w:tc>
                  <w:tc>
                    <w:tcPr>
                      <w:tcW w:w="572"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UW</w:t>
                      </w:r>
                    </w:p>
                  </w:tc>
                  <w:tc>
                    <w:tcPr>
                      <w:tcW w:w="918"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56.08</w:t>
                      </w:r>
                    </w:p>
                  </w:tc>
                  <w:tc>
                    <w:tcPr>
                      <w:tcW w:w="918"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62.00</w:t>
                      </w:r>
                    </w:p>
                  </w:tc>
                </w:tr>
                <w:tr w:rsidR="002A0467">
                  <w:tc>
                    <w:tcPr>
                      <w:tcW w:w="790"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05-Oct-10</w:t>
                      </w:r>
                    </w:p>
                  </w:tc>
                  <w:tc>
                    <w:tcPr>
                      <w:tcW w:w="572"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UW</w:t>
                      </w:r>
                    </w:p>
                  </w:tc>
                  <w:tc>
                    <w:tcPr>
                      <w:tcW w:w="918"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49.21</w:t>
                      </w:r>
                    </w:p>
                  </w:tc>
                  <w:tc>
                    <w:tcPr>
                      <w:tcW w:w="918"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55.00</w:t>
                      </w:r>
                    </w:p>
                  </w:tc>
                </w:tr>
                <w:tr w:rsidR="002A0467">
                  <w:tc>
                    <w:tcPr>
                      <w:tcW w:w="790"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14-Feb-11</w:t>
                      </w:r>
                    </w:p>
                  </w:tc>
                  <w:tc>
                    <w:tcPr>
                      <w:tcW w:w="572"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UW</w:t>
                      </w:r>
                    </w:p>
                  </w:tc>
                  <w:tc>
                    <w:tcPr>
                      <w:tcW w:w="918"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53.58</w:t>
                      </w:r>
                    </w:p>
                  </w:tc>
                  <w:tc>
                    <w:tcPr>
                      <w:tcW w:w="918"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51.00</w:t>
                      </w:r>
                    </w:p>
                  </w:tc>
                </w:tr>
                <w:tr w:rsidR="002A0467">
                  <w:tc>
                    <w:tcPr>
                      <w:tcW w:w="790"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05-Apr-11</w:t>
                      </w:r>
                    </w:p>
                  </w:tc>
                  <w:tc>
                    <w:tcPr>
                      <w:tcW w:w="572"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UW</w:t>
                      </w:r>
                    </w:p>
                  </w:tc>
                  <w:tc>
                    <w:tcPr>
                      <w:tcW w:w="918"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46.56</w:t>
                      </w:r>
                    </w:p>
                  </w:tc>
                  <w:tc>
                    <w:tcPr>
                      <w:tcW w:w="918"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48.00</w:t>
                      </w:r>
                    </w:p>
                  </w:tc>
                </w:tr>
                <w:tr w:rsidR="002A0467">
                  <w:tc>
                    <w:tcPr>
                      <w:tcW w:w="790"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20-Jul-11</w:t>
                      </w:r>
                    </w:p>
                  </w:tc>
                  <w:tc>
                    <w:tcPr>
                      <w:tcW w:w="572"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UW</w:t>
                      </w:r>
                    </w:p>
                  </w:tc>
                  <w:tc>
                    <w:tcPr>
                      <w:tcW w:w="918"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36.22</w:t>
                      </w:r>
                    </w:p>
                  </w:tc>
                  <w:tc>
                    <w:tcPr>
                      <w:tcW w:w="918"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41.00</w:t>
                      </w:r>
                    </w:p>
                  </w:tc>
                </w:tr>
                <w:tr w:rsidR="002A0467">
                  <w:tc>
                    <w:tcPr>
                      <w:tcW w:w="790"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25-Jan-12</w:t>
                      </w:r>
                    </w:p>
                  </w:tc>
                  <w:tc>
                    <w:tcPr>
                      <w:tcW w:w="572"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N</w:t>
                      </w:r>
                    </w:p>
                  </w:tc>
                  <w:tc>
                    <w:tcPr>
                      <w:tcW w:w="918"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26.84</w:t>
                      </w:r>
                    </w:p>
                  </w:tc>
                  <w:tc>
                    <w:tcPr>
                      <w:tcW w:w="918"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32.00</w:t>
                      </w:r>
                    </w:p>
                  </w:tc>
                </w:tr>
                <w:tr w:rsidR="002A0467">
                  <w:tc>
                    <w:tcPr>
                      <w:tcW w:w="790"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15-Jan-13</w:t>
                      </w:r>
                    </w:p>
                  </w:tc>
                  <w:tc>
                    <w:tcPr>
                      <w:tcW w:w="572"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UW</w:t>
                      </w:r>
                    </w:p>
                  </w:tc>
                  <w:tc>
                    <w:tcPr>
                      <w:tcW w:w="918"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28.88</w:t>
                      </w:r>
                    </w:p>
                  </w:tc>
                  <w:tc>
                    <w:tcPr>
                      <w:tcW w:w="918"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28.00</w:t>
                      </w:r>
                    </w:p>
                  </w:tc>
                </w:tr>
                <w:tr w:rsidR="002A0467">
                  <w:tc>
                    <w:tcPr>
                      <w:tcW w:w="790"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28-Mar-13</w:t>
                      </w:r>
                    </w:p>
                  </w:tc>
                  <w:tc>
                    <w:tcPr>
                      <w:tcW w:w="572"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NR</w:t>
                      </w:r>
                    </w:p>
                  </w:tc>
                  <w:tc>
                    <w:tcPr>
                      <w:tcW w:w="918"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28.76</w:t>
                      </w:r>
                    </w:p>
                  </w:tc>
                  <w:tc>
                    <w:tcPr>
                      <w:tcW w:w="918"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 xml:space="preserve">-- </w:t>
                      </w:r>
                    </w:p>
                  </w:tc>
                </w:tr>
                <w:tr w:rsidR="002A0467">
                  <w:tc>
                    <w:tcPr>
                      <w:tcW w:w="790"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26-Apr-13</w:t>
                      </w:r>
                    </w:p>
                  </w:tc>
                  <w:tc>
                    <w:tcPr>
                      <w:tcW w:w="572"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UW</w:t>
                      </w:r>
                    </w:p>
                  </w:tc>
                  <w:tc>
                    <w:tcPr>
                      <w:tcW w:w="918"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26.94</w:t>
                      </w:r>
                    </w:p>
                  </w:tc>
                  <w:tc>
                    <w:tcPr>
                      <w:tcW w:w="918"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28.00</w:t>
                      </w:r>
                    </w:p>
                  </w:tc>
                </w:tr>
                <w:tr w:rsidR="002A0467">
                  <w:tc>
                    <w:tcPr>
                      <w:tcW w:w="790"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04-Sep-13</w:t>
                      </w:r>
                    </w:p>
                  </w:tc>
                  <w:tc>
                    <w:tcPr>
                      <w:tcW w:w="572"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N</w:t>
                      </w:r>
                    </w:p>
                  </w:tc>
                  <w:tc>
                    <w:tcPr>
                      <w:tcW w:w="918"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21.23</w:t>
                      </w:r>
                    </w:p>
                  </w:tc>
                  <w:tc>
                    <w:tcPr>
                      <w:tcW w:w="918"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22.00</w:t>
                      </w:r>
                    </w:p>
                  </w:tc>
                </w:tr>
                <w:tr w:rsidR="002A0467">
                  <w:tc>
                    <w:tcPr>
                      <w:tcW w:w="790"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04-Oct-13</w:t>
                      </w:r>
                    </w:p>
                  </w:tc>
                  <w:tc>
                    <w:tcPr>
                      <w:tcW w:w="572"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N</w:t>
                      </w:r>
                    </w:p>
                  </w:tc>
                  <w:tc>
                    <w:tcPr>
                      <w:tcW w:w="918"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25.06</w:t>
                      </w:r>
                    </w:p>
                  </w:tc>
                  <w:tc>
                    <w:tcPr>
                      <w:tcW w:w="918"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25.00</w:t>
                      </w:r>
                    </w:p>
                  </w:tc>
                </w:tr>
                <w:tr w:rsidR="002A0467">
                  <w:tc>
                    <w:tcPr>
                      <w:tcW w:w="790"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19-Nov-13</w:t>
                      </w:r>
                    </w:p>
                  </w:tc>
                  <w:tc>
                    <w:tcPr>
                      <w:tcW w:w="572"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N</w:t>
                      </w:r>
                    </w:p>
                  </w:tc>
                  <w:tc>
                    <w:tcPr>
                      <w:tcW w:w="918"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27.43</w:t>
                      </w:r>
                    </w:p>
                  </w:tc>
                  <w:tc>
                    <w:tcPr>
                      <w:tcW w:w="918" w:type="dxa"/>
                      <w:tcBorders>
                        <w:top w:val="nil"/>
                        <w:left w:val="nil"/>
                        <w:bottom w:val="nil"/>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28.00</w:t>
                      </w:r>
                    </w:p>
                  </w:tc>
                </w:tr>
                <w:tr w:rsidR="002A0467">
                  <w:tc>
                    <w:tcPr>
                      <w:tcW w:w="790" w:type="dxa"/>
                      <w:tcBorders>
                        <w:top w:val="nil"/>
                        <w:left w:val="nil"/>
                        <w:bottom w:val="single" w:sz="8" w:space="0" w:color="auto"/>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15-May-14</w:t>
                      </w:r>
                    </w:p>
                  </w:tc>
                  <w:tc>
                    <w:tcPr>
                      <w:tcW w:w="572" w:type="dxa"/>
                      <w:tcBorders>
                        <w:top w:val="nil"/>
                        <w:left w:val="nil"/>
                        <w:bottom w:val="single" w:sz="8" w:space="0" w:color="auto"/>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N</w:t>
                      </w:r>
                    </w:p>
                  </w:tc>
                  <w:tc>
                    <w:tcPr>
                      <w:tcW w:w="918" w:type="dxa"/>
                      <w:tcBorders>
                        <w:top w:val="nil"/>
                        <w:left w:val="nil"/>
                        <w:bottom w:val="single" w:sz="8" w:space="0" w:color="auto"/>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27.46</w:t>
                      </w:r>
                    </w:p>
                  </w:tc>
                  <w:tc>
                    <w:tcPr>
                      <w:tcW w:w="918" w:type="dxa"/>
                      <w:tcBorders>
                        <w:top w:val="nil"/>
                        <w:left w:val="nil"/>
                        <w:bottom w:val="single" w:sz="8" w:space="0" w:color="auto"/>
                        <w:right w:val="nil"/>
                      </w:tcBorders>
                      <w:noWrap/>
                      <w:tcMar>
                        <w:top w:w="29" w:type="dxa"/>
                        <w:left w:w="29" w:type="dxa"/>
                        <w:bottom w:w="29" w:type="dxa"/>
                        <w:right w:w="29" w:type="dxa"/>
                      </w:tcMar>
                      <w:hideMark/>
                    </w:tcPr>
                    <w:p w:rsidR="002A0467" w:rsidRDefault="002A0467">
                      <w:pPr>
                        <w:pStyle w:val="NormalWeb"/>
                        <w:rPr>
                          <w:rFonts w:eastAsiaTheme="minorEastAsia"/>
                        </w:rPr>
                      </w:pPr>
                      <w:r>
                        <w:rPr>
                          <w:rFonts w:ascii="Arial" w:hAnsi="Arial" w:cs="Arial"/>
                          <w:sz w:val="14"/>
                          <w:szCs w:val="14"/>
                        </w:rPr>
                        <w:t>26.00</w:t>
                      </w:r>
                    </w:p>
                  </w:tc>
                </w:tr>
              </w:tbl>
              <w:p w:rsidR="002A0467" w:rsidRDefault="002A0467">
                <w:pPr>
                  <w:rPr>
                    <w:rFonts w:eastAsia="Times New Roman"/>
                  </w:rPr>
                </w:pPr>
              </w:p>
            </w:tc>
          </w:tr>
        </w:tbl>
        <w:p w:rsidR="002A0467" w:rsidRDefault="002A0467">
          <w:pPr>
            <w:divId w:val="175658182"/>
            <w:rPr>
              <w:rFonts w:eastAsia="Times New Roman"/>
              <w:sz w:val="12"/>
              <w:szCs w:val="12"/>
            </w:rPr>
          </w:pPr>
        </w:p>
        <w:p w:rsidR="002A0467" w:rsidRDefault="002A0467">
          <w:pPr>
            <w:divId w:val="1754936151"/>
            <w:rPr>
              <w:rFonts w:ascii="Arial" w:eastAsia="Times New Roman" w:hAnsi="Arial" w:cs="Arial"/>
              <w:sz w:val="18"/>
              <w:szCs w:val="18"/>
            </w:rPr>
          </w:pPr>
          <w:r>
            <w:rPr>
              <w:rFonts w:eastAsia="Times New Roman"/>
              <w:sz w:val="18"/>
              <w:szCs w:val="18"/>
            </w:rPr>
            <w:t xml:space="preserve">The chart(s) show J.P. Morgan's continuing coverage of the stocks; the current analysts may or may not have covered it over the entire period. </w:t>
          </w:r>
          <w:r>
            <w:rPr>
              <w:rFonts w:eastAsia="Times New Roman"/>
              <w:sz w:val="18"/>
              <w:szCs w:val="18"/>
            </w:rPr>
            <w:br/>
            <w:t>J.P. Morgan ratings or designations: OW = Overweight, N= Neutral, UW = Underweight, NR = Not Rated</w:t>
          </w:r>
        </w:p>
        <w:p w:rsidR="002A0467" w:rsidRDefault="002A0467">
          <w:pPr>
            <w:divId w:val="1314717755"/>
            <w:rPr>
              <w:rFonts w:eastAsia="Times New Roman"/>
              <w:sz w:val="12"/>
              <w:szCs w:val="12"/>
            </w:rPr>
          </w:pPr>
        </w:p>
        <w:p w:rsidR="002A0467" w:rsidRDefault="002A0467">
          <w:pPr>
            <w:divId w:val="1754936151"/>
            <w:rPr>
              <w:rFonts w:eastAsia="Times New Roman"/>
              <w:sz w:val="18"/>
              <w:szCs w:val="18"/>
            </w:rPr>
          </w:pPr>
          <w:r>
            <w:rPr>
              <w:rFonts w:eastAsia="Times New Roman"/>
              <w:b/>
              <w:bCs/>
              <w:sz w:val="18"/>
              <w:szCs w:val="18"/>
            </w:rPr>
            <w:t xml:space="preserve">Explanation of Equity Research Ratings, Designations and Analyst(s) Coverage Universe: </w:t>
          </w:r>
          <w:r>
            <w:rPr>
              <w:rFonts w:eastAsia="Times New Roman"/>
              <w:b/>
              <w:bCs/>
              <w:sz w:val="18"/>
              <w:szCs w:val="18"/>
            </w:rPr>
            <w:br/>
          </w:r>
          <w:r>
            <w:rPr>
              <w:rFonts w:eastAsia="Times New Roman"/>
              <w:sz w:val="18"/>
              <w:szCs w:val="18"/>
            </w:rPr>
            <w:t xml:space="preserve">J.P. Morgan uses the following rating system: Overweight [Over the next six to twelve months, we expect this stock will outperform the average total return of the stocks in the analyst’s (or the analyst’s team’s) coverage universe.] Neutral [Over the next six to twelve months, we expect this stock will perform in line with the average total return of the stocks in the analyst’s (or the analyst’s team’s) coverage universe.] Underweight [Over the next six to twelve months, we expect this stock will underperform the average total return of the stocks in the analyst’s (or the analyst’s team’s) coverage universe.] Not Rated (NR): J.P. Morgan has removed the rating and, if applicable, the price target, for this stock because of either a lack of a sufficient fundamental basis or for legal, regulatory or policy reasons. The previous rating and, if applicable, the price target, no longer should be relied upon. An NR designation is not a recommendation or a rating. In our Asia (ex-Australia) and U.K. small- and mid-cap equity research, each stock’s expected total return is compared to the expected total return of a benchmark country market index, not to those analysts’ coverage universe. If it does not appear in the Important Disclosures section of this report, the certifying analyst’s coverage universe can be found on J.P. Morgan’s research website, www.jpmorganmarkets.com. </w:t>
          </w:r>
        </w:p>
        <w:p w:rsidR="002A0467" w:rsidRDefault="002A0467">
          <w:pPr>
            <w:divId w:val="1511095104"/>
            <w:rPr>
              <w:rFonts w:eastAsia="Times New Roman"/>
              <w:sz w:val="12"/>
              <w:szCs w:val="12"/>
            </w:rPr>
          </w:pPr>
        </w:p>
        <w:p w:rsidR="002A0467" w:rsidRDefault="002A0467">
          <w:pPr>
            <w:divId w:val="1754936151"/>
            <w:rPr>
              <w:rFonts w:eastAsia="Times New Roman"/>
              <w:sz w:val="18"/>
              <w:szCs w:val="18"/>
            </w:rPr>
          </w:pPr>
          <w:r>
            <w:rPr>
              <w:rFonts w:eastAsia="Times New Roman"/>
              <w:b/>
              <w:bCs/>
              <w:sz w:val="18"/>
              <w:szCs w:val="18"/>
            </w:rPr>
            <w:t>Coverage Universe: Casali, Nathalie F</w:t>
          </w:r>
          <w:r>
            <w:rPr>
              <w:rFonts w:eastAsia="Times New Roman"/>
              <w:sz w:val="18"/>
              <w:szCs w:val="18"/>
            </w:rPr>
            <w:t>: CEZ (CEZP.PR), E.ON (EONGn.DE), EDF (EDF.PA), GDF SUEZ (GSZ.PA), RWE (RWEG.DE), Suez Environnement (SEVI.PA), Veolia (VIE.PA)</w:t>
          </w:r>
        </w:p>
        <w:p w:rsidR="002A0467" w:rsidRDefault="002A0467">
          <w:pPr>
            <w:divId w:val="66612487"/>
            <w:rPr>
              <w:rFonts w:eastAsia="Times New Roman"/>
              <w:sz w:val="12"/>
              <w:szCs w:val="12"/>
            </w:rPr>
          </w:pPr>
        </w:p>
        <w:p w:rsidR="002A0467" w:rsidRDefault="002A0467" w:rsidP="002A0467">
          <w:pPr>
            <w:keepNext/>
            <w:keepLines/>
            <w:spacing w:before="164" w:after="164"/>
            <w:ind w:left="164" w:right="164"/>
            <w:divId w:val="1754936151"/>
            <w:rPr>
              <w:b/>
              <w:bCs/>
              <w:sz w:val="18"/>
              <w:szCs w:val="18"/>
            </w:rPr>
          </w:pPr>
          <w:r>
            <w:rPr>
              <w:b/>
              <w:bCs/>
              <w:sz w:val="18"/>
              <w:szCs w:val="18"/>
            </w:rPr>
            <w:t>J.P. Morgan Equity Research Ratings Distribution, as of June 30, 2014</w:t>
          </w:r>
        </w:p>
        <w:tbl>
          <w:tblPr>
            <w:tblW w:w="3250" w:type="pct"/>
            <w:tblCellMar>
              <w:left w:w="0" w:type="dxa"/>
              <w:right w:w="0" w:type="dxa"/>
            </w:tblCellMar>
            <w:tblLook w:val="04A0"/>
          </w:tblPr>
          <w:tblGrid>
            <w:gridCol w:w="3762"/>
            <w:gridCol w:w="908"/>
            <w:gridCol w:w="908"/>
            <w:gridCol w:w="908"/>
          </w:tblGrid>
          <w:tr w:rsidR="002A0467">
            <w:trPr>
              <w:divId w:val="1754936151"/>
            </w:trPr>
            <w:tc>
              <w:tcPr>
                <w:tcW w:w="2900" w:type="pct"/>
                <w:tcBorders>
                  <w:bottom w:val="single" w:sz="4" w:space="0" w:color="000000"/>
                </w:tcBorders>
                <w:hideMark/>
              </w:tcPr>
              <w:p w:rsidR="002A0467" w:rsidRDefault="002A0467" w:rsidP="002A0467">
                <w:pPr>
                  <w:keepNext/>
                  <w:keepLines/>
                  <w:rPr>
                    <w:rFonts w:eastAsia="Times New Roman"/>
                  </w:rPr>
                </w:pPr>
              </w:p>
            </w:tc>
            <w:tc>
              <w:tcPr>
                <w:tcW w:w="700" w:type="pct"/>
                <w:tcBorders>
                  <w:bottom w:val="single" w:sz="4" w:space="0" w:color="000000"/>
                </w:tcBorders>
                <w:hideMark/>
              </w:tcPr>
              <w:p w:rsidR="002A0467" w:rsidRDefault="002A0467" w:rsidP="002A0467">
                <w:pPr>
                  <w:keepNext/>
                  <w:keepLines/>
                  <w:spacing w:before="100" w:beforeAutospacing="1" w:after="100" w:afterAutospacing="1"/>
                  <w:rPr>
                    <w:rFonts w:eastAsiaTheme="minorEastAsia"/>
                    <w:sz w:val="16"/>
                    <w:szCs w:val="16"/>
                  </w:rPr>
                </w:pPr>
                <w:r>
                  <w:rPr>
                    <w:b/>
                    <w:bCs/>
                    <w:sz w:val="16"/>
                    <w:szCs w:val="16"/>
                  </w:rPr>
                  <w:t>Overweight</w:t>
                </w:r>
                <w:r>
                  <w:rPr>
                    <w:sz w:val="16"/>
                    <w:szCs w:val="16"/>
                  </w:rPr>
                  <w:br/>
                  <w:t>(buy)</w:t>
                </w:r>
              </w:p>
            </w:tc>
            <w:tc>
              <w:tcPr>
                <w:tcW w:w="700" w:type="pct"/>
                <w:tcBorders>
                  <w:bottom w:val="single" w:sz="4" w:space="0" w:color="000000"/>
                </w:tcBorders>
                <w:hideMark/>
              </w:tcPr>
              <w:p w:rsidR="002A0467" w:rsidRDefault="002A0467" w:rsidP="002A0467">
                <w:pPr>
                  <w:keepNext/>
                  <w:keepLines/>
                  <w:spacing w:before="100" w:beforeAutospacing="1" w:after="100" w:afterAutospacing="1"/>
                  <w:rPr>
                    <w:rFonts w:eastAsiaTheme="minorEastAsia"/>
                    <w:sz w:val="16"/>
                    <w:szCs w:val="16"/>
                  </w:rPr>
                </w:pPr>
                <w:r>
                  <w:rPr>
                    <w:b/>
                    <w:bCs/>
                    <w:sz w:val="16"/>
                    <w:szCs w:val="16"/>
                  </w:rPr>
                  <w:t>Neutral</w:t>
                </w:r>
                <w:r>
                  <w:rPr>
                    <w:sz w:val="16"/>
                    <w:szCs w:val="16"/>
                  </w:rPr>
                  <w:br/>
                  <w:t>(hold)</w:t>
                </w:r>
              </w:p>
            </w:tc>
            <w:tc>
              <w:tcPr>
                <w:tcW w:w="700" w:type="pct"/>
                <w:tcBorders>
                  <w:bottom w:val="single" w:sz="4" w:space="0" w:color="000000"/>
                </w:tcBorders>
                <w:hideMark/>
              </w:tcPr>
              <w:p w:rsidR="002A0467" w:rsidRDefault="002A0467" w:rsidP="002A0467">
                <w:pPr>
                  <w:keepNext/>
                  <w:keepLines/>
                  <w:spacing w:before="100" w:beforeAutospacing="1" w:after="100" w:afterAutospacing="1"/>
                  <w:rPr>
                    <w:rFonts w:eastAsiaTheme="minorEastAsia"/>
                    <w:sz w:val="16"/>
                    <w:szCs w:val="16"/>
                  </w:rPr>
                </w:pPr>
                <w:r>
                  <w:rPr>
                    <w:b/>
                    <w:bCs/>
                    <w:sz w:val="16"/>
                    <w:szCs w:val="16"/>
                  </w:rPr>
                  <w:t>Underweight</w:t>
                </w:r>
                <w:r>
                  <w:rPr>
                    <w:sz w:val="16"/>
                    <w:szCs w:val="16"/>
                  </w:rPr>
                  <w:br/>
                  <w:t>(sell)</w:t>
                </w:r>
              </w:p>
            </w:tc>
          </w:tr>
          <w:tr w:rsidR="002A0467">
            <w:trPr>
              <w:divId w:val="1754936151"/>
            </w:trPr>
            <w:tc>
              <w:tcPr>
                <w:tcW w:w="0" w:type="auto"/>
                <w:tcBorders>
                  <w:top w:val="single" w:sz="4" w:space="0" w:color="000000"/>
                </w:tcBorders>
                <w:hideMark/>
              </w:tcPr>
              <w:p w:rsidR="002A0467" w:rsidRDefault="002A0467" w:rsidP="002A0467">
                <w:pPr>
                  <w:keepNext/>
                  <w:keepLines/>
                  <w:spacing w:before="100" w:beforeAutospacing="1" w:after="100" w:afterAutospacing="1"/>
                  <w:ind w:left="229"/>
                  <w:rPr>
                    <w:rFonts w:eastAsiaTheme="minorEastAsia"/>
                    <w:sz w:val="16"/>
                    <w:szCs w:val="16"/>
                  </w:rPr>
                </w:pPr>
                <w:r>
                  <w:rPr>
                    <w:sz w:val="16"/>
                    <w:szCs w:val="16"/>
                  </w:rPr>
                  <w:t>J.P. Morgan Global Equity Research Coverage</w:t>
                </w:r>
              </w:p>
            </w:tc>
            <w:tc>
              <w:tcPr>
                <w:tcW w:w="0" w:type="auto"/>
                <w:tcBorders>
                  <w:top w:val="single" w:sz="4" w:space="0" w:color="000000"/>
                </w:tcBorders>
                <w:hideMark/>
              </w:tcPr>
              <w:p w:rsidR="002A0467" w:rsidRDefault="002A0467" w:rsidP="002A0467">
                <w:pPr>
                  <w:keepNext/>
                  <w:keepLines/>
                  <w:spacing w:before="100" w:beforeAutospacing="1" w:after="100" w:afterAutospacing="1"/>
                  <w:rPr>
                    <w:rFonts w:eastAsiaTheme="minorEastAsia"/>
                    <w:sz w:val="16"/>
                    <w:szCs w:val="16"/>
                  </w:rPr>
                </w:pPr>
                <w:r>
                  <w:rPr>
                    <w:sz w:val="16"/>
                    <w:szCs w:val="16"/>
                  </w:rPr>
                  <w:t>45%</w:t>
                </w:r>
              </w:p>
            </w:tc>
            <w:tc>
              <w:tcPr>
                <w:tcW w:w="0" w:type="auto"/>
                <w:tcBorders>
                  <w:top w:val="single" w:sz="4" w:space="0" w:color="000000"/>
                </w:tcBorders>
                <w:hideMark/>
              </w:tcPr>
              <w:p w:rsidR="002A0467" w:rsidRDefault="002A0467" w:rsidP="002A0467">
                <w:pPr>
                  <w:keepNext/>
                  <w:keepLines/>
                  <w:spacing w:before="100" w:beforeAutospacing="1" w:after="100" w:afterAutospacing="1"/>
                  <w:rPr>
                    <w:rFonts w:eastAsiaTheme="minorEastAsia"/>
                    <w:sz w:val="16"/>
                    <w:szCs w:val="16"/>
                  </w:rPr>
                </w:pPr>
                <w:r>
                  <w:rPr>
                    <w:sz w:val="16"/>
                    <w:szCs w:val="16"/>
                  </w:rPr>
                  <w:t>43%</w:t>
                </w:r>
              </w:p>
            </w:tc>
            <w:tc>
              <w:tcPr>
                <w:tcW w:w="0" w:type="auto"/>
                <w:tcBorders>
                  <w:top w:val="single" w:sz="4" w:space="0" w:color="000000"/>
                </w:tcBorders>
                <w:hideMark/>
              </w:tcPr>
              <w:p w:rsidR="002A0467" w:rsidRDefault="002A0467" w:rsidP="002A0467">
                <w:pPr>
                  <w:keepNext/>
                  <w:keepLines/>
                  <w:spacing w:before="100" w:beforeAutospacing="1" w:after="100" w:afterAutospacing="1"/>
                  <w:rPr>
                    <w:rFonts w:eastAsiaTheme="minorEastAsia"/>
                    <w:sz w:val="16"/>
                    <w:szCs w:val="16"/>
                  </w:rPr>
                </w:pPr>
                <w:r>
                  <w:rPr>
                    <w:sz w:val="16"/>
                    <w:szCs w:val="16"/>
                  </w:rPr>
                  <w:t>11%</w:t>
                </w:r>
              </w:p>
            </w:tc>
          </w:tr>
          <w:tr w:rsidR="002A0467">
            <w:trPr>
              <w:divId w:val="1754936151"/>
            </w:trPr>
            <w:tc>
              <w:tcPr>
                <w:tcW w:w="0" w:type="auto"/>
                <w:tcBorders>
                  <w:bottom w:val="single" w:sz="4" w:space="0" w:color="000000"/>
                </w:tcBorders>
                <w:hideMark/>
              </w:tcPr>
              <w:p w:rsidR="002A0467" w:rsidRDefault="002A0467" w:rsidP="002A0467">
                <w:pPr>
                  <w:keepNext/>
                  <w:keepLines/>
                  <w:spacing w:before="100" w:beforeAutospacing="1" w:after="100" w:afterAutospacing="1"/>
                  <w:ind w:left="229"/>
                  <w:rPr>
                    <w:rFonts w:eastAsiaTheme="minorEastAsia"/>
                    <w:sz w:val="16"/>
                    <w:szCs w:val="16"/>
                  </w:rPr>
                </w:pPr>
                <w:r>
                  <w:rPr>
                    <w:sz w:val="16"/>
                    <w:szCs w:val="16"/>
                  </w:rPr>
                  <w:t>    IB clients*</w:t>
                </w:r>
              </w:p>
            </w:tc>
            <w:tc>
              <w:tcPr>
                <w:tcW w:w="0" w:type="auto"/>
                <w:tcBorders>
                  <w:bottom w:val="single" w:sz="4" w:space="0" w:color="000000"/>
                </w:tcBorders>
                <w:hideMark/>
              </w:tcPr>
              <w:p w:rsidR="002A0467" w:rsidRDefault="002A0467" w:rsidP="002A0467">
                <w:pPr>
                  <w:keepNext/>
                  <w:keepLines/>
                  <w:spacing w:before="100" w:beforeAutospacing="1" w:after="100" w:afterAutospacing="1"/>
                  <w:rPr>
                    <w:rFonts w:eastAsiaTheme="minorEastAsia"/>
                    <w:sz w:val="16"/>
                    <w:szCs w:val="16"/>
                  </w:rPr>
                </w:pPr>
                <w:r>
                  <w:rPr>
                    <w:sz w:val="16"/>
                    <w:szCs w:val="16"/>
                  </w:rPr>
                  <w:t>55%</w:t>
                </w:r>
              </w:p>
            </w:tc>
            <w:tc>
              <w:tcPr>
                <w:tcW w:w="0" w:type="auto"/>
                <w:tcBorders>
                  <w:bottom w:val="single" w:sz="4" w:space="0" w:color="000000"/>
                </w:tcBorders>
                <w:hideMark/>
              </w:tcPr>
              <w:p w:rsidR="002A0467" w:rsidRDefault="002A0467" w:rsidP="002A0467">
                <w:pPr>
                  <w:keepNext/>
                  <w:keepLines/>
                  <w:spacing w:before="100" w:beforeAutospacing="1" w:after="100" w:afterAutospacing="1"/>
                  <w:rPr>
                    <w:rFonts w:eastAsiaTheme="minorEastAsia"/>
                    <w:sz w:val="16"/>
                    <w:szCs w:val="16"/>
                  </w:rPr>
                </w:pPr>
                <w:r>
                  <w:rPr>
                    <w:sz w:val="16"/>
                    <w:szCs w:val="16"/>
                  </w:rPr>
                  <w:t>49%</w:t>
                </w:r>
              </w:p>
            </w:tc>
            <w:tc>
              <w:tcPr>
                <w:tcW w:w="0" w:type="auto"/>
                <w:tcBorders>
                  <w:bottom w:val="single" w:sz="4" w:space="0" w:color="000000"/>
                </w:tcBorders>
                <w:hideMark/>
              </w:tcPr>
              <w:p w:rsidR="002A0467" w:rsidRDefault="002A0467" w:rsidP="002A0467">
                <w:pPr>
                  <w:keepNext/>
                  <w:keepLines/>
                  <w:spacing w:before="100" w:beforeAutospacing="1" w:after="100" w:afterAutospacing="1"/>
                  <w:rPr>
                    <w:rFonts w:eastAsiaTheme="minorEastAsia"/>
                    <w:sz w:val="16"/>
                    <w:szCs w:val="16"/>
                  </w:rPr>
                </w:pPr>
                <w:r>
                  <w:rPr>
                    <w:sz w:val="16"/>
                    <w:szCs w:val="16"/>
                  </w:rPr>
                  <w:t>34%</w:t>
                </w:r>
              </w:p>
            </w:tc>
          </w:tr>
          <w:tr w:rsidR="002A0467">
            <w:trPr>
              <w:divId w:val="1754936151"/>
            </w:trPr>
            <w:tc>
              <w:tcPr>
                <w:tcW w:w="0" w:type="auto"/>
                <w:tcBorders>
                  <w:top w:val="single" w:sz="4" w:space="0" w:color="000000"/>
                </w:tcBorders>
                <w:hideMark/>
              </w:tcPr>
              <w:p w:rsidR="002A0467" w:rsidRDefault="002A0467" w:rsidP="002A0467">
                <w:pPr>
                  <w:keepNext/>
                  <w:keepLines/>
                  <w:spacing w:before="100" w:beforeAutospacing="1" w:after="100" w:afterAutospacing="1"/>
                  <w:ind w:left="229"/>
                  <w:rPr>
                    <w:rFonts w:eastAsiaTheme="minorEastAsia"/>
                    <w:sz w:val="16"/>
                    <w:szCs w:val="16"/>
                  </w:rPr>
                </w:pPr>
                <w:r>
                  <w:rPr>
                    <w:sz w:val="16"/>
                    <w:szCs w:val="16"/>
                  </w:rPr>
                  <w:t>JPMS Equity Research Coverage</w:t>
                </w:r>
              </w:p>
            </w:tc>
            <w:tc>
              <w:tcPr>
                <w:tcW w:w="0" w:type="auto"/>
                <w:tcBorders>
                  <w:top w:val="single" w:sz="4" w:space="0" w:color="000000"/>
                </w:tcBorders>
                <w:hideMark/>
              </w:tcPr>
              <w:p w:rsidR="002A0467" w:rsidRDefault="002A0467" w:rsidP="002A0467">
                <w:pPr>
                  <w:keepNext/>
                  <w:keepLines/>
                  <w:spacing w:before="100" w:beforeAutospacing="1" w:after="100" w:afterAutospacing="1"/>
                  <w:rPr>
                    <w:rFonts w:eastAsiaTheme="minorEastAsia"/>
                    <w:sz w:val="16"/>
                    <w:szCs w:val="16"/>
                  </w:rPr>
                </w:pPr>
                <w:r>
                  <w:rPr>
                    <w:sz w:val="16"/>
                    <w:szCs w:val="16"/>
                  </w:rPr>
                  <w:t>46%</w:t>
                </w:r>
              </w:p>
            </w:tc>
            <w:tc>
              <w:tcPr>
                <w:tcW w:w="0" w:type="auto"/>
                <w:tcBorders>
                  <w:top w:val="single" w:sz="4" w:space="0" w:color="000000"/>
                </w:tcBorders>
                <w:hideMark/>
              </w:tcPr>
              <w:p w:rsidR="002A0467" w:rsidRDefault="002A0467" w:rsidP="002A0467">
                <w:pPr>
                  <w:keepNext/>
                  <w:keepLines/>
                  <w:spacing w:before="100" w:beforeAutospacing="1" w:after="100" w:afterAutospacing="1"/>
                  <w:rPr>
                    <w:rFonts w:eastAsiaTheme="minorEastAsia"/>
                    <w:sz w:val="16"/>
                    <w:szCs w:val="16"/>
                  </w:rPr>
                </w:pPr>
                <w:r>
                  <w:rPr>
                    <w:sz w:val="16"/>
                    <w:szCs w:val="16"/>
                  </w:rPr>
                  <w:t>47%</w:t>
                </w:r>
              </w:p>
            </w:tc>
            <w:tc>
              <w:tcPr>
                <w:tcW w:w="0" w:type="auto"/>
                <w:tcBorders>
                  <w:top w:val="single" w:sz="4" w:space="0" w:color="000000"/>
                </w:tcBorders>
                <w:hideMark/>
              </w:tcPr>
              <w:p w:rsidR="002A0467" w:rsidRDefault="002A0467" w:rsidP="002A0467">
                <w:pPr>
                  <w:keepNext/>
                  <w:keepLines/>
                  <w:spacing w:before="100" w:beforeAutospacing="1" w:after="100" w:afterAutospacing="1"/>
                  <w:rPr>
                    <w:rFonts w:eastAsiaTheme="minorEastAsia"/>
                    <w:sz w:val="16"/>
                    <w:szCs w:val="16"/>
                  </w:rPr>
                </w:pPr>
                <w:r>
                  <w:rPr>
                    <w:sz w:val="16"/>
                    <w:szCs w:val="16"/>
                  </w:rPr>
                  <w:t>7%</w:t>
                </w:r>
              </w:p>
            </w:tc>
          </w:tr>
          <w:tr w:rsidR="002A0467">
            <w:trPr>
              <w:divId w:val="1754936151"/>
            </w:trPr>
            <w:tc>
              <w:tcPr>
                <w:tcW w:w="0" w:type="auto"/>
                <w:tcBorders>
                  <w:bottom w:val="single" w:sz="4" w:space="0" w:color="000000"/>
                </w:tcBorders>
                <w:hideMark/>
              </w:tcPr>
              <w:p w:rsidR="002A0467" w:rsidRDefault="002A0467" w:rsidP="002A0467">
                <w:pPr>
                  <w:keepNext/>
                  <w:keepLines/>
                  <w:spacing w:before="100" w:beforeAutospacing="1" w:after="100" w:afterAutospacing="1"/>
                  <w:ind w:left="229"/>
                  <w:rPr>
                    <w:rFonts w:eastAsiaTheme="minorEastAsia"/>
                    <w:sz w:val="16"/>
                    <w:szCs w:val="16"/>
                  </w:rPr>
                </w:pPr>
                <w:r>
                  <w:rPr>
                    <w:sz w:val="16"/>
                    <w:szCs w:val="16"/>
                  </w:rPr>
                  <w:t>    IB clients*</w:t>
                </w:r>
              </w:p>
            </w:tc>
            <w:tc>
              <w:tcPr>
                <w:tcW w:w="0" w:type="auto"/>
                <w:tcBorders>
                  <w:bottom w:val="single" w:sz="4" w:space="0" w:color="000000"/>
                </w:tcBorders>
                <w:hideMark/>
              </w:tcPr>
              <w:p w:rsidR="002A0467" w:rsidRDefault="002A0467" w:rsidP="002A0467">
                <w:pPr>
                  <w:keepNext/>
                  <w:keepLines/>
                  <w:spacing w:before="100" w:beforeAutospacing="1" w:after="100" w:afterAutospacing="1"/>
                  <w:rPr>
                    <w:rFonts w:eastAsiaTheme="minorEastAsia"/>
                    <w:sz w:val="16"/>
                    <w:szCs w:val="16"/>
                  </w:rPr>
                </w:pPr>
                <w:r>
                  <w:rPr>
                    <w:sz w:val="16"/>
                    <w:szCs w:val="16"/>
                  </w:rPr>
                  <w:t>75%</w:t>
                </w:r>
              </w:p>
            </w:tc>
            <w:tc>
              <w:tcPr>
                <w:tcW w:w="0" w:type="auto"/>
                <w:tcBorders>
                  <w:bottom w:val="single" w:sz="4" w:space="0" w:color="000000"/>
                </w:tcBorders>
                <w:hideMark/>
              </w:tcPr>
              <w:p w:rsidR="002A0467" w:rsidRDefault="002A0467" w:rsidP="002A0467">
                <w:pPr>
                  <w:keepNext/>
                  <w:keepLines/>
                  <w:spacing w:before="100" w:beforeAutospacing="1" w:after="100" w:afterAutospacing="1"/>
                  <w:rPr>
                    <w:rFonts w:eastAsiaTheme="minorEastAsia"/>
                    <w:sz w:val="16"/>
                    <w:szCs w:val="16"/>
                  </w:rPr>
                </w:pPr>
                <w:r>
                  <w:rPr>
                    <w:sz w:val="16"/>
                    <w:szCs w:val="16"/>
                  </w:rPr>
                  <w:t>66%</w:t>
                </w:r>
              </w:p>
            </w:tc>
            <w:tc>
              <w:tcPr>
                <w:tcW w:w="0" w:type="auto"/>
                <w:tcBorders>
                  <w:bottom w:val="single" w:sz="4" w:space="0" w:color="000000"/>
                </w:tcBorders>
                <w:hideMark/>
              </w:tcPr>
              <w:p w:rsidR="002A0467" w:rsidRDefault="002A0467" w:rsidP="002A0467">
                <w:pPr>
                  <w:keepNext/>
                  <w:keepLines/>
                  <w:spacing w:before="100" w:beforeAutospacing="1" w:after="100" w:afterAutospacing="1"/>
                  <w:rPr>
                    <w:rFonts w:eastAsiaTheme="minorEastAsia"/>
                    <w:sz w:val="16"/>
                    <w:szCs w:val="16"/>
                  </w:rPr>
                </w:pPr>
                <w:r>
                  <w:rPr>
                    <w:sz w:val="16"/>
                    <w:szCs w:val="16"/>
                  </w:rPr>
                  <w:t>54%</w:t>
                </w:r>
              </w:p>
            </w:tc>
          </w:tr>
        </w:tbl>
        <w:p w:rsidR="002A0467" w:rsidRDefault="002A0467" w:rsidP="002A0467">
          <w:pPr>
            <w:keepLines/>
            <w:spacing w:before="164" w:after="164"/>
            <w:ind w:left="164" w:right="164"/>
            <w:divId w:val="1754936151"/>
            <w:rPr>
              <w:rFonts w:eastAsiaTheme="minorEastAsia"/>
              <w:sz w:val="16"/>
              <w:szCs w:val="16"/>
            </w:rPr>
          </w:pPr>
          <w:r>
            <w:rPr>
              <w:sz w:val="16"/>
              <w:szCs w:val="16"/>
            </w:rPr>
            <w:t>*Percentage of investment banking clients in each rating category.</w:t>
          </w:r>
          <w:r>
            <w:rPr>
              <w:sz w:val="16"/>
              <w:szCs w:val="16"/>
            </w:rPr>
            <w:br/>
            <w:t>For purposes only of FINRA/NYSE ratings distribution rules, our Overweight rating falls into a buy rating category; our Neutral rating falls into a hold rating category; and our Underweight rating falls into a sell rating category. Please note that stocks with an NR designation are not included in the table above.</w:t>
          </w:r>
          <w:r>
            <w:rPr>
              <w:sz w:val="16"/>
              <w:szCs w:val="16"/>
            </w:rPr>
            <w:br/>
          </w:r>
        </w:p>
        <w:p w:rsidR="002A0467" w:rsidRDefault="002A0467">
          <w:pPr>
            <w:divId w:val="1096443813"/>
            <w:rPr>
              <w:rFonts w:eastAsia="Times New Roman"/>
              <w:sz w:val="12"/>
              <w:szCs w:val="12"/>
            </w:rPr>
          </w:pPr>
        </w:p>
        <w:p w:rsidR="002A0467" w:rsidRDefault="002A0467">
          <w:pPr>
            <w:divId w:val="1754936151"/>
            <w:rPr>
              <w:rFonts w:eastAsia="Times New Roman"/>
              <w:sz w:val="18"/>
              <w:szCs w:val="18"/>
            </w:rPr>
          </w:pPr>
          <w:r>
            <w:rPr>
              <w:rFonts w:eastAsia="Times New Roman"/>
              <w:b/>
              <w:bCs/>
              <w:sz w:val="18"/>
              <w:szCs w:val="18"/>
            </w:rPr>
            <w:t xml:space="preserve">Equity Valuation and Risks: </w:t>
          </w:r>
          <w:r>
            <w:rPr>
              <w:rFonts w:eastAsia="Times New Roman"/>
              <w:sz w:val="18"/>
              <w:szCs w:val="18"/>
            </w:rPr>
            <w:t xml:space="preserve">For valuation methodology and risks associated with covered companies or price targets for covered companies, please see the most recent company-specific research report at </w:t>
          </w:r>
          <w:hyperlink r:id="rId35" w:history="1">
            <w:r>
              <w:rPr>
                <w:rStyle w:val="Hyperlink"/>
                <w:rFonts w:eastAsia="Times New Roman"/>
                <w:sz w:val="18"/>
                <w:szCs w:val="18"/>
              </w:rPr>
              <w:t>http://www.jpmorganmarkets.com</w:t>
            </w:r>
          </w:hyperlink>
          <w:r>
            <w:rPr>
              <w:rFonts w:eastAsia="Times New Roman"/>
              <w:sz w:val="18"/>
              <w:szCs w:val="18"/>
            </w:rPr>
            <w:t xml:space="preserve">, contact the primary analyst or your J.P. Morgan representative, or email </w:t>
          </w:r>
          <w:hyperlink r:id="rId36" w:history="1">
            <w:r>
              <w:rPr>
                <w:rStyle w:val="Hyperlink"/>
                <w:rFonts w:eastAsia="Times New Roman"/>
                <w:sz w:val="18"/>
                <w:szCs w:val="18"/>
              </w:rPr>
              <w:t>research.disclosure.inquiries@jpmorgan.com</w:t>
            </w:r>
          </w:hyperlink>
          <w:r>
            <w:rPr>
              <w:rFonts w:eastAsia="Times New Roman"/>
              <w:sz w:val="18"/>
              <w:szCs w:val="18"/>
            </w:rPr>
            <w:t>.</w:t>
          </w:r>
        </w:p>
        <w:p w:rsidR="002A0467" w:rsidRDefault="002A0467">
          <w:pPr>
            <w:divId w:val="1463184958"/>
            <w:rPr>
              <w:rFonts w:eastAsia="Times New Roman"/>
              <w:sz w:val="12"/>
              <w:szCs w:val="12"/>
            </w:rPr>
          </w:pPr>
        </w:p>
        <w:p w:rsidR="002A0467" w:rsidRDefault="002A0467">
          <w:pPr>
            <w:divId w:val="1754936151"/>
            <w:rPr>
              <w:rFonts w:eastAsia="Times New Roman"/>
              <w:sz w:val="18"/>
              <w:szCs w:val="18"/>
            </w:rPr>
          </w:pPr>
          <w:r>
            <w:rPr>
              <w:rFonts w:eastAsia="Times New Roman"/>
              <w:b/>
              <w:bCs/>
              <w:sz w:val="18"/>
              <w:szCs w:val="18"/>
            </w:rPr>
            <w:t>Equity Analysts' Compensation:</w:t>
          </w:r>
          <w:r>
            <w:rPr>
              <w:rFonts w:ascii="Arial" w:eastAsia="Times New Roman" w:hAnsi="Arial" w:cs="Arial"/>
              <w:sz w:val="16"/>
              <w:szCs w:val="16"/>
            </w:rPr>
            <w:t xml:space="preserve"> </w:t>
          </w:r>
          <w:r>
            <w:rPr>
              <w:rFonts w:eastAsia="Times New Roman"/>
              <w:sz w:val="18"/>
              <w:szCs w:val="18"/>
            </w:rPr>
            <w:t xml:space="preserve">The equity research analysts responsible for the preparation of this report receive compensation based upon various factors, including the quality and accuracy of research, client feedback, competitive factors, and overall firm revenues. </w:t>
          </w:r>
        </w:p>
        <w:p w:rsidR="002A0467" w:rsidRDefault="002A0467">
          <w:pPr>
            <w:divId w:val="1829861836"/>
            <w:rPr>
              <w:rFonts w:eastAsia="Times New Roman"/>
              <w:sz w:val="12"/>
              <w:szCs w:val="12"/>
            </w:rPr>
          </w:pPr>
        </w:p>
        <w:p w:rsidR="002A0467" w:rsidRDefault="002A0467">
          <w:pPr>
            <w:divId w:val="1754936151"/>
            <w:rPr>
              <w:rFonts w:eastAsia="Times New Roman"/>
              <w:sz w:val="20"/>
              <w:szCs w:val="20"/>
            </w:rPr>
          </w:pPr>
          <w:r>
            <w:rPr>
              <w:rFonts w:eastAsia="Times New Roman"/>
              <w:b/>
              <w:bCs/>
              <w:sz w:val="18"/>
              <w:szCs w:val="18"/>
            </w:rPr>
            <w:t xml:space="preserve">Registration of non-US Analysts: </w:t>
          </w:r>
          <w:r>
            <w:rPr>
              <w:rFonts w:eastAsia="Times New Roman"/>
              <w:sz w:val="18"/>
              <w:szCs w:val="18"/>
            </w:rPr>
            <w:t>Unless otherwise noted, the non-US analysts listed on the front of this report are employees of non-US affiliates of JPMS, are not registered/qualified as research analysts under NASD/NYSE rules, may not be associated persons of JPMS, and may not be subject to FINRA Rule 2711 and NYSE Rule 472 restrictions on communications with covered companies, public appearances, and trading securities held by a research analyst account.</w:t>
          </w:r>
        </w:p>
        <w:p w:rsidR="002A0467" w:rsidRDefault="002A0467">
          <w:pPr>
            <w:divId w:val="824512285"/>
            <w:rPr>
              <w:rFonts w:eastAsia="Times New Roman"/>
              <w:sz w:val="12"/>
              <w:szCs w:val="12"/>
            </w:rPr>
          </w:pPr>
        </w:p>
        <w:p w:rsidR="002A0467" w:rsidRDefault="002A0467" w:rsidP="002A0467">
          <w:pPr>
            <w:divId w:val="1754936151"/>
            <w:rPr>
              <w:rFonts w:eastAsia="Times New Roman"/>
              <w:sz w:val="20"/>
              <w:szCs w:val="20"/>
            </w:rPr>
          </w:pPr>
          <w:r>
            <w:rPr>
              <w:rFonts w:eastAsia="Times New Roman"/>
              <w:b/>
              <w:bCs/>
              <w:sz w:val="20"/>
              <w:szCs w:val="20"/>
            </w:rPr>
            <w:t xml:space="preserve">Other Disclosures </w:t>
          </w:r>
        </w:p>
        <w:p w:rsidR="002A0467" w:rsidRDefault="002A0467" w:rsidP="002A0467">
          <w:pPr>
            <w:spacing w:line="100" w:lineRule="auto"/>
            <w:divId w:val="1754936151"/>
            <w:rPr>
              <w:rFonts w:eastAsia="Times New Roman"/>
              <w:sz w:val="20"/>
              <w:szCs w:val="20"/>
            </w:rPr>
          </w:pPr>
          <w:r>
            <w:rPr>
              <w:rFonts w:eastAsia="Times New Roman"/>
              <w:sz w:val="20"/>
              <w:szCs w:val="20"/>
            </w:rPr>
            <w:pict>
              <v:rect id="_x0000_i1032" style="width:0;height:1.65pt" o:hralign="center" o:hrstd="t" o:hrnoshade="t" o:hr="t" fillcolor="black" stroked="f"/>
            </w:pict>
          </w:r>
        </w:p>
        <w:p w:rsidR="002A0467" w:rsidRDefault="002A0467" w:rsidP="002A0467">
          <w:pPr>
            <w:divId w:val="1754936151"/>
            <w:rPr>
              <w:rFonts w:eastAsia="Times New Roman"/>
              <w:sz w:val="16"/>
              <w:szCs w:val="16"/>
            </w:rPr>
          </w:pPr>
          <w:r>
            <w:rPr>
              <w:rFonts w:eastAsia="Times New Roman"/>
              <w:sz w:val="16"/>
              <w:szCs w:val="16"/>
            </w:rPr>
            <w:t xml:space="preserve">J.P. Morgan ("JPM") is the global brand name for J.P. Morgan Securities LLC ("JPMS") and its affiliates worldwide. J.P. Morgan Cazenove is a marketing name for the U.K. investment banking businesses and EMEA cash equities and equity research businesses of JPMorgan Chase &amp; Co. and its subsidiaries. </w:t>
          </w:r>
        </w:p>
        <w:p w:rsidR="002A0467" w:rsidRDefault="002A0467">
          <w:pPr>
            <w:divId w:val="1368682773"/>
            <w:rPr>
              <w:rFonts w:eastAsia="Times New Roman"/>
              <w:sz w:val="12"/>
              <w:szCs w:val="12"/>
            </w:rPr>
          </w:pPr>
        </w:p>
        <w:p w:rsidR="002A0467" w:rsidRDefault="002A0467">
          <w:pPr>
            <w:divId w:val="1754936151"/>
            <w:rPr>
              <w:rFonts w:eastAsia="Times New Roman"/>
              <w:sz w:val="16"/>
              <w:szCs w:val="16"/>
            </w:rPr>
          </w:pPr>
          <w:r>
            <w:rPr>
              <w:rFonts w:eastAsia="Times New Roman"/>
              <w:sz w:val="16"/>
              <w:szCs w:val="16"/>
            </w:rPr>
            <w:t>All research reports made available to clients are simultaneously available on our client website, J.P. Morgan Markets. Not all research content is redistributed, e-mailed or made available to third-party aggregators. For all research reports available on a particular stock, please contact your sales representative.</w:t>
          </w:r>
        </w:p>
        <w:p w:rsidR="002A0467" w:rsidRDefault="002A0467">
          <w:pPr>
            <w:divId w:val="1608389223"/>
            <w:rPr>
              <w:rFonts w:eastAsia="Times New Roman"/>
              <w:sz w:val="12"/>
              <w:szCs w:val="12"/>
            </w:rPr>
          </w:pPr>
        </w:p>
        <w:p w:rsidR="002A0467" w:rsidRDefault="002A0467">
          <w:pPr>
            <w:divId w:val="412551648"/>
            <w:rPr>
              <w:rFonts w:eastAsia="Times New Roman"/>
              <w:sz w:val="12"/>
              <w:szCs w:val="12"/>
            </w:rPr>
          </w:pPr>
        </w:p>
        <w:p w:rsidR="002A0467" w:rsidRDefault="002A0467">
          <w:pPr>
            <w:divId w:val="1754936151"/>
            <w:rPr>
              <w:rFonts w:eastAsia="Times New Roman"/>
              <w:sz w:val="16"/>
              <w:szCs w:val="16"/>
            </w:rPr>
          </w:pPr>
          <w:r>
            <w:rPr>
              <w:rFonts w:eastAsia="Times New Roman"/>
              <w:b/>
              <w:bCs/>
              <w:sz w:val="16"/>
              <w:szCs w:val="16"/>
            </w:rPr>
            <w:t>Options related research:</w:t>
          </w:r>
          <w:r>
            <w:rPr>
              <w:rFonts w:eastAsia="Times New Roman"/>
              <w:sz w:val="16"/>
              <w:szCs w:val="16"/>
            </w:rPr>
            <w:t xml:space="preserve"> If the information contained herein regards options related research, such information is available only to persons who have received the proper option risk disclosure documents. For a copy of the Option Clearing Corporation's Characteristics and Risks of Standardized Options, please contact your J.P. Morgan Representative or visit the OCC's website at </w:t>
          </w:r>
          <w:hyperlink r:id="rId37" w:history="1">
            <w:r>
              <w:rPr>
                <w:rStyle w:val="Hyperlink"/>
                <w:rFonts w:eastAsia="Times New Roman"/>
                <w:sz w:val="16"/>
                <w:szCs w:val="16"/>
              </w:rPr>
              <w:t xml:space="preserve">http://www.optionsclearing.com/publications/risks/riskstoc.pdf </w:t>
            </w:r>
          </w:hyperlink>
        </w:p>
        <w:p w:rsidR="002A0467" w:rsidRDefault="002A0467">
          <w:pPr>
            <w:divId w:val="1468165123"/>
            <w:rPr>
              <w:rFonts w:eastAsia="Times New Roman"/>
              <w:sz w:val="12"/>
              <w:szCs w:val="12"/>
            </w:rPr>
          </w:pPr>
        </w:p>
        <w:p w:rsidR="002A0467" w:rsidRDefault="002A0467">
          <w:pPr>
            <w:divId w:val="1754936151"/>
            <w:rPr>
              <w:rFonts w:eastAsia="Times New Roman"/>
              <w:b/>
              <w:bCs/>
              <w:sz w:val="16"/>
              <w:szCs w:val="16"/>
            </w:rPr>
          </w:pPr>
          <w:r>
            <w:rPr>
              <w:rFonts w:eastAsia="Times New Roman"/>
              <w:b/>
              <w:bCs/>
              <w:sz w:val="16"/>
              <w:szCs w:val="16"/>
            </w:rPr>
            <w:t xml:space="preserve">Legal Entities Disclosures </w:t>
          </w:r>
          <w:r>
            <w:rPr>
              <w:rFonts w:eastAsia="Times New Roman"/>
              <w:b/>
              <w:bCs/>
              <w:sz w:val="16"/>
              <w:szCs w:val="16"/>
            </w:rPr>
            <w:br/>
            <w:t>U.S</w:t>
          </w:r>
          <w:r>
            <w:rPr>
              <w:rFonts w:eastAsia="Times New Roman"/>
              <w:sz w:val="16"/>
              <w:szCs w:val="16"/>
            </w:rPr>
            <w:t xml:space="preserve">.: JPMS is a member of NYSE, FINRA, SIPC and the NFA. JPMorgan Chase Bank, N.A. is a member of FDIC. </w:t>
          </w:r>
          <w:r>
            <w:rPr>
              <w:rFonts w:eastAsia="Times New Roman"/>
              <w:b/>
              <w:bCs/>
              <w:sz w:val="16"/>
              <w:szCs w:val="16"/>
            </w:rPr>
            <w:t>U.K</w:t>
          </w:r>
          <w:r>
            <w:rPr>
              <w:rFonts w:eastAsia="Times New Roman"/>
              <w:sz w:val="16"/>
              <w:szCs w:val="16"/>
            </w:rPr>
            <w:t xml:space="preserve">.: JPMorgan Chase N.A., London Branch, is authorised by the Prudential Regulation Authority and is subject to regulation by the Financial Conduct Authority and to limited regulation by </w:t>
          </w:r>
          <w:r>
            <w:rPr>
              <w:rFonts w:eastAsia="Times New Roman"/>
              <w:sz w:val="16"/>
              <w:szCs w:val="16"/>
            </w:rPr>
            <w:lastRenderedPageBreak/>
            <w:t xml:space="preserve">the Prudential Regulation Authority. Details about the extent of our regulation by the Prudential Regulation Authority are available from J.P. Morgan on request. J.P. Morgan Securities plc (JPMS plc) is a member of the London Stock Exchange and is authorised by the Prudential Regulation Authority and regulated by the Financial Conduct Authority and the Prudential Regulation Authority. Registered in England &amp; Wales No. 2711006. Registered Office 25 Bank Street, London, E14 5JP. </w:t>
          </w:r>
          <w:r>
            <w:rPr>
              <w:rFonts w:eastAsia="Times New Roman"/>
              <w:b/>
              <w:bCs/>
              <w:sz w:val="16"/>
              <w:szCs w:val="16"/>
            </w:rPr>
            <w:t>South Africa</w:t>
          </w:r>
          <w:r>
            <w:rPr>
              <w:rFonts w:eastAsia="Times New Roman"/>
              <w:sz w:val="16"/>
              <w:szCs w:val="16"/>
            </w:rPr>
            <w:t xml:space="preserve">: J.P. Morgan Equities South Africa Proprietary Limited is a member of the Johannesburg Securities Exchange and is regulated by the Financial Services Board. </w:t>
          </w:r>
          <w:r>
            <w:rPr>
              <w:rFonts w:eastAsia="Times New Roman"/>
              <w:b/>
              <w:bCs/>
              <w:sz w:val="16"/>
              <w:szCs w:val="16"/>
            </w:rPr>
            <w:t>Hong Kong</w:t>
          </w:r>
          <w:r>
            <w:rPr>
              <w:rFonts w:eastAsia="Times New Roman"/>
              <w:sz w:val="16"/>
              <w:szCs w:val="16"/>
            </w:rPr>
            <w:t xml:space="preserve">: J.P. Morgan Securities (Asia Pacific) Limited (CE number AAJ321) is regulated by the Hong Kong Monetary Authority and the Securities and Futures Commission in Hong Kong and/or J.P. Morgan Broking (Hong Kong) Limited (CE number AAB027) is regulated by the Securities and Futures Commission in Hong Kong. </w:t>
          </w:r>
          <w:r>
            <w:rPr>
              <w:rFonts w:eastAsia="Times New Roman"/>
              <w:b/>
              <w:bCs/>
              <w:sz w:val="16"/>
              <w:szCs w:val="16"/>
            </w:rPr>
            <w:t>Korea</w:t>
          </w:r>
          <w:r>
            <w:rPr>
              <w:rFonts w:eastAsia="Times New Roman"/>
              <w:sz w:val="16"/>
              <w:szCs w:val="16"/>
            </w:rPr>
            <w:t xml:space="preserve">: J.P. Morgan Securities (Far East) Ltd, Seoul Branch, is regulated by the Korea Financial Supervisory Service. </w:t>
          </w:r>
          <w:r>
            <w:rPr>
              <w:rFonts w:eastAsia="Times New Roman"/>
              <w:b/>
              <w:bCs/>
              <w:sz w:val="16"/>
              <w:szCs w:val="16"/>
            </w:rPr>
            <w:t>Australia</w:t>
          </w:r>
          <w:r>
            <w:rPr>
              <w:rFonts w:eastAsia="Times New Roman"/>
              <w:sz w:val="16"/>
              <w:szCs w:val="16"/>
            </w:rPr>
            <w:t xml:space="preserve">: J.P. Morgan Australia Limited (JPMAL) (ABN 52 002 888 011/AFS Licence No: 238188) is regulated by ASIC and J.P. Morgan Securities Australia Limited (JPMSAL) (ABN 61 003 245 234/AFS Licence No: 238066) is regulated by ASIC and is a Market, Clearing and Settlement Participant of ASX Limited and CHI-X. </w:t>
          </w:r>
          <w:r>
            <w:rPr>
              <w:rFonts w:eastAsia="Times New Roman"/>
              <w:b/>
              <w:bCs/>
              <w:sz w:val="16"/>
              <w:szCs w:val="16"/>
            </w:rPr>
            <w:t>Taiwan</w:t>
          </w:r>
          <w:r>
            <w:rPr>
              <w:rFonts w:eastAsia="Times New Roman"/>
              <w:sz w:val="16"/>
              <w:szCs w:val="16"/>
            </w:rPr>
            <w:t xml:space="preserve">: J.P.Morgan Securities (Taiwan) Limited is a participant of the Taiwan Stock Exchange (company-type) and regulated by the Taiwan Securities and Futures Bureau. </w:t>
          </w:r>
          <w:r>
            <w:rPr>
              <w:rFonts w:eastAsia="Times New Roman"/>
              <w:b/>
              <w:bCs/>
              <w:sz w:val="16"/>
              <w:szCs w:val="16"/>
            </w:rPr>
            <w:t xml:space="preserve">India: </w:t>
          </w:r>
          <w:r>
            <w:rPr>
              <w:rFonts w:eastAsia="Times New Roman"/>
              <w:sz w:val="16"/>
              <w:szCs w:val="16"/>
            </w:rPr>
            <w:t xml:space="preserve">J.P. Morgan India Private Limited (Corporate Identity Number - U67120MH1992FTC068724), having its registered office at J.P. Morgan Tower, Off. C.S.T. Road, Kalina, Santacruz - East, Mumbai – 400098, is a member of the National Stock Exchange of India Limited (SEBI Registration Number - INB 230675231/INF 230675231/INE 230675231) and Bombay Stock Exchange Limited (SEBI Registration Number - INB 010675237/INF 010675237) and is regulated by Securities and Exchange Board of India. Telephone: 91-22-6157 3000, Facsimile: 91-22-6157 3990 and Website: </w:t>
          </w:r>
          <w:hyperlink r:id="rId38" w:history="1">
            <w:r>
              <w:rPr>
                <w:rStyle w:val="Hyperlink"/>
                <w:rFonts w:eastAsia="Times New Roman"/>
                <w:sz w:val="16"/>
                <w:szCs w:val="16"/>
              </w:rPr>
              <w:t>www.jpmipl.com</w:t>
            </w:r>
          </w:hyperlink>
          <w:r>
            <w:rPr>
              <w:rFonts w:eastAsia="Times New Roman"/>
              <w:sz w:val="16"/>
              <w:szCs w:val="16"/>
            </w:rPr>
            <w:t xml:space="preserve">. For non local research reports, this material is not distributed in India by J.P. Morgan India Private Limited. </w:t>
          </w:r>
          <w:r>
            <w:rPr>
              <w:rFonts w:eastAsia="Times New Roman"/>
              <w:b/>
              <w:bCs/>
              <w:sz w:val="16"/>
              <w:szCs w:val="16"/>
            </w:rPr>
            <w:t>Thailand</w:t>
          </w:r>
          <w:r>
            <w:rPr>
              <w:rFonts w:eastAsia="Times New Roman"/>
              <w:sz w:val="16"/>
              <w:szCs w:val="16"/>
            </w:rPr>
            <w:t xml:space="preserve">: This material is issued and distributed in Thailand by JPMorgan Securities (Thailand) Ltd., which is a member of the Stock Exchange of Thailand and is regulated by the Ministry of Finance and the Securities and Exchange Commission and its registered address is 3rd Floor, 20 North Sathorn Road, Silom, Bangrak, Bangkok 10500. </w:t>
          </w:r>
          <w:r>
            <w:rPr>
              <w:rFonts w:eastAsia="Times New Roman"/>
              <w:b/>
              <w:bCs/>
              <w:sz w:val="16"/>
              <w:szCs w:val="16"/>
            </w:rPr>
            <w:t>Indonesia</w:t>
          </w:r>
          <w:r>
            <w:rPr>
              <w:rFonts w:eastAsia="Times New Roman"/>
              <w:sz w:val="16"/>
              <w:szCs w:val="16"/>
            </w:rPr>
            <w:t xml:space="preserve">: PT J.P. Morgan Securities Indonesia is a member of the Indonesia Stock Exchange and is regulated by the OJK a.k.a. BAPEPAM LK. </w:t>
          </w:r>
          <w:r>
            <w:rPr>
              <w:rFonts w:eastAsia="Times New Roman"/>
              <w:b/>
              <w:bCs/>
              <w:sz w:val="16"/>
              <w:szCs w:val="16"/>
            </w:rPr>
            <w:t>Philippines</w:t>
          </w:r>
          <w:r>
            <w:rPr>
              <w:rFonts w:eastAsia="Times New Roman"/>
              <w:sz w:val="16"/>
              <w:szCs w:val="16"/>
            </w:rPr>
            <w:t xml:space="preserve">: J.P. Morgan Securities Philippines Inc. is a Trading Participant of the Philippine Stock Exchange and a member of the Securities Clearing Corporation of the Philippines and the Securities Investor Protection Fund. It is regulated by the Securities and Exchange Commission. </w:t>
          </w:r>
          <w:r>
            <w:rPr>
              <w:rFonts w:eastAsia="Times New Roman"/>
              <w:b/>
              <w:bCs/>
              <w:sz w:val="16"/>
              <w:szCs w:val="16"/>
            </w:rPr>
            <w:t>Brazil</w:t>
          </w:r>
          <w:r>
            <w:rPr>
              <w:rFonts w:eastAsia="Times New Roman"/>
              <w:sz w:val="16"/>
              <w:szCs w:val="16"/>
            </w:rPr>
            <w:t xml:space="preserve">: Banco J.P. Morgan S.A. is regulated by the Comissao de Valores Mobiliarios (CVM) and by the Central Bank of Brazil. </w:t>
          </w:r>
          <w:r>
            <w:rPr>
              <w:rFonts w:eastAsia="Times New Roman"/>
              <w:b/>
              <w:bCs/>
              <w:sz w:val="16"/>
              <w:szCs w:val="16"/>
            </w:rPr>
            <w:t>Mexico</w:t>
          </w:r>
          <w:r>
            <w:rPr>
              <w:rFonts w:eastAsia="Times New Roman"/>
              <w:sz w:val="16"/>
              <w:szCs w:val="16"/>
            </w:rPr>
            <w:t xml:space="preserve">: J.P. Morgan Casa de Bolsa, S.A. de C.V., J.P. Morgan Grupo Financiero is a member of the Mexican Stock Exchange and authorized to act as a broker dealer by the National Banking and Securities Exchange Commission. </w:t>
          </w:r>
          <w:r>
            <w:rPr>
              <w:rFonts w:eastAsia="Times New Roman"/>
              <w:b/>
              <w:bCs/>
              <w:sz w:val="16"/>
              <w:szCs w:val="16"/>
            </w:rPr>
            <w:t>Singapore</w:t>
          </w:r>
          <w:r>
            <w:rPr>
              <w:rFonts w:eastAsia="Times New Roman"/>
              <w:sz w:val="16"/>
              <w:szCs w:val="16"/>
            </w:rPr>
            <w:t xml:space="preserve">: This material is issued and distributed in Singapore by or through J.P. Morgan Securities Singapore Private Limited (JPMSS) [MCI (P) 199/03/2014 and Co. Reg. No.: 199405335R] which is a member of the Singapore Exchange Securities Trading Limited and is regulated by the Monetary Authority of Singapore (MAS) and/or JPMorgan Chase Bank, N.A., Singapore branch (JPMCB Singapore) which is regulated by the MAS. This material is provided in Singapore only to accredited investors, expert investors and institutional investors, as defined in Section 4A of the Securities and Futures Act, Cap. 289. Recipients of this document are to contact JPMSS or JPMCB Singapore in respect of any matters arising from, or in connection with, the document. </w:t>
          </w:r>
          <w:r>
            <w:rPr>
              <w:rFonts w:eastAsia="Times New Roman"/>
              <w:b/>
              <w:bCs/>
              <w:sz w:val="16"/>
              <w:szCs w:val="16"/>
            </w:rPr>
            <w:t>Japan</w:t>
          </w:r>
          <w:r>
            <w:rPr>
              <w:rFonts w:eastAsia="Times New Roman"/>
              <w:sz w:val="16"/>
              <w:szCs w:val="16"/>
            </w:rPr>
            <w:t xml:space="preserve">: JPMorgan Securities Japan Co., Ltd. is regulated by the Financial Services Agency in Japan. </w:t>
          </w:r>
          <w:r>
            <w:rPr>
              <w:rFonts w:eastAsia="Times New Roman"/>
              <w:b/>
              <w:bCs/>
              <w:sz w:val="16"/>
              <w:szCs w:val="16"/>
            </w:rPr>
            <w:t>Malaysia</w:t>
          </w:r>
          <w:r>
            <w:rPr>
              <w:rFonts w:eastAsia="Times New Roman"/>
              <w:sz w:val="16"/>
              <w:szCs w:val="16"/>
            </w:rPr>
            <w:t xml:space="preserve">: This material is issued and distributed in Malaysia by JPMorgan Securities (Malaysia) Sdn Bhd (18146-X) which is a Participating Organization of Bursa Malaysia Berhad and a holder of Capital Markets Services License issued by the Securities Commission in Malaysia. </w:t>
          </w:r>
          <w:r>
            <w:rPr>
              <w:rFonts w:eastAsia="Times New Roman"/>
              <w:b/>
              <w:bCs/>
              <w:sz w:val="16"/>
              <w:szCs w:val="16"/>
            </w:rPr>
            <w:t>Pakistan</w:t>
          </w:r>
          <w:r>
            <w:rPr>
              <w:rFonts w:eastAsia="Times New Roman"/>
              <w:sz w:val="16"/>
              <w:szCs w:val="16"/>
            </w:rPr>
            <w:t xml:space="preserve">: J. P. Morgan Pakistan Broking (Pvt.) Ltd is a member of the Karachi Stock Exchange and regulated by the Securities and Exchange Commission of Pakistan. </w:t>
          </w:r>
          <w:r>
            <w:rPr>
              <w:rFonts w:eastAsia="Times New Roman"/>
              <w:b/>
              <w:bCs/>
              <w:sz w:val="16"/>
              <w:szCs w:val="16"/>
            </w:rPr>
            <w:t>Saudi Arabia</w:t>
          </w:r>
          <w:r>
            <w:rPr>
              <w:rFonts w:eastAsia="Times New Roman"/>
              <w:sz w:val="16"/>
              <w:szCs w:val="16"/>
            </w:rPr>
            <w:t xml:space="preserve">: J.P. Morgan Saudi Arabia Ltd. is authorized by the Capital Market Authority of the Kingdom of Saudi Arabia (CMA) to carry out dealing as an agent, arranging, advising and custody, with respect to securities business under licence number 35-07079 and its registered address is at 8th Floor, Al-Faisaliyah Tower, King Fahad Road, P.O. Box 51907, Riyadh 11553, Kingdom of Saudi Arabia. </w:t>
          </w:r>
          <w:r>
            <w:rPr>
              <w:rFonts w:eastAsia="Times New Roman"/>
              <w:b/>
              <w:bCs/>
              <w:sz w:val="16"/>
              <w:szCs w:val="16"/>
            </w:rPr>
            <w:t>Dubai</w:t>
          </w:r>
          <w:r>
            <w:rPr>
              <w:rFonts w:eastAsia="Times New Roman"/>
              <w:sz w:val="16"/>
              <w:szCs w:val="16"/>
            </w:rPr>
            <w:t>: JPMorgan Chase Bank, N.A., Dubai Branch is regulated by the Dubai Financial Services Authority (DFSA) and its registered address is Dubai International Financial Centre - Building 3, Level 7, PO Box 506551, Dubai, UAE.</w:t>
          </w:r>
          <w:r>
            <w:rPr>
              <w:rFonts w:eastAsia="Times New Roman"/>
              <w:b/>
              <w:bCs/>
              <w:sz w:val="16"/>
              <w:szCs w:val="16"/>
            </w:rPr>
            <w:t xml:space="preserve"> </w:t>
          </w:r>
        </w:p>
        <w:p w:rsidR="002A0467" w:rsidRDefault="002A0467">
          <w:pPr>
            <w:divId w:val="1452480903"/>
            <w:rPr>
              <w:rFonts w:eastAsia="Times New Roman"/>
              <w:b/>
              <w:bCs/>
              <w:sz w:val="12"/>
              <w:szCs w:val="12"/>
            </w:rPr>
          </w:pPr>
        </w:p>
        <w:p w:rsidR="002A0467" w:rsidRDefault="002A0467">
          <w:pPr>
            <w:divId w:val="1754936151"/>
            <w:rPr>
              <w:rFonts w:eastAsia="Times New Roman"/>
              <w:sz w:val="16"/>
              <w:szCs w:val="16"/>
            </w:rPr>
          </w:pPr>
          <w:r>
            <w:rPr>
              <w:rFonts w:eastAsia="Times New Roman"/>
              <w:b/>
              <w:bCs/>
              <w:sz w:val="16"/>
              <w:szCs w:val="16"/>
            </w:rPr>
            <w:t xml:space="preserve">Country and Region Specific Disclosures </w:t>
          </w:r>
          <w:r>
            <w:rPr>
              <w:rFonts w:eastAsia="Times New Roman"/>
              <w:b/>
              <w:bCs/>
              <w:sz w:val="16"/>
              <w:szCs w:val="16"/>
            </w:rPr>
            <w:br/>
            <w:t xml:space="preserve">U.K. and European Economic Area (EEA): </w:t>
          </w:r>
          <w:r>
            <w:rPr>
              <w:rFonts w:eastAsia="Times New Roman"/>
              <w:sz w:val="16"/>
              <w:szCs w:val="16"/>
            </w:rPr>
            <w:t xml:space="preserve">Unless specified to the contrary, issued and approved for distribution in the U.K. and the EEA by JPMS plc. Investment research issued by JPMS plc has been prepared in accordance with JPMS plc's policies for managing conflicts of interest arising as a result of publication and distribution of investment research. Many European regulators require a firm to establish, implement and maintain such a policy. This report has been issued in the U.K. only to persons of a kind described in Article 19 (5), 38, 47 and 49 of the Financial Services and Markets Act 2000 (Financial Promotion) Order 2005 (all such persons being referred to as "relevant persons"). This document must not be acted on or relied on by persons who are not relevant persons. Any investment or investment activity to which this document relates is only available to relevant persons and will be engaged in only with relevant persons. In other EEA countries, the report has been issued to persons regarded as professional investors (or equivalent) in their home jurisdiction. </w:t>
          </w:r>
          <w:r>
            <w:rPr>
              <w:rFonts w:eastAsia="Times New Roman"/>
              <w:b/>
              <w:bCs/>
              <w:sz w:val="16"/>
              <w:szCs w:val="16"/>
            </w:rPr>
            <w:t xml:space="preserve">Australia: </w:t>
          </w:r>
          <w:r>
            <w:rPr>
              <w:rFonts w:eastAsia="Times New Roman"/>
              <w:sz w:val="16"/>
              <w:szCs w:val="16"/>
            </w:rPr>
            <w:t xml:space="preserve">This material is issued and distributed by JPMSAL in Australia to "wholesale clients" only. This material does not take into account the specific investment objectives, financial situation or particular needs of the recipient. The recipient of this material must not distribute it to any third party or outside Australia without the prior written consent of JPMSAL. For the purposes of this paragraph the term "wholesale client" has the meaning given in section 761G of the Corporations Act 2001. </w:t>
          </w:r>
          <w:r>
            <w:rPr>
              <w:rFonts w:eastAsia="Times New Roman"/>
              <w:b/>
              <w:bCs/>
              <w:sz w:val="16"/>
              <w:szCs w:val="16"/>
            </w:rPr>
            <w:t xml:space="preserve">Germany: </w:t>
          </w:r>
          <w:r>
            <w:rPr>
              <w:rFonts w:eastAsia="Times New Roman"/>
              <w:sz w:val="16"/>
              <w:szCs w:val="16"/>
            </w:rPr>
            <w:t xml:space="preserve">This material is distributed in Germany by J.P. Morgan Securities plc, Frankfurt Branch and J.P.Morgan Chase Bank, N.A., Frankfurt Branch which are regulated by the Bundesanstalt für Finanzdienstleistungsaufsicht. </w:t>
          </w:r>
          <w:r>
            <w:rPr>
              <w:rFonts w:eastAsia="Times New Roman"/>
              <w:b/>
              <w:bCs/>
              <w:sz w:val="16"/>
              <w:szCs w:val="16"/>
            </w:rPr>
            <w:t xml:space="preserve">Hong Kong: </w:t>
          </w:r>
          <w:r>
            <w:rPr>
              <w:rFonts w:eastAsia="Times New Roman"/>
              <w:sz w:val="16"/>
              <w:szCs w:val="16"/>
            </w:rPr>
            <w:t xml:space="preserve">The 1% ownership disclosure as of the previous month end satisfies the requirements under Paragraph 16.5(a) of the Hong Kong Code of Conduct for Persons Licensed by or Registered with the Securities and Futures Commission. (For research published within the first ten days of the month, the disclosure may be based on the month end data from two months prior.) J.P. Morgan Broking (Hong Kong) Limited is the liquidity provider/market maker for derivative warrants, callable bull bear contracts and stock options listed on the Stock Exchange of Hong Kong Limited. An updated list can be found on HKEx website: http://www.hkex.com.hk. </w:t>
          </w:r>
          <w:r>
            <w:rPr>
              <w:rFonts w:eastAsia="Times New Roman"/>
              <w:b/>
              <w:bCs/>
              <w:sz w:val="16"/>
              <w:szCs w:val="16"/>
            </w:rPr>
            <w:t xml:space="preserve">Japan: </w:t>
          </w:r>
          <w:r>
            <w:rPr>
              <w:rFonts w:eastAsia="Times New Roman"/>
              <w:sz w:val="16"/>
              <w:szCs w:val="16"/>
            </w:rPr>
            <w:t xml:space="preserve">There is a risk that a loss may occur due to a change in the price of the shares in the case of share trading, and that a loss may occur due to the exchange rate in the case of foreign share trading. In the case of share trading, JPMorgan Securities Japan Co., Ltd., will be receiving a brokerage fee and consumption tax (shouhizei) calculated by multiplying the executed price by the commission rate which was individually agreed between JPMorgan Securities Japan Co., Ltd., and the customer in advance. Financial Instruments Firms: JPMorgan Securities Japan Co., Ltd., Kanto Local Finance Bureau (kinsho) No. 82 Participating Association / Japan Securities Dealers Association, The Financial Futures Association of Japan, Type II Financial Instruments Firms Association and Japan Investment Advisers Association. </w:t>
          </w:r>
          <w:r>
            <w:rPr>
              <w:rFonts w:eastAsia="Times New Roman"/>
              <w:b/>
              <w:bCs/>
              <w:sz w:val="16"/>
              <w:szCs w:val="16"/>
            </w:rPr>
            <w:t xml:space="preserve">Korea: </w:t>
          </w:r>
          <w:r>
            <w:rPr>
              <w:rFonts w:eastAsia="Times New Roman"/>
              <w:sz w:val="16"/>
              <w:szCs w:val="16"/>
            </w:rPr>
            <w:t xml:space="preserve">This report may have been edited or contributed to from time to time by affiliates of J.P. Morgan Securities (Far East) Ltd, Seoul Branch. </w:t>
          </w:r>
          <w:r>
            <w:rPr>
              <w:rFonts w:eastAsia="Times New Roman"/>
              <w:b/>
              <w:bCs/>
              <w:sz w:val="16"/>
              <w:szCs w:val="16"/>
            </w:rPr>
            <w:t xml:space="preserve">Singapore: </w:t>
          </w:r>
          <w:r>
            <w:rPr>
              <w:rFonts w:eastAsia="Times New Roman"/>
              <w:sz w:val="16"/>
              <w:szCs w:val="16"/>
            </w:rPr>
            <w:t xml:space="preserve">JPMSS and/or its affiliates may have a holding in any of the securities discussed in this report; for securities where the holding is 1% or greater, the specific holding is disclosed in the Important Disclosures section above. </w:t>
          </w:r>
          <w:r>
            <w:rPr>
              <w:rFonts w:eastAsia="Times New Roman"/>
              <w:b/>
              <w:bCs/>
              <w:sz w:val="16"/>
              <w:szCs w:val="16"/>
            </w:rPr>
            <w:t xml:space="preserve">India: </w:t>
          </w:r>
          <w:r>
            <w:rPr>
              <w:rFonts w:eastAsia="Times New Roman"/>
              <w:sz w:val="16"/>
              <w:szCs w:val="16"/>
            </w:rPr>
            <w:t xml:space="preserve">For private circulation only, not for sale. </w:t>
          </w:r>
          <w:r>
            <w:rPr>
              <w:rFonts w:eastAsia="Times New Roman"/>
              <w:b/>
              <w:bCs/>
              <w:sz w:val="16"/>
              <w:szCs w:val="16"/>
            </w:rPr>
            <w:t xml:space="preserve">Pakistan: </w:t>
          </w:r>
          <w:r>
            <w:rPr>
              <w:rFonts w:eastAsia="Times New Roman"/>
              <w:sz w:val="16"/>
              <w:szCs w:val="16"/>
            </w:rPr>
            <w:t xml:space="preserve">For private circulation only, not for sale. </w:t>
          </w:r>
          <w:r>
            <w:rPr>
              <w:rFonts w:eastAsia="Times New Roman"/>
              <w:b/>
              <w:bCs/>
              <w:sz w:val="16"/>
              <w:szCs w:val="16"/>
            </w:rPr>
            <w:t xml:space="preserve">New Zealand: </w:t>
          </w:r>
          <w:r>
            <w:rPr>
              <w:rFonts w:eastAsia="Times New Roman"/>
              <w:sz w:val="16"/>
              <w:szCs w:val="16"/>
            </w:rPr>
            <w:t xml:space="preserve">This material is issued and distributed by JPMSAL in New Zealand only to persons whose principal business is the investment of money or who, in the course of and for the purposes of their business, habitually invest money. JPMSAL does not issue or distribute this material to members of "the public" as determined in accordance with section 3 of the Securities Act 1978. The recipient of this material must not distribute it to any third party or outside New Zealand without the prior written consent of JPMSAL. </w:t>
          </w:r>
          <w:r>
            <w:rPr>
              <w:rFonts w:eastAsia="Times New Roman"/>
              <w:b/>
              <w:bCs/>
              <w:sz w:val="16"/>
              <w:szCs w:val="16"/>
            </w:rPr>
            <w:t xml:space="preserve">Canada: </w:t>
          </w:r>
          <w:r>
            <w:rPr>
              <w:rFonts w:eastAsia="Times New Roman"/>
              <w:sz w:val="16"/>
              <w:szCs w:val="16"/>
            </w:rPr>
            <w:t xml:space="preserve">The information contained herein is not, and under no circumstances is to be construed as, a prospectus, an advertisement, a public offering, an offer to sell securities described herein, or solicitation of an offer to buy securities described herein, in Canada or any </w:t>
          </w:r>
          <w:r>
            <w:rPr>
              <w:rFonts w:eastAsia="Times New Roman"/>
              <w:sz w:val="16"/>
              <w:szCs w:val="16"/>
            </w:rPr>
            <w:lastRenderedPageBreak/>
            <w:t xml:space="preserve">province or territory thereof. Any offer or sale of the securities described herein in Canada will be made only under an exemption from the requirements to file a prospectus with the relevant Canadian securities regulators and only by a dealer properly registered under applicable securities laws or, alternatively, pursuant to an exemption from the dealer registration requirement in the relevant province or territory of Canada in which such offer or sale is made. The information contained herein is under no circumstances to be construed as investment advice in any province or territory of Canada and is not tailored to the needs of the recipient. To the extent that the information contained herein references securities of an issuer incorporated, formed or created under the laws of Canada or a province or territory of Canada, any trades in such securities must be conducted through a dealer registered in Canada. No securities commission or similar regulatory authority in Canada has reviewed or in any way passed judgment upon these materials, the information contained herein or the merits of the securities described herein, and any representation to the contrary is an offence. </w:t>
          </w:r>
          <w:r>
            <w:rPr>
              <w:rFonts w:eastAsia="Times New Roman"/>
              <w:b/>
              <w:bCs/>
              <w:sz w:val="16"/>
              <w:szCs w:val="16"/>
            </w:rPr>
            <w:t xml:space="preserve">Dubai: </w:t>
          </w:r>
          <w:r>
            <w:rPr>
              <w:rFonts w:eastAsia="Times New Roman"/>
              <w:sz w:val="16"/>
              <w:szCs w:val="16"/>
            </w:rPr>
            <w:t xml:space="preserve">This report has been issued to persons regarded as professional clients as defined under the DFSA rules. </w:t>
          </w:r>
          <w:r>
            <w:rPr>
              <w:rFonts w:eastAsia="Times New Roman"/>
              <w:b/>
              <w:bCs/>
              <w:sz w:val="16"/>
              <w:szCs w:val="16"/>
            </w:rPr>
            <w:t>Brazil</w:t>
          </w:r>
          <w:r>
            <w:rPr>
              <w:rFonts w:eastAsia="Times New Roman"/>
              <w:sz w:val="16"/>
              <w:szCs w:val="16"/>
            </w:rPr>
            <w:t xml:space="preserve">: Ombudsman J.P. Morgan: 0800-7700847 / ouvidoria.jp.morgan@jpmorgan.com. </w:t>
          </w:r>
        </w:p>
        <w:p w:rsidR="002A0467" w:rsidRDefault="002A0467">
          <w:pPr>
            <w:divId w:val="1363942358"/>
            <w:rPr>
              <w:rFonts w:eastAsia="Times New Roman"/>
              <w:sz w:val="12"/>
              <w:szCs w:val="12"/>
            </w:rPr>
          </w:pPr>
        </w:p>
        <w:p w:rsidR="002A0467" w:rsidRDefault="002A0467">
          <w:pPr>
            <w:divId w:val="1754936151"/>
            <w:rPr>
              <w:rFonts w:eastAsia="Times New Roman"/>
              <w:sz w:val="16"/>
              <w:szCs w:val="16"/>
            </w:rPr>
          </w:pPr>
          <w:r>
            <w:rPr>
              <w:rFonts w:eastAsia="Times New Roman"/>
              <w:b/>
              <w:bCs/>
              <w:sz w:val="16"/>
              <w:szCs w:val="16"/>
            </w:rPr>
            <w:t xml:space="preserve">General: </w:t>
          </w:r>
          <w:r>
            <w:rPr>
              <w:rFonts w:eastAsia="Times New Roman"/>
              <w:sz w:val="16"/>
              <w:szCs w:val="16"/>
            </w:rPr>
            <w:t xml:space="preserve">Additional information is available upon request. Information has been obtained from sources believed to be reliable but JPMorgan Chase &amp; Co. or its affiliates and/or subsidiaries (collectively J.P. Morgan) do not warrant its completeness or accuracy except with respect to any disclosures relative to JPMS and/or its affiliates and the analyst's involvement with the issuer that is the subject of the research. All pricing is as of the close of market for the securities discussed, unless otherwise stated. Opinions and estimates constitute our judgment as of the date of this material and are subject to change without notice. Past performance is not indicative of future results. This material is not intended as an offer or solicitation for the purchase or sale of any financial instrument. The opinions and recommendations herein do not take into account individual client circumstances, objectives, or needs and are not intended as recommendations of particular securities, financial instruments or strategies to particular clients. The recipient of this report must make its own independent decisions regarding any securities or financial instruments mentioned herein. JPMS distributes in the U.S. research published by non-U.S. affiliates and accepts responsibility for its contents. Periodic updates may be provided on companies/industries based on company specific developments or announcements, market conditions or any other publicly available information. Clients should contact analysts and execute transactions through a J.P. Morgan subsidiary or affiliate in their home jurisdiction unless governing law permits otherwise. </w:t>
          </w:r>
        </w:p>
        <w:p w:rsidR="002A0467" w:rsidRDefault="002A0467">
          <w:pPr>
            <w:divId w:val="1783068796"/>
            <w:rPr>
              <w:rFonts w:eastAsia="Times New Roman"/>
              <w:sz w:val="12"/>
              <w:szCs w:val="12"/>
            </w:rPr>
          </w:pPr>
        </w:p>
        <w:p w:rsidR="002A0467" w:rsidRDefault="002A0467" w:rsidP="002A0467">
          <w:pPr>
            <w:divId w:val="1754936151"/>
            <w:rPr>
              <w:rFonts w:eastAsia="Times New Roman"/>
              <w:sz w:val="16"/>
              <w:szCs w:val="16"/>
            </w:rPr>
          </w:pPr>
          <w:r>
            <w:rPr>
              <w:rFonts w:eastAsia="Times New Roman"/>
              <w:sz w:val="16"/>
              <w:szCs w:val="16"/>
            </w:rPr>
            <w:t xml:space="preserve">"Other Disclosures" last revised June 21, 2014. </w:t>
          </w:r>
        </w:p>
        <w:p w:rsidR="002A0467" w:rsidRDefault="002A0467" w:rsidP="002A0467">
          <w:pPr>
            <w:spacing w:line="100" w:lineRule="auto"/>
            <w:divId w:val="1754936151"/>
            <w:rPr>
              <w:rFonts w:eastAsia="Times New Roman"/>
              <w:sz w:val="16"/>
              <w:szCs w:val="16"/>
            </w:rPr>
          </w:pPr>
          <w:r>
            <w:rPr>
              <w:rFonts w:eastAsia="Times New Roman"/>
              <w:sz w:val="16"/>
              <w:szCs w:val="16"/>
            </w:rPr>
            <w:pict>
              <v:rect id="_x0000_i1033" style="width:0;height:1.65pt" o:hralign="center" o:hrstd="t" o:hrnoshade="t" o:hr="t" fillcolor="black" stroked="f"/>
            </w:pict>
          </w:r>
        </w:p>
        <w:p w:rsidR="002A0467" w:rsidRDefault="002A0467" w:rsidP="002A0467">
          <w:pPr>
            <w:divId w:val="1754936151"/>
            <w:rPr>
              <w:rFonts w:eastAsia="Times New Roman"/>
            </w:rPr>
          </w:pPr>
          <w:r>
            <w:rPr>
              <w:rFonts w:eastAsia="Times New Roman"/>
              <w:b/>
              <w:bCs/>
              <w:sz w:val="18"/>
              <w:szCs w:val="18"/>
            </w:rPr>
            <w:t xml:space="preserve">Copyright 2014 JPMorgan Chase &amp; Co. All rights reserved. This report or any portion hereof may not be reprinted, sold or redistributed without the written consent of J.P. Morgan. </w:t>
          </w:r>
          <w:r>
            <w:rPr>
              <w:rFonts w:eastAsia="Times New Roman"/>
              <w:color w:val="FFFFFF"/>
              <w:sz w:val="18"/>
              <w:szCs w:val="18"/>
            </w:rPr>
            <w:t>#$J&amp;098$#*P</w:t>
          </w:r>
          <w:r>
            <w:rPr>
              <w:rFonts w:eastAsia="Times New Roman"/>
              <w:b/>
              <w:bCs/>
              <w:sz w:val="18"/>
              <w:szCs w:val="18"/>
            </w:rPr>
            <w:t xml:space="preserve"> </w:t>
          </w:r>
        </w:p>
        <w:p w:rsidR="00096996" w:rsidRDefault="00672BFA" w:rsidP="00404391">
          <w:pPr>
            <w:pStyle w:val="Body"/>
          </w:pPr>
        </w:p>
      </w:sdtContent>
    </w:sdt>
    <w:p w:rsidR="00096996" w:rsidRDefault="00096996" w:rsidP="00096996">
      <w:pPr>
        <w:pStyle w:val="Body"/>
        <w:sectPr w:rsidR="00096996" w:rsidSect="00CD1E8A">
          <w:headerReference w:type="first" r:id="rId39"/>
          <w:footerReference w:type="first" r:id="rId40"/>
          <w:pgSz w:w="12240" w:h="15840" w:code="1"/>
          <w:pgMar w:top="2376" w:right="1138" w:bottom="936" w:left="1123" w:header="936" w:footer="576" w:gutter="0"/>
          <w:cols w:space="720"/>
          <w:docGrid w:linePitch="360"/>
        </w:sectPr>
      </w:pPr>
    </w:p>
    <w:bookmarkEnd w:id="0"/>
    <w:p w:rsidR="002131BC" w:rsidRDefault="002131BC" w:rsidP="00B74121">
      <w:pPr>
        <w:pStyle w:val="Body"/>
        <w:ind w:left="-3125"/>
      </w:pPr>
    </w:p>
    <w:sectPr w:rsidR="002131BC" w:rsidSect="00096996">
      <w:headerReference w:type="first" r:id="rId41"/>
      <w:footerReference w:type="first" r:id="rId42"/>
      <w:type w:val="continuous"/>
      <w:pgSz w:w="12240" w:h="15840" w:code="1"/>
      <w:pgMar w:top="2376" w:right="1138" w:bottom="936" w:left="4248" w:header="936" w:footer="578" w:gutter="0"/>
      <w:cols w:space="720"/>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4CDB" w:rsidRDefault="00CE4CDB" w:rsidP="00410841">
      <w:r>
        <w:separator/>
      </w:r>
    </w:p>
  </w:endnote>
  <w:endnote w:type="continuationSeparator" w:id="0">
    <w:p w:rsidR="00CE4CDB" w:rsidRDefault="00CE4CDB" w:rsidP="0041084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Bookdings">
    <w:altName w:val="Symbol"/>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imes">
    <w:panose1 w:val="02020603060405020304"/>
    <w:charset w:val="00"/>
    <w:family w:val="roman"/>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4CDB" w:rsidRDefault="00672BFA">
    <w:pPr>
      <w:framePr w:hSpace="180" w:wrap="around" w:vAnchor="text" w:hAnchor="page" w:x="1138" w:y="1"/>
      <w:rPr>
        <w:rStyle w:val="PageNumber"/>
      </w:rPr>
    </w:pPr>
    <w:r>
      <w:rPr>
        <w:rStyle w:val="PageNumber"/>
      </w:rPr>
      <w:fldChar w:fldCharType="begin"/>
    </w:r>
    <w:r w:rsidR="00CE4CDB">
      <w:rPr>
        <w:rStyle w:val="PageNumber"/>
      </w:rPr>
      <w:instrText xml:space="preserve"> PAGE </w:instrText>
    </w:r>
    <w:r>
      <w:rPr>
        <w:rStyle w:val="PageNumber"/>
      </w:rPr>
      <w:fldChar w:fldCharType="separate"/>
    </w:r>
    <w:r w:rsidR="002A0467">
      <w:rPr>
        <w:rStyle w:val="PageNumber"/>
        <w:noProof/>
      </w:rPr>
      <w:t>6</w:t>
    </w:r>
    <w:r>
      <w:rPr>
        <w:rStyle w:val="PageNumber"/>
      </w:rPr>
      <w:fldChar w:fldCharType="end"/>
    </w:r>
  </w:p>
  <w:p w:rsidR="00CE4CDB" w:rsidRDefault="00CE4CDB">
    <w:pPr>
      <w:rPr>
        <w:rStyle w:val="PageNumber"/>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4CDB" w:rsidRDefault="00672BFA">
    <w:pPr>
      <w:pStyle w:val="Footer"/>
      <w:jc w:val="right"/>
      <w:rPr>
        <w:rStyle w:val="PageNumber"/>
        <w:b w:val="0"/>
        <w:bCs/>
      </w:rPr>
    </w:pPr>
    <w:r>
      <w:rPr>
        <w:rStyle w:val="PageNumber"/>
        <w:b w:val="0"/>
        <w:bCs/>
      </w:rPr>
      <w:fldChar w:fldCharType="begin"/>
    </w:r>
    <w:r w:rsidR="00CE4CDB">
      <w:rPr>
        <w:rStyle w:val="PageNumber"/>
        <w:b w:val="0"/>
        <w:bCs/>
      </w:rPr>
      <w:instrText xml:space="preserve"> PAGE </w:instrText>
    </w:r>
    <w:r>
      <w:rPr>
        <w:rStyle w:val="PageNumber"/>
        <w:b w:val="0"/>
        <w:bCs/>
      </w:rPr>
      <w:fldChar w:fldCharType="separate"/>
    </w:r>
    <w:r w:rsidR="002A0467">
      <w:rPr>
        <w:rStyle w:val="PageNumber"/>
        <w:b w:val="0"/>
        <w:bCs/>
        <w:noProof/>
      </w:rPr>
      <w:t>7</w:t>
    </w:r>
    <w:r>
      <w:rPr>
        <w:rStyle w:val="PageNumber"/>
        <w:b w:val="0"/>
        <w:bCs/>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Cs/>
        <w:iCs/>
      </w:rPr>
      <w:alias w:val="FOOTER_FRONT_PAGE"/>
      <w:tag w:val="FOOTER_FRONT_PAGE"/>
      <w:id w:val="82014432"/>
      <w:lock w:val="sdtContentLocked"/>
      <w:placeholder>
        <w:docPart w:val="0C59D7FD10A14EA3A8189024CC380BBE"/>
      </w:placeholder>
    </w:sdtPr>
    <w:sdtEndPr>
      <w:rPr>
        <w:b w:val="0"/>
        <w:spacing w:val="-2"/>
        <w:sz w:val="20"/>
        <w:szCs w:val="18"/>
      </w:rPr>
    </w:sdtEndPr>
    <w:sdtContent>
      <w:p w:rsidR="002A0467" w:rsidRDefault="002A0467" w:rsidP="002A0467">
        <w:pPr>
          <w:pStyle w:val="FooterFrontPage1stLine"/>
          <w:framePr w:wrap="around"/>
        </w:pPr>
        <w:r>
          <w:t>See page 3 for analyst certification and important disclosures, including non-US analyst disclosures.</w:t>
        </w:r>
      </w:p>
      <w:p w:rsidR="00CE4CDB" w:rsidRPr="0094269C" w:rsidRDefault="002A0467" w:rsidP="002A0467">
        <w:pPr>
          <w:pStyle w:val="FooterFrontPage"/>
          <w:framePr w:wrap="around"/>
        </w:pPr>
        <w:r>
          <w:t>J.P. Morgan does and seeks to do business with companies covered in its research reports. As a result, investors should be aware that the firm may have a conflict of interest that could affect the objectivity of this report. Investors should consider this report as only a single factor in making their investment decision.</w:t>
        </w:r>
      </w:p>
    </w:sdtContent>
  </w:sdt>
  <w:p w:rsidR="00CE4CDB" w:rsidRPr="00D14EE2" w:rsidRDefault="00672BFA" w:rsidP="00D14EE2">
    <w:pPr>
      <w:pStyle w:val="Footer"/>
    </w:pPr>
    <w:r>
      <w:rPr>
        <w:noProof/>
      </w:rPr>
      <w:pict>
        <v:shapetype id="_x0000_t202" coordsize="21600,21600" o:spt="202" path="m,l,21600r21600,l21600,xe">
          <v:stroke joinstyle="miter"/>
          <v:path gradientshapeok="t" o:connecttype="rect"/>
        </v:shapetype>
        <v:shape id="_x0000_s4123" type="#_x0000_t202" style="position:absolute;margin-left:366.5pt;margin-top:764.6pt;width:145.45pt;height:13.6pt;z-index:-251648512;mso-position-vertical-relative:page" wrapcoords="0 0" filled="f" stroked="f">
          <v:textbox inset="5.85pt,.7pt,5.85pt,.7pt">
            <w:txbxContent>
              <w:p w:rsidR="00CE4CDB" w:rsidRPr="00093FF9" w:rsidRDefault="00672BFA" w:rsidP="00093FF9">
                <w:pPr>
                  <w:pStyle w:val="MorganmarketURL"/>
                </w:pPr>
                <w:hyperlink r:id="rId1" w:history="1">
                  <w:r w:rsidR="00CE4CDB" w:rsidRPr="00093FF9">
                    <w:rPr>
                      <w:rStyle w:val="Hyperlink"/>
                      <w:color w:val="4E8ABE"/>
                      <w:u w:val="none"/>
                    </w:rPr>
                    <w:t>www.jpmorganmarkets.com</w:t>
                  </w:r>
                </w:hyperlink>
              </w:p>
            </w:txbxContent>
          </v:textbox>
          <w10:wrap type="tight" anchory="page"/>
          <w10:anchorlock/>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4CDB" w:rsidRDefault="00CE4CDB">
    <w:pPr>
      <w:pStyle w:val="Footer"/>
      <w:rPr>
        <w:sz w:val="24"/>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4CDB" w:rsidRDefault="00CE4CDB">
    <w:pPr>
      <w:pStyle w:val="Footer"/>
      <w:rPr>
        <w:b w:val="0"/>
        <w:bC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4CDB" w:rsidRDefault="00CE4CDB" w:rsidP="00410841">
      <w:r>
        <w:separator/>
      </w:r>
    </w:p>
  </w:footnote>
  <w:footnote w:type="continuationSeparator" w:id="0">
    <w:p w:rsidR="00CE4CDB" w:rsidRDefault="00CE4CDB" w:rsidP="0041084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4CDB" w:rsidRDefault="00672BFA">
    <w:pPr>
      <w:pStyle w:val="Header"/>
      <w:spacing w:after="0"/>
    </w:pPr>
    <w:r>
      <w:pict>
        <v:shapetype id="_x0000_t202" coordsize="21600,21600" o:spt="202" path="m,l,21600r21600,l21600,xe">
          <v:stroke joinstyle="miter"/>
          <v:path gradientshapeok="t" o:connecttype="rect"/>
        </v:shapetype>
        <v:shape id="BannerEven" o:spid="_x0000_s4128" type="#_x0000_t202" style="position:absolute;margin-left:212.55pt;margin-top:16.2pt;width:368.7pt;height:24pt;z-index:251668992;mso-position-horizontal-relative:page;mso-position-vertical-relative:line" filled="f" stroked="f">
          <v:textbox style="mso-next-textbox:#BannerEven" inset="0,0,0,0">
            <w:txbxContent>
              <w:p w:rsidR="00CE4CDB" w:rsidRPr="00EB6911" w:rsidRDefault="00672BFA" w:rsidP="00D404D6">
                <w:pPr>
                  <w:pStyle w:val="Header"/>
                </w:pPr>
                <w:sdt>
                  <w:sdtPr>
                    <w:alias w:val="BANNER_CLAUSE_EVEN"/>
                    <w:tag w:val="BANNER_CLAUSE_EVEN"/>
                    <w:id w:val="9728346"/>
                    <w:lock w:val="contentLocked"/>
                    <w:placeholder>
                      <w:docPart w:val="75D8CEC8410B467E954DA568931681DB"/>
                    </w:placeholder>
                    <w:showingPlcHdr/>
                    <w:text/>
                  </w:sdtPr>
                  <w:sdtContent>
                    <w:r w:rsidR="00CE4CDB" w:rsidRPr="00EB6911">
                      <w:rPr>
                        <w:rStyle w:val="PlaceholderText"/>
                        <w:color w:val="auto"/>
                      </w:rPr>
                      <w:t xml:space="preserve"> </w:t>
                    </w:r>
                  </w:sdtContent>
                </w:sdt>
              </w:p>
              <w:p w:rsidR="00CE4CDB" w:rsidRDefault="00CE4CDB" w:rsidP="00D404D6">
                <w:pPr>
                  <w:pStyle w:val="RegionGroupInvisible"/>
                </w:pPr>
              </w:p>
            </w:txbxContent>
          </v:textbox>
          <w10:wrap anchorx="page"/>
          <w10:anchorlock/>
        </v:shape>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JPMLogoEven" o:spid="_x0000_s4106" type="#_x0000_t75" style="position:absolute;margin-left:13018.85pt;margin-top:46.8pt;width:151.5pt;height:15pt;z-index:251671040;visibility:hidden;mso-position-horizontal:right;mso-position-horizontal-relative:margin;mso-position-vertical-relative:page">
          <v:imagedata r:id="rId1" o:title="Logo2008_JPM_A_RGB%20for%20GPS%20JPM%20only"/>
          <w10:wrap type="square" anchorx="margin" anchory="page"/>
          <w10:anchorlock/>
        </v:shape>
      </w:pict>
    </w:r>
    <w:r>
      <w:pict>
        <v:shape id="JPMCazLogoEven" o:spid="_x0000_s4105" type="#_x0000_t75" style="position:absolute;margin-left:13018.85pt;margin-top:46.8pt;width:151.5pt;height:15pt;z-index:251683328;visibility:visible;mso-position-horizontal:right;mso-position-horizontal-relative:margin;mso-position-vertical-relative:page">
          <v:imagedata r:id="rId2" o:title="Logo2010_JPM_Cazenove_A_RGB%20for%20GPS"/>
          <w10:wrap type="square" anchorx="margin" anchory="page"/>
          <w10:anchorlock/>
        </v:shape>
      </w:pict>
    </w:r>
    <w:r w:rsidRPr="00672BFA">
      <w:rPr>
        <w:sz w:val="20"/>
      </w:rPr>
      <w:pict>
        <v:shape id="AnalystEven" o:spid="_x0000_s4110" type="#_x0000_t202" style="position:absolute;margin-left:56.9pt;margin-top:0;width:2in;height:1in;z-index:251662848;mso-position-horizontal-relative:page;mso-position-vertical:top;mso-position-vertical-relative:line" filled="f" stroked="f">
          <v:textbox style="mso-next-textbox:#AnalystEven" inset="0,0,0,0">
            <w:txbxContent>
              <w:p w:rsidR="00CE4CDB" w:rsidRDefault="00672BFA">
                <w:pPr>
                  <w:pStyle w:val="Header"/>
                </w:pPr>
                <w:sdt>
                  <w:sdtPr>
                    <w:alias w:val="ANALYST_NAME_MAIN_EVEN"/>
                    <w:tag w:val="ANALYST_NAME_MAIN_EVEN"/>
                    <w:id w:val="27373893"/>
                    <w:lock w:val="sdtContentLocked"/>
                    <w:placeholder>
                      <w:docPart w:val="D996F290B07D4F86B78B0160D8594F17"/>
                    </w:placeholder>
                    <w:text/>
                  </w:sdtPr>
                  <w:sdtContent>
                    <w:r w:rsidR="00CE4CDB">
                      <w:t>Nathalie F Casali</w:t>
                    </w:r>
                  </w:sdtContent>
                </w:sdt>
                <w:r w:rsidR="00CE4CDB">
                  <w:br/>
                </w:r>
                <w:sdt>
                  <w:sdtPr>
                    <w:alias w:val="ANALYST_PHONE_MAIN_EVEN"/>
                    <w:tag w:val="ANALYST_PHONE_MAIN_EVEN"/>
                    <w:id w:val="27373866"/>
                    <w:lock w:val="sdtContentLocked"/>
                    <w:placeholder>
                      <w:docPart w:val="0563F97271F44CF8975712DD56EA70D3"/>
                    </w:placeholder>
                    <w:text/>
                  </w:sdtPr>
                  <w:sdtContent>
                    <w:r w:rsidR="00CE4CDB">
                      <w:t>(44-20) 7134-9023</w:t>
                    </w:r>
                  </w:sdtContent>
                </w:sdt>
                <w:r w:rsidR="00CE4CDB">
                  <w:br/>
                </w:r>
                <w:sdt>
                  <w:sdtPr>
                    <w:alias w:val="ANALYST_EMAIL_MAIN_EVEN"/>
                    <w:tag w:val="ANALYST_EMAIL_MAIN_EVEN"/>
                    <w:id w:val="27373838"/>
                    <w:lock w:val="sdtContentLocked"/>
                    <w:placeholder>
                      <w:docPart w:val="60A11C6974E94B8A919D2B3329D6F3B3"/>
                    </w:placeholder>
                    <w:text/>
                  </w:sdtPr>
                  <w:sdtContent>
                    <w:r w:rsidR="00CE4CDB">
                      <w:t>nathalie.x.casali@jpmorgan.com</w:t>
                    </w:r>
                  </w:sdtContent>
                </w:sdt>
              </w:p>
              <w:p w:rsidR="00CE4CDB" w:rsidRDefault="00672BFA">
                <w:pPr>
                  <w:pStyle w:val="Header"/>
                </w:pPr>
                <w:sdt>
                  <w:sdtPr>
                    <w:alias w:val="ANALYST_NAME_EVEN"/>
                    <w:tag w:val="ANALYST_NAME_EVEN"/>
                    <w:id w:val="27373811"/>
                    <w:lock w:val="sdtContentLocked"/>
                    <w:placeholder>
                      <w:docPart w:val="21F70C2BCC9541D9975258E6BAE0C91D"/>
                    </w:placeholder>
                    <w:showingPlcHdr/>
                    <w:text/>
                  </w:sdtPr>
                  <w:sdtContent>
                    <w:r w:rsidR="00CE4CDB">
                      <w:t xml:space="preserve"> </w:t>
                    </w:r>
                  </w:sdtContent>
                </w:sdt>
                <w:r w:rsidR="00CE4CDB">
                  <w:br/>
                </w:r>
                <w:sdt>
                  <w:sdtPr>
                    <w:alias w:val="ANALYST_PHONE_EVEN"/>
                    <w:tag w:val="ANALYST_PHONE_EVEN"/>
                    <w:id w:val="27373784"/>
                    <w:lock w:val="sdtContentLocked"/>
                    <w:placeholder>
                      <w:docPart w:val="12A0CCB061414517BF5D178B880C25A4"/>
                    </w:placeholder>
                    <w:showingPlcHdr/>
                    <w:text/>
                  </w:sdtPr>
                  <w:sdtContent>
                    <w:r w:rsidR="00CE4CDB">
                      <w:t xml:space="preserve"> </w:t>
                    </w:r>
                  </w:sdtContent>
                </w:sdt>
                <w:r w:rsidR="00CE4CDB">
                  <w:br/>
                </w:r>
                <w:sdt>
                  <w:sdtPr>
                    <w:alias w:val="ANALYST_EMAIL_EVEN"/>
                    <w:tag w:val="ANALYST_EMAIL_EVEN"/>
                    <w:id w:val="27373757"/>
                    <w:lock w:val="sdtContentLocked"/>
                    <w:placeholder>
                      <w:docPart w:val="D0F7B0873FE848CAAC073E3D49A46B21"/>
                    </w:placeholder>
                    <w:showingPlcHdr/>
                    <w:text/>
                  </w:sdtPr>
                  <w:sdtContent>
                    <w:r w:rsidR="00CE4CDB">
                      <w:t xml:space="preserve"> </w:t>
                    </w:r>
                  </w:sdtContent>
                </w:sdt>
              </w:p>
            </w:txbxContent>
          </v:textbox>
          <w10:wrap anchorx="page"/>
          <w10:anchorlock/>
        </v:shape>
      </w:pict>
    </w:r>
    <w:r w:rsidRPr="00672BFA">
      <w:rPr>
        <w:sz w:val="20"/>
      </w:rPr>
      <w:pict>
        <v:shape id="DealDerivativeEven" o:spid="_x0000_s4111" type="#_x0000_t202" style="position:absolute;margin-left:212.4pt;margin-top:18.7pt;width:343.45pt;height:52.55pt;z-index:251663872;visibility:hidden;mso-position-horizontal-relative:page;mso-position-vertical-relative:line" stroked="f">
          <v:textbox style="mso-next-textbox:#DealDerivativeEven" inset="0,0,0,0">
            <w:txbxContent>
              <w:p w:rsidR="00CE4CDB" w:rsidRDefault="00CE4CDB">
                <w:pPr>
                  <w:pStyle w:val="IPOInsidePage"/>
                </w:pPr>
              </w:p>
              <w:p w:rsidR="00CE4CDB" w:rsidRDefault="00CE4CDB">
                <w:pPr>
                  <w:pStyle w:val="RegionGroupInvisible"/>
                </w:pPr>
              </w:p>
            </w:txbxContent>
          </v:textbox>
          <w10:wrap anchorx="page"/>
          <w10:anchorlock/>
        </v:shape>
      </w:pict>
    </w:r>
    <w:r w:rsidRPr="00672BFA">
      <w:rPr>
        <w:sz w:val="20"/>
      </w:rPr>
      <w:pict>
        <v:shape id="RegionGroupEven" o:spid="_x0000_s4107" type="#_x0000_t202" style="position:absolute;margin-left:212.4pt;margin-top:0;width:196.35pt;height:15.85pt;z-index:251659776;mso-position-horizontal-relative:page;mso-position-vertical:top;mso-position-vertical-relative:line" filled="f" stroked="f">
          <v:textbox style="mso-next-textbox:#RegionGroupEven" inset="0,0,0,0">
            <w:txbxContent>
              <w:p w:rsidR="00CE4CDB" w:rsidRDefault="00672BFA">
                <w:pPr>
                  <w:pStyle w:val="HeaderRegionGroup"/>
                  <w:suppressOverlap/>
                </w:pPr>
                <w:sdt>
                  <w:sdtPr>
                    <w:alias w:val="REGION_EVEN"/>
                    <w:tag w:val="REGION_EVEN"/>
                    <w:id w:val="27373728"/>
                    <w:lock w:val="sdtContentLocked"/>
                    <w:placeholder>
                      <w:docPart w:val="0824EB81AC634099BC5E1EC2CB31B4D5"/>
                    </w:placeholder>
                    <w:text/>
                  </w:sdtPr>
                  <w:sdtContent>
                    <w:r w:rsidR="00A65737">
                      <w:t xml:space="preserve">Europe </w:t>
                    </w:r>
                  </w:sdtContent>
                </w:sdt>
                <w:sdt>
                  <w:sdtPr>
                    <w:alias w:val="BUSINESS_GROUP_EVEN"/>
                    <w:tag w:val="BUSINESS_GROUP_EVEN"/>
                    <w:id w:val="27373700"/>
                    <w:lock w:val="sdtContentLocked"/>
                    <w:placeholder>
                      <w:docPart w:val="733473684B6249FFA0AC473A7B3F1B4E"/>
                    </w:placeholder>
                    <w:text/>
                  </w:sdtPr>
                  <w:sdtContent>
                    <w:r w:rsidR="00A65737">
                      <w:t>Equity Research</w:t>
                    </w:r>
                  </w:sdtContent>
                </w:sdt>
              </w:p>
              <w:sdt>
                <w:sdtPr>
                  <w:alias w:val="PUBLICATION_DATE_EVEN"/>
                  <w:tag w:val="PUBLICATION_DATE_EVEN"/>
                  <w:id w:val="1330510"/>
                  <w:lock w:val="sdtContentLocked"/>
                  <w:placeholder>
                    <w:docPart w:val="C813F8CCE9774B6BB33E0A229B7CB73C"/>
                  </w:placeholder>
                  <w:text/>
                </w:sdtPr>
                <w:sdtContent>
                  <w:p w:rsidR="00CE4CDB" w:rsidRDefault="00A65737">
                    <w:pPr>
                      <w:pStyle w:val="Header"/>
                    </w:pPr>
                    <w:r>
                      <w:t>03 July 2014</w:t>
                    </w:r>
                  </w:p>
                </w:sdtContent>
              </w:sdt>
              <w:p w:rsidR="00CE4CDB" w:rsidRDefault="00CE4CDB">
                <w:pPr>
                  <w:pStyle w:val="RegionGroupInvisible"/>
                </w:pPr>
              </w:p>
            </w:txbxContent>
          </v:textbox>
          <w10:wrap anchorx="page"/>
          <w10:anchorlock/>
        </v:shape>
      </w:pict>
    </w:r>
  </w:p>
  <w:p w:rsidR="00CE4CDB" w:rsidRDefault="00CE4CDB">
    <w:pPr>
      <w:pStyle w:val="Header"/>
      <w:spacing w:after="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4CDB" w:rsidRDefault="00672BFA">
    <w:pPr>
      <w:pStyle w:val="Header"/>
      <w:spacing w:after="0"/>
    </w:pPr>
    <w:r>
      <w:pict>
        <v:shapetype id="_x0000_t202" coordsize="21600,21600" o:spt="202" path="m,l,21600r21600,l21600,xe">
          <v:stroke joinstyle="miter"/>
          <v:path gradientshapeok="t" o:connecttype="rect"/>
        </v:shapetype>
        <v:shape id="BannerOdd" o:spid="_x0000_s4129" type="#_x0000_t202" style="position:absolute;margin-left:212.35pt;margin-top:16.15pt;width:368.7pt;height:24pt;z-index:251670016;mso-position-horizontal-relative:page;mso-position-vertical-relative:line" filled="f" stroked="f">
          <v:textbox style="mso-next-textbox:#BannerOdd" inset="0,0,0,0">
            <w:txbxContent>
              <w:p w:rsidR="00CE4CDB" w:rsidRPr="003D1683" w:rsidRDefault="00672BFA" w:rsidP="00D404D6">
                <w:pPr>
                  <w:pStyle w:val="Header"/>
                </w:pPr>
                <w:sdt>
                  <w:sdtPr>
                    <w:alias w:val="BANNER_CLAUSE_ODD"/>
                    <w:tag w:val="BANNER_CLAUSE_ODD"/>
                    <w:id w:val="17119566"/>
                    <w:lock w:val="contentLocked"/>
                    <w:placeholder>
                      <w:docPart w:val="3946C58D7F9A46DB95A075D20C68F9FC"/>
                    </w:placeholder>
                    <w:showingPlcHdr/>
                    <w:text/>
                  </w:sdtPr>
                  <w:sdtContent>
                    <w:r w:rsidR="00CE4CDB" w:rsidRPr="003D1683">
                      <w:t xml:space="preserve"> </w:t>
                    </w:r>
                  </w:sdtContent>
                </w:sdt>
              </w:p>
              <w:p w:rsidR="00CE4CDB" w:rsidRDefault="00CE4CDB" w:rsidP="00D404D6">
                <w:pPr>
                  <w:pStyle w:val="RegionGroupInvisible"/>
                </w:pPr>
              </w:p>
            </w:txbxContent>
          </v:textbox>
          <w10:wrap anchorx="page"/>
          <w10:anchorlock/>
        </v:shape>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JPMLogoPrimary" o:spid="_x0000_s4102" type="#_x0000_t75" style="position:absolute;margin-left:13018.85pt;margin-top:46.8pt;width:151.5pt;height:15pt;z-index:251672064;visibility:hidden;mso-position-horizontal:right;mso-position-horizontal-relative:margin;mso-position-vertical-relative:page">
          <v:imagedata r:id="rId1" o:title="Logo2008_JPM_A_RGB%20for%20GPS%20JPM%20only"/>
          <w10:wrap type="square" anchorx="margin" anchory="page"/>
          <w10:anchorlock/>
        </v:shape>
      </w:pict>
    </w:r>
    <w:r>
      <w:pict>
        <v:shape id="JPMCazLogoPrimary" o:spid="_x0000_s4101" type="#_x0000_t75" style="position:absolute;margin-left:13018.85pt;margin-top:46.8pt;width:151.5pt;height:15pt;z-index:251682304;visibility:visible;mso-position-horizontal:right;mso-position-horizontal-relative:margin;mso-position-vertical-relative:page">
          <v:imagedata r:id="rId2" o:title="Logo2010_JPM_Cazenove_A_RGB%20for%20GPS"/>
          <w10:wrap type="square" anchorx="margin" anchory="page"/>
          <w10:anchorlock/>
        </v:shape>
      </w:pict>
    </w:r>
    <w:r w:rsidRPr="00672BFA">
      <w:rPr>
        <w:sz w:val="20"/>
      </w:rPr>
      <w:pict>
        <v:shape id="DealDerivativePrimary" o:spid="_x0000_s4112" type="#_x0000_t202" style="position:absolute;margin-left:212.4pt;margin-top:18.7pt;width:343.45pt;height:52.55pt;z-index:251664896;visibility:hidden;mso-position-horizontal-relative:page;mso-position-vertical-relative:line" stroked="f">
          <v:textbox style="mso-next-textbox:#DealDerivativePrimary" inset="0,0,0,0">
            <w:txbxContent>
              <w:p w:rsidR="00CE4CDB" w:rsidRDefault="00CE4CDB">
                <w:pPr>
                  <w:pStyle w:val="IPOInsidePage"/>
                </w:pPr>
              </w:p>
              <w:p w:rsidR="00CE4CDB" w:rsidRDefault="00CE4CDB">
                <w:pPr>
                  <w:pStyle w:val="RegionGroupInvisible"/>
                </w:pPr>
              </w:p>
            </w:txbxContent>
          </v:textbox>
          <w10:wrap anchorx="page"/>
          <w10:anchorlock/>
        </v:shape>
      </w:pict>
    </w:r>
    <w:r w:rsidRPr="00672BFA">
      <w:rPr>
        <w:sz w:val="20"/>
      </w:rPr>
      <w:pict>
        <v:shape id="AnalystPrimary" o:spid="_x0000_s4109" type="#_x0000_t202" style="position:absolute;margin-left:56.9pt;margin-top:0;width:2in;height:1in;z-index:251661824;mso-wrap-edited:f;mso-position-horizontal-relative:page;mso-position-vertical:top;mso-position-vertical-relative:line" filled="f" stroked="f">
          <v:textbox style="mso-next-textbox:#AnalystPrimary" inset="0,0,0,0">
            <w:txbxContent>
              <w:p w:rsidR="00CE4CDB" w:rsidRDefault="00672BFA">
                <w:pPr>
                  <w:pStyle w:val="Header"/>
                </w:pPr>
                <w:sdt>
                  <w:sdtPr>
                    <w:alias w:val="ANALYST_NAME_MAIN_ODD"/>
                    <w:tag w:val="ANALYST_NAME_MAIN_ODD"/>
                    <w:id w:val="31622201"/>
                    <w:lock w:val="sdtContentLocked"/>
                    <w:placeholder>
                      <w:docPart w:val="B7375D8A0EC1499E92E800B93F0DD450"/>
                    </w:placeholder>
                    <w:text/>
                  </w:sdtPr>
                  <w:sdtContent>
                    <w:r w:rsidR="00CE4CDB">
                      <w:t>Nathalie F Casali</w:t>
                    </w:r>
                  </w:sdtContent>
                </w:sdt>
                <w:r w:rsidR="00CE4CDB">
                  <w:br/>
                </w:r>
                <w:sdt>
                  <w:sdtPr>
                    <w:alias w:val="ANALYST_PHONE_MAIN_ODD"/>
                    <w:tag w:val="ANALYST_PHONE_MAIN_ODD"/>
                    <w:id w:val="31622174"/>
                    <w:lock w:val="sdtContentLocked"/>
                    <w:placeholder>
                      <w:docPart w:val="498B2FC92D024E0BA47D99661D8BB19D"/>
                    </w:placeholder>
                    <w:text/>
                  </w:sdtPr>
                  <w:sdtContent>
                    <w:r w:rsidR="00CE4CDB">
                      <w:t>(44-20) 7134-9023</w:t>
                    </w:r>
                  </w:sdtContent>
                </w:sdt>
                <w:r w:rsidR="00CE4CDB">
                  <w:br/>
                </w:r>
                <w:sdt>
                  <w:sdtPr>
                    <w:alias w:val="ANALYST_EMAIL_MAIN_ODD"/>
                    <w:tag w:val="ANALYST_EMAIL_MAIN_ODD"/>
                    <w:id w:val="31622147"/>
                    <w:lock w:val="sdtContentLocked"/>
                    <w:placeholder>
                      <w:docPart w:val="427816C35A964ED5BEAD2572323AB41C"/>
                    </w:placeholder>
                    <w:text/>
                  </w:sdtPr>
                  <w:sdtContent>
                    <w:r w:rsidR="00CE4CDB">
                      <w:t>nathalie.x.casali@jpmorgan.com</w:t>
                    </w:r>
                  </w:sdtContent>
                </w:sdt>
              </w:p>
              <w:p w:rsidR="00CE4CDB" w:rsidRDefault="00672BFA">
                <w:pPr>
                  <w:pStyle w:val="Header"/>
                </w:pPr>
                <w:sdt>
                  <w:sdtPr>
                    <w:alias w:val="ANALYST_NAME_ODD"/>
                    <w:tag w:val="ANALYST_NAME_ODD"/>
                    <w:id w:val="31622120"/>
                    <w:lock w:val="sdtContentLocked"/>
                    <w:placeholder>
                      <w:docPart w:val="30B0EB2E99444A71BF63D5EDF28BDF47"/>
                    </w:placeholder>
                    <w:showingPlcHdr/>
                    <w:text/>
                  </w:sdtPr>
                  <w:sdtContent>
                    <w:r w:rsidR="00CE4CDB">
                      <w:t xml:space="preserve"> </w:t>
                    </w:r>
                  </w:sdtContent>
                </w:sdt>
                <w:r w:rsidR="00CE4CDB">
                  <w:br/>
                </w:r>
                <w:sdt>
                  <w:sdtPr>
                    <w:alias w:val="ANALYST_PHONE_ODD"/>
                    <w:tag w:val="ANALYST_PHONE_ODD"/>
                    <w:id w:val="31622093"/>
                    <w:lock w:val="sdtContentLocked"/>
                    <w:placeholder>
                      <w:docPart w:val="2279A6DF29FE4D39A3FB77BBC696703B"/>
                    </w:placeholder>
                    <w:showingPlcHdr/>
                    <w:text/>
                  </w:sdtPr>
                  <w:sdtContent>
                    <w:r w:rsidR="00CE4CDB">
                      <w:t xml:space="preserve"> </w:t>
                    </w:r>
                  </w:sdtContent>
                </w:sdt>
                <w:r w:rsidR="00CE4CDB">
                  <w:br/>
                </w:r>
                <w:sdt>
                  <w:sdtPr>
                    <w:alias w:val="ANALYST_EMAIL_ODD"/>
                    <w:tag w:val="ANALYST_EMAIL_ODD"/>
                    <w:id w:val="31622066"/>
                    <w:lock w:val="sdtContentLocked"/>
                    <w:placeholder>
                      <w:docPart w:val="51EDA9960E6E495D8FFDFE02C8CD674E"/>
                    </w:placeholder>
                    <w:showingPlcHdr/>
                    <w:text/>
                  </w:sdtPr>
                  <w:sdtContent>
                    <w:r w:rsidR="00CE4CDB">
                      <w:t xml:space="preserve"> </w:t>
                    </w:r>
                  </w:sdtContent>
                </w:sdt>
              </w:p>
            </w:txbxContent>
          </v:textbox>
          <w10:wrap anchorx="page"/>
          <w10:anchorlock/>
        </v:shape>
      </w:pict>
    </w:r>
    <w:r w:rsidRPr="00672BFA">
      <w:rPr>
        <w:sz w:val="20"/>
      </w:rPr>
      <w:pict>
        <v:shape id="RegionGroupPrimary" o:spid="_x0000_s4108" type="#_x0000_t202" style="position:absolute;margin-left:212.4pt;margin-top:0;width:196.35pt;height:15.85pt;z-index:251660800;mso-position-horizontal-relative:page;mso-position-vertical:top;mso-position-vertical-relative:line" filled="f" stroked="f">
          <v:textbox style="mso-next-textbox:#RegionGroupPrimary" inset="0,0,0,0">
            <w:txbxContent>
              <w:p w:rsidR="00CE4CDB" w:rsidRDefault="00672BFA">
                <w:pPr>
                  <w:pStyle w:val="HeaderRegionGroup"/>
                  <w:suppressOverlap/>
                </w:pPr>
                <w:sdt>
                  <w:sdtPr>
                    <w:alias w:val="REGION_ODD"/>
                    <w:tag w:val="REGION_ODD"/>
                    <w:id w:val="31622039"/>
                    <w:lock w:val="sdtContentLocked"/>
                    <w:placeholder>
                      <w:docPart w:val="28F907465AFB41B29911E8819FB9050B"/>
                    </w:placeholder>
                    <w:text/>
                  </w:sdtPr>
                  <w:sdtContent>
                    <w:r w:rsidR="00A65737">
                      <w:t xml:space="preserve">Europe </w:t>
                    </w:r>
                  </w:sdtContent>
                </w:sdt>
                <w:r w:rsidR="00CE4CDB">
                  <w:t xml:space="preserve"> </w:t>
                </w:r>
                <w:sdt>
                  <w:sdtPr>
                    <w:alias w:val="BUSINESS_GROUP_ODD"/>
                    <w:tag w:val="BUSINESS_GROUP_ODD"/>
                    <w:id w:val="31622012"/>
                    <w:lock w:val="sdtContentLocked"/>
                    <w:placeholder>
                      <w:docPart w:val="0046E73A691E4F9482965D833C1B5CA3"/>
                    </w:placeholder>
                    <w:text/>
                  </w:sdtPr>
                  <w:sdtContent>
                    <w:r w:rsidR="00A65737">
                      <w:t>Equity Research</w:t>
                    </w:r>
                  </w:sdtContent>
                </w:sdt>
              </w:p>
              <w:sdt>
                <w:sdtPr>
                  <w:alias w:val="PUBLICATION_DATE_ODD"/>
                  <w:tag w:val="PUBLICATION_DATE_ODD"/>
                  <w:id w:val="1330546"/>
                  <w:lock w:val="sdtContentLocked"/>
                  <w:placeholder>
                    <w:docPart w:val="AA158A01386A40CD8DCEA6699FC12FDF"/>
                  </w:placeholder>
                  <w:text/>
                </w:sdtPr>
                <w:sdtContent>
                  <w:p w:rsidR="00CE4CDB" w:rsidRDefault="00A65737">
                    <w:pPr>
                      <w:pStyle w:val="Header"/>
                    </w:pPr>
                    <w:r>
                      <w:t>03 July 2014</w:t>
                    </w:r>
                  </w:p>
                </w:sdtContent>
              </w:sdt>
            </w:txbxContent>
          </v:textbox>
          <w10:wrap anchorx="page"/>
          <w10:anchorlock/>
        </v:shape>
      </w:pict>
    </w:r>
  </w:p>
  <w:p w:rsidR="00CE4CDB" w:rsidRDefault="00CE4CDB">
    <w:pPr>
      <w:pStyle w:val="Header"/>
      <w:spacing w:after="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pPr w:leftFromText="180" w:rightFromText="180" w:vertAnchor="text" w:horzAnchor="page" w:tblpX="1" w:tblpY="-260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1440"/>
    </w:tblGrid>
    <w:tr w:rsidR="00CE4CDB">
      <w:trPr>
        <w:trHeight w:val="15825"/>
      </w:trPr>
      <w:tc>
        <w:tcPr>
          <w:tcW w:w="1440" w:type="dxa"/>
          <w:shd w:val="clear" w:color="auto" w:fill="auto"/>
        </w:tcPr>
        <w:p w:rsidR="00CE4CDB" w:rsidRDefault="00CE4CDB" w:rsidP="00175096">
          <w:pPr>
            <w:tabs>
              <w:tab w:val="left" w:pos="6360"/>
            </w:tabs>
            <w:spacing w:after="120"/>
          </w:pPr>
        </w:p>
      </w:tc>
    </w:tr>
  </w:tbl>
  <w:p w:rsidR="00CE4CDB" w:rsidRDefault="00672BFA" w:rsidP="001C3457">
    <w:pPr>
      <w:pStyle w:val="RegionGroup"/>
    </w:pPr>
    <w:sdt>
      <w:sdtPr>
        <w:alias w:val="REGION"/>
        <w:tag w:val="REGION"/>
        <w:id w:val="164905360"/>
        <w:lock w:val="sdtLocked"/>
        <w:placeholder>
          <w:docPart w:val="1C225EC886D046FCBEEF5542718196F6"/>
        </w:placeholder>
        <w:comboBox>
          <w:listItem w:displayText="Asia Pacific" w:value="Asia Pacific"/>
          <w:listItem w:displayText="Japan" w:value="Japan"/>
          <w:listItem w:displayText="Global" w:value="Global"/>
          <w:listItem w:displayText="Europe" w:value="Europe"/>
        </w:comboBox>
      </w:sdtPr>
      <w:sdtContent>
        <w:r w:rsidR="00A65737">
          <w:t xml:space="preserve">Europe </w:t>
        </w:r>
      </w:sdtContent>
    </w:sdt>
    <w:sdt>
      <w:sdtPr>
        <w:alias w:val="BUSINESS_GROUP"/>
        <w:tag w:val="BUSINESS_GROUP"/>
        <w:id w:val="164905373"/>
        <w:lock w:val="sdtLocked"/>
        <w:placeholder>
          <w:docPart w:val="31DA8D0CFE644884B7A73BA6B8521F81"/>
        </w:placeholder>
        <w:comboBox>
          <w:listItem w:displayText="Equity Research" w:value="Equity Research"/>
          <w:listItem w:displayText="Corporate Research" w:value="Corporate Research"/>
        </w:comboBox>
      </w:sdtPr>
      <w:sdtContent>
        <w:r w:rsidR="00A65737">
          <w:t>Equity Research</w:t>
        </w:r>
      </w:sdtContent>
    </w:sdt>
  </w:p>
  <w:p w:rsidR="00CE4CDB" w:rsidRPr="00491D29" w:rsidRDefault="00672BFA" w:rsidP="00491D29">
    <w:pPr>
      <w:pStyle w:val="PublishDate"/>
    </w:pPr>
    <w:sdt>
      <w:sdtPr>
        <w:alias w:val="PUBLICATION_DATE"/>
        <w:tag w:val="PUBLICATION_DATE"/>
        <w:id w:val="1330483"/>
        <w:lock w:val="sdtContentLocked"/>
        <w:placeholder>
          <w:docPart w:val="B290DA4549F7456E98ED8E8665E92422"/>
        </w:placeholder>
        <w:text/>
      </w:sdtPr>
      <w:sdtContent>
        <w:r w:rsidR="00A65737">
          <w:t>03 July 2014</w:t>
        </w:r>
      </w:sdtContent>
    </w:sdt>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JPMCazLogo_Cover" o:spid="_x0000_s4103" type="#_x0000_t75" style="position:absolute;left:0;text-align:left;margin-left:79.2pt;margin-top:17.3pt;width:259.5pt;height:36pt;z-index:251684352;visibility:visible;mso-position-horizontal-relative:page;mso-position-vertical-relative:page">
          <v:imagedata r:id="rId1" o:title="JPMCaz-pp1"/>
          <w10:wrap type="square" anchorx="page" anchory="page"/>
          <w10:anchorlock/>
        </v:shape>
      </w:pict>
    </w:r>
    <w:r>
      <w:pict>
        <v:shape id="JPMLogo_Cover" o:spid="_x0000_s4104" type="#_x0000_t75" style="position:absolute;left:0;text-align:left;margin-left:79.2pt;margin-top:17.3pt;width:259.5pt;height:36pt;z-index:251654656;visibility:hidden;mso-position-horizontal-relative:page;mso-position-vertical-relative:page">
          <v:imagedata r:id="rId2" o:title="JPM-pp1"/>
          <w10:wrap type="square" anchorx="page" anchory="page"/>
          <w10:anchorlock/>
        </v:shape>
      </w:pict>
    </w:r>
    <w:r>
      <w:pict>
        <v:shape id="JPMSpine" o:spid="_x0000_s4114" type="#_x0000_t75" style="position:absolute;left:0;text-align:left;margin-left:-93.5pt;margin-top:-39.15pt;width:65.25pt;height:793.8pt;z-index:251666944;mso-position-horizontal-relative:text;mso-position-vertical-relative:text">
          <v:imagedata r:id="rId3" o:title=""/>
          <w10:wrap type="square"/>
          <w10:anchorlock/>
        </v:shape>
      </w:pict>
    </w:r>
  </w:p>
  <w:tbl>
    <w:tblPr>
      <w:tblpPr w:leftFromText="187" w:rightFromText="187" w:bottomFromText="120" w:vertAnchor="text" w:tblpXSpec="right" w:tblpY="1"/>
      <w:tblW w:w="9979" w:type="dxa"/>
      <w:tblLayout w:type="fixed"/>
      <w:tblCellMar>
        <w:top w:w="29" w:type="dxa"/>
        <w:left w:w="29" w:type="dxa"/>
        <w:bottom w:w="29" w:type="dxa"/>
        <w:right w:w="29" w:type="dxa"/>
      </w:tblCellMar>
      <w:tblLook w:val="0000"/>
    </w:tblPr>
    <w:tblGrid>
      <w:gridCol w:w="6750"/>
      <w:gridCol w:w="344"/>
      <w:gridCol w:w="2885"/>
    </w:tblGrid>
    <w:tr w:rsidR="00CE4CDB" w:rsidTr="00175096">
      <w:trPr>
        <w:cantSplit/>
        <w:trHeight w:hRule="exact" w:val="23"/>
      </w:trPr>
      <w:sdt>
        <w:sdtPr>
          <w:alias w:val="FRONT_PAGE_BANNER_RETRACT"/>
          <w:tag w:val="FRONT_PAGE_BANNER_RETRACT"/>
          <w:id w:val="465380610"/>
          <w:lock w:val="contentLocked"/>
          <w:placeholder>
            <w:docPart w:val="ABED45C2BE6C4B46B9834E2D7C630C0D"/>
          </w:placeholder>
          <w:showingPlcHdr/>
          <w:text/>
        </w:sdtPr>
        <w:sdtContent>
          <w:tc>
            <w:tcPr>
              <w:tcW w:w="9979" w:type="dxa"/>
              <w:gridSpan w:val="3"/>
              <w:tcMar>
                <w:top w:w="29" w:type="dxa"/>
                <w:left w:w="29" w:type="dxa"/>
                <w:bottom w:w="29" w:type="dxa"/>
                <w:right w:w="432" w:type="dxa"/>
              </w:tcMar>
              <w:vAlign w:val="bottom"/>
            </w:tcPr>
            <w:p w:rsidR="00CE4CDB" w:rsidRDefault="00CE4CDB" w:rsidP="00175096">
              <w:pPr>
                <w:pStyle w:val="ReportType"/>
                <w:framePr w:hSpace="0" w:wrap="auto" w:vAnchor="margin" w:xAlign="left" w:yAlign="inline"/>
              </w:pPr>
              <w:r>
                <w:t xml:space="preserve"> </w:t>
              </w:r>
            </w:p>
          </w:tc>
        </w:sdtContent>
      </w:sdt>
    </w:tr>
    <w:tr w:rsidR="00CE4CDB" w:rsidTr="005557DA">
      <w:trPr>
        <w:cantSplit/>
        <w:trHeight w:hRule="exact" w:val="23"/>
      </w:trPr>
      <w:sdt>
        <w:sdtPr>
          <w:alias w:val="FRONT_PAGE_BANNER"/>
          <w:tag w:val="FRONT_PAGE_BANNER"/>
          <w:id w:val="93880344"/>
          <w:lock w:val="sdtContentLocked"/>
          <w:placeholder>
            <w:docPart w:val="12E7C8B7A9E5497DAA56CAE5912A9EAE"/>
          </w:placeholder>
          <w:showingPlcHdr/>
          <w:text/>
        </w:sdtPr>
        <w:sdtContent>
          <w:tc>
            <w:tcPr>
              <w:tcW w:w="9979" w:type="dxa"/>
              <w:gridSpan w:val="3"/>
              <w:tcMar>
                <w:top w:w="29" w:type="dxa"/>
                <w:left w:w="29" w:type="dxa"/>
                <w:bottom w:w="29" w:type="dxa"/>
                <w:right w:w="432" w:type="dxa"/>
              </w:tcMar>
              <w:vAlign w:val="bottom"/>
            </w:tcPr>
            <w:p w:rsidR="00CE4CDB" w:rsidRDefault="00CE4CDB" w:rsidP="00175096">
              <w:pPr>
                <w:pStyle w:val="ReportType"/>
                <w:framePr w:hSpace="0" w:wrap="auto" w:vAnchor="margin" w:xAlign="left" w:yAlign="inline"/>
              </w:pPr>
              <w:r>
                <w:t xml:space="preserve"> </w:t>
              </w:r>
            </w:p>
          </w:tc>
        </w:sdtContent>
      </w:sdt>
    </w:tr>
    <w:tr w:rsidR="00CE4CDB" w:rsidTr="005557DA">
      <w:trPr>
        <w:cantSplit/>
      </w:trPr>
      <w:tc>
        <w:tcPr>
          <w:tcW w:w="6750" w:type="dxa"/>
          <w:tcMar>
            <w:top w:w="29" w:type="dxa"/>
            <w:left w:w="29" w:type="dxa"/>
            <w:bottom w:w="29" w:type="dxa"/>
            <w:right w:w="432" w:type="dxa"/>
          </w:tcMar>
          <w:vAlign w:val="bottom"/>
        </w:tcPr>
        <w:p w:rsidR="00CE4CDB" w:rsidRDefault="00672BFA" w:rsidP="00C27FE1">
          <w:pPr>
            <w:pStyle w:val="FPTitleCompany"/>
            <w:framePr w:hSpace="0" w:wrap="auto" w:vAnchor="margin" w:xAlign="left" w:yAlign="inline"/>
          </w:pPr>
          <w:sdt>
            <w:sdtPr>
              <w:alias w:val="TITLE"/>
              <w:tag w:val="TITLE"/>
              <w:id w:val="840452"/>
              <w:lock w:val="sdtContentLocked"/>
              <w:placeholder>
                <w:docPart w:val="BC8CA6454F6F4587A193D2DFA354484D"/>
              </w:placeholder>
              <w:text/>
            </w:sdtPr>
            <w:sdtContent>
              <w:r w:rsidR="00CE4CDB">
                <w:t>RWE and E.ON</w:t>
              </w:r>
            </w:sdtContent>
          </w:sdt>
        </w:p>
      </w:tc>
      <w:tc>
        <w:tcPr>
          <w:tcW w:w="344" w:type="dxa"/>
        </w:tcPr>
        <w:p w:rsidR="00CE4CDB" w:rsidRPr="008C1005" w:rsidRDefault="00CE4CDB" w:rsidP="00D14EE2">
          <w:pPr>
            <w:pStyle w:val="RatingChangeArrow"/>
            <w:framePr w:hSpace="0" w:wrap="auto" w:vAnchor="margin" w:xAlign="left" w:yAlign="inline"/>
          </w:pPr>
        </w:p>
      </w:tc>
      <w:tc>
        <w:tcPr>
          <w:tcW w:w="2885" w:type="dxa"/>
          <w:vAlign w:val="bottom"/>
        </w:tcPr>
        <w:p w:rsidR="00CE4CDB" w:rsidRPr="00EF5DA4" w:rsidRDefault="00CE4CDB" w:rsidP="00A35CD6">
          <w:pPr>
            <w:pStyle w:val="ReportType"/>
            <w:framePr w:hSpace="0" w:wrap="auto" w:vAnchor="margin" w:xAlign="left" w:yAlign="inline"/>
          </w:pPr>
        </w:p>
      </w:tc>
    </w:tr>
    <w:tr w:rsidR="00CE4CDB" w:rsidTr="005557DA">
      <w:trPr>
        <w:cantSplit/>
      </w:trPr>
      <w:tc>
        <w:tcPr>
          <w:tcW w:w="6750" w:type="dxa"/>
          <w:tcMar>
            <w:right w:w="432" w:type="dxa"/>
          </w:tcMar>
        </w:tcPr>
        <w:p w:rsidR="00CE4CDB" w:rsidRDefault="00672BFA" w:rsidP="00D8401F">
          <w:pPr>
            <w:pStyle w:val="SubTitle"/>
          </w:pPr>
          <w:sdt>
            <w:sdtPr>
              <w:alias w:val="SUBTITLE"/>
              <w:tag w:val="SUBTITLE"/>
              <w:id w:val="840455"/>
              <w:lock w:val="sdtLocked"/>
              <w:placeholder>
                <w:docPart w:val="3203AD69EFD7435E9354E78C9CBF60EA"/>
              </w:placeholder>
              <w:text/>
            </w:sdtPr>
            <w:sdtContent>
              <w:r w:rsidR="00CE4CDB">
                <w:t>German utilities investor tour feedback - ALERT</w:t>
              </w:r>
            </w:sdtContent>
          </w:sdt>
        </w:p>
      </w:tc>
      <w:tc>
        <w:tcPr>
          <w:tcW w:w="344" w:type="dxa"/>
        </w:tcPr>
        <w:p w:rsidR="00CE4CDB" w:rsidRPr="00F22CA1" w:rsidRDefault="00CE4CDB" w:rsidP="00D14EE2">
          <w:pPr>
            <w:pStyle w:val="PTChangeArrow"/>
            <w:framePr w:hSpace="0" w:wrap="auto" w:vAnchor="margin" w:xAlign="left" w:yAlign="inline"/>
          </w:pPr>
        </w:p>
      </w:tc>
      <w:tc>
        <w:tcPr>
          <w:tcW w:w="2885" w:type="dxa"/>
        </w:tcPr>
        <w:p w:rsidR="00CE4CDB" w:rsidRPr="00EF2AB4" w:rsidRDefault="00CE4CDB" w:rsidP="00A35CD6">
          <w:pPr>
            <w:pStyle w:val="PriceDual"/>
            <w:framePr w:hSpace="0" w:wrap="auto" w:vAnchor="margin" w:xAlign="left" w:yAlign="inline"/>
          </w:pPr>
        </w:p>
      </w:tc>
    </w:tr>
  </w:tbl>
  <w:tbl>
    <w:tblPr>
      <w:tblpPr w:leftFromText="446" w:rightFromText="187" w:horzAnchor="margin" w:tblpXSpec="right" w:tblpY="1"/>
      <w:tblOverlap w:val="never"/>
      <w:tblW w:w="2880" w:type="dxa"/>
      <w:tblLayout w:type="fixed"/>
      <w:tblCellMar>
        <w:top w:w="29" w:type="dxa"/>
        <w:left w:w="29" w:type="dxa"/>
        <w:bottom w:w="29" w:type="dxa"/>
        <w:right w:w="29" w:type="dxa"/>
      </w:tblCellMar>
      <w:tblLook w:val="0000"/>
    </w:tblPr>
    <w:tblGrid>
      <w:gridCol w:w="2880"/>
    </w:tblGrid>
    <w:tr w:rsidR="00CE4CDB" w:rsidTr="00175096">
      <w:trPr>
        <w:cantSplit/>
      </w:trPr>
      <w:tc>
        <w:tcPr>
          <w:tcW w:w="2880" w:type="dxa"/>
          <w:vAlign w:val="center"/>
        </w:tcPr>
        <w:p w:rsidR="00CE4CDB" w:rsidRPr="00D14EE2" w:rsidRDefault="00672BFA" w:rsidP="00513F7E">
          <w:pPr>
            <w:pStyle w:val="GroupName"/>
          </w:pPr>
          <w:sdt>
            <w:sdtPr>
              <w:alias w:val="INDUSTRY"/>
              <w:tag w:val="INDUSTRY"/>
              <w:id w:val="840458"/>
              <w:lock w:val="sdtContentLocked"/>
              <w:placeholder>
                <w:docPart w:val="A0A0575E90E94A90B1347E51DC375F86"/>
              </w:placeholder>
              <w:text/>
            </w:sdtPr>
            <w:sdtContent>
              <w:r w:rsidR="00CE4CDB">
                <w:t>European Utilities</w:t>
              </w:r>
            </w:sdtContent>
          </w:sdt>
        </w:p>
        <w:sdt>
          <w:sdtPr>
            <w:rPr>
              <w:b w:val="0"/>
              <w:color w:val="000000"/>
              <w:sz w:val="14"/>
              <w:szCs w:val="14"/>
            </w:rPr>
            <w:alias w:val="ANALYST_DETAILS"/>
            <w:tag w:val="ANALYST_DETAILS"/>
            <w:id w:val="189518047"/>
            <w:lock w:val="sdtContentLocked"/>
            <w:placeholder>
              <w:docPart w:val="4F5E8F16865F4CF7B56FC4809A091168"/>
            </w:placeholder>
          </w:sdtPr>
          <w:sdtContent>
            <w:p w:rsidR="00CE4CDB" w:rsidRDefault="00CE4CDB" w:rsidP="00513F7E">
              <w:pPr>
                <w:pStyle w:val="Name"/>
                <w:rPr>
                  <w:rStyle w:val="ComplianceMark"/>
                </w:rPr>
              </w:pPr>
              <w:r>
                <w:t xml:space="preserve">Nathalie F Casali </w:t>
              </w:r>
              <w:r w:rsidRPr="00513F7E">
                <w:rPr>
                  <w:rStyle w:val="ComplianceMark"/>
                </w:rPr>
                <w:t>AC</w:t>
              </w:r>
            </w:p>
            <w:p w:rsidR="00CE4CDB" w:rsidRDefault="00CE4CDB" w:rsidP="00513F7E">
              <w:pPr>
                <w:pStyle w:val="Phone"/>
              </w:pPr>
              <w:r>
                <w:t>(44-20) 7134-9023</w:t>
              </w:r>
            </w:p>
            <w:p w:rsidR="00CE4CDB" w:rsidRDefault="00CE4CDB" w:rsidP="00513F7E">
              <w:pPr>
                <w:pStyle w:val="EMail"/>
              </w:pPr>
              <w:r>
                <w:t>nathalie.x.casali@jpmorgan.com</w:t>
              </w:r>
            </w:p>
            <w:p w:rsidR="00CE4CDB" w:rsidRDefault="00CE4CDB" w:rsidP="00513F7E">
              <w:pPr>
                <w:pStyle w:val="BBGValue"/>
              </w:pPr>
              <w:r w:rsidRPr="00513F7E">
                <w:rPr>
                  <w:b/>
                </w:rPr>
                <w:t>Bloomberg</w:t>
              </w:r>
              <w:r>
                <w:t xml:space="preserve"> JPMA CASALI &lt;GO&gt;</w:t>
              </w:r>
            </w:p>
            <w:p w:rsidR="00CE4CDB" w:rsidRDefault="00CE4CDB" w:rsidP="00513F7E">
              <w:pPr>
                <w:pStyle w:val="FPLegalEntityName"/>
              </w:pPr>
              <w:r>
                <w:t>J.P. Morgan Securities plc</w:t>
              </w:r>
            </w:p>
          </w:sdtContent>
        </w:sdt>
        <w:p w:rsidR="00CE4CDB" w:rsidRPr="001A39BA" w:rsidRDefault="00CE4CDB" w:rsidP="001A39BA">
          <w:pPr>
            <w:pStyle w:val="Phone"/>
          </w:pPr>
        </w:p>
      </w:tc>
    </w:tr>
    <w:tr w:rsidR="00CE4CDB" w:rsidTr="00175096">
      <w:trPr>
        <w:cantSplit/>
      </w:trPr>
      <w:tc>
        <w:tcPr>
          <w:tcW w:w="2880" w:type="dxa"/>
          <w:vAlign w:val="center"/>
        </w:tcPr>
        <w:p w:rsidR="00CE4CDB" w:rsidRDefault="00CE4CDB" w:rsidP="00F6139A">
          <w:pPr>
            <w:pStyle w:val="GroupName"/>
            <w:pBdr>
              <w:top w:val="none" w:sz="0" w:space="0" w:color="auto"/>
            </w:pBdr>
          </w:pPr>
        </w:p>
      </w:tc>
    </w:tr>
  </w:tbl>
  <w:p w:rsidR="00CE4CDB" w:rsidRPr="00F534AB" w:rsidRDefault="00CE4CDB" w:rsidP="00175096">
    <w:pPr>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4CDB" w:rsidRDefault="00CE4CDB">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4CDB" w:rsidRDefault="00672BFA">
    <w:pPr>
      <w:pStyle w:val="Header"/>
      <w:spacing w:after="0"/>
    </w:pPr>
    <w:r w:rsidRPr="00672BFA">
      <w:rPr>
        <w:sz w:val="20"/>
      </w:rPr>
      <w:pict>
        <v:shapetype id="_x0000_t202" coordsize="21600,21600" o:spt="202" path="m,l,21600r21600,l21600,xe">
          <v:stroke joinstyle="miter"/>
          <v:path gradientshapeok="t" o:connecttype="rect"/>
        </v:shapetype>
        <v:shape id="DealDerivativeFirst" o:spid="_x0000_s4118" type="#_x0000_t202" style="position:absolute;margin-left:212.4pt;margin-top:18.7pt;width:343.45pt;height:52.55pt;z-index:251655680;visibility:hidden;mso-position-horizontal-relative:page;mso-position-vertical-relative:line" stroked="f">
          <v:textbox style="mso-next-textbox:#DealDerivativeFirst" inset="0,0,0,0">
            <w:txbxContent>
              <w:p w:rsidR="00CE4CDB" w:rsidRDefault="00CE4CDB">
                <w:pPr>
                  <w:pStyle w:val="IPOInsidePage"/>
                </w:pPr>
              </w:p>
              <w:p w:rsidR="00CE4CDB" w:rsidRDefault="00CE4CDB">
                <w:pPr>
                  <w:pStyle w:val="RegionGroupInvisible"/>
                </w:pPr>
              </w:p>
            </w:txbxContent>
          </v:textbox>
          <w10:wrap anchorx="page"/>
          <w10:anchorlock/>
        </v:shape>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JPMLogoBack" o:spid="_x0000_s4119" type="#_x0000_t75" style="position:absolute;margin-left:3680pt;margin-top:0;width:1in;height:11.5pt;z-index:251657728;mso-position-horizontal:right;mso-position-horizontal-relative:margin;mso-position-vertical:top;mso-position-vertical-relative:line">
          <v:imagedata r:id="rId1" o:title="Logo2005_JPM_A_Blue300"/>
          <w10:wrap type="square" anchorx="margin"/>
          <w10:anchorlock/>
        </v:shape>
      </w:pict>
    </w:r>
    <w:r w:rsidRPr="00672BFA">
      <w:rPr>
        <w:sz w:val="20"/>
      </w:rPr>
      <w:pict>
        <v:shape id="TrapezoidBackCover" o:spid="_x0000_s4117" style="position:absolute;margin-left:6807.75pt;margin-top:.2pt;width:94.7pt;height:53.95pt;z-index:-251662848;mso-wrap-edited:f;mso-position-horizontal:right;mso-position-horizontal-relative:page;mso-position-vertical:absolute;mso-position-vertical-relative:page" coordsize="17046,9711" wrapcoords="-135 0 9335 9576 17181 9576 17181 0 -135 0" path="m9594,r,l,,9551,9668r,43l17046,9711,17046,,9594,xe" fillcolor="#095aa5" stroked="f">
          <v:path arrowok="t"/>
          <w10:wrap anchorx="page" anchory="page"/>
          <w10:anchorlock/>
        </v:shape>
      </w:pict>
    </w:r>
    <w:r w:rsidRPr="00672BFA">
      <w:rPr>
        <w:sz w:val="20"/>
      </w:rPr>
      <w:pict>
        <v:shape id="RegionGroupFirst" o:spid="_x0000_s4116" type="#_x0000_t202" style="position:absolute;margin-left:212.4pt;margin-top:0;width:156.25pt;height:16pt;z-index:251651584;mso-position-horizontal-relative:page;mso-position-vertical:top;mso-position-vertical-relative:line" stroked="f">
          <v:textbox style="mso-next-textbox:#RegionGroupFirst" inset="0,0,0,0">
            <w:txbxContent>
              <w:p w:rsidR="00CE4CDB" w:rsidRDefault="00CE4CDB">
                <w:pPr>
                  <w:pStyle w:val="HeaderRegionGroup"/>
                  <w:suppressOverlap/>
                </w:pPr>
                <w:r>
                  <w:t>Region Group</w:t>
                </w:r>
              </w:p>
              <w:p w:rsidR="00CE4CDB" w:rsidRDefault="00CE4CDB">
                <w:pPr>
                  <w:pStyle w:val="Header"/>
                </w:pPr>
                <w:r>
                  <w:t>Publish Date</w:t>
                </w:r>
              </w:p>
            </w:txbxContent>
          </v:textbox>
          <w10:wrap anchorx="page"/>
          <w10:anchorlock/>
        </v:shape>
      </w:pict>
    </w:r>
    <w:r w:rsidRPr="00672BFA">
      <w:rPr>
        <w:sz w:val="20"/>
      </w:rPr>
      <w:pict>
        <v:shape id="AnalystFirst" o:spid="_x0000_s4115" type="#_x0000_t202" style="position:absolute;margin-left:56.9pt;margin-top:0;width:2in;height:1in;z-index:251649536;mso-position-horizontal-relative:page;mso-position-vertical:top;mso-position-vertical-relative:line" stroked="f">
          <v:textbox style="mso-next-textbox:#AnalystFirst" inset="0,0,0,0">
            <w:txbxContent>
              <w:p w:rsidR="00CE4CDB" w:rsidRDefault="00CE4CDB">
                <w:pPr>
                  <w:pStyle w:val="Header"/>
                </w:pPr>
                <w:r>
                  <w:t>Analyst Name Main</w:t>
                </w:r>
                <w:r>
                  <w:br/>
                  <w:t>Analyst Phone Main</w:t>
                </w:r>
                <w:r>
                  <w:br/>
                  <w:t xml:space="preserve">Analyst Email </w:t>
                </w:r>
                <w:smartTag w:uri="urn:schemas-microsoft-com:office:smarttags" w:element="place">
                  <w:r>
                    <w:t>Main</w:t>
                  </w:r>
                </w:smartTag>
              </w:p>
              <w:p w:rsidR="00CE4CDB" w:rsidRDefault="00CE4CDB">
                <w:pPr>
                  <w:pStyle w:val="Header"/>
                </w:pPr>
                <w:r>
                  <w:t>Analyst Name</w:t>
                </w:r>
                <w:r>
                  <w:br/>
                  <w:t>Analyst Phone</w:t>
                </w:r>
                <w:r>
                  <w:br/>
                  <w:t>Analyst Email</w:t>
                </w:r>
              </w:p>
            </w:txbxContent>
          </v:textbox>
          <w10:wrap anchorx="page"/>
          <w10:anchorlock/>
        </v:shape>
      </w:pict>
    </w:r>
  </w:p>
  <w:p w:rsidR="00CE4CDB" w:rsidRDefault="00CE4CDB">
    <w:pPr>
      <w:pStyle w:val="Header"/>
      <w:spacing w:after="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2A02A8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D7BCD8B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CFC04E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32266E2"/>
    <w:lvl w:ilvl="0">
      <w:start w:val="1"/>
      <w:numFmt w:val="decimal"/>
      <w:pStyle w:val="ListNumber2"/>
      <w:lvlText w:val="%1."/>
      <w:lvlJc w:val="left"/>
      <w:pPr>
        <w:tabs>
          <w:tab w:val="num" w:pos="720"/>
        </w:tabs>
        <w:ind w:left="720" w:hanging="360"/>
      </w:pPr>
    </w:lvl>
  </w:abstractNum>
  <w:abstractNum w:abstractNumId="4">
    <w:nsid w:val="FFFFFF80"/>
    <w:multiLevelType w:val="singleLevel"/>
    <w:tmpl w:val="D5A2623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380EDC3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44A4B94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3822EEE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0BDC404A"/>
    <w:lvl w:ilvl="0">
      <w:start w:val="1"/>
      <w:numFmt w:val="decimal"/>
      <w:pStyle w:val="ListNumber"/>
      <w:lvlText w:val="%1."/>
      <w:lvlJc w:val="left"/>
      <w:pPr>
        <w:tabs>
          <w:tab w:val="num" w:pos="360"/>
        </w:tabs>
        <w:ind w:left="360" w:hanging="360"/>
      </w:pPr>
    </w:lvl>
  </w:abstractNum>
  <w:abstractNum w:abstractNumId="9">
    <w:nsid w:val="FFFFFF89"/>
    <w:multiLevelType w:val="singleLevel"/>
    <w:tmpl w:val="F3582CA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98D26F1"/>
    <w:multiLevelType w:val="multilevel"/>
    <w:tmpl w:val="C5B8A49E"/>
    <w:lvl w:ilvl="0">
      <w:start w:val="1"/>
      <w:numFmt w:val="bullet"/>
      <w:pStyle w:val="Bullet"/>
      <w:lvlText w:val=""/>
      <w:lvlJc w:val="left"/>
      <w:pPr>
        <w:tabs>
          <w:tab w:val="num" w:pos="360"/>
        </w:tabs>
        <w:ind w:left="288" w:hanging="288"/>
      </w:pPr>
      <w:rPr>
        <w:rFonts w:ascii="Symbol" w:hAnsi="Symbol" w:hint="default"/>
        <w:b w:val="0"/>
        <w:i w:val="0"/>
        <w:color w:val="auto"/>
      </w:rPr>
    </w:lvl>
    <w:lvl w:ilvl="1">
      <w:start w:val="1"/>
      <w:numFmt w:val="bullet"/>
      <w:lvlRestart w:val="0"/>
      <w:suff w:val="space"/>
      <w:lvlText w:val=""/>
      <w:lvlJc w:val="left"/>
      <w:pPr>
        <w:ind w:left="312" w:hanging="142"/>
      </w:pPr>
      <w:rPr>
        <w:rFonts w:ascii="Symbol" w:hAnsi="Symbol" w:hint="default"/>
        <w:color w:val="AD1E35"/>
        <w:sz w:val="20"/>
      </w:rPr>
    </w:lvl>
    <w:lvl w:ilvl="2">
      <w:start w:val="1"/>
      <w:numFmt w:val="bullet"/>
      <w:lvlRestart w:val="0"/>
      <w:suff w:val="space"/>
      <w:lvlText w:val=""/>
      <w:lvlJc w:val="left"/>
      <w:pPr>
        <w:ind w:left="312" w:hanging="142"/>
      </w:pPr>
      <w:rPr>
        <w:rFonts w:ascii="Symbol" w:hAnsi="Symbol" w:hint="default"/>
        <w:color w:val="AD1E35"/>
        <w:sz w:val="20"/>
      </w:rPr>
    </w:lvl>
    <w:lvl w:ilvl="3">
      <w:start w:val="1"/>
      <w:numFmt w:val="bullet"/>
      <w:lvlRestart w:val="0"/>
      <w:suff w:val="space"/>
      <w:lvlText w:val=""/>
      <w:lvlJc w:val="left"/>
      <w:pPr>
        <w:ind w:left="312" w:hanging="142"/>
      </w:pPr>
      <w:rPr>
        <w:rFonts w:ascii="Symbol" w:hAnsi="Symbol" w:hint="default"/>
        <w:color w:val="AD1E35"/>
        <w:sz w:val="20"/>
      </w:rPr>
    </w:lvl>
    <w:lvl w:ilvl="4">
      <w:start w:val="1"/>
      <w:numFmt w:val="bullet"/>
      <w:lvlRestart w:val="0"/>
      <w:suff w:val="space"/>
      <w:lvlText w:val=""/>
      <w:lvlJc w:val="left"/>
      <w:pPr>
        <w:ind w:left="312" w:hanging="142"/>
      </w:pPr>
      <w:rPr>
        <w:rFonts w:ascii="Symbol" w:hAnsi="Symbol" w:hint="default"/>
        <w:color w:val="AD1E35"/>
        <w:sz w:val="20"/>
      </w:rPr>
    </w:lvl>
    <w:lvl w:ilvl="5">
      <w:start w:val="1"/>
      <w:numFmt w:val="bullet"/>
      <w:lvlRestart w:val="0"/>
      <w:suff w:val="space"/>
      <w:lvlText w:val=""/>
      <w:lvlJc w:val="left"/>
      <w:pPr>
        <w:ind w:left="312" w:hanging="142"/>
      </w:pPr>
      <w:rPr>
        <w:rFonts w:ascii="Symbol" w:hAnsi="Symbol" w:hint="default"/>
        <w:color w:val="AD1E35"/>
        <w:sz w:val="20"/>
      </w:rPr>
    </w:lvl>
    <w:lvl w:ilvl="6">
      <w:start w:val="1"/>
      <w:numFmt w:val="bullet"/>
      <w:lvlRestart w:val="0"/>
      <w:suff w:val="space"/>
      <w:lvlText w:val=""/>
      <w:lvlJc w:val="left"/>
      <w:pPr>
        <w:ind w:left="312" w:hanging="142"/>
      </w:pPr>
      <w:rPr>
        <w:rFonts w:ascii="Symbol" w:hAnsi="Symbol" w:hint="default"/>
        <w:color w:val="AD1E35"/>
        <w:sz w:val="20"/>
      </w:rPr>
    </w:lvl>
    <w:lvl w:ilvl="7">
      <w:start w:val="1"/>
      <w:numFmt w:val="bullet"/>
      <w:lvlRestart w:val="0"/>
      <w:suff w:val="space"/>
      <w:lvlText w:val=""/>
      <w:lvlJc w:val="left"/>
      <w:pPr>
        <w:ind w:left="312" w:hanging="142"/>
      </w:pPr>
      <w:rPr>
        <w:rFonts w:ascii="Symbol" w:hAnsi="Symbol" w:hint="default"/>
        <w:color w:val="AD1E35"/>
        <w:sz w:val="20"/>
      </w:rPr>
    </w:lvl>
    <w:lvl w:ilvl="8">
      <w:start w:val="1"/>
      <w:numFmt w:val="bullet"/>
      <w:lvlRestart w:val="0"/>
      <w:suff w:val="space"/>
      <w:lvlText w:val=""/>
      <w:lvlJc w:val="left"/>
      <w:pPr>
        <w:ind w:left="312" w:hanging="142"/>
      </w:pPr>
      <w:rPr>
        <w:rFonts w:ascii="Symbol" w:hAnsi="Symbol" w:hint="default"/>
        <w:color w:val="AD1E35"/>
        <w:sz w:val="20"/>
      </w:rPr>
    </w:lvl>
  </w:abstractNum>
  <w:abstractNum w:abstractNumId="11">
    <w:nsid w:val="0E1F66C5"/>
    <w:multiLevelType w:val="multilevel"/>
    <w:tmpl w:val="04090023"/>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12">
    <w:nsid w:val="10BC214F"/>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nsid w:val="111E6EA2"/>
    <w:multiLevelType w:val="multilevel"/>
    <w:tmpl w:val="1B0C0FE8"/>
    <w:lvl w:ilvl="0">
      <w:start w:val="1"/>
      <w:numFmt w:val="decimal"/>
      <w:pStyle w:val="A813BAA329CE47B0AB211AB001636E2C7"/>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nsid w:val="145F38E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nsid w:val="174C6D63"/>
    <w:multiLevelType w:val="hybridMultilevel"/>
    <w:tmpl w:val="2C286A50"/>
    <w:lvl w:ilvl="0" w:tplc="8B408718">
      <w:start w:val="1"/>
      <w:numFmt w:val="bullet"/>
      <w:pStyle w:val="Bullet-last"/>
      <w:lvlText w:val=""/>
      <w:lvlJc w:val="left"/>
      <w:pPr>
        <w:ind w:left="360" w:hanging="360"/>
      </w:pPr>
      <w:rPr>
        <w:rFonts w:ascii="Symbol" w:hAnsi="Symbol" w:hint="default"/>
        <w:color w:val="4E8ABE"/>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nsid w:val="1D627FEB"/>
    <w:multiLevelType w:val="hybridMultilevel"/>
    <w:tmpl w:val="7A0CACB4"/>
    <w:lvl w:ilvl="0" w:tplc="9992086C">
      <w:start w:val="1"/>
      <w:numFmt w:val="bullet"/>
      <w:pStyle w:val="Bullet-first"/>
      <w:lvlText w:val=""/>
      <w:lvlJc w:val="left"/>
      <w:pPr>
        <w:ind w:left="360" w:hanging="360"/>
      </w:pPr>
      <w:rPr>
        <w:rFonts w:ascii="Symbol" w:hAnsi="Symbol" w:hint="default"/>
        <w:color w:val="4E8ABE"/>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nsid w:val="21876A24"/>
    <w:multiLevelType w:val="multilevel"/>
    <w:tmpl w:val="D6C4AC06"/>
    <w:lvl w:ilvl="0">
      <w:start w:val="1"/>
      <w:numFmt w:val="bullet"/>
      <w:pStyle w:val="BulletAsia"/>
      <w:lvlText w:val=""/>
      <w:lvlJc w:val="left"/>
      <w:pPr>
        <w:tabs>
          <w:tab w:val="num" w:pos="360"/>
        </w:tabs>
        <w:ind w:left="170" w:hanging="170"/>
      </w:pPr>
      <w:rPr>
        <w:rFonts w:ascii="Symbol" w:hAnsi="Symbol" w:hint="default"/>
        <w:color w:val="auto"/>
      </w:rPr>
    </w:lvl>
    <w:lvl w:ilvl="1">
      <w:start w:val="1"/>
      <w:numFmt w:val="bullet"/>
      <w:suff w:val="space"/>
      <w:lvlText w:val=""/>
      <w:lvlJc w:val="left"/>
      <w:pPr>
        <w:ind w:left="471" w:hanging="301"/>
      </w:pPr>
      <w:rPr>
        <w:rFonts w:ascii="Wingdings 3" w:hAnsi="Wingdings 3" w:hint="default"/>
        <w:sz w:val="16"/>
      </w:rPr>
    </w:lvl>
    <w:lvl w:ilvl="2">
      <w:start w:val="1"/>
      <w:numFmt w:val="bullet"/>
      <w:suff w:val="nothing"/>
      <w:lvlText w:val=""/>
      <w:lvlJc w:val="left"/>
      <w:pPr>
        <w:ind w:left="312" w:hanging="199"/>
      </w:pPr>
      <w:rPr>
        <w:rFonts w:ascii="Bookdings" w:hAnsi="Bookdings" w:hint="default"/>
        <w:color w:val="auto"/>
      </w:rPr>
    </w:lvl>
    <w:lvl w:ilvl="3">
      <w:start w:val="1"/>
      <w:numFmt w:val="bullet"/>
      <w:lvlRestart w:val="0"/>
      <w:suff w:val="nothing"/>
      <w:lvlText w:val=""/>
      <w:lvlJc w:val="left"/>
      <w:pPr>
        <w:ind w:left="312" w:hanging="199"/>
      </w:pPr>
      <w:rPr>
        <w:rFonts w:ascii="Bookdings" w:hAnsi="Bookdings" w:hint="default"/>
        <w:color w:val="auto"/>
      </w:rPr>
    </w:lvl>
    <w:lvl w:ilvl="4">
      <w:start w:val="1"/>
      <w:numFmt w:val="lowerLetter"/>
      <w:lvlRestart w:val="0"/>
      <w:suff w:val="nothing"/>
      <w:lvlText w:val="(%5)"/>
      <w:lvlJc w:val="left"/>
      <w:pPr>
        <w:ind w:left="0" w:firstLine="0"/>
      </w:pPr>
      <w:rPr>
        <w:rFonts w:hint="default"/>
      </w:rPr>
    </w:lvl>
    <w:lvl w:ilvl="5">
      <w:start w:val="1"/>
      <w:numFmt w:val="lowerRoman"/>
      <w:lvlRestart w:val="0"/>
      <w:suff w:val="nothing"/>
      <w:lvlText w:val="(%6)"/>
      <w:lvlJc w:val="left"/>
      <w:pPr>
        <w:ind w:left="0" w:firstLine="0"/>
      </w:pPr>
      <w:rPr>
        <w:rFonts w:hint="default"/>
      </w:rPr>
    </w:lvl>
    <w:lvl w:ilvl="6">
      <w:start w:val="1"/>
      <w:numFmt w:val="decimal"/>
      <w:lvlRestart w:val="0"/>
      <w:suff w:val="nothing"/>
      <w:lvlText w:val="%7."/>
      <w:lvlJc w:val="left"/>
      <w:pPr>
        <w:ind w:left="0" w:firstLine="0"/>
      </w:pPr>
      <w:rPr>
        <w:rFonts w:hint="default"/>
      </w:rPr>
    </w:lvl>
    <w:lvl w:ilvl="7">
      <w:start w:val="1"/>
      <w:numFmt w:val="lowerLetter"/>
      <w:lvlRestart w:val="0"/>
      <w:suff w:val="nothing"/>
      <w:lvlText w:val="%8."/>
      <w:lvlJc w:val="left"/>
      <w:pPr>
        <w:ind w:left="0" w:firstLine="0"/>
      </w:pPr>
      <w:rPr>
        <w:rFonts w:hint="default"/>
      </w:rPr>
    </w:lvl>
    <w:lvl w:ilvl="8">
      <w:start w:val="1"/>
      <w:numFmt w:val="lowerRoman"/>
      <w:lvlRestart w:val="0"/>
      <w:suff w:val="nothing"/>
      <w:lvlText w:val="%9."/>
      <w:lvlJc w:val="left"/>
      <w:pPr>
        <w:ind w:left="0" w:firstLine="0"/>
      </w:pPr>
      <w:rPr>
        <w:rFonts w:hint="default"/>
      </w:rPr>
    </w:lvl>
  </w:abstractNum>
  <w:abstractNum w:abstractNumId="18">
    <w:nsid w:val="2EAD5669"/>
    <w:multiLevelType w:val="hybridMultilevel"/>
    <w:tmpl w:val="96E67022"/>
    <w:lvl w:ilvl="0" w:tplc="68365002">
      <w:start w:val="1"/>
      <w:numFmt w:val="bullet"/>
      <w:pStyle w:val="FPBullet"/>
      <w:lvlText w:val=""/>
      <w:lvlJc w:val="left"/>
      <w:pPr>
        <w:tabs>
          <w:tab w:val="num" w:pos="0"/>
        </w:tabs>
        <w:ind w:left="340" w:hanging="340"/>
      </w:pPr>
      <w:rPr>
        <w:rFonts w:ascii="Symbol" w:hAnsi="Symbol" w:hint="default"/>
        <w:b w:val="0"/>
        <w:i w:val="0"/>
        <w:color w:val="4E8ABE"/>
      </w:rPr>
    </w:lvl>
    <w:lvl w:ilvl="1" w:tplc="336646C6" w:tentative="1">
      <w:start w:val="1"/>
      <w:numFmt w:val="bullet"/>
      <w:lvlText w:val="o"/>
      <w:lvlJc w:val="left"/>
      <w:pPr>
        <w:tabs>
          <w:tab w:val="num" w:pos="1440"/>
        </w:tabs>
        <w:ind w:left="1440" w:hanging="360"/>
      </w:pPr>
      <w:rPr>
        <w:rFonts w:ascii="Courier New" w:hAnsi="Courier New" w:hint="default"/>
      </w:rPr>
    </w:lvl>
    <w:lvl w:ilvl="2" w:tplc="9EBE45D4" w:tentative="1">
      <w:start w:val="1"/>
      <w:numFmt w:val="bullet"/>
      <w:lvlText w:val=""/>
      <w:lvlJc w:val="left"/>
      <w:pPr>
        <w:tabs>
          <w:tab w:val="num" w:pos="2160"/>
        </w:tabs>
        <w:ind w:left="2160" w:hanging="360"/>
      </w:pPr>
      <w:rPr>
        <w:rFonts w:ascii="Wingdings" w:hAnsi="Wingdings" w:hint="default"/>
      </w:rPr>
    </w:lvl>
    <w:lvl w:ilvl="3" w:tplc="6B32D5F0" w:tentative="1">
      <w:start w:val="1"/>
      <w:numFmt w:val="bullet"/>
      <w:lvlText w:val=""/>
      <w:lvlJc w:val="left"/>
      <w:pPr>
        <w:tabs>
          <w:tab w:val="num" w:pos="2880"/>
        </w:tabs>
        <w:ind w:left="2880" w:hanging="360"/>
      </w:pPr>
      <w:rPr>
        <w:rFonts w:ascii="Symbol" w:hAnsi="Symbol" w:hint="default"/>
      </w:rPr>
    </w:lvl>
    <w:lvl w:ilvl="4" w:tplc="0AF4755A" w:tentative="1">
      <w:start w:val="1"/>
      <w:numFmt w:val="bullet"/>
      <w:lvlText w:val="o"/>
      <w:lvlJc w:val="left"/>
      <w:pPr>
        <w:tabs>
          <w:tab w:val="num" w:pos="3600"/>
        </w:tabs>
        <w:ind w:left="3600" w:hanging="360"/>
      </w:pPr>
      <w:rPr>
        <w:rFonts w:ascii="Courier New" w:hAnsi="Courier New" w:hint="default"/>
      </w:rPr>
    </w:lvl>
    <w:lvl w:ilvl="5" w:tplc="937EDB36" w:tentative="1">
      <w:start w:val="1"/>
      <w:numFmt w:val="bullet"/>
      <w:lvlText w:val=""/>
      <w:lvlJc w:val="left"/>
      <w:pPr>
        <w:tabs>
          <w:tab w:val="num" w:pos="4320"/>
        </w:tabs>
        <w:ind w:left="4320" w:hanging="360"/>
      </w:pPr>
      <w:rPr>
        <w:rFonts w:ascii="Wingdings" w:hAnsi="Wingdings" w:hint="default"/>
      </w:rPr>
    </w:lvl>
    <w:lvl w:ilvl="6" w:tplc="25244180" w:tentative="1">
      <w:start w:val="1"/>
      <w:numFmt w:val="bullet"/>
      <w:lvlText w:val=""/>
      <w:lvlJc w:val="left"/>
      <w:pPr>
        <w:tabs>
          <w:tab w:val="num" w:pos="5040"/>
        </w:tabs>
        <w:ind w:left="5040" w:hanging="360"/>
      </w:pPr>
      <w:rPr>
        <w:rFonts w:ascii="Symbol" w:hAnsi="Symbol" w:hint="default"/>
      </w:rPr>
    </w:lvl>
    <w:lvl w:ilvl="7" w:tplc="19866BCC" w:tentative="1">
      <w:start w:val="1"/>
      <w:numFmt w:val="bullet"/>
      <w:lvlText w:val="o"/>
      <w:lvlJc w:val="left"/>
      <w:pPr>
        <w:tabs>
          <w:tab w:val="num" w:pos="5760"/>
        </w:tabs>
        <w:ind w:left="5760" w:hanging="360"/>
      </w:pPr>
      <w:rPr>
        <w:rFonts w:ascii="Courier New" w:hAnsi="Courier New" w:hint="default"/>
      </w:rPr>
    </w:lvl>
    <w:lvl w:ilvl="8" w:tplc="F19C78CC" w:tentative="1">
      <w:start w:val="1"/>
      <w:numFmt w:val="bullet"/>
      <w:lvlText w:val=""/>
      <w:lvlJc w:val="left"/>
      <w:pPr>
        <w:tabs>
          <w:tab w:val="num" w:pos="6480"/>
        </w:tabs>
        <w:ind w:left="6480" w:hanging="360"/>
      </w:pPr>
      <w:rPr>
        <w:rFonts w:ascii="Wingdings" w:hAnsi="Wingdings" w:hint="default"/>
      </w:rPr>
    </w:lvl>
  </w:abstractNum>
  <w:abstractNum w:abstractNumId="19">
    <w:nsid w:val="38A01AEA"/>
    <w:multiLevelType w:val="hybridMultilevel"/>
    <w:tmpl w:val="10781EA2"/>
    <w:lvl w:ilvl="0" w:tplc="30823378">
      <w:start w:val="1"/>
      <w:numFmt w:val="bullet"/>
      <w:pStyle w:val="Tradedetail"/>
      <w:lvlText w:val=""/>
      <w:lvlJc w:val="left"/>
      <w:pPr>
        <w:tabs>
          <w:tab w:val="num" w:pos="216"/>
        </w:tabs>
        <w:ind w:left="216" w:hanging="216"/>
      </w:pPr>
      <w:rPr>
        <w:rFonts w:ascii="Symbol" w:hAnsi="Symbol" w:hint="default"/>
        <w:color w:val="095AA5"/>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nsid w:val="3E741698"/>
    <w:multiLevelType w:val="multilevel"/>
    <w:tmpl w:val="C096DFFE"/>
    <w:lvl w:ilvl="0">
      <w:start w:val="1"/>
      <w:numFmt w:val="upperRoman"/>
      <w:pStyle w:val="Append"/>
      <w:suff w:val="space"/>
      <w:lvlText w:val="Appendix %1:"/>
      <w:lvlJc w:val="left"/>
      <w:pPr>
        <w:ind w:left="0" w:firstLine="0"/>
      </w:pPr>
      <w:rPr>
        <w:rFonts w:ascii="Arial" w:hAnsi="Arial" w:hint="default"/>
        <w:sz w:val="36"/>
      </w:rPr>
    </w:lvl>
    <w:lvl w:ilvl="1">
      <w:start w:val="1"/>
      <w:numFmt w:val="bullet"/>
      <w:lvlText w:val=""/>
      <w:lvlJc w:val="left"/>
      <w:pPr>
        <w:tabs>
          <w:tab w:val="num" w:pos="530"/>
        </w:tabs>
        <w:ind w:left="454" w:hanging="284"/>
      </w:pPr>
      <w:rPr>
        <w:rFonts w:ascii="Wingdings 3" w:hAnsi="Wingdings 3" w:hint="default"/>
        <w:sz w:val="16"/>
      </w:rPr>
    </w:lvl>
    <w:lvl w:ilvl="2">
      <w:start w:val="1"/>
      <w:numFmt w:val="bullet"/>
      <w:suff w:val="nothing"/>
      <w:lvlText w:val=""/>
      <w:lvlJc w:val="left"/>
      <w:pPr>
        <w:ind w:left="312" w:hanging="199"/>
      </w:pPr>
      <w:rPr>
        <w:rFonts w:ascii="Bookdings" w:hAnsi="Bookdings" w:hint="default"/>
        <w:color w:val="auto"/>
      </w:rPr>
    </w:lvl>
    <w:lvl w:ilvl="3">
      <w:start w:val="1"/>
      <w:numFmt w:val="bullet"/>
      <w:lvlRestart w:val="0"/>
      <w:suff w:val="nothing"/>
      <w:lvlText w:val=""/>
      <w:lvlJc w:val="left"/>
      <w:pPr>
        <w:ind w:left="312" w:hanging="199"/>
      </w:pPr>
      <w:rPr>
        <w:rFonts w:ascii="Bookdings" w:hAnsi="Bookdings" w:hint="default"/>
        <w:color w:val="auto"/>
      </w:rPr>
    </w:lvl>
    <w:lvl w:ilvl="4">
      <w:start w:val="1"/>
      <w:numFmt w:val="lowerLetter"/>
      <w:lvlRestart w:val="0"/>
      <w:suff w:val="nothing"/>
      <w:lvlText w:val="(%5)"/>
      <w:lvlJc w:val="left"/>
      <w:pPr>
        <w:ind w:left="0" w:firstLine="0"/>
      </w:pPr>
      <w:rPr>
        <w:rFonts w:hint="default"/>
      </w:rPr>
    </w:lvl>
    <w:lvl w:ilvl="5">
      <w:start w:val="1"/>
      <w:numFmt w:val="lowerRoman"/>
      <w:lvlRestart w:val="0"/>
      <w:suff w:val="nothing"/>
      <w:lvlText w:val="(%6)"/>
      <w:lvlJc w:val="left"/>
      <w:pPr>
        <w:ind w:left="0" w:firstLine="0"/>
      </w:pPr>
      <w:rPr>
        <w:rFonts w:hint="default"/>
      </w:rPr>
    </w:lvl>
    <w:lvl w:ilvl="6">
      <w:start w:val="1"/>
      <w:numFmt w:val="decimal"/>
      <w:lvlRestart w:val="0"/>
      <w:suff w:val="nothing"/>
      <w:lvlText w:val="%7."/>
      <w:lvlJc w:val="left"/>
      <w:pPr>
        <w:ind w:left="0" w:firstLine="0"/>
      </w:pPr>
      <w:rPr>
        <w:rFonts w:hint="default"/>
      </w:rPr>
    </w:lvl>
    <w:lvl w:ilvl="7">
      <w:start w:val="1"/>
      <w:numFmt w:val="lowerLetter"/>
      <w:lvlRestart w:val="0"/>
      <w:suff w:val="nothing"/>
      <w:lvlText w:val="%8."/>
      <w:lvlJc w:val="left"/>
      <w:pPr>
        <w:ind w:left="0" w:firstLine="0"/>
      </w:pPr>
      <w:rPr>
        <w:rFonts w:hint="default"/>
      </w:rPr>
    </w:lvl>
    <w:lvl w:ilvl="8">
      <w:start w:val="1"/>
      <w:numFmt w:val="lowerRoman"/>
      <w:lvlRestart w:val="0"/>
      <w:suff w:val="nothing"/>
      <w:lvlText w:val="%9."/>
      <w:lvlJc w:val="left"/>
      <w:pPr>
        <w:ind w:left="0" w:firstLine="0"/>
      </w:pPr>
      <w:rPr>
        <w:rFonts w:hint="default"/>
      </w:rPr>
    </w:lvl>
  </w:abstractNum>
  <w:abstractNum w:abstractNumId="21">
    <w:nsid w:val="409317C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468C2207"/>
    <w:multiLevelType w:val="hybridMultilevel"/>
    <w:tmpl w:val="193A0744"/>
    <w:lvl w:ilvl="0" w:tplc="A4500CEC">
      <w:start w:val="1"/>
      <w:numFmt w:val="bullet"/>
      <w:pStyle w:val="Disclaimer"/>
      <w:lvlText w:val=""/>
      <w:lvlJc w:val="left"/>
      <w:pPr>
        <w:tabs>
          <w:tab w:val="num" w:pos="-2765"/>
        </w:tabs>
        <w:ind w:left="-2765" w:hanging="360"/>
      </w:pPr>
      <w:rPr>
        <w:rFonts w:ascii="Symbol" w:hAnsi="Symbol" w:hint="default"/>
        <w:sz w:val="18"/>
        <w:szCs w:val="18"/>
      </w:rPr>
    </w:lvl>
    <w:lvl w:ilvl="1" w:tplc="04090003" w:tentative="1">
      <w:start w:val="1"/>
      <w:numFmt w:val="bullet"/>
      <w:lvlText w:val="o"/>
      <w:lvlJc w:val="left"/>
      <w:pPr>
        <w:tabs>
          <w:tab w:val="num" w:pos="-1679"/>
        </w:tabs>
        <w:ind w:left="-1679" w:hanging="360"/>
      </w:pPr>
      <w:rPr>
        <w:rFonts w:ascii="Courier New" w:hAnsi="Courier New" w:hint="default"/>
      </w:rPr>
    </w:lvl>
    <w:lvl w:ilvl="2" w:tplc="04090005" w:tentative="1">
      <w:start w:val="1"/>
      <w:numFmt w:val="bullet"/>
      <w:lvlText w:val=""/>
      <w:lvlJc w:val="left"/>
      <w:pPr>
        <w:tabs>
          <w:tab w:val="num" w:pos="-959"/>
        </w:tabs>
        <w:ind w:left="-959" w:hanging="360"/>
      </w:pPr>
      <w:rPr>
        <w:rFonts w:ascii="Wingdings" w:hAnsi="Wingdings" w:hint="default"/>
      </w:rPr>
    </w:lvl>
    <w:lvl w:ilvl="3" w:tplc="04090001" w:tentative="1">
      <w:start w:val="1"/>
      <w:numFmt w:val="bullet"/>
      <w:lvlText w:val=""/>
      <w:lvlJc w:val="left"/>
      <w:pPr>
        <w:tabs>
          <w:tab w:val="num" w:pos="-239"/>
        </w:tabs>
        <w:ind w:left="-239" w:hanging="360"/>
      </w:pPr>
      <w:rPr>
        <w:rFonts w:ascii="Symbol" w:hAnsi="Symbol" w:hint="default"/>
      </w:rPr>
    </w:lvl>
    <w:lvl w:ilvl="4" w:tplc="04090003" w:tentative="1">
      <w:start w:val="1"/>
      <w:numFmt w:val="bullet"/>
      <w:lvlText w:val="o"/>
      <w:lvlJc w:val="left"/>
      <w:pPr>
        <w:tabs>
          <w:tab w:val="num" w:pos="481"/>
        </w:tabs>
        <w:ind w:left="481" w:hanging="360"/>
      </w:pPr>
      <w:rPr>
        <w:rFonts w:ascii="Courier New" w:hAnsi="Courier New" w:hint="default"/>
      </w:rPr>
    </w:lvl>
    <w:lvl w:ilvl="5" w:tplc="04090005" w:tentative="1">
      <w:start w:val="1"/>
      <w:numFmt w:val="bullet"/>
      <w:lvlText w:val=""/>
      <w:lvlJc w:val="left"/>
      <w:pPr>
        <w:tabs>
          <w:tab w:val="num" w:pos="1201"/>
        </w:tabs>
        <w:ind w:left="1201" w:hanging="360"/>
      </w:pPr>
      <w:rPr>
        <w:rFonts w:ascii="Wingdings" w:hAnsi="Wingdings" w:hint="default"/>
      </w:rPr>
    </w:lvl>
    <w:lvl w:ilvl="6" w:tplc="04090001" w:tentative="1">
      <w:start w:val="1"/>
      <w:numFmt w:val="bullet"/>
      <w:lvlText w:val=""/>
      <w:lvlJc w:val="left"/>
      <w:pPr>
        <w:tabs>
          <w:tab w:val="num" w:pos="1921"/>
        </w:tabs>
        <w:ind w:left="1921" w:hanging="360"/>
      </w:pPr>
      <w:rPr>
        <w:rFonts w:ascii="Symbol" w:hAnsi="Symbol" w:hint="default"/>
      </w:rPr>
    </w:lvl>
    <w:lvl w:ilvl="7" w:tplc="04090003" w:tentative="1">
      <w:start w:val="1"/>
      <w:numFmt w:val="bullet"/>
      <w:lvlText w:val="o"/>
      <w:lvlJc w:val="left"/>
      <w:pPr>
        <w:tabs>
          <w:tab w:val="num" w:pos="2641"/>
        </w:tabs>
        <w:ind w:left="2641" w:hanging="360"/>
      </w:pPr>
      <w:rPr>
        <w:rFonts w:ascii="Courier New" w:hAnsi="Courier New" w:hint="default"/>
      </w:rPr>
    </w:lvl>
    <w:lvl w:ilvl="8" w:tplc="04090005" w:tentative="1">
      <w:start w:val="1"/>
      <w:numFmt w:val="bullet"/>
      <w:lvlText w:val=""/>
      <w:lvlJc w:val="left"/>
      <w:pPr>
        <w:tabs>
          <w:tab w:val="num" w:pos="3361"/>
        </w:tabs>
        <w:ind w:left="3361" w:hanging="360"/>
      </w:pPr>
      <w:rPr>
        <w:rFonts w:ascii="Wingdings" w:hAnsi="Wingdings" w:hint="default"/>
      </w:rPr>
    </w:lvl>
  </w:abstractNum>
  <w:abstractNum w:abstractNumId="23">
    <w:nsid w:val="4AA4474E"/>
    <w:multiLevelType w:val="hybridMultilevel"/>
    <w:tmpl w:val="EEB426C6"/>
    <w:lvl w:ilvl="0" w:tplc="FFFFFFFF">
      <w:start w:val="1"/>
      <w:numFmt w:val="bullet"/>
      <w:lvlText w:val=""/>
      <w:lvlJc w:val="left"/>
      <w:pPr>
        <w:ind w:left="360" w:hanging="360"/>
      </w:pPr>
      <w:rPr>
        <w:rFonts w:ascii="Symbol" w:hAnsi="Symbol" w:hint="default"/>
        <w:b w:val="0"/>
        <w:i w:val="0"/>
        <w:color w:val="095AA5"/>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4E05495"/>
    <w:multiLevelType w:val="hybridMultilevel"/>
    <w:tmpl w:val="8430A390"/>
    <w:lvl w:ilvl="0" w:tplc="15CEE810">
      <w:start w:val="1"/>
      <w:numFmt w:val="bullet"/>
      <w:lvlText w:val=""/>
      <w:lvlJc w:val="left"/>
      <w:pPr>
        <w:tabs>
          <w:tab w:val="num" w:pos="360"/>
        </w:tabs>
        <w:ind w:left="340" w:hanging="340"/>
      </w:pPr>
      <w:rPr>
        <w:rFonts w:ascii="Symbol" w:hAnsi="Symbol" w:hint="default"/>
        <w:b w:val="0"/>
        <w:i w:val="0"/>
        <w:color w:val="4E8ABE"/>
      </w:rPr>
    </w:lvl>
    <w:lvl w:ilvl="1" w:tplc="336646C6" w:tentative="1">
      <w:start w:val="1"/>
      <w:numFmt w:val="bullet"/>
      <w:lvlText w:val="o"/>
      <w:lvlJc w:val="left"/>
      <w:pPr>
        <w:tabs>
          <w:tab w:val="num" w:pos="1440"/>
        </w:tabs>
        <w:ind w:left="1440" w:hanging="360"/>
      </w:pPr>
      <w:rPr>
        <w:rFonts w:ascii="Courier New" w:hAnsi="Courier New" w:hint="default"/>
      </w:rPr>
    </w:lvl>
    <w:lvl w:ilvl="2" w:tplc="9EBE45D4" w:tentative="1">
      <w:start w:val="1"/>
      <w:numFmt w:val="bullet"/>
      <w:lvlText w:val=""/>
      <w:lvlJc w:val="left"/>
      <w:pPr>
        <w:tabs>
          <w:tab w:val="num" w:pos="2160"/>
        </w:tabs>
        <w:ind w:left="2160" w:hanging="360"/>
      </w:pPr>
      <w:rPr>
        <w:rFonts w:ascii="Wingdings" w:hAnsi="Wingdings" w:hint="default"/>
      </w:rPr>
    </w:lvl>
    <w:lvl w:ilvl="3" w:tplc="6B32D5F0" w:tentative="1">
      <w:start w:val="1"/>
      <w:numFmt w:val="bullet"/>
      <w:lvlText w:val=""/>
      <w:lvlJc w:val="left"/>
      <w:pPr>
        <w:tabs>
          <w:tab w:val="num" w:pos="2880"/>
        </w:tabs>
        <w:ind w:left="2880" w:hanging="360"/>
      </w:pPr>
      <w:rPr>
        <w:rFonts w:ascii="Symbol" w:hAnsi="Symbol" w:hint="default"/>
      </w:rPr>
    </w:lvl>
    <w:lvl w:ilvl="4" w:tplc="0AF4755A" w:tentative="1">
      <w:start w:val="1"/>
      <w:numFmt w:val="bullet"/>
      <w:lvlText w:val="o"/>
      <w:lvlJc w:val="left"/>
      <w:pPr>
        <w:tabs>
          <w:tab w:val="num" w:pos="3600"/>
        </w:tabs>
        <w:ind w:left="3600" w:hanging="360"/>
      </w:pPr>
      <w:rPr>
        <w:rFonts w:ascii="Courier New" w:hAnsi="Courier New" w:hint="default"/>
      </w:rPr>
    </w:lvl>
    <w:lvl w:ilvl="5" w:tplc="937EDB36" w:tentative="1">
      <w:start w:val="1"/>
      <w:numFmt w:val="bullet"/>
      <w:lvlText w:val=""/>
      <w:lvlJc w:val="left"/>
      <w:pPr>
        <w:tabs>
          <w:tab w:val="num" w:pos="4320"/>
        </w:tabs>
        <w:ind w:left="4320" w:hanging="360"/>
      </w:pPr>
      <w:rPr>
        <w:rFonts w:ascii="Wingdings" w:hAnsi="Wingdings" w:hint="default"/>
      </w:rPr>
    </w:lvl>
    <w:lvl w:ilvl="6" w:tplc="25244180" w:tentative="1">
      <w:start w:val="1"/>
      <w:numFmt w:val="bullet"/>
      <w:lvlText w:val=""/>
      <w:lvlJc w:val="left"/>
      <w:pPr>
        <w:tabs>
          <w:tab w:val="num" w:pos="5040"/>
        </w:tabs>
        <w:ind w:left="5040" w:hanging="360"/>
      </w:pPr>
      <w:rPr>
        <w:rFonts w:ascii="Symbol" w:hAnsi="Symbol" w:hint="default"/>
      </w:rPr>
    </w:lvl>
    <w:lvl w:ilvl="7" w:tplc="19866BCC" w:tentative="1">
      <w:start w:val="1"/>
      <w:numFmt w:val="bullet"/>
      <w:lvlText w:val="o"/>
      <w:lvlJc w:val="left"/>
      <w:pPr>
        <w:tabs>
          <w:tab w:val="num" w:pos="5760"/>
        </w:tabs>
        <w:ind w:left="5760" w:hanging="360"/>
      </w:pPr>
      <w:rPr>
        <w:rFonts w:ascii="Courier New" w:hAnsi="Courier New" w:hint="default"/>
      </w:rPr>
    </w:lvl>
    <w:lvl w:ilvl="8" w:tplc="F19C78CC" w:tentative="1">
      <w:start w:val="1"/>
      <w:numFmt w:val="bullet"/>
      <w:lvlText w:val=""/>
      <w:lvlJc w:val="left"/>
      <w:pPr>
        <w:tabs>
          <w:tab w:val="num" w:pos="6480"/>
        </w:tabs>
        <w:ind w:left="6480" w:hanging="360"/>
      </w:pPr>
      <w:rPr>
        <w:rFonts w:ascii="Wingdings" w:hAnsi="Wingdings" w:hint="default"/>
      </w:rPr>
    </w:lvl>
  </w:abstractNum>
  <w:abstractNum w:abstractNumId="25">
    <w:nsid w:val="589E78B6"/>
    <w:multiLevelType w:val="multilevel"/>
    <w:tmpl w:val="0409001F"/>
    <w:styleLink w:val="11111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nsid w:val="69215CB9"/>
    <w:multiLevelType w:val="hybridMultilevel"/>
    <w:tmpl w:val="F0FEC872"/>
    <w:lvl w:ilvl="0" w:tplc="2B0E1A9C">
      <w:start w:val="1"/>
      <w:numFmt w:val="decimal"/>
      <w:pStyle w:val="NumberBullet"/>
      <w:lvlText w:val="%1."/>
      <w:lvlJc w:val="left"/>
      <w:pPr>
        <w:tabs>
          <w:tab w:val="num" w:pos="360"/>
        </w:tabs>
        <w:ind w:left="284" w:hanging="284"/>
      </w:pPr>
      <w:rPr>
        <w:rFonts w:ascii="Times New Roman" w:hAnsi="Times New Roman" w:hint="default"/>
        <w:sz w:val="20"/>
      </w:rPr>
    </w:lvl>
    <w:lvl w:ilvl="1" w:tplc="42AADDBA" w:tentative="1">
      <w:start w:val="1"/>
      <w:numFmt w:val="lowerLetter"/>
      <w:lvlText w:val="%2."/>
      <w:lvlJc w:val="left"/>
      <w:pPr>
        <w:tabs>
          <w:tab w:val="num" w:pos="1440"/>
        </w:tabs>
        <w:ind w:left="1440" w:hanging="360"/>
      </w:pPr>
    </w:lvl>
    <w:lvl w:ilvl="2" w:tplc="C3FC498A" w:tentative="1">
      <w:start w:val="1"/>
      <w:numFmt w:val="lowerRoman"/>
      <w:lvlText w:val="%3."/>
      <w:lvlJc w:val="right"/>
      <w:pPr>
        <w:tabs>
          <w:tab w:val="num" w:pos="2160"/>
        </w:tabs>
        <w:ind w:left="2160" w:hanging="180"/>
      </w:pPr>
    </w:lvl>
    <w:lvl w:ilvl="3" w:tplc="8AB6C90A" w:tentative="1">
      <w:start w:val="1"/>
      <w:numFmt w:val="decimal"/>
      <w:lvlText w:val="%4."/>
      <w:lvlJc w:val="left"/>
      <w:pPr>
        <w:tabs>
          <w:tab w:val="num" w:pos="2880"/>
        </w:tabs>
        <w:ind w:left="2880" w:hanging="360"/>
      </w:pPr>
    </w:lvl>
    <w:lvl w:ilvl="4" w:tplc="11C659CA" w:tentative="1">
      <w:start w:val="1"/>
      <w:numFmt w:val="lowerLetter"/>
      <w:lvlText w:val="%5."/>
      <w:lvlJc w:val="left"/>
      <w:pPr>
        <w:tabs>
          <w:tab w:val="num" w:pos="3600"/>
        </w:tabs>
        <w:ind w:left="3600" w:hanging="360"/>
      </w:pPr>
    </w:lvl>
    <w:lvl w:ilvl="5" w:tplc="096E1FEC" w:tentative="1">
      <w:start w:val="1"/>
      <w:numFmt w:val="lowerRoman"/>
      <w:lvlText w:val="%6."/>
      <w:lvlJc w:val="right"/>
      <w:pPr>
        <w:tabs>
          <w:tab w:val="num" w:pos="4320"/>
        </w:tabs>
        <w:ind w:left="4320" w:hanging="180"/>
      </w:pPr>
    </w:lvl>
    <w:lvl w:ilvl="6" w:tplc="135AB080" w:tentative="1">
      <w:start w:val="1"/>
      <w:numFmt w:val="decimal"/>
      <w:lvlText w:val="%7."/>
      <w:lvlJc w:val="left"/>
      <w:pPr>
        <w:tabs>
          <w:tab w:val="num" w:pos="5040"/>
        </w:tabs>
        <w:ind w:left="5040" w:hanging="360"/>
      </w:pPr>
    </w:lvl>
    <w:lvl w:ilvl="7" w:tplc="AE26991C" w:tentative="1">
      <w:start w:val="1"/>
      <w:numFmt w:val="lowerLetter"/>
      <w:lvlText w:val="%8."/>
      <w:lvlJc w:val="left"/>
      <w:pPr>
        <w:tabs>
          <w:tab w:val="num" w:pos="5760"/>
        </w:tabs>
        <w:ind w:left="5760" w:hanging="360"/>
      </w:pPr>
    </w:lvl>
    <w:lvl w:ilvl="8" w:tplc="3F18E672" w:tentative="1">
      <w:start w:val="1"/>
      <w:numFmt w:val="lowerRoman"/>
      <w:lvlText w:val="%9."/>
      <w:lvlJc w:val="right"/>
      <w:pPr>
        <w:tabs>
          <w:tab w:val="num" w:pos="6480"/>
        </w:tabs>
        <w:ind w:left="6480" w:hanging="180"/>
      </w:pPr>
    </w:lvl>
  </w:abstractNum>
  <w:abstractNum w:abstractNumId="27">
    <w:nsid w:val="738B7E42"/>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77971BE7"/>
    <w:multiLevelType w:val="hybridMultilevel"/>
    <w:tmpl w:val="949CBDD0"/>
    <w:lvl w:ilvl="0" w:tplc="FFFFFFFF">
      <w:start w:val="1"/>
      <w:numFmt w:val="bullet"/>
      <w:lvlText w:val=""/>
      <w:lvlJc w:val="left"/>
      <w:pPr>
        <w:tabs>
          <w:tab w:val="num" w:pos="367"/>
        </w:tabs>
        <w:ind w:left="347" w:hanging="340"/>
      </w:pPr>
      <w:rPr>
        <w:rFonts w:ascii="Symbol" w:hAnsi="Symbol" w:hint="default"/>
        <w:b w:val="0"/>
        <w:i w:val="0"/>
        <w:color w:val="095AA5"/>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25"/>
  </w:num>
  <w:num w:numId="3">
    <w:abstractNumId w:val="14"/>
  </w:num>
  <w:num w:numId="4">
    <w:abstractNumId w:val="21"/>
  </w:num>
  <w:num w:numId="5">
    <w:abstractNumId w:val="27"/>
  </w:num>
  <w:num w:numId="6">
    <w:abstractNumId w:val="20"/>
  </w:num>
  <w:num w:numId="7">
    <w:abstractNumId w:val="11"/>
  </w:num>
  <w:num w:numId="8">
    <w:abstractNumId w:val="12"/>
  </w:num>
  <w:num w:numId="9">
    <w:abstractNumId w:val="10"/>
  </w:num>
  <w:num w:numId="10">
    <w:abstractNumId w:val="17"/>
  </w:num>
  <w:num w:numId="11">
    <w:abstractNumId w:val="16"/>
  </w:num>
  <w:num w:numId="12">
    <w:abstractNumId w:val="16"/>
  </w:num>
  <w:num w:numId="13">
    <w:abstractNumId w:val="15"/>
  </w:num>
  <w:num w:numId="14">
    <w:abstractNumId w:val="18"/>
  </w:num>
  <w:num w:numId="15">
    <w:abstractNumId w:val="18"/>
  </w:num>
  <w:num w:numId="16">
    <w:abstractNumId w:val="22"/>
  </w:num>
  <w:num w:numId="17">
    <w:abstractNumId w:val="18"/>
  </w:num>
  <w:num w:numId="18">
    <w:abstractNumId w:val="9"/>
  </w:num>
  <w:num w:numId="19">
    <w:abstractNumId w:val="9"/>
  </w:num>
  <w:num w:numId="20">
    <w:abstractNumId w:val="7"/>
  </w:num>
  <w:num w:numId="21">
    <w:abstractNumId w:val="7"/>
  </w:num>
  <w:num w:numId="22">
    <w:abstractNumId w:val="6"/>
  </w:num>
  <w:num w:numId="23">
    <w:abstractNumId w:val="6"/>
  </w:num>
  <w:num w:numId="24">
    <w:abstractNumId w:val="5"/>
  </w:num>
  <w:num w:numId="25">
    <w:abstractNumId w:val="5"/>
  </w:num>
  <w:num w:numId="26">
    <w:abstractNumId w:val="4"/>
  </w:num>
  <w:num w:numId="27">
    <w:abstractNumId w:val="4"/>
  </w:num>
  <w:num w:numId="28">
    <w:abstractNumId w:val="8"/>
  </w:num>
  <w:num w:numId="29">
    <w:abstractNumId w:val="8"/>
  </w:num>
  <w:num w:numId="30">
    <w:abstractNumId w:val="3"/>
  </w:num>
  <w:num w:numId="31">
    <w:abstractNumId w:val="3"/>
  </w:num>
  <w:num w:numId="32">
    <w:abstractNumId w:val="2"/>
  </w:num>
  <w:num w:numId="33">
    <w:abstractNumId w:val="2"/>
  </w:num>
  <w:num w:numId="34">
    <w:abstractNumId w:val="1"/>
  </w:num>
  <w:num w:numId="35">
    <w:abstractNumId w:val="1"/>
  </w:num>
  <w:num w:numId="36">
    <w:abstractNumId w:val="0"/>
  </w:num>
  <w:num w:numId="37">
    <w:abstractNumId w:val="0"/>
  </w:num>
  <w:num w:numId="38">
    <w:abstractNumId w:val="26"/>
  </w:num>
  <w:num w:numId="39">
    <w:abstractNumId w:val="19"/>
  </w:num>
  <w:num w:numId="40">
    <w:abstractNumId w:val="28"/>
  </w:num>
  <w:num w:numId="41">
    <w:abstractNumId w:val="24"/>
  </w:num>
  <w:num w:numId="42">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
  </w:num>
  <w:num w:numId="44">
    <w:abstractNumId w:val="26"/>
  </w:num>
  <w:num w:numId="45">
    <w:abstractNumId w:val="10"/>
  </w:num>
  <w:num w:numId="46">
    <w:abstractNumId w:val="26"/>
  </w:num>
  <w:num w:numId="47">
    <w:abstractNumId w:val="13"/>
  </w:num>
  <w:num w:numId="48">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6"/>
  <w:displayBackgroundShape/>
  <w:bordersDoNotSurroundHeader/>
  <w:bordersDoNotSurroundFooter/>
  <w:attachedTemplate r:id="rId1"/>
  <w:defaultTabStop w:val="720"/>
  <w:evenAndOddHeaders/>
  <w:drawingGridHorizontalSpacing w:val="172"/>
  <w:displayHorizontalDrawingGridEvery w:val="2"/>
  <w:displayVerticalDrawingGridEvery w:val="2"/>
  <w:characterSpacingControl w:val="doNotCompress"/>
  <w:hdrShapeDefaults>
    <o:shapedefaults v:ext="edit" spidmax="4134">
      <v:textbox inset="5.85pt,.7pt,5.85pt,.7pt"/>
    </o:shapedefaults>
    <o:shapelayout v:ext="edit">
      <o:idmap v:ext="edit" data="4"/>
    </o:shapelayout>
  </w:hdrShapeDefaults>
  <w:footnotePr>
    <w:footnote w:id="-1"/>
    <w:footnote w:id="0"/>
  </w:footnotePr>
  <w:endnotePr>
    <w:endnote w:id="-1"/>
    <w:endnote w:id="0"/>
  </w:endnotePr>
  <w:compat>
    <w:useFELayout/>
  </w:compat>
  <w:docVars>
    <w:docVar w:name="GPS" w:val="GPS"/>
    <w:docVar w:name="IsGPSTemplate" w:val="좴㊑읰௏샰㉤"/>
    <w:docVar w:name="ShapeAltTextReset" w:val="좴㊑읰௏샰㉤"/>
  </w:docVars>
  <w:rsids>
    <w:rsidRoot w:val="00175096"/>
    <w:rsid w:val="00012C1B"/>
    <w:rsid w:val="00017296"/>
    <w:rsid w:val="00017CE0"/>
    <w:rsid w:val="00040C47"/>
    <w:rsid w:val="00053E11"/>
    <w:rsid w:val="00056205"/>
    <w:rsid w:val="00072864"/>
    <w:rsid w:val="000759DF"/>
    <w:rsid w:val="00076F22"/>
    <w:rsid w:val="00080584"/>
    <w:rsid w:val="00080A5D"/>
    <w:rsid w:val="00083DA4"/>
    <w:rsid w:val="00086BD7"/>
    <w:rsid w:val="00093FF9"/>
    <w:rsid w:val="00096996"/>
    <w:rsid w:val="000A0A62"/>
    <w:rsid w:val="000A0E66"/>
    <w:rsid w:val="000A76DC"/>
    <w:rsid w:val="000B123B"/>
    <w:rsid w:val="000C5155"/>
    <w:rsid w:val="000C7D4C"/>
    <w:rsid w:val="000D15BA"/>
    <w:rsid w:val="000D2F42"/>
    <w:rsid w:val="000D5DBC"/>
    <w:rsid w:val="00107907"/>
    <w:rsid w:val="00145902"/>
    <w:rsid w:val="00153568"/>
    <w:rsid w:val="0016114F"/>
    <w:rsid w:val="00164B6C"/>
    <w:rsid w:val="00165969"/>
    <w:rsid w:val="00167EDC"/>
    <w:rsid w:val="001702FE"/>
    <w:rsid w:val="00173256"/>
    <w:rsid w:val="00174A0D"/>
    <w:rsid w:val="00175096"/>
    <w:rsid w:val="001879EC"/>
    <w:rsid w:val="001944B8"/>
    <w:rsid w:val="00194603"/>
    <w:rsid w:val="001A39BA"/>
    <w:rsid w:val="001A4A3E"/>
    <w:rsid w:val="001B3006"/>
    <w:rsid w:val="001C3457"/>
    <w:rsid w:val="001C509D"/>
    <w:rsid w:val="001C5C7F"/>
    <w:rsid w:val="001E2147"/>
    <w:rsid w:val="001F403E"/>
    <w:rsid w:val="002022ED"/>
    <w:rsid w:val="00207CF8"/>
    <w:rsid w:val="002131BC"/>
    <w:rsid w:val="00225477"/>
    <w:rsid w:val="002256F8"/>
    <w:rsid w:val="00231B50"/>
    <w:rsid w:val="00231F67"/>
    <w:rsid w:val="00236DD9"/>
    <w:rsid w:val="0024261D"/>
    <w:rsid w:val="00262504"/>
    <w:rsid w:val="002640B3"/>
    <w:rsid w:val="002700F8"/>
    <w:rsid w:val="0027343D"/>
    <w:rsid w:val="0028529F"/>
    <w:rsid w:val="00290721"/>
    <w:rsid w:val="00292678"/>
    <w:rsid w:val="00295E15"/>
    <w:rsid w:val="002A0467"/>
    <w:rsid w:val="002B3C92"/>
    <w:rsid w:val="002B7993"/>
    <w:rsid w:val="002D4C8B"/>
    <w:rsid w:val="002F1A58"/>
    <w:rsid w:val="002F3F59"/>
    <w:rsid w:val="002F576D"/>
    <w:rsid w:val="002F743F"/>
    <w:rsid w:val="00304ED1"/>
    <w:rsid w:val="003138CF"/>
    <w:rsid w:val="00316AFF"/>
    <w:rsid w:val="003324E0"/>
    <w:rsid w:val="00340C95"/>
    <w:rsid w:val="003411A7"/>
    <w:rsid w:val="00344CBC"/>
    <w:rsid w:val="0034739D"/>
    <w:rsid w:val="003478D4"/>
    <w:rsid w:val="003553B4"/>
    <w:rsid w:val="0035639A"/>
    <w:rsid w:val="00370DBF"/>
    <w:rsid w:val="00371402"/>
    <w:rsid w:val="00371B39"/>
    <w:rsid w:val="00376DEC"/>
    <w:rsid w:val="003A1C33"/>
    <w:rsid w:val="003A4A06"/>
    <w:rsid w:val="003B2FCC"/>
    <w:rsid w:val="003C5ABA"/>
    <w:rsid w:val="003C7A72"/>
    <w:rsid w:val="003E2CEF"/>
    <w:rsid w:val="00404391"/>
    <w:rsid w:val="00410841"/>
    <w:rsid w:val="00412830"/>
    <w:rsid w:val="0041347C"/>
    <w:rsid w:val="00421BDE"/>
    <w:rsid w:val="004267B4"/>
    <w:rsid w:val="00430D82"/>
    <w:rsid w:val="00434031"/>
    <w:rsid w:val="00446604"/>
    <w:rsid w:val="004472B9"/>
    <w:rsid w:val="00447B81"/>
    <w:rsid w:val="00457F08"/>
    <w:rsid w:val="004651B1"/>
    <w:rsid w:val="0046659D"/>
    <w:rsid w:val="00475ACC"/>
    <w:rsid w:val="00480441"/>
    <w:rsid w:val="00487C52"/>
    <w:rsid w:val="00491D29"/>
    <w:rsid w:val="004956EA"/>
    <w:rsid w:val="004C085D"/>
    <w:rsid w:val="004D53D4"/>
    <w:rsid w:val="004E112E"/>
    <w:rsid w:val="004E44E5"/>
    <w:rsid w:val="004E7435"/>
    <w:rsid w:val="004F30A5"/>
    <w:rsid w:val="00507387"/>
    <w:rsid w:val="00507859"/>
    <w:rsid w:val="00513560"/>
    <w:rsid w:val="00513F7E"/>
    <w:rsid w:val="005236CB"/>
    <w:rsid w:val="00530B85"/>
    <w:rsid w:val="00530E34"/>
    <w:rsid w:val="005327F6"/>
    <w:rsid w:val="005557DA"/>
    <w:rsid w:val="00563342"/>
    <w:rsid w:val="005675EB"/>
    <w:rsid w:val="005726D9"/>
    <w:rsid w:val="005768F3"/>
    <w:rsid w:val="005A1ACE"/>
    <w:rsid w:val="005A779A"/>
    <w:rsid w:val="005B7D6E"/>
    <w:rsid w:val="005C37FA"/>
    <w:rsid w:val="005C3C4B"/>
    <w:rsid w:val="005C3C51"/>
    <w:rsid w:val="005D1C67"/>
    <w:rsid w:val="005D3FAD"/>
    <w:rsid w:val="005D4881"/>
    <w:rsid w:val="005D660E"/>
    <w:rsid w:val="005E126D"/>
    <w:rsid w:val="005E2062"/>
    <w:rsid w:val="005E512B"/>
    <w:rsid w:val="005E7F98"/>
    <w:rsid w:val="005F127A"/>
    <w:rsid w:val="005F2683"/>
    <w:rsid w:val="005F5630"/>
    <w:rsid w:val="005F70E9"/>
    <w:rsid w:val="0060310D"/>
    <w:rsid w:val="00605256"/>
    <w:rsid w:val="00606606"/>
    <w:rsid w:val="0060700F"/>
    <w:rsid w:val="00622E7B"/>
    <w:rsid w:val="00625AA6"/>
    <w:rsid w:val="006314EB"/>
    <w:rsid w:val="00633A4C"/>
    <w:rsid w:val="006347E8"/>
    <w:rsid w:val="00636AE1"/>
    <w:rsid w:val="00641382"/>
    <w:rsid w:val="0064433A"/>
    <w:rsid w:val="00661613"/>
    <w:rsid w:val="00662CF6"/>
    <w:rsid w:val="006630D5"/>
    <w:rsid w:val="00672BFA"/>
    <w:rsid w:val="00674389"/>
    <w:rsid w:val="006747ED"/>
    <w:rsid w:val="00687DF0"/>
    <w:rsid w:val="006B003A"/>
    <w:rsid w:val="006B0999"/>
    <w:rsid w:val="006B6666"/>
    <w:rsid w:val="006D2D34"/>
    <w:rsid w:val="006D3CD9"/>
    <w:rsid w:val="006E3591"/>
    <w:rsid w:val="006E7B46"/>
    <w:rsid w:val="006F3696"/>
    <w:rsid w:val="006F4F5A"/>
    <w:rsid w:val="00717F9F"/>
    <w:rsid w:val="007235DF"/>
    <w:rsid w:val="007308FE"/>
    <w:rsid w:val="00752C9E"/>
    <w:rsid w:val="00754994"/>
    <w:rsid w:val="00756927"/>
    <w:rsid w:val="007614AB"/>
    <w:rsid w:val="00764AA6"/>
    <w:rsid w:val="00775EED"/>
    <w:rsid w:val="007909D4"/>
    <w:rsid w:val="00796713"/>
    <w:rsid w:val="007A088C"/>
    <w:rsid w:val="007B0531"/>
    <w:rsid w:val="007C0A55"/>
    <w:rsid w:val="007C6D13"/>
    <w:rsid w:val="007D6A63"/>
    <w:rsid w:val="007D79DA"/>
    <w:rsid w:val="007D7A2A"/>
    <w:rsid w:val="007E3B95"/>
    <w:rsid w:val="007E49F4"/>
    <w:rsid w:val="007E4D4D"/>
    <w:rsid w:val="0080195E"/>
    <w:rsid w:val="00813559"/>
    <w:rsid w:val="00814EEB"/>
    <w:rsid w:val="00831484"/>
    <w:rsid w:val="0083239E"/>
    <w:rsid w:val="0083458C"/>
    <w:rsid w:val="008365FE"/>
    <w:rsid w:val="00847852"/>
    <w:rsid w:val="00850957"/>
    <w:rsid w:val="00865CF3"/>
    <w:rsid w:val="00871411"/>
    <w:rsid w:val="008727E7"/>
    <w:rsid w:val="0088125C"/>
    <w:rsid w:val="0088594D"/>
    <w:rsid w:val="00892684"/>
    <w:rsid w:val="008944D0"/>
    <w:rsid w:val="008A5E01"/>
    <w:rsid w:val="008C04ED"/>
    <w:rsid w:val="008D757E"/>
    <w:rsid w:val="008E2C47"/>
    <w:rsid w:val="008F30A7"/>
    <w:rsid w:val="008F4E21"/>
    <w:rsid w:val="00905DBA"/>
    <w:rsid w:val="0092168B"/>
    <w:rsid w:val="00943C05"/>
    <w:rsid w:val="00943E0D"/>
    <w:rsid w:val="00951751"/>
    <w:rsid w:val="00956EC4"/>
    <w:rsid w:val="00970CEE"/>
    <w:rsid w:val="00972992"/>
    <w:rsid w:val="00982973"/>
    <w:rsid w:val="0098649C"/>
    <w:rsid w:val="0098777C"/>
    <w:rsid w:val="009B2F8F"/>
    <w:rsid w:val="009C05AE"/>
    <w:rsid w:val="009C0C93"/>
    <w:rsid w:val="009C7576"/>
    <w:rsid w:val="009C77DE"/>
    <w:rsid w:val="009D5DD1"/>
    <w:rsid w:val="009D778F"/>
    <w:rsid w:val="009E0FA3"/>
    <w:rsid w:val="00A12DDD"/>
    <w:rsid w:val="00A21C43"/>
    <w:rsid w:val="00A35CD6"/>
    <w:rsid w:val="00A5730B"/>
    <w:rsid w:val="00A60478"/>
    <w:rsid w:val="00A65737"/>
    <w:rsid w:val="00A65E44"/>
    <w:rsid w:val="00A75A72"/>
    <w:rsid w:val="00A841E9"/>
    <w:rsid w:val="00AA69DE"/>
    <w:rsid w:val="00AB4BC6"/>
    <w:rsid w:val="00AC4C5D"/>
    <w:rsid w:val="00AD447F"/>
    <w:rsid w:val="00AD6087"/>
    <w:rsid w:val="00AE0BFD"/>
    <w:rsid w:val="00B03182"/>
    <w:rsid w:val="00B07313"/>
    <w:rsid w:val="00B11ED5"/>
    <w:rsid w:val="00B12975"/>
    <w:rsid w:val="00B152AC"/>
    <w:rsid w:val="00B16D7D"/>
    <w:rsid w:val="00B17EA7"/>
    <w:rsid w:val="00B36AE2"/>
    <w:rsid w:val="00B45148"/>
    <w:rsid w:val="00B56759"/>
    <w:rsid w:val="00B673AA"/>
    <w:rsid w:val="00B74121"/>
    <w:rsid w:val="00B74628"/>
    <w:rsid w:val="00B75178"/>
    <w:rsid w:val="00BA2384"/>
    <w:rsid w:val="00BA5827"/>
    <w:rsid w:val="00BB66C3"/>
    <w:rsid w:val="00BC19CA"/>
    <w:rsid w:val="00BC4F0B"/>
    <w:rsid w:val="00BD7569"/>
    <w:rsid w:val="00BE11CC"/>
    <w:rsid w:val="00BE1373"/>
    <w:rsid w:val="00BE2EBB"/>
    <w:rsid w:val="00BF592A"/>
    <w:rsid w:val="00C05427"/>
    <w:rsid w:val="00C15552"/>
    <w:rsid w:val="00C21B1D"/>
    <w:rsid w:val="00C246AA"/>
    <w:rsid w:val="00C27FE1"/>
    <w:rsid w:val="00C31557"/>
    <w:rsid w:val="00C35DE7"/>
    <w:rsid w:val="00C40116"/>
    <w:rsid w:val="00C55DE3"/>
    <w:rsid w:val="00C63FEF"/>
    <w:rsid w:val="00C822B9"/>
    <w:rsid w:val="00C85825"/>
    <w:rsid w:val="00C85B88"/>
    <w:rsid w:val="00C90443"/>
    <w:rsid w:val="00C9137F"/>
    <w:rsid w:val="00C935B6"/>
    <w:rsid w:val="00C94D28"/>
    <w:rsid w:val="00CA0360"/>
    <w:rsid w:val="00CB44F7"/>
    <w:rsid w:val="00CD069B"/>
    <w:rsid w:val="00CD1E8A"/>
    <w:rsid w:val="00CD42CD"/>
    <w:rsid w:val="00CE3739"/>
    <w:rsid w:val="00CE3EE1"/>
    <w:rsid w:val="00CE4CDB"/>
    <w:rsid w:val="00CE4DB7"/>
    <w:rsid w:val="00CE66D8"/>
    <w:rsid w:val="00CE76A5"/>
    <w:rsid w:val="00CF2FBF"/>
    <w:rsid w:val="00CF44E1"/>
    <w:rsid w:val="00D00CF8"/>
    <w:rsid w:val="00D14EE2"/>
    <w:rsid w:val="00D21E01"/>
    <w:rsid w:val="00D3133C"/>
    <w:rsid w:val="00D332B5"/>
    <w:rsid w:val="00D404D6"/>
    <w:rsid w:val="00D63410"/>
    <w:rsid w:val="00D6483D"/>
    <w:rsid w:val="00D7465B"/>
    <w:rsid w:val="00D7529E"/>
    <w:rsid w:val="00D8401F"/>
    <w:rsid w:val="00DA0C5D"/>
    <w:rsid w:val="00DA2100"/>
    <w:rsid w:val="00DA5B90"/>
    <w:rsid w:val="00DC0C84"/>
    <w:rsid w:val="00DC5D2B"/>
    <w:rsid w:val="00DC6BBB"/>
    <w:rsid w:val="00DD0120"/>
    <w:rsid w:val="00DE0159"/>
    <w:rsid w:val="00DE26C2"/>
    <w:rsid w:val="00DE60FE"/>
    <w:rsid w:val="00DF56B2"/>
    <w:rsid w:val="00E02214"/>
    <w:rsid w:val="00E06EF2"/>
    <w:rsid w:val="00E13BBE"/>
    <w:rsid w:val="00E24914"/>
    <w:rsid w:val="00E4017A"/>
    <w:rsid w:val="00E46DBF"/>
    <w:rsid w:val="00E47205"/>
    <w:rsid w:val="00E52294"/>
    <w:rsid w:val="00E55E81"/>
    <w:rsid w:val="00E72411"/>
    <w:rsid w:val="00E81F6D"/>
    <w:rsid w:val="00E90CFE"/>
    <w:rsid w:val="00EB10B4"/>
    <w:rsid w:val="00EC20BC"/>
    <w:rsid w:val="00EC6A84"/>
    <w:rsid w:val="00ED11E9"/>
    <w:rsid w:val="00EF2AB4"/>
    <w:rsid w:val="00EF4E61"/>
    <w:rsid w:val="00EF5DA4"/>
    <w:rsid w:val="00F00F4C"/>
    <w:rsid w:val="00F1242D"/>
    <w:rsid w:val="00F33780"/>
    <w:rsid w:val="00F60607"/>
    <w:rsid w:val="00F6139A"/>
    <w:rsid w:val="00F67C65"/>
    <w:rsid w:val="00F70C81"/>
    <w:rsid w:val="00F74780"/>
    <w:rsid w:val="00F7764A"/>
    <w:rsid w:val="00F907F6"/>
    <w:rsid w:val="00F93E55"/>
    <w:rsid w:val="00F9697A"/>
    <w:rsid w:val="00FA09F2"/>
    <w:rsid w:val="00FA4848"/>
    <w:rsid w:val="00FA5115"/>
    <w:rsid w:val="00FC026D"/>
    <w:rsid w:val="00FF0D55"/>
    <w:rsid w:val="00FF229B"/>
    <w:rsid w:val="00FF5E1D"/>
    <w:rsid w:val="00FF7A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place"/>
  <w:shapeDefaults>
    <o:shapedefaults v:ext="edit" spidmax="4134">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ja-JP" w:bidi="ar-SA"/>
      </w:rPr>
    </w:rPrDefault>
    <w:pPrDefault>
      <w:pPr>
        <w:spacing w:after="240" w:line="240" w:lineRule="atLeast"/>
      </w:pPr>
    </w:pPrDefault>
  </w:docDefaults>
  <w:latentStyles w:defLockedState="0" w:defUIPriority="0" w:defSemiHidden="1" w:defUnhideWhenUsed="1" w:defQFormat="0" w:count="267">
    <w:lsdException w:name="Normal" w:semiHidden="0" w:unhideWhenUsed="0"/>
    <w:lsdException w:name="heading 1" w:semiHidden="0" w:unhideWhenUsed="0" w:qFormat="1"/>
    <w:lsdException w:name="heading 2" w:qFormat="1"/>
    <w:lsdException w:name="heading 3" w:qFormat="1"/>
    <w:lsdException w:name="Title" w:semiHidden="0" w:unhideWhenUsed="0"/>
    <w:lsdException w:name="Default Paragraph Font" w:uiPriority="1"/>
    <w:lsdException w:name="Subtitle" w:semiHidden="0" w:unhideWhenUsed="0"/>
    <w:lsdException w:name="Hyperlink" w:uiPriority="99"/>
    <w:lsdException w:name="Strong" w:semiHidden="0" w:unhideWhenUsed="0"/>
    <w:lsdException w:name="Emphasis" w:semiHidden="0" w:unhideWhenUsed="0"/>
    <w:lsdException w:name="HTML Top of Form" w:uiPriority="99"/>
    <w:lsdException w:name="HTML Bottom of Form" w:uiPriority="99"/>
    <w:lsdException w:name="Normal (Web)" w:uiPriority="99" w:qFormat="1"/>
    <w:lsdException w:name="Normal Table" w:uiPriority="99"/>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A65737"/>
    <w:pPr>
      <w:spacing w:after="0" w:line="240" w:lineRule="auto"/>
    </w:pPr>
    <w:rPr>
      <w:rFonts w:ascii="Times New Roman" w:eastAsia="MS Mincho" w:hAnsi="Times New Roman" w:cs="Times New Roman"/>
      <w:sz w:val="24"/>
      <w:szCs w:val="24"/>
      <w:lang w:val="en-US" w:eastAsia="en-US"/>
    </w:rPr>
  </w:style>
  <w:style w:type="paragraph" w:styleId="Heading1">
    <w:name w:val="heading 1"/>
    <w:basedOn w:val="Body"/>
    <w:next w:val="Body"/>
    <w:link w:val="Heading1Char"/>
    <w:qFormat/>
    <w:rsid w:val="00A65737"/>
    <w:pPr>
      <w:keepNext/>
      <w:spacing w:before="360" w:line="420" w:lineRule="exact"/>
      <w:outlineLvl w:val="0"/>
    </w:pPr>
    <w:rPr>
      <w:rFonts w:ascii="Arial" w:hAnsi="Arial" w:cs="Arial"/>
      <w:bCs/>
      <w:color w:val="4E8ABE"/>
      <w:kern w:val="32"/>
      <w:sz w:val="36"/>
      <w:szCs w:val="36"/>
    </w:rPr>
  </w:style>
  <w:style w:type="paragraph" w:styleId="Heading2">
    <w:name w:val="heading 2"/>
    <w:basedOn w:val="Body"/>
    <w:next w:val="Body"/>
    <w:link w:val="Heading2Char"/>
    <w:qFormat/>
    <w:rsid w:val="00A65737"/>
    <w:pPr>
      <w:keepNext/>
      <w:autoSpaceDE w:val="0"/>
      <w:autoSpaceDN w:val="0"/>
      <w:adjustRightInd w:val="0"/>
      <w:spacing w:after="90" w:line="280" w:lineRule="exact"/>
      <w:outlineLvl w:val="1"/>
    </w:pPr>
    <w:rPr>
      <w:rFonts w:ascii="Arial" w:hAnsi="Arial"/>
      <w:b/>
      <w:color w:val="4E8ABE"/>
      <w:sz w:val="24"/>
    </w:rPr>
  </w:style>
  <w:style w:type="paragraph" w:styleId="Heading3">
    <w:name w:val="heading 3"/>
    <w:basedOn w:val="Body"/>
    <w:next w:val="Body"/>
    <w:link w:val="Heading3Char"/>
    <w:qFormat/>
    <w:rsid w:val="00A65737"/>
    <w:pPr>
      <w:keepNext/>
      <w:spacing w:after="40"/>
      <w:outlineLvl w:val="2"/>
    </w:pPr>
    <w:rPr>
      <w:rFonts w:cs="Arial"/>
      <w:b/>
      <w:bCs/>
      <w:szCs w:val="26"/>
    </w:rPr>
  </w:style>
  <w:style w:type="paragraph" w:styleId="Heading4">
    <w:name w:val="heading 4"/>
    <w:basedOn w:val="Body"/>
    <w:next w:val="Body"/>
    <w:link w:val="Heading4Char"/>
    <w:rsid w:val="00A65737"/>
    <w:pPr>
      <w:keepNext/>
      <w:spacing w:after="0"/>
      <w:outlineLvl w:val="3"/>
    </w:pPr>
    <w:rPr>
      <w:bCs/>
      <w:i/>
      <w:szCs w:val="28"/>
    </w:rPr>
  </w:style>
  <w:style w:type="paragraph" w:styleId="Heading5">
    <w:name w:val="heading 5"/>
    <w:basedOn w:val="Heading4"/>
    <w:next w:val="Body"/>
    <w:link w:val="Heading5Char"/>
    <w:rsid w:val="00A65737"/>
    <w:pPr>
      <w:spacing w:after="40" w:line="240" w:lineRule="auto"/>
      <w:outlineLvl w:val="4"/>
    </w:pPr>
    <w:rPr>
      <w:b/>
      <w:bCs w:val="0"/>
      <w:i w:val="0"/>
      <w:color w:val="000080"/>
      <w:sz w:val="144"/>
      <w:szCs w:val="144"/>
    </w:rPr>
  </w:style>
  <w:style w:type="paragraph" w:styleId="Heading6">
    <w:name w:val="heading 6"/>
    <w:basedOn w:val="Heading1"/>
    <w:next w:val="Normal"/>
    <w:link w:val="Heading6Char"/>
    <w:rsid w:val="00A65737"/>
    <w:pPr>
      <w:pBdr>
        <w:bottom w:val="single" w:sz="6" w:space="1" w:color="auto"/>
      </w:pBdr>
      <w:spacing w:before="120" w:line="240" w:lineRule="auto"/>
      <w:outlineLvl w:val="5"/>
    </w:pPr>
    <w:rPr>
      <w:rFonts w:ascii="Times New Roman" w:hAnsi="Times New Roman" w:cs="Times New Roman"/>
      <w:bCs w:val="0"/>
      <w:smallCaps/>
      <w:color w:val="000080"/>
      <w:kern w:val="0"/>
      <w:sz w:val="144"/>
      <w:szCs w:val="144"/>
    </w:rPr>
  </w:style>
  <w:style w:type="paragraph" w:styleId="Heading7">
    <w:name w:val="heading 7"/>
    <w:basedOn w:val="Normal"/>
    <w:next w:val="Normal"/>
    <w:link w:val="Heading7Char"/>
    <w:rsid w:val="00A65737"/>
    <w:pPr>
      <w:keepNext/>
      <w:keepLines/>
      <w:spacing w:after="100"/>
      <w:outlineLvl w:val="6"/>
    </w:pPr>
    <w:rPr>
      <w:color w:val="000080"/>
      <w:sz w:val="144"/>
      <w:szCs w:val="144"/>
    </w:rPr>
  </w:style>
  <w:style w:type="paragraph" w:styleId="Heading8">
    <w:name w:val="heading 8"/>
    <w:basedOn w:val="Normal"/>
    <w:next w:val="Normal"/>
    <w:link w:val="Heading8Char"/>
    <w:rsid w:val="00A65737"/>
    <w:pPr>
      <w:spacing w:before="240" w:after="60"/>
      <w:outlineLvl w:val="7"/>
    </w:pPr>
    <w:rPr>
      <w:i/>
      <w:iCs/>
    </w:rPr>
  </w:style>
  <w:style w:type="paragraph" w:styleId="Heading9">
    <w:name w:val="heading 9"/>
    <w:basedOn w:val="Normal"/>
    <w:next w:val="Normal"/>
    <w:link w:val="Heading9Char"/>
    <w:rsid w:val="00A65737"/>
    <w:pPr>
      <w:spacing w:before="240" w:after="60"/>
      <w:outlineLvl w:val="8"/>
    </w:pPr>
    <w:rPr>
      <w:rFonts w:ascii="Arial" w:hAnsi="Arial" w:cs="Arial"/>
      <w:szCs w:val="22"/>
    </w:rPr>
  </w:style>
  <w:style w:type="character" w:default="1" w:styleId="DefaultParagraphFont">
    <w:name w:val="Default Paragraph Font"/>
    <w:uiPriority w:val="1"/>
    <w:semiHidden/>
    <w:unhideWhenUsed/>
    <w:rsid w:val="00A65737"/>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A65737"/>
  </w:style>
  <w:style w:type="paragraph" w:styleId="Header">
    <w:name w:val="header"/>
    <w:basedOn w:val="Normal"/>
    <w:link w:val="HeaderChar"/>
    <w:rsid w:val="00A65737"/>
    <w:pPr>
      <w:tabs>
        <w:tab w:val="center" w:pos="4320"/>
        <w:tab w:val="right" w:pos="8640"/>
      </w:tabs>
      <w:spacing w:after="120"/>
    </w:pPr>
    <w:rPr>
      <w:rFonts w:ascii="Arial" w:hAnsi="Arial"/>
      <w:noProof/>
      <w:kern w:val="20"/>
      <w:sz w:val="14"/>
    </w:rPr>
  </w:style>
  <w:style w:type="character" w:customStyle="1" w:styleId="HeaderChar">
    <w:name w:val="Header Char"/>
    <w:basedOn w:val="DefaultParagraphFont"/>
    <w:link w:val="Header"/>
    <w:rsid w:val="00A65737"/>
    <w:rPr>
      <w:rFonts w:ascii="Arial" w:eastAsia="MS Mincho" w:hAnsi="Arial" w:cs="Times New Roman"/>
      <w:noProof/>
      <w:kern w:val="20"/>
      <w:sz w:val="14"/>
      <w:szCs w:val="24"/>
      <w:lang w:val="en-US" w:eastAsia="en-US"/>
    </w:rPr>
  </w:style>
  <w:style w:type="paragraph" w:styleId="Footer">
    <w:name w:val="footer"/>
    <w:basedOn w:val="Normal"/>
    <w:link w:val="FooterChar"/>
    <w:rsid w:val="00A65737"/>
    <w:pPr>
      <w:tabs>
        <w:tab w:val="left" w:pos="6552"/>
      </w:tabs>
      <w:spacing w:before="240"/>
    </w:pPr>
    <w:rPr>
      <w:rFonts w:ascii="Arial" w:hAnsi="Arial"/>
      <w:b/>
      <w:sz w:val="14"/>
    </w:rPr>
  </w:style>
  <w:style w:type="character" w:customStyle="1" w:styleId="FooterChar">
    <w:name w:val="Footer Char"/>
    <w:basedOn w:val="DefaultParagraphFont"/>
    <w:link w:val="Footer"/>
    <w:rsid w:val="00A65737"/>
    <w:rPr>
      <w:rFonts w:ascii="Arial" w:eastAsia="MS Mincho" w:hAnsi="Arial" w:cs="Times New Roman"/>
      <w:b/>
      <w:sz w:val="14"/>
      <w:szCs w:val="24"/>
      <w:lang w:val="en-US" w:eastAsia="en-US"/>
    </w:rPr>
  </w:style>
  <w:style w:type="paragraph" w:styleId="BalloonText">
    <w:name w:val="Balloon Text"/>
    <w:basedOn w:val="Normal"/>
    <w:link w:val="BalloonTextChar"/>
    <w:semiHidden/>
    <w:rsid w:val="00A65737"/>
    <w:rPr>
      <w:rFonts w:ascii="Tahoma" w:hAnsi="Tahoma" w:cs="Tahoma"/>
      <w:sz w:val="16"/>
      <w:szCs w:val="16"/>
    </w:rPr>
  </w:style>
  <w:style w:type="character" w:customStyle="1" w:styleId="BalloonTextChar">
    <w:name w:val="Balloon Text Char"/>
    <w:basedOn w:val="DefaultParagraphFont"/>
    <w:link w:val="BalloonText"/>
    <w:semiHidden/>
    <w:rsid w:val="00A65737"/>
    <w:rPr>
      <w:rFonts w:ascii="Tahoma" w:eastAsia="MS Mincho" w:hAnsi="Tahoma" w:cs="Tahoma"/>
      <w:sz w:val="16"/>
      <w:szCs w:val="16"/>
      <w:lang w:val="en-US" w:eastAsia="en-US"/>
    </w:rPr>
  </w:style>
  <w:style w:type="character" w:styleId="PlaceholderText">
    <w:name w:val="Placeholder Text"/>
    <w:basedOn w:val="DefaultParagraphFont"/>
    <w:uiPriority w:val="99"/>
    <w:semiHidden/>
    <w:rsid w:val="00A65737"/>
    <w:rPr>
      <w:color w:val="808080"/>
    </w:rPr>
  </w:style>
  <w:style w:type="paragraph" w:customStyle="1" w:styleId="Body">
    <w:name w:val="Body"/>
    <w:basedOn w:val="Normal"/>
    <w:link w:val="BodyChar"/>
    <w:qFormat/>
    <w:rsid w:val="00A65737"/>
    <w:pPr>
      <w:spacing w:after="240" w:line="240" w:lineRule="atLeast"/>
    </w:pPr>
    <w:rPr>
      <w:sz w:val="20"/>
    </w:rPr>
  </w:style>
  <w:style w:type="paragraph" w:customStyle="1" w:styleId="FooterFrontPage">
    <w:name w:val="FooterFrontPage"/>
    <w:basedOn w:val="Normal"/>
    <w:rsid w:val="00A65737"/>
    <w:pPr>
      <w:framePr w:wrap="around" w:hAnchor="text" w:yAlign="bottom"/>
      <w:spacing w:line="216" w:lineRule="atLeast"/>
      <w:jc w:val="both"/>
    </w:pPr>
    <w:rPr>
      <w:rFonts w:ascii="Arial Narrow" w:hAnsi="Arial Narrow"/>
      <w:bCs/>
      <w:iCs/>
      <w:noProof/>
      <w:spacing w:val="-2"/>
      <w:sz w:val="20"/>
      <w:szCs w:val="18"/>
    </w:rPr>
  </w:style>
  <w:style w:type="paragraph" w:customStyle="1" w:styleId="Industry">
    <w:name w:val="Industry"/>
    <w:basedOn w:val="Body"/>
    <w:next w:val="Body"/>
    <w:rsid w:val="00A65737"/>
    <w:pPr>
      <w:pBdr>
        <w:top w:val="single" w:sz="2" w:space="4" w:color="auto"/>
      </w:pBdr>
      <w:spacing w:after="90" w:line="240" w:lineRule="auto"/>
    </w:pPr>
    <w:rPr>
      <w:rFonts w:ascii="Arial" w:hAnsi="Arial"/>
      <w:b/>
      <w:noProof/>
      <w:sz w:val="17"/>
      <w:szCs w:val="17"/>
    </w:rPr>
  </w:style>
  <w:style w:type="paragraph" w:customStyle="1" w:styleId="FPTitleCompany">
    <w:name w:val="FPTitleCompany"/>
    <w:basedOn w:val="DocTitle"/>
    <w:rsid w:val="00A65737"/>
    <w:pPr>
      <w:framePr w:hSpace="187" w:wrap="around" w:vAnchor="text" w:hAnchor="text" w:xAlign="right" w:y="1"/>
      <w:spacing w:line="240" w:lineRule="auto"/>
    </w:pPr>
    <w:rPr>
      <w:color w:val="4E8ABE"/>
    </w:rPr>
  </w:style>
  <w:style w:type="paragraph" w:customStyle="1" w:styleId="HeaderRegionGroup">
    <w:name w:val="HeaderRegionGroup"/>
    <w:basedOn w:val="Header"/>
    <w:rsid w:val="00A65737"/>
    <w:pPr>
      <w:spacing w:after="0"/>
    </w:pPr>
    <w:rPr>
      <w:b/>
      <w:color w:val="4E8ABE"/>
      <w:szCs w:val="14"/>
    </w:rPr>
  </w:style>
  <w:style w:type="paragraph" w:customStyle="1" w:styleId="IPOInsidePage">
    <w:name w:val="IPOInsidePage"/>
    <w:basedOn w:val="IPO"/>
    <w:rsid w:val="00A65737"/>
    <w:pPr>
      <w:spacing w:before="120" w:after="50"/>
      <w:ind w:right="0"/>
    </w:pPr>
    <w:rPr>
      <w:sz w:val="18"/>
    </w:rPr>
  </w:style>
  <w:style w:type="character" w:styleId="PageNumber">
    <w:name w:val="page number"/>
    <w:basedOn w:val="DefaultParagraphFont"/>
    <w:rsid w:val="00A65737"/>
    <w:rPr>
      <w:rFonts w:ascii="Arial" w:hAnsi="Arial"/>
      <w:sz w:val="14"/>
    </w:rPr>
  </w:style>
  <w:style w:type="paragraph" w:customStyle="1" w:styleId="PriceDual">
    <w:name w:val="PriceDual"/>
    <w:basedOn w:val="RatingDual"/>
    <w:next w:val="Body"/>
    <w:rsid w:val="00A65737"/>
    <w:pPr>
      <w:framePr w:wrap="around"/>
    </w:pPr>
    <w:rPr>
      <w:b/>
    </w:rPr>
  </w:style>
  <w:style w:type="paragraph" w:customStyle="1" w:styleId="PTChangeArrow">
    <w:name w:val="PTChangeArrow"/>
    <w:basedOn w:val="FPTitleCompany"/>
    <w:rsid w:val="00A65737"/>
    <w:pPr>
      <w:framePr w:wrap="auto"/>
      <w:spacing w:before="260" w:after="300"/>
    </w:pPr>
    <w:rPr>
      <w:color w:val="616265"/>
      <w:sz w:val="20"/>
      <w:szCs w:val="20"/>
    </w:rPr>
  </w:style>
  <w:style w:type="paragraph" w:customStyle="1" w:styleId="PublishDate">
    <w:name w:val="PublishDate"/>
    <w:basedOn w:val="Normal"/>
    <w:rsid w:val="00A65737"/>
    <w:pPr>
      <w:spacing w:after="260" w:line="200" w:lineRule="atLeast"/>
      <w:ind w:left="7114"/>
    </w:pPr>
    <w:rPr>
      <w:rFonts w:ascii="Arial" w:hAnsi="Arial"/>
      <w:noProof/>
      <w:sz w:val="16"/>
    </w:rPr>
  </w:style>
  <w:style w:type="paragraph" w:customStyle="1" w:styleId="RatingChangeArrow">
    <w:name w:val="RatingChangeArrow"/>
    <w:basedOn w:val="FPTitleCompany"/>
    <w:rsid w:val="00A65737"/>
    <w:pPr>
      <w:framePr w:wrap="auto"/>
      <w:spacing w:before="120" w:after="480"/>
    </w:pPr>
    <w:rPr>
      <w:color w:val="616265"/>
      <w:sz w:val="28"/>
      <w:szCs w:val="28"/>
    </w:rPr>
  </w:style>
  <w:style w:type="paragraph" w:customStyle="1" w:styleId="RegionGroup">
    <w:name w:val="RegionGroup"/>
    <w:basedOn w:val="Body"/>
    <w:next w:val="PublishDate"/>
    <w:rsid w:val="00A65737"/>
    <w:pPr>
      <w:spacing w:after="0" w:line="200" w:lineRule="atLeast"/>
      <w:ind w:left="7114"/>
    </w:pPr>
    <w:rPr>
      <w:rFonts w:ascii="Arial" w:hAnsi="Arial"/>
      <w:b/>
      <w:noProof/>
      <w:color w:val="4E8ABE"/>
      <w:sz w:val="18"/>
      <w:szCs w:val="18"/>
    </w:rPr>
  </w:style>
  <w:style w:type="paragraph" w:customStyle="1" w:styleId="RegionGroupInvisible">
    <w:name w:val="RegionGroupInvisible"/>
    <w:basedOn w:val="Header"/>
    <w:rsid w:val="00A65737"/>
    <w:pPr>
      <w:spacing w:before="1440"/>
    </w:pPr>
    <w:rPr>
      <w:color w:val="FFFFFF"/>
    </w:rPr>
  </w:style>
  <w:style w:type="paragraph" w:customStyle="1" w:styleId="ReportType">
    <w:name w:val="ReportType"/>
    <w:basedOn w:val="RatingDual"/>
    <w:rsid w:val="00A65737"/>
    <w:pPr>
      <w:framePr w:wrap="around"/>
    </w:pPr>
    <w:rPr>
      <w:b/>
      <w:sz w:val="18"/>
    </w:rPr>
  </w:style>
  <w:style w:type="paragraph" w:customStyle="1" w:styleId="SubTitle">
    <w:name w:val="SubTitle"/>
    <w:basedOn w:val="Body"/>
    <w:next w:val="Body"/>
    <w:rsid w:val="00A65737"/>
    <w:pPr>
      <w:spacing w:before="60" w:after="120" w:line="240" w:lineRule="auto"/>
    </w:pPr>
    <w:rPr>
      <w:rFonts w:ascii="Arial" w:hAnsi="Arial"/>
      <w:sz w:val="26"/>
    </w:rPr>
  </w:style>
  <w:style w:type="table" w:styleId="TableGrid">
    <w:name w:val="Table Grid"/>
    <w:basedOn w:val="TableNormal"/>
    <w:rsid w:val="00A65737"/>
    <w:pPr>
      <w:spacing w:after="0" w:line="240" w:lineRule="auto"/>
    </w:pPr>
    <w:rPr>
      <w:rFonts w:ascii="Times New Roman" w:eastAsia="MS Mincho"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rsid w:val="00A65737"/>
    <w:pPr>
      <w:numPr>
        <w:numId w:val="2"/>
      </w:numPr>
    </w:pPr>
  </w:style>
  <w:style w:type="numbering" w:styleId="1ai">
    <w:name w:val="Outline List 1"/>
    <w:basedOn w:val="NoList"/>
    <w:rsid w:val="00A65737"/>
    <w:pPr>
      <w:numPr>
        <w:numId w:val="5"/>
      </w:numPr>
    </w:pPr>
  </w:style>
  <w:style w:type="paragraph" w:customStyle="1" w:styleId="AbstractRP">
    <w:name w:val="AbstractRP"/>
    <w:basedOn w:val="Body"/>
    <w:semiHidden/>
    <w:rsid w:val="00A65737"/>
  </w:style>
  <w:style w:type="paragraph" w:styleId="CommentText">
    <w:name w:val="annotation text"/>
    <w:basedOn w:val="Normal"/>
    <w:link w:val="CommentTextChar"/>
    <w:semiHidden/>
    <w:rsid w:val="00A65737"/>
    <w:rPr>
      <w:sz w:val="20"/>
    </w:rPr>
  </w:style>
  <w:style w:type="character" w:customStyle="1" w:styleId="CommentTextChar">
    <w:name w:val="Comment Text Char"/>
    <w:basedOn w:val="DefaultParagraphFont"/>
    <w:link w:val="CommentText"/>
    <w:semiHidden/>
    <w:rsid w:val="00A65737"/>
    <w:rPr>
      <w:rFonts w:ascii="Times New Roman" w:eastAsia="MS Mincho" w:hAnsi="Times New Roman" w:cs="Times New Roman"/>
      <w:sz w:val="20"/>
      <w:szCs w:val="24"/>
      <w:lang w:val="en-US" w:eastAsia="en-US"/>
    </w:rPr>
  </w:style>
  <w:style w:type="paragraph" w:customStyle="1" w:styleId="AcrobatBookmark">
    <w:name w:val="Acrobat Bookmark"/>
    <w:basedOn w:val="CommentText"/>
    <w:rsid w:val="00A65737"/>
    <w:rPr>
      <w:rFonts w:ascii="Arial" w:hAnsi="Arial"/>
      <w:i/>
      <w:sz w:val="16"/>
    </w:rPr>
  </w:style>
  <w:style w:type="paragraph" w:customStyle="1" w:styleId="AgencyRating">
    <w:name w:val="AgencyRating"/>
    <w:basedOn w:val="Body"/>
    <w:rsid w:val="00A65737"/>
    <w:pPr>
      <w:spacing w:after="0" w:line="240" w:lineRule="auto"/>
    </w:pPr>
    <w:rPr>
      <w:rFonts w:ascii="Arial Narrow" w:hAnsi="Arial Narrow"/>
      <w:sz w:val="18"/>
      <w:szCs w:val="18"/>
    </w:rPr>
  </w:style>
  <w:style w:type="paragraph" w:styleId="BodyText">
    <w:name w:val="Body Text"/>
    <w:basedOn w:val="Normal"/>
    <w:link w:val="BodyTextChar"/>
    <w:rsid w:val="00A65737"/>
    <w:pPr>
      <w:spacing w:after="120"/>
    </w:pPr>
  </w:style>
  <w:style w:type="character" w:customStyle="1" w:styleId="BodyTextChar">
    <w:name w:val="Body Text Char"/>
    <w:basedOn w:val="DefaultParagraphFont"/>
    <w:link w:val="BodyText"/>
    <w:rsid w:val="00A65737"/>
    <w:rPr>
      <w:rFonts w:ascii="Times New Roman" w:eastAsia="MS Mincho" w:hAnsi="Times New Roman" w:cs="Times New Roman"/>
      <w:sz w:val="24"/>
      <w:szCs w:val="24"/>
      <w:lang w:val="en-US" w:eastAsia="en-US"/>
    </w:rPr>
  </w:style>
  <w:style w:type="paragraph" w:customStyle="1" w:styleId="AnalystCertification">
    <w:name w:val="AnalystCertification"/>
    <w:basedOn w:val="BodyText"/>
    <w:rsid w:val="00A65737"/>
    <w:pPr>
      <w:ind w:left="-3125"/>
    </w:pPr>
    <w:rPr>
      <w:sz w:val="20"/>
    </w:rPr>
  </w:style>
  <w:style w:type="paragraph" w:customStyle="1" w:styleId="AnalystCertificationHead">
    <w:name w:val="AnalystCertificationHead"/>
    <w:basedOn w:val="Normal"/>
    <w:rsid w:val="00A65737"/>
    <w:pPr>
      <w:keepNext/>
      <w:autoSpaceDE w:val="0"/>
      <w:autoSpaceDN w:val="0"/>
      <w:adjustRightInd w:val="0"/>
      <w:spacing w:line="240" w:lineRule="atLeast"/>
      <w:ind w:left="-3125"/>
    </w:pPr>
    <w:rPr>
      <w:b/>
      <w:bCs/>
      <w:color w:val="000000"/>
      <w:sz w:val="20"/>
      <w:szCs w:val="20"/>
    </w:rPr>
  </w:style>
  <w:style w:type="paragraph" w:customStyle="1" w:styleId="AnalystsnonJPMSI">
    <w:name w:val="AnalystsnonJPMSI"/>
    <w:basedOn w:val="Body"/>
    <w:rsid w:val="00A65737"/>
    <w:pPr>
      <w:spacing w:after="40"/>
    </w:pPr>
    <w:rPr>
      <w:rFonts w:ascii="Arial Narrow" w:hAnsi="Arial Narrow"/>
      <w:sz w:val="18"/>
      <w:szCs w:val="18"/>
    </w:rPr>
  </w:style>
  <w:style w:type="paragraph" w:customStyle="1" w:styleId="AnchorLETable">
    <w:name w:val="AnchorLETable"/>
    <w:basedOn w:val="FooterFrontPage"/>
    <w:rsid w:val="00A65737"/>
    <w:pPr>
      <w:framePr w:wrap="around"/>
    </w:pPr>
    <w:rPr>
      <w:rFonts w:ascii="Arial" w:hAnsi="Arial"/>
    </w:rPr>
  </w:style>
  <w:style w:type="paragraph" w:customStyle="1" w:styleId="AnchorPriceData">
    <w:name w:val="AnchorPriceData"/>
    <w:basedOn w:val="FooterFrontPage"/>
    <w:rsid w:val="00A65737"/>
    <w:pPr>
      <w:framePr w:wrap="around"/>
    </w:pPr>
  </w:style>
  <w:style w:type="character" w:customStyle="1" w:styleId="Heading1Char">
    <w:name w:val="Heading 1 Char"/>
    <w:basedOn w:val="DefaultParagraphFont"/>
    <w:link w:val="Heading1"/>
    <w:rsid w:val="00A65737"/>
    <w:rPr>
      <w:rFonts w:ascii="Arial" w:eastAsia="MS Mincho" w:hAnsi="Arial" w:cs="Arial"/>
      <w:bCs/>
      <w:color w:val="4E8ABE"/>
      <w:kern w:val="32"/>
      <w:sz w:val="36"/>
      <w:szCs w:val="36"/>
      <w:lang w:val="en-US" w:eastAsia="en-US"/>
    </w:rPr>
  </w:style>
  <w:style w:type="paragraph" w:customStyle="1" w:styleId="Append">
    <w:name w:val="Append"/>
    <w:basedOn w:val="Heading1"/>
    <w:next w:val="Body"/>
    <w:rsid w:val="00A65737"/>
    <w:pPr>
      <w:numPr>
        <w:numId w:val="6"/>
      </w:numPr>
    </w:pPr>
  </w:style>
  <w:style w:type="character" w:customStyle="1" w:styleId="Heading2Char">
    <w:name w:val="Heading 2 Char"/>
    <w:basedOn w:val="DefaultParagraphFont"/>
    <w:link w:val="Heading2"/>
    <w:rsid w:val="00A65737"/>
    <w:rPr>
      <w:rFonts w:ascii="Arial" w:eastAsia="MS Mincho" w:hAnsi="Arial" w:cs="Times New Roman"/>
      <w:b/>
      <w:color w:val="4E8ABE"/>
      <w:sz w:val="24"/>
      <w:szCs w:val="24"/>
      <w:lang w:val="en-US" w:eastAsia="en-US"/>
    </w:rPr>
  </w:style>
  <w:style w:type="paragraph" w:customStyle="1" w:styleId="Append2">
    <w:name w:val="Append2"/>
    <w:basedOn w:val="Heading2"/>
    <w:next w:val="Body"/>
    <w:rsid w:val="00A65737"/>
  </w:style>
  <w:style w:type="character" w:customStyle="1" w:styleId="Heading3Char">
    <w:name w:val="Heading 3 Char"/>
    <w:basedOn w:val="DefaultParagraphFont"/>
    <w:link w:val="Heading3"/>
    <w:rsid w:val="00A65737"/>
    <w:rPr>
      <w:rFonts w:ascii="Times New Roman" w:eastAsia="MS Mincho" w:hAnsi="Times New Roman" w:cs="Arial"/>
      <w:b/>
      <w:bCs/>
      <w:sz w:val="20"/>
      <w:szCs w:val="26"/>
      <w:lang w:val="en-US" w:eastAsia="en-US"/>
    </w:rPr>
  </w:style>
  <w:style w:type="character" w:customStyle="1" w:styleId="Heading4Char">
    <w:name w:val="Heading 4 Char"/>
    <w:basedOn w:val="DefaultParagraphFont"/>
    <w:link w:val="Heading4"/>
    <w:rsid w:val="00A65737"/>
    <w:rPr>
      <w:rFonts w:ascii="Times New Roman" w:eastAsia="MS Mincho" w:hAnsi="Times New Roman" w:cs="Times New Roman"/>
      <w:bCs/>
      <w:i/>
      <w:sz w:val="20"/>
      <w:szCs w:val="28"/>
      <w:lang w:val="en-US" w:eastAsia="en-US"/>
    </w:rPr>
  </w:style>
  <w:style w:type="character" w:customStyle="1" w:styleId="Heading5Char">
    <w:name w:val="Heading 5 Char"/>
    <w:basedOn w:val="DefaultParagraphFont"/>
    <w:link w:val="Heading5"/>
    <w:rsid w:val="00A65737"/>
    <w:rPr>
      <w:rFonts w:ascii="Times New Roman" w:eastAsia="MS Mincho" w:hAnsi="Times New Roman" w:cs="Times New Roman"/>
      <w:b/>
      <w:color w:val="000080"/>
      <w:sz w:val="144"/>
      <w:szCs w:val="144"/>
      <w:lang w:val="en-US" w:eastAsia="en-US"/>
    </w:rPr>
  </w:style>
  <w:style w:type="character" w:customStyle="1" w:styleId="Heading6Char">
    <w:name w:val="Heading 6 Char"/>
    <w:basedOn w:val="DefaultParagraphFont"/>
    <w:link w:val="Heading6"/>
    <w:rsid w:val="00A65737"/>
    <w:rPr>
      <w:rFonts w:ascii="Times New Roman" w:eastAsia="MS Mincho" w:hAnsi="Times New Roman" w:cs="Times New Roman"/>
      <w:smallCaps/>
      <w:color w:val="000080"/>
      <w:sz w:val="144"/>
      <w:szCs w:val="144"/>
      <w:lang w:val="en-US" w:eastAsia="en-US"/>
    </w:rPr>
  </w:style>
  <w:style w:type="character" w:customStyle="1" w:styleId="Heading7Char">
    <w:name w:val="Heading 7 Char"/>
    <w:basedOn w:val="DefaultParagraphFont"/>
    <w:link w:val="Heading7"/>
    <w:rsid w:val="00A65737"/>
    <w:rPr>
      <w:rFonts w:ascii="Times New Roman" w:eastAsia="MS Mincho" w:hAnsi="Times New Roman" w:cs="Times New Roman"/>
      <w:color w:val="000080"/>
      <w:sz w:val="144"/>
      <w:szCs w:val="144"/>
      <w:lang w:val="en-US" w:eastAsia="en-US"/>
    </w:rPr>
  </w:style>
  <w:style w:type="character" w:customStyle="1" w:styleId="Heading8Char">
    <w:name w:val="Heading 8 Char"/>
    <w:basedOn w:val="DefaultParagraphFont"/>
    <w:link w:val="Heading8"/>
    <w:rsid w:val="00A65737"/>
    <w:rPr>
      <w:rFonts w:ascii="Times New Roman" w:eastAsia="MS Mincho" w:hAnsi="Times New Roman" w:cs="Times New Roman"/>
      <w:i/>
      <w:iCs/>
      <w:sz w:val="24"/>
      <w:szCs w:val="24"/>
      <w:lang w:val="en-US" w:eastAsia="en-US"/>
    </w:rPr>
  </w:style>
  <w:style w:type="character" w:customStyle="1" w:styleId="Heading9Char">
    <w:name w:val="Heading 9 Char"/>
    <w:basedOn w:val="DefaultParagraphFont"/>
    <w:link w:val="Heading9"/>
    <w:rsid w:val="00A65737"/>
    <w:rPr>
      <w:rFonts w:ascii="Arial" w:eastAsia="MS Mincho" w:hAnsi="Arial" w:cs="Arial"/>
      <w:sz w:val="24"/>
      <w:lang w:val="en-US" w:eastAsia="en-US"/>
    </w:rPr>
  </w:style>
  <w:style w:type="numbering" w:styleId="ArticleSection">
    <w:name w:val="Outline List 3"/>
    <w:basedOn w:val="NoList"/>
    <w:rsid w:val="00A65737"/>
    <w:pPr>
      <w:numPr>
        <w:numId w:val="8"/>
      </w:numPr>
    </w:pPr>
  </w:style>
  <w:style w:type="paragraph" w:styleId="BlockText">
    <w:name w:val="Block Text"/>
    <w:basedOn w:val="Normal"/>
    <w:rsid w:val="00A65737"/>
    <w:pPr>
      <w:spacing w:after="120"/>
      <w:ind w:left="1440" w:right="1440"/>
    </w:pPr>
  </w:style>
  <w:style w:type="paragraph" w:styleId="BodyText2">
    <w:name w:val="Body Text 2"/>
    <w:basedOn w:val="Normal"/>
    <w:link w:val="BodyText2Char"/>
    <w:rsid w:val="00A65737"/>
    <w:pPr>
      <w:spacing w:after="120" w:line="480" w:lineRule="auto"/>
    </w:pPr>
  </w:style>
  <w:style w:type="character" w:customStyle="1" w:styleId="BodyText2Char">
    <w:name w:val="Body Text 2 Char"/>
    <w:basedOn w:val="DefaultParagraphFont"/>
    <w:link w:val="BodyText2"/>
    <w:rsid w:val="00A65737"/>
    <w:rPr>
      <w:rFonts w:ascii="Times New Roman" w:eastAsia="MS Mincho" w:hAnsi="Times New Roman" w:cs="Times New Roman"/>
      <w:sz w:val="24"/>
      <w:szCs w:val="24"/>
      <w:lang w:val="en-US" w:eastAsia="en-US"/>
    </w:rPr>
  </w:style>
  <w:style w:type="paragraph" w:styleId="BodyText3">
    <w:name w:val="Body Text 3"/>
    <w:basedOn w:val="Normal"/>
    <w:link w:val="BodyText3Char"/>
    <w:rsid w:val="00A65737"/>
    <w:pPr>
      <w:spacing w:after="120"/>
    </w:pPr>
    <w:rPr>
      <w:sz w:val="16"/>
      <w:szCs w:val="16"/>
    </w:rPr>
  </w:style>
  <w:style w:type="character" w:customStyle="1" w:styleId="BodyText3Char">
    <w:name w:val="Body Text 3 Char"/>
    <w:basedOn w:val="DefaultParagraphFont"/>
    <w:link w:val="BodyText3"/>
    <w:rsid w:val="00A65737"/>
    <w:rPr>
      <w:rFonts w:ascii="Times New Roman" w:eastAsia="MS Mincho" w:hAnsi="Times New Roman" w:cs="Times New Roman"/>
      <w:sz w:val="16"/>
      <w:szCs w:val="16"/>
      <w:lang w:val="en-US" w:eastAsia="en-US"/>
    </w:rPr>
  </w:style>
  <w:style w:type="paragraph" w:styleId="BodyTextFirstIndent">
    <w:name w:val="Body Text First Indent"/>
    <w:basedOn w:val="BodyText"/>
    <w:link w:val="BodyTextFirstIndentChar"/>
    <w:rsid w:val="00A65737"/>
    <w:pPr>
      <w:ind w:firstLine="210"/>
    </w:pPr>
  </w:style>
  <w:style w:type="character" w:customStyle="1" w:styleId="BodyTextFirstIndentChar">
    <w:name w:val="Body Text First Indent Char"/>
    <w:basedOn w:val="BodyTextChar"/>
    <w:link w:val="BodyTextFirstIndent"/>
    <w:rsid w:val="00A65737"/>
  </w:style>
  <w:style w:type="paragraph" w:styleId="BodyTextIndent">
    <w:name w:val="Body Text Indent"/>
    <w:basedOn w:val="Normal"/>
    <w:link w:val="BodyTextIndentChar"/>
    <w:rsid w:val="00A65737"/>
    <w:pPr>
      <w:spacing w:after="120"/>
      <w:ind w:left="360"/>
    </w:pPr>
  </w:style>
  <w:style w:type="character" w:customStyle="1" w:styleId="BodyTextIndentChar">
    <w:name w:val="Body Text Indent Char"/>
    <w:basedOn w:val="DefaultParagraphFont"/>
    <w:link w:val="BodyTextIndent"/>
    <w:rsid w:val="00A65737"/>
    <w:rPr>
      <w:rFonts w:ascii="Times New Roman" w:eastAsia="MS Mincho" w:hAnsi="Times New Roman" w:cs="Times New Roman"/>
      <w:sz w:val="24"/>
      <w:szCs w:val="24"/>
      <w:lang w:val="en-US" w:eastAsia="en-US"/>
    </w:rPr>
  </w:style>
  <w:style w:type="paragraph" w:styleId="BodyTextFirstIndent2">
    <w:name w:val="Body Text First Indent 2"/>
    <w:basedOn w:val="BodyTextIndent"/>
    <w:link w:val="BodyTextFirstIndent2Char"/>
    <w:rsid w:val="00A65737"/>
    <w:pPr>
      <w:ind w:firstLine="210"/>
    </w:pPr>
  </w:style>
  <w:style w:type="character" w:customStyle="1" w:styleId="BodyTextFirstIndent2Char">
    <w:name w:val="Body Text First Indent 2 Char"/>
    <w:basedOn w:val="BodyTextIndentChar"/>
    <w:link w:val="BodyTextFirstIndent2"/>
    <w:rsid w:val="00A65737"/>
  </w:style>
  <w:style w:type="paragraph" w:styleId="BodyTextIndent2">
    <w:name w:val="Body Text Indent 2"/>
    <w:basedOn w:val="Normal"/>
    <w:link w:val="BodyTextIndent2Char"/>
    <w:rsid w:val="00A65737"/>
    <w:pPr>
      <w:spacing w:after="120" w:line="480" w:lineRule="auto"/>
      <w:ind w:left="360"/>
    </w:pPr>
  </w:style>
  <w:style w:type="character" w:customStyle="1" w:styleId="BodyTextIndent2Char">
    <w:name w:val="Body Text Indent 2 Char"/>
    <w:basedOn w:val="DefaultParagraphFont"/>
    <w:link w:val="BodyTextIndent2"/>
    <w:rsid w:val="00A65737"/>
    <w:rPr>
      <w:rFonts w:ascii="Times New Roman" w:eastAsia="MS Mincho" w:hAnsi="Times New Roman" w:cs="Times New Roman"/>
      <w:sz w:val="24"/>
      <w:szCs w:val="24"/>
      <w:lang w:val="en-US" w:eastAsia="en-US"/>
    </w:rPr>
  </w:style>
  <w:style w:type="paragraph" w:styleId="BodyTextIndent3">
    <w:name w:val="Body Text Indent 3"/>
    <w:basedOn w:val="Normal"/>
    <w:link w:val="BodyTextIndent3Char"/>
    <w:rsid w:val="00A65737"/>
    <w:pPr>
      <w:spacing w:after="120"/>
      <w:ind w:left="360"/>
    </w:pPr>
    <w:rPr>
      <w:sz w:val="16"/>
      <w:szCs w:val="16"/>
    </w:rPr>
  </w:style>
  <w:style w:type="character" w:customStyle="1" w:styleId="BodyTextIndent3Char">
    <w:name w:val="Body Text Indent 3 Char"/>
    <w:basedOn w:val="DefaultParagraphFont"/>
    <w:link w:val="BodyTextIndent3"/>
    <w:rsid w:val="00A65737"/>
    <w:rPr>
      <w:rFonts w:ascii="Times New Roman" w:eastAsia="MS Mincho" w:hAnsi="Times New Roman" w:cs="Times New Roman"/>
      <w:sz w:val="16"/>
      <w:szCs w:val="16"/>
      <w:lang w:val="en-US" w:eastAsia="en-US"/>
    </w:rPr>
  </w:style>
  <w:style w:type="paragraph" w:customStyle="1" w:styleId="BrokerDisclaimer">
    <w:name w:val="BrokerDisclaimer"/>
    <w:basedOn w:val="Normal"/>
    <w:semiHidden/>
    <w:rsid w:val="00A65737"/>
    <w:pPr>
      <w:spacing w:after="120"/>
    </w:pPr>
    <w:rPr>
      <w:rFonts w:ascii="Arial Narrow" w:hAnsi="Arial Narrow"/>
      <w:noProof/>
      <w:sz w:val="18"/>
    </w:rPr>
  </w:style>
  <w:style w:type="paragraph" w:customStyle="1" w:styleId="Bullet">
    <w:name w:val="Bullet"/>
    <w:basedOn w:val="Body"/>
    <w:qFormat/>
    <w:rsid w:val="00A65737"/>
    <w:pPr>
      <w:numPr>
        <w:numId w:val="9"/>
      </w:numPr>
      <w:tabs>
        <w:tab w:val="left" w:pos="288"/>
      </w:tabs>
      <w:spacing w:after="120"/>
    </w:pPr>
  </w:style>
  <w:style w:type="paragraph" w:customStyle="1" w:styleId="Bullettext">
    <w:name w:val="Bullet text"/>
    <w:basedOn w:val="Normal"/>
    <w:rsid w:val="00A65737"/>
    <w:pPr>
      <w:spacing w:after="240" w:line="240" w:lineRule="exact"/>
    </w:pPr>
    <w:rPr>
      <w:color w:val="000000"/>
      <w:sz w:val="20"/>
      <w:szCs w:val="20"/>
    </w:rPr>
  </w:style>
  <w:style w:type="paragraph" w:customStyle="1" w:styleId="BulletAsia">
    <w:name w:val="BulletAsia"/>
    <w:basedOn w:val="Body"/>
    <w:rsid w:val="00A65737"/>
    <w:pPr>
      <w:numPr>
        <w:numId w:val="10"/>
      </w:numPr>
      <w:tabs>
        <w:tab w:val="left" w:pos="170"/>
      </w:tabs>
      <w:spacing w:after="120"/>
    </w:pPr>
  </w:style>
  <w:style w:type="paragraph" w:customStyle="1" w:styleId="Bullet-first">
    <w:name w:val="Bullet-first"/>
    <w:basedOn w:val="Normal"/>
    <w:rsid w:val="00A65737"/>
    <w:pPr>
      <w:numPr>
        <w:numId w:val="11"/>
      </w:numPr>
      <w:pBdr>
        <w:top w:val="single" w:sz="4" w:space="3" w:color="auto"/>
      </w:pBdr>
      <w:spacing w:before="420" w:after="120"/>
    </w:pPr>
    <w:rPr>
      <w:b/>
      <w:sz w:val="20"/>
    </w:rPr>
  </w:style>
  <w:style w:type="paragraph" w:customStyle="1" w:styleId="Bullet-middle">
    <w:name w:val="Bullet-middle"/>
    <w:basedOn w:val="Bullet-first"/>
    <w:rsid w:val="00A65737"/>
    <w:pPr>
      <w:pBdr>
        <w:top w:val="none" w:sz="0" w:space="0" w:color="auto"/>
      </w:pBdr>
      <w:spacing w:before="0"/>
    </w:pPr>
  </w:style>
  <w:style w:type="paragraph" w:customStyle="1" w:styleId="Bullet-last">
    <w:name w:val="Bullet-last"/>
    <w:basedOn w:val="Normal"/>
    <w:rsid w:val="00A65737"/>
    <w:pPr>
      <w:numPr>
        <w:numId w:val="13"/>
      </w:numPr>
      <w:pBdr>
        <w:bottom w:val="single" w:sz="4" w:space="1" w:color="auto"/>
      </w:pBdr>
      <w:spacing w:after="360"/>
    </w:pPr>
    <w:rPr>
      <w:b/>
      <w:sz w:val="20"/>
    </w:rPr>
  </w:style>
  <w:style w:type="paragraph" w:customStyle="1" w:styleId="BulletRP">
    <w:name w:val="BulletRP"/>
    <w:basedOn w:val="Normal"/>
    <w:rsid w:val="00A65737"/>
    <w:pPr>
      <w:spacing w:after="180" w:line="240" w:lineRule="atLeast"/>
      <w:jc w:val="both"/>
    </w:pPr>
    <w:rPr>
      <w:sz w:val="22"/>
      <w:szCs w:val="22"/>
    </w:rPr>
  </w:style>
  <w:style w:type="paragraph" w:customStyle="1" w:styleId="TableTitle">
    <w:name w:val="Table Title"/>
    <w:basedOn w:val="Body"/>
    <w:next w:val="Normal"/>
    <w:rsid w:val="00A65737"/>
    <w:pPr>
      <w:keepNext/>
      <w:keepLines/>
      <w:spacing w:after="100" w:line="200" w:lineRule="atLeast"/>
    </w:pPr>
    <w:rPr>
      <w:rFonts w:ascii="Arial Narrow" w:hAnsi="Arial Narrow"/>
      <w:b/>
      <w:color w:val="4E8ABE"/>
      <w:sz w:val="18"/>
      <w:szCs w:val="18"/>
    </w:rPr>
  </w:style>
  <w:style w:type="paragraph" w:styleId="Caption">
    <w:name w:val="caption"/>
    <w:aliases w:val="Caption.Appendix,Appendix,c,capt,caption"/>
    <w:basedOn w:val="TableTitle"/>
    <w:next w:val="Normal"/>
    <w:rsid w:val="00A65737"/>
    <w:rPr>
      <w:bCs/>
    </w:rPr>
  </w:style>
  <w:style w:type="paragraph" w:customStyle="1" w:styleId="Chartsubtitle">
    <w:name w:val="Chart subtitle"/>
    <w:basedOn w:val="Normal"/>
    <w:rsid w:val="00A65737"/>
    <w:rPr>
      <w:rFonts w:ascii="Arial Narrow" w:hAnsi="Arial Narrow"/>
      <w:sz w:val="16"/>
    </w:rPr>
  </w:style>
  <w:style w:type="paragraph" w:customStyle="1" w:styleId="Charttitle">
    <w:name w:val="Chart title"/>
    <w:basedOn w:val="Normal"/>
    <w:rsid w:val="00A65737"/>
    <w:rPr>
      <w:rFonts w:ascii="Arial Narrow" w:hAnsi="Arial Narrow"/>
      <w:b/>
      <w:color w:val="4E8ABE"/>
      <w:sz w:val="18"/>
      <w:szCs w:val="18"/>
    </w:rPr>
  </w:style>
  <w:style w:type="paragraph" w:styleId="Closing">
    <w:name w:val="Closing"/>
    <w:basedOn w:val="Normal"/>
    <w:link w:val="ClosingChar"/>
    <w:rsid w:val="00A65737"/>
    <w:pPr>
      <w:ind w:left="4320"/>
    </w:pPr>
  </w:style>
  <w:style w:type="character" w:customStyle="1" w:styleId="ClosingChar">
    <w:name w:val="Closing Char"/>
    <w:basedOn w:val="DefaultParagraphFont"/>
    <w:link w:val="Closing"/>
    <w:rsid w:val="00A65737"/>
    <w:rPr>
      <w:rFonts w:ascii="Times New Roman" w:eastAsia="MS Mincho" w:hAnsi="Times New Roman" w:cs="Times New Roman"/>
      <w:sz w:val="24"/>
      <w:szCs w:val="24"/>
      <w:lang w:val="en-US" w:eastAsia="en-US"/>
    </w:rPr>
  </w:style>
  <w:style w:type="character" w:styleId="CommentReference">
    <w:name w:val="annotation reference"/>
    <w:basedOn w:val="DefaultParagraphFont"/>
    <w:semiHidden/>
    <w:rsid w:val="00A65737"/>
    <w:rPr>
      <w:sz w:val="16"/>
      <w:szCs w:val="16"/>
    </w:rPr>
  </w:style>
  <w:style w:type="paragraph" w:styleId="CommentSubject">
    <w:name w:val="annotation subject"/>
    <w:basedOn w:val="CommentText"/>
    <w:next w:val="CommentText"/>
    <w:link w:val="CommentSubjectChar"/>
    <w:semiHidden/>
    <w:rsid w:val="00A65737"/>
    <w:rPr>
      <w:b/>
      <w:bCs/>
      <w:szCs w:val="20"/>
    </w:rPr>
  </w:style>
  <w:style w:type="character" w:customStyle="1" w:styleId="CommentSubjectChar">
    <w:name w:val="Comment Subject Char"/>
    <w:basedOn w:val="CommentTextChar"/>
    <w:link w:val="CommentSubject"/>
    <w:semiHidden/>
    <w:rsid w:val="00A65737"/>
    <w:rPr>
      <w:b/>
      <w:bCs/>
      <w:szCs w:val="20"/>
    </w:rPr>
  </w:style>
  <w:style w:type="paragraph" w:customStyle="1" w:styleId="CompanyDescription">
    <w:name w:val="CompanyDescription"/>
    <w:basedOn w:val="Body"/>
    <w:qFormat/>
    <w:rsid w:val="00A65737"/>
    <w:pPr>
      <w:pBdr>
        <w:top w:val="single" w:sz="36" w:space="1" w:color="CCDDEC"/>
        <w:left w:val="single" w:sz="36" w:space="4" w:color="CCDDEC"/>
        <w:bottom w:val="single" w:sz="36" w:space="1" w:color="CCDDEC"/>
        <w:right w:val="single" w:sz="36" w:space="4" w:color="CCDDEC"/>
      </w:pBdr>
      <w:shd w:val="clear" w:color="auto" w:fill="CCDDEC"/>
    </w:pPr>
  </w:style>
  <w:style w:type="paragraph" w:customStyle="1" w:styleId="CompanyDescriptionHeader">
    <w:name w:val="CompanyDescriptionHeader"/>
    <w:basedOn w:val="Heading1"/>
    <w:qFormat/>
    <w:rsid w:val="00A65737"/>
    <w:pPr>
      <w:pBdr>
        <w:top w:val="single" w:sz="36" w:space="1" w:color="CCDDEC"/>
        <w:left w:val="single" w:sz="36" w:space="4" w:color="CCDDEC"/>
        <w:bottom w:val="single" w:sz="36" w:space="1" w:color="CCDDEC"/>
        <w:right w:val="single" w:sz="36" w:space="4" w:color="CCDDEC"/>
      </w:pBdr>
      <w:shd w:val="clear" w:color="auto" w:fill="CCDDEC"/>
      <w:spacing w:before="0" w:after="60" w:line="240" w:lineRule="auto"/>
    </w:pPr>
    <w:rPr>
      <w:b/>
      <w:sz w:val="24"/>
      <w:szCs w:val="24"/>
    </w:rPr>
  </w:style>
  <w:style w:type="character" w:customStyle="1" w:styleId="ComplianceMark">
    <w:name w:val="ComplianceMark"/>
    <w:basedOn w:val="DefaultParagraphFont"/>
    <w:rsid w:val="00A65737"/>
    <w:rPr>
      <w:rFonts w:ascii="Arial" w:hAnsi="Arial"/>
      <w:b/>
      <w:sz w:val="18"/>
      <w:szCs w:val="18"/>
      <w:vertAlign w:val="superscript"/>
    </w:rPr>
  </w:style>
  <w:style w:type="paragraph" w:customStyle="1" w:styleId="Country">
    <w:name w:val="Country"/>
    <w:basedOn w:val="Industry"/>
    <w:rsid w:val="00A65737"/>
    <w:pPr>
      <w:spacing w:after="40"/>
    </w:pPr>
  </w:style>
  <w:style w:type="paragraph" w:customStyle="1" w:styleId="CoverContentsTitle">
    <w:name w:val="Cover Contents Title"/>
    <w:next w:val="Normal"/>
    <w:rsid w:val="00A65737"/>
    <w:pPr>
      <w:pBdr>
        <w:bottom w:val="single" w:sz="4" w:space="1" w:color="auto"/>
      </w:pBdr>
      <w:tabs>
        <w:tab w:val="left" w:pos="2693"/>
      </w:tabs>
      <w:spacing w:after="0" w:line="200" w:lineRule="atLeast"/>
    </w:pPr>
    <w:rPr>
      <w:rFonts w:ascii="Arial" w:eastAsia="MS Mincho" w:hAnsi="Arial" w:cs="Arial"/>
      <w:b/>
      <w:color w:val="4E8ABE"/>
      <w:sz w:val="18"/>
      <w:szCs w:val="18"/>
      <w:lang w:val="en-US" w:eastAsia="en-US"/>
    </w:rPr>
  </w:style>
  <w:style w:type="paragraph" w:customStyle="1" w:styleId="CreditAnalystTicker">
    <w:name w:val="CreditAnalystTicker"/>
    <w:basedOn w:val="Body"/>
    <w:rsid w:val="00A65737"/>
    <w:pPr>
      <w:spacing w:after="0" w:line="240" w:lineRule="auto"/>
    </w:pPr>
    <w:rPr>
      <w:rFonts w:ascii="Arial" w:hAnsi="Arial"/>
      <w:sz w:val="16"/>
      <w:szCs w:val="16"/>
    </w:rPr>
  </w:style>
  <w:style w:type="paragraph" w:customStyle="1" w:styleId="CreditAnalystTickerValue">
    <w:name w:val="CreditAnalystTickerValue"/>
    <w:basedOn w:val="Body"/>
    <w:rsid w:val="00A65737"/>
    <w:pPr>
      <w:spacing w:after="0" w:line="240" w:lineRule="auto"/>
    </w:pPr>
    <w:rPr>
      <w:rFonts w:ascii="Arial" w:hAnsi="Arial"/>
      <w:b/>
      <w:sz w:val="22"/>
      <w:szCs w:val="22"/>
    </w:rPr>
  </w:style>
  <w:style w:type="paragraph" w:styleId="Date">
    <w:name w:val="Date"/>
    <w:basedOn w:val="Normal"/>
    <w:next w:val="Normal"/>
    <w:link w:val="DateChar"/>
    <w:rsid w:val="00A65737"/>
  </w:style>
  <w:style w:type="character" w:customStyle="1" w:styleId="DateChar">
    <w:name w:val="Date Char"/>
    <w:basedOn w:val="DefaultParagraphFont"/>
    <w:link w:val="Date"/>
    <w:rsid w:val="00A65737"/>
    <w:rPr>
      <w:rFonts w:ascii="Times New Roman" w:eastAsia="MS Mincho" w:hAnsi="Times New Roman" w:cs="Times New Roman"/>
      <w:sz w:val="24"/>
      <w:szCs w:val="24"/>
      <w:lang w:val="en-US" w:eastAsia="en-US"/>
    </w:rPr>
  </w:style>
  <w:style w:type="paragraph" w:customStyle="1" w:styleId="Disclosure">
    <w:name w:val="Disclosure"/>
    <w:basedOn w:val="Body"/>
    <w:rsid w:val="00A65737"/>
    <w:pPr>
      <w:spacing w:after="50" w:line="175" w:lineRule="exact"/>
      <w:ind w:left="-3125"/>
    </w:pPr>
    <w:rPr>
      <w:bCs/>
      <w:noProof/>
      <w:sz w:val="16"/>
    </w:rPr>
  </w:style>
  <w:style w:type="paragraph" w:customStyle="1" w:styleId="DiscClause">
    <w:name w:val="DiscClause"/>
    <w:basedOn w:val="Disclosure"/>
    <w:rsid w:val="00A65737"/>
    <w:rPr>
      <w:b/>
    </w:rPr>
  </w:style>
  <w:style w:type="paragraph" w:customStyle="1" w:styleId="Disclaimer">
    <w:name w:val="Disclaimer"/>
    <w:basedOn w:val="Normal"/>
    <w:rsid w:val="00A65737"/>
    <w:pPr>
      <w:numPr>
        <w:numId w:val="16"/>
      </w:numPr>
    </w:pPr>
    <w:rPr>
      <w:snapToGrid w:val="0"/>
      <w:color w:val="000000"/>
      <w:sz w:val="18"/>
    </w:rPr>
  </w:style>
  <w:style w:type="paragraph" w:customStyle="1" w:styleId="DisclaimerBP">
    <w:name w:val="DisclaimerBP"/>
    <w:basedOn w:val="Normal"/>
    <w:rsid w:val="00A65737"/>
    <w:pPr>
      <w:keepNext/>
      <w:spacing w:after="240"/>
      <w:ind w:left="-3125"/>
    </w:pPr>
    <w:rPr>
      <w:b/>
      <w:snapToGrid w:val="0"/>
      <w:color w:val="000000"/>
      <w:sz w:val="20"/>
    </w:rPr>
  </w:style>
  <w:style w:type="paragraph" w:customStyle="1" w:styleId="DisclaimerHeading">
    <w:name w:val="DisclaimerHeading"/>
    <w:basedOn w:val="Heading1"/>
    <w:rsid w:val="00A65737"/>
    <w:pPr>
      <w:ind w:left="-3119"/>
    </w:pPr>
    <w:rPr>
      <w:sz w:val="16"/>
      <w:szCs w:val="16"/>
    </w:rPr>
  </w:style>
  <w:style w:type="paragraph" w:customStyle="1" w:styleId="DisclaimerText">
    <w:name w:val="DisclaimerText"/>
    <w:basedOn w:val="Normal"/>
    <w:rsid w:val="00A65737"/>
    <w:pPr>
      <w:ind w:left="-3125"/>
    </w:pPr>
    <w:rPr>
      <w:snapToGrid w:val="0"/>
      <w:color w:val="000000"/>
      <w:sz w:val="16"/>
    </w:rPr>
  </w:style>
  <w:style w:type="paragraph" w:customStyle="1" w:styleId="DisclosureDistribution">
    <w:name w:val="DisclosureDistribution"/>
    <w:basedOn w:val="Disclosure"/>
    <w:rsid w:val="00A65737"/>
    <w:pPr>
      <w:spacing w:after="0"/>
    </w:pPr>
    <w:rPr>
      <w:b/>
      <w:bCs w:val="0"/>
      <w:sz w:val="18"/>
    </w:rPr>
  </w:style>
  <w:style w:type="paragraph" w:customStyle="1" w:styleId="DisclosureFreeText">
    <w:name w:val="DisclosureFreeText"/>
    <w:basedOn w:val="FooterFrontPage"/>
    <w:rsid w:val="00A65737"/>
    <w:pPr>
      <w:framePr w:wrap="around"/>
    </w:pPr>
    <w:rPr>
      <w:rFonts w:ascii="Times New Roman" w:hAnsi="Times New Roman"/>
      <w:b/>
    </w:rPr>
  </w:style>
  <w:style w:type="paragraph" w:customStyle="1" w:styleId="DisclosureHead">
    <w:name w:val="DisclosureHead"/>
    <w:basedOn w:val="Disclosure"/>
    <w:rsid w:val="00A65737"/>
    <w:pPr>
      <w:keepNext/>
      <w:pBdr>
        <w:top w:val="single" w:sz="4" w:space="1" w:color="auto"/>
      </w:pBdr>
    </w:pPr>
    <w:rPr>
      <w:b/>
    </w:rPr>
  </w:style>
  <w:style w:type="paragraph" w:customStyle="1" w:styleId="DocTitle">
    <w:name w:val="DocTitle"/>
    <w:basedOn w:val="Body"/>
    <w:next w:val="Body"/>
    <w:rsid w:val="00A65737"/>
    <w:pPr>
      <w:spacing w:after="0" w:line="480" w:lineRule="atLeast"/>
    </w:pPr>
    <w:rPr>
      <w:rFonts w:ascii="Arial" w:hAnsi="Arial"/>
      <w:b/>
      <w:sz w:val="40"/>
    </w:rPr>
  </w:style>
  <w:style w:type="paragraph" w:styleId="DocumentMap">
    <w:name w:val="Document Map"/>
    <w:basedOn w:val="Normal"/>
    <w:link w:val="DocumentMapChar"/>
    <w:semiHidden/>
    <w:rsid w:val="00A65737"/>
    <w:pPr>
      <w:shd w:val="clear" w:color="auto" w:fill="000080"/>
    </w:pPr>
    <w:rPr>
      <w:rFonts w:ascii="Tahoma" w:hAnsi="Tahoma" w:cs="Tahoma"/>
    </w:rPr>
  </w:style>
  <w:style w:type="character" w:customStyle="1" w:styleId="DocumentMapChar">
    <w:name w:val="Document Map Char"/>
    <w:basedOn w:val="DefaultParagraphFont"/>
    <w:link w:val="DocumentMap"/>
    <w:semiHidden/>
    <w:rsid w:val="00A65737"/>
    <w:rPr>
      <w:rFonts w:ascii="Tahoma" w:eastAsia="MS Mincho" w:hAnsi="Tahoma" w:cs="Tahoma"/>
      <w:sz w:val="24"/>
      <w:szCs w:val="24"/>
      <w:shd w:val="clear" w:color="auto" w:fill="000080"/>
      <w:lang w:val="en-US" w:eastAsia="en-US"/>
    </w:rPr>
  </w:style>
  <w:style w:type="paragraph" w:customStyle="1" w:styleId="DraftMark">
    <w:name w:val="DraftMark"/>
    <w:rsid w:val="00A65737"/>
    <w:pPr>
      <w:widowControl w:val="0"/>
      <w:spacing w:after="0" w:line="0" w:lineRule="atLeast"/>
    </w:pPr>
    <w:rPr>
      <w:rFonts w:ascii="Times New Roman" w:eastAsia="MS Mincho" w:hAnsi="Times New Roman" w:cs="Times New Roman"/>
      <w:b/>
      <w:noProof/>
      <w:color w:val="C50000"/>
      <w:kern w:val="28"/>
      <w:sz w:val="36"/>
      <w:szCs w:val="36"/>
      <w:lang w:val="en-US" w:eastAsia="en-US"/>
    </w:rPr>
  </w:style>
  <w:style w:type="paragraph" w:customStyle="1" w:styleId="EarningsBody">
    <w:name w:val="EarningsBody"/>
    <w:basedOn w:val="Normal"/>
    <w:next w:val="Body"/>
    <w:semiHidden/>
    <w:rsid w:val="00A65737"/>
    <w:pPr>
      <w:ind w:left="-3125"/>
    </w:pPr>
    <w:rPr>
      <w:sz w:val="20"/>
    </w:rPr>
  </w:style>
  <w:style w:type="paragraph" w:customStyle="1" w:styleId="EarningsCover">
    <w:name w:val="EarningsCover"/>
    <w:basedOn w:val="Footer"/>
    <w:next w:val="Normal"/>
    <w:semiHidden/>
    <w:rsid w:val="00A65737"/>
    <w:pPr>
      <w:framePr w:wrap="around" w:hAnchor="text" w:yAlign="bottom"/>
      <w:spacing w:before="0"/>
    </w:pPr>
  </w:style>
  <w:style w:type="paragraph" w:customStyle="1" w:styleId="Phone">
    <w:name w:val="Phone"/>
    <w:basedOn w:val="Body"/>
    <w:next w:val="Normal"/>
    <w:rsid w:val="00A65737"/>
    <w:pPr>
      <w:spacing w:after="40" w:line="240" w:lineRule="auto"/>
    </w:pPr>
    <w:rPr>
      <w:rFonts w:ascii="Arial" w:hAnsi="Arial"/>
      <w:noProof/>
      <w:sz w:val="14"/>
    </w:rPr>
  </w:style>
  <w:style w:type="paragraph" w:customStyle="1" w:styleId="EMail">
    <w:name w:val="EMail"/>
    <w:basedOn w:val="Phone"/>
    <w:next w:val="Normal"/>
    <w:rsid w:val="00A65737"/>
    <w:pPr>
      <w:spacing w:after="60"/>
    </w:pPr>
  </w:style>
  <w:style w:type="paragraph" w:styleId="E-mailSignature">
    <w:name w:val="E-mail Signature"/>
    <w:basedOn w:val="Normal"/>
    <w:link w:val="E-mailSignatureChar"/>
    <w:rsid w:val="00A65737"/>
  </w:style>
  <w:style w:type="character" w:customStyle="1" w:styleId="E-mailSignatureChar">
    <w:name w:val="E-mail Signature Char"/>
    <w:basedOn w:val="DefaultParagraphFont"/>
    <w:link w:val="E-mailSignature"/>
    <w:rsid w:val="00A65737"/>
    <w:rPr>
      <w:rFonts w:ascii="Times New Roman" w:eastAsia="MS Mincho" w:hAnsi="Times New Roman" w:cs="Times New Roman"/>
      <w:sz w:val="24"/>
      <w:szCs w:val="24"/>
      <w:lang w:val="en-US" w:eastAsia="en-US"/>
    </w:rPr>
  </w:style>
  <w:style w:type="paragraph" w:customStyle="1" w:styleId="EmailSide">
    <w:name w:val="EmailSide"/>
    <w:basedOn w:val="EMail"/>
    <w:next w:val="Normal"/>
    <w:rsid w:val="00A65737"/>
    <w:pPr>
      <w:framePr w:w="2520" w:hSpace="187" w:vSpace="187" w:wrap="around" w:vAnchor="text" w:hAnchor="margin" w:x="-3124" w:y="1"/>
    </w:pPr>
  </w:style>
  <w:style w:type="character" w:styleId="Emphasis">
    <w:name w:val="Emphasis"/>
    <w:basedOn w:val="DefaultParagraphFont"/>
    <w:rsid w:val="00A65737"/>
    <w:rPr>
      <w:i/>
      <w:iCs/>
    </w:rPr>
  </w:style>
  <w:style w:type="character" w:styleId="EndnoteReference">
    <w:name w:val="endnote reference"/>
    <w:basedOn w:val="DefaultParagraphFont"/>
    <w:semiHidden/>
    <w:rsid w:val="00A65737"/>
    <w:rPr>
      <w:vertAlign w:val="superscript"/>
    </w:rPr>
  </w:style>
  <w:style w:type="paragraph" w:styleId="EndnoteText">
    <w:name w:val="endnote text"/>
    <w:basedOn w:val="Normal"/>
    <w:link w:val="EndnoteTextChar"/>
    <w:semiHidden/>
    <w:rsid w:val="00A65737"/>
    <w:rPr>
      <w:sz w:val="20"/>
    </w:rPr>
  </w:style>
  <w:style w:type="character" w:customStyle="1" w:styleId="EndnoteTextChar">
    <w:name w:val="Endnote Text Char"/>
    <w:basedOn w:val="DefaultParagraphFont"/>
    <w:link w:val="EndnoteText"/>
    <w:semiHidden/>
    <w:rsid w:val="00A65737"/>
    <w:rPr>
      <w:rFonts w:ascii="Times New Roman" w:eastAsia="MS Mincho" w:hAnsi="Times New Roman" w:cs="Times New Roman"/>
      <w:sz w:val="20"/>
      <w:szCs w:val="24"/>
      <w:lang w:val="en-US" w:eastAsia="en-US"/>
    </w:rPr>
  </w:style>
  <w:style w:type="paragraph" w:styleId="EnvelopeAddress">
    <w:name w:val="envelope address"/>
    <w:basedOn w:val="Normal"/>
    <w:rsid w:val="00A65737"/>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A65737"/>
    <w:rPr>
      <w:rFonts w:ascii="Arial" w:hAnsi="Arial" w:cs="Arial"/>
      <w:sz w:val="20"/>
    </w:rPr>
  </w:style>
  <w:style w:type="paragraph" w:customStyle="1" w:styleId="ESTableCaption">
    <w:name w:val="ESTableCaption"/>
    <w:next w:val="Normal"/>
    <w:semiHidden/>
    <w:rsid w:val="00A65737"/>
    <w:pPr>
      <w:spacing w:after="20" w:line="240" w:lineRule="auto"/>
    </w:pPr>
    <w:rPr>
      <w:rFonts w:ascii="Arial" w:eastAsia="MS Mincho" w:hAnsi="Arial" w:cs="Arial"/>
      <w:b/>
      <w:noProof/>
      <w:sz w:val="18"/>
      <w:szCs w:val="18"/>
      <w:lang w:val="en-US" w:eastAsia="en-US"/>
    </w:rPr>
  </w:style>
  <w:style w:type="paragraph" w:customStyle="1" w:styleId="ESTableRow">
    <w:name w:val="ESTableRow"/>
    <w:semiHidden/>
    <w:rsid w:val="00A65737"/>
    <w:pPr>
      <w:spacing w:after="0" w:line="240" w:lineRule="auto"/>
    </w:pPr>
    <w:rPr>
      <w:rFonts w:ascii="Arial" w:eastAsia="MS Mincho" w:hAnsi="Arial" w:cs="Arial"/>
      <w:noProof/>
      <w:sz w:val="16"/>
      <w:szCs w:val="16"/>
      <w:lang w:val="en-US" w:eastAsia="en-US"/>
    </w:rPr>
  </w:style>
  <w:style w:type="paragraph" w:customStyle="1" w:styleId="ESTableFootnote">
    <w:name w:val="ESTableFootnote"/>
    <w:basedOn w:val="ESTableRow"/>
    <w:semiHidden/>
    <w:rsid w:val="00A65737"/>
    <w:rPr>
      <w:sz w:val="14"/>
    </w:rPr>
  </w:style>
  <w:style w:type="character" w:customStyle="1" w:styleId="FASB123">
    <w:name w:val="FASB123"/>
    <w:basedOn w:val="DefaultParagraphFont"/>
    <w:rsid w:val="00A65737"/>
    <w:rPr>
      <w:rFonts w:ascii="Arial Narrow" w:hAnsi="Arial Narrow"/>
      <w:b/>
      <w:dstrike w:val="0"/>
      <w:sz w:val="18"/>
      <w:szCs w:val="18"/>
      <w:vertAlign w:val="superscript"/>
    </w:rPr>
  </w:style>
  <w:style w:type="paragraph" w:customStyle="1" w:styleId="FigureTitle">
    <w:name w:val="FigureTitle"/>
    <w:basedOn w:val="Body"/>
    <w:next w:val="Body"/>
    <w:rsid w:val="00A65737"/>
    <w:pPr>
      <w:keepNext/>
      <w:keepLines/>
      <w:spacing w:after="0" w:line="200" w:lineRule="atLeast"/>
    </w:pPr>
    <w:rPr>
      <w:rFonts w:ascii="Arial Narrow" w:hAnsi="Arial Narrow"/>
      <w:b/>
      <w:color w:val="4E8ABE"/>
      <w:sz w:val="18"/>
      <w:szCs w:val="18"/>
    </w:rPr>
  </w:style>
  <w:style w:type="character" w:styleId="FollowedHyperlink">
    <w:name w:val="FollowedHyperlink"/>
    <w:basedOn w:val="DefaultParagraphFont"/>
    <w:rsid w:val="00A65737"/>
    <w:rPr>
      <w:color w:val="800080"/>
      <w:u w:val="single"/>
    </w:rPr>
  </w:style>
  <w:style w:type="character" w:styleId="FootnoteReference">
    <w:name w:val="footnote reference"/>
    <w:basedOn w:val="DefaultParagraphFont"/>
    <w:semiHidden/>
    <w:rsid w:val="00A65737"/>
    <w:rPr>
      <w:sz w:val="20"/>
      <w:vertAlign w:val="superscript"/>
    </w:rPr>
  </w:style>
  <w:style w:type="paragraph" w:styleId="FootnoteText">
    <w:name w:val="footnote text"/>
    <w:basedOn w:val="Normal"/>
    <w:link w:val="FootnoteTextChar"/>
    <w:semiHidden/>
    <w:rsid w:val="00A65737"/>
    <w:rPr>
      <w:sz w:val="18"/>
    </w:rPr>
  </w:style>
  <w:style w:type="character" w:customStyle="1" w:styleId="FootnoteTextChar">
    <w:name w:val="Footnote Text Char"/>
    <w:basedOn w:val="DefaultParagraphFont"/>
    <w:link w:val="FootnoteText"/>
    <w:semiHidden/>
    <w:rsid w:val="00A65737"/>
    <w:rPr>
      <w:rFonts w:ascii="Times New Roman" w:eastAsia="MS Mincho" w:hAnsi="Times New Roman" w:cs="Times New Roman"/>
      <w:sz w:val="18"/>
      <w:szCs w:val="24"/>
      <w:lang w:val="en-US" w:eastAsia="en-US"/>
    </w:rPr>
  </w:style>
  <w:style w:type="paragraph" w:customStyle="1" w:styleId="FootnoteEarningsTable">
    <w:name w:val="FootnoteEarningsTable"/>
    <w:basedOn w:val="Body"/>
    <w:rsid w:val="00A65737"/>
    <w:pPr>
      <w:spacing w:before="20" w:after="0" w:line="240" w:lineRule="auto"/>
    </w:pPr>
    <w:rPr>
      <w:noProof/>
      <w:sz w:val="12"/>
    </w:rPr>
  </w:style>
  <w:style w:type="paragraph" w:customStyle="1" w:styleId="FPBody">
    <w:name w:val="FPBody"/>
    <w:basedOn w:val="Body"/>
    <w:rsid w:val="00A65737"/>
    <w:pPr>
      <w:spacing w:after="180"/>
      <w:ind w:right="3272"/>
      <w:jc w:val="both"/>
    </w:pPr>
    <w:rPr>
      <w:sz w:val="22"/>
    </w:rPr>
  </w:style>
  <w:style w:type="paragraph" w:customStyle="1" w:styleId="FPBodyNala">
    <w:name w:val="FPBodyNala"/>
    <w:basedOn w:val="FPBody"/>
    <w:next w:val="Normal"/>
    <w:rsid w:val="00A65737"/>
  </w:style>
  <w:style w:type="paragraph" w:customStyle="1" w:styleId="FPBulletBold">
    <w:name w:val="FPBulletBold"/>
    <w:basedOn w:val="Normal"/>
    <w:rsid w:val="00A65737"/>
    <w:pPr>
      <w:spacing w:after="180" w:line="240" w:lineRule="atLeast"/>
      <w:ind w:left="187" w:hanging="187"/>
      <w:jc w:val="both"/>
    </w:pPr>
    <w:rPr>
      <w:b/>
      <w:sz w:val="20"/>
      <w:szCs w:val="22"/>
    </w:rPr>
  </w:style>
  <w:style w:type="paragraph" w:customStyle="1" w:styleId="FPLegalEntityName">
    <w:name w:val="FPLegalEntityName"/>
    <w:basedOn w:val="EMail"/>
    <w:rsid w:val="00A65737"/>
    <w:pPr>
      <w:pBdr>
        <w:bottom w:val="single" w:sz="2" w:space="4" w:color="auto"/>
      </w:pBdr>
    </w:pPr>
    <w:rPr>
      <w:color w:val="000000"/>
      <w:szCs w:val="14"/>
    </w:rPr>
  </w:style>
  <w:style w:type="table" w:customStyle="1" w:styleId="GPSDisclosureTable">
    <w:name w:val="GPSDisclosureTable"/>
    <w:basedOn w:val="TableNormal"/>
    <w:rsid w:val="00A65737"/>
    <w:pPr>
      <w:spacing w:after="0" w:line="240" w:lineRule="auto"/>
    </w:pPr>
    <w:rPr>
      <w:rFonts w:ascii="Times New Roman" w:eastAsia="MS Mincho" w:hAnsi="Times New Roman" w:cs="Times New Roman"/>
      <w:sz w:val="20"/>
      <w:szCs w:val="20"/>
      <w:lang w:val="en-US"/>
    </w:rPr>
    <w:tblPr>
      <w:tblInd w:w="0" w:type="dxa"/>
      <w:tblCellMar>
        <w:top w:w="0" w:type="dxa"/>
        <w:left w:w="108" w:type="dxa"/>
        <w:bottom w:w="0" w:type="dxa"/>
        <w:right w:w="108" w:type="dxa"/>
      </w:tblCellMar>
    </w:tblPr>
  </w:style>
  <w:style w:type="table" w:styleId="TableSimple1">
    <w:name w:val="Table Simple 1"/>
    <w:basedOn w:val="TableNormal"/>
    <w:rsid w:val="00A65737"/>
    <w:pPr>
      <w:spacing w:after="0" w:line="240" w:lineRule="auto"/>
    </w:pPr>
    <w:rPr>
      <w:rFonts w:ascii="Times New Roman" w:eastAsia="MS Mincho" w:hAnsi="Times New Roman" w:cs="Times New Roman"/>
      <w:sz w:val="20"/>
      <w:szCs w:val="20"/>
      <w:lang w:val="en-US"/>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GPSTable">
    <w:name w:val="GPSTable"/>
    <w:basedOn w:val="TableSimple1"/>
    <w:rsid w:val="00A65737"/>
    <w:pPr>
      <w:jc w:val="right"/>
    </w:pPr>
    <w:rPr>
      <w:rFonts w:ascii="Arial" w:hAnsi="Arial"/>
      <w:sz w:val="16"/>
    </w:rPr>
    <w:tblPr>
      <w:tblInd w:w="0" w:type="dxa"/>
      <w:tblBorders>
        <w:top w:val="single" w:sz="12" w:space="0" w:color="008000"/>
        <w:bottom w:val="single" w:sz="12" w:space="0" w:color="008000"/>
      </w:tblBorders>
      <w:tblCellMar>
        <w:top w:w="0" w:type="dxa"/>
        <w:left w:w="0" w:type="dxa"/>
        <w:bottom w:w="0" w:type="dxa"/>
        <w:right w:w="0" w:type="dxa"/>
      </w:tblCellMar>
    </w:tblPr>
    <w:tcPr>
      <w:shd w:val="clear" w:color="auto" w:fill="auto"/>
    </w:tcPr>
    <w:tblStylePr w:type="firstRow">
      <w:rPr>
        <w:rFonts w:ascii="Arial" w:hAnsi="Arial"/>
        <w:b/>
        <w:i w:val="0"/>
        <w:sz w:val="16"/>
        <w:szCs w:val="16"/>
      </w:rPr>
      <w:tblPr/>
      <w:tcPr>
        <w:tcBorders>
          <w:top w:val="single" w:sz="4" w:space="0" w:color="000000"/>
          <w:left w:val="nil"/>
          <w:bottom w:val="single" w:sz="4" w:space="0" w:color="000000"/>
          <w:right w:val="nil"/>
          <w:insideH w:val="nil"/>
          <w:insideV w:val="nil"/>
          <w:tl2br w:val="nil"/>
          <w:tr2bl w:val="nil"/>
        </w:tcBorders>
        <w:shd w:val="clear" w:color="auto" w:fill="auto"/>
      </w:tcPr>
    </w:tblStylePr>
    <w:tblStylePr w:type="lastRow">
      <w:tblPr/>
      <w:tcPr>
        <w:tcBorders>
          <w:top w:val="nil"/>
          <w:left w:val="nil"/>
          <w:bottom w:val="single" w:sz="4" w:space="0" w:color="000000"/>
          <w:right w:val="nil"/>
          <w:insideH w:val="nil"/>
          <w:insideV w:val="nil"/>
          <w:tl2br w:val="nil"/>
          <w:tr2bl w:val="nil"/>
        </w:tcBorders>
        <w:shd w:val="clear" w:color="auto" w:fill="auto"/>
      </w:tcPr>
    </w:tblStylePr>
    <w:tblStylePr w:type="firstCol">
      <w:pPr>
        <w:wordWrap/>
        <w:jc w:val="left"/>
      </w:pPr>
      <w:rPr>
        <w:b w:val="0"/>
        <w:i w:val="0"/>
      </w:rPr>
    </w:tblStylePr>
    <w:tblStylePr w:type="lastCol">
      <w:rPr>
        <w:b w:val="0"/>
      </w:rPr>
    </w:tblStylePr>
  </w:style>
  <w:style w:type="paragraph" w:customStyle="1" w:styleId="GroupName">
    <w:name w:val="GroupName"/>
    <w:basedOn w:val="Industry"/>
    <w:next w:val="Normal"/>
    <w:rsid w:val="00A65737"/>
    <w:pPr>
      <w:spacing w:after="60"/>
    </w:pPr>
  </w:style>
  <w:style w:type="table" w:customStyle="1" w:styleId="HeaderDetailsTable">
    <w:name w:val="HeaderDetailsTable"/>
    <w:basedOn w:val="TableNormal"/>
    <w:rsid w:val="00A65737"/>
    <w:pPr>
      <w:spacing w:after="0" w:line="240" w:lineRule="auto"/>
    </w:pPr>
    <w:rPr>
      <w:rFonts w:ascii="Arial" w:eastAsia="MS Mincho" w:hAnsi="Arial" w:cs="Times New Roman"/>
      <w:sz w:val="20"/>
      <w:szCs w:val="20"/>
      <w:lang w:val="en-US"/>
    </w:rPr>
    <w:tblPr>
      <w:tblInd w:w="7186" w:type="dxa"/>
      <w:tblCellMar>
        <w:top w:w="0" w:type="dxa"/>
        <w:left w:w="108" w:type="dxa"/>
        <w:bottom w:w="0" w:type="dxa"/>
        <w:right w:w="108" w:type="dxa"/>
      </w:tblCellMar>
    </w:tblPr>
    <w:tcPr>
      <w:shd w:val="clear" w:color="auto" w:fill="auto"/>
    </w:tcPr>
  </w:style>
  <w:style w:type="paragraph" w:customStyle="1" w:styleId="Heading1-NoTOC">
    <w:name w:val="Heading 1 -No TOC"/>
    <w:basedOn w:val="Heading1"/>
    <w:qFormat/>
    <w:rsid w:val="00A65737"/>
  </w:style>
  <w:style w:type="paragraph" w:customStyle="1" w:styleId="Heading2-NoTOC">
    <w:name w:val="Heading 2 -No TOC"/>
    <w:basedOn w:val="Heading2"/>
    <w:qFormat/>
    <w:rsid w:val="00A65737"/>
  </w:style>
  <w:style w:type="paragraph" w:customStyle="1" w:styleId="HeadingVR">
    <w:name w:val="Heading VR"/>
    <w:basedOn w:val="Heading2"/>
    <w:rsid w:val="00A65737"/>
    <w:pPr>
      <w:spacing w:before="120" w:after="80" w:line="160" w:lineRule="atLeast"/>
    </w:pPr>
  </w:style>
  <w:style w:type="character" w:customStyle="1" w:styleId="HeadingVRRatingPT">
    <w:name w:val="Heading VR (Rating/PT)"/>
    <w:basedOn w:val="DefaultParagraphFont"/>
    <w:rsid w:val="00A65737"/>
    <w:rPr>
      <w:rFonts w:ascii="Arial" w:hAnsi="Arial"/>
      <w:b/>
      <w:i/>
      <w:sz w:val="20"/>
      <w:szCs w:val="20"/>
    </w:rPr>
  </w:style>
  <w:style w:type="paragraph" w:customStyle="1" w:styleId="Heading1Abstract">
    <w:name w:val="Heading1Abstract"/>
    <w:basedOn w:val="Heading1"/>
    <w:semiHidden/>
    <w:rsid w:val="00A65737"/>
    <w:pPr>
      <w:outlineLvl w:val="9"/>
    </w:pPr>
  </w:style>
  <w:style w:type="paragraph" w:customStyle="1" w:styleId="HeadlineRPText">
    <w:name w:val="HeadlineRPText"/>
    <w:basedOn w:val="Body"/>
    <w:semiHidden/>
    <w:rsid w:val="00A65737"/>
    <w:pPr>
      <w:spacing w:after="0" w:line="240" w:lineRule="auto"/>
      <w:ind w:left="-3125"/>
    </w:pPr>
  </w:style>
  <w:style w:type="paragraph" w:customStyle="1" w:styleId="HeadlineRPHangingIndent">
    <w:name w:val="HeadlineRPHangingIndent"/>
    <w:basedOn w:val="HeadlineRPText"/>
    <w:semiHidden/>
    <w:rsid w:val="00A65737"/>
    <w:pPr>
      <w:ind w:left="-1685" w:hanging="1440"/>
    </w:pPr>
  </w:style>
  <w:style w:type="paragraph" w:customStyle="1" w:styleId="HeadlineRPSubject">
    <w:name w:val="HeadlineRPSubject"/>
    <w:basedOn w:val="Heading2"/>
    <w:semiHidden/>
    <w:rsid w:val="00A65737"/>
    <w:pPr>
      <w:outlineLvl w:val="9"/>
    </w:pPr>
  </w:style>
  <w:style w:type="character" w:customStyle="1" w:styleId="HiddenFieldRP">
    <w:name w:val="HiddenFieldRP"/>
    <w:basedOn w:val="DefaultParagraphFont"/>
    <w:semiHidden/>
    <w:rsid w:val="00A65737"/>
    <w:rPr>
      <w:rFonts w:ascii="Arial" w:hAnsi="Arial"/>
      <w:vanish/>
      <w:color w:val="FFFFFF"/>
      <w:sz w:val="2"/>
    </w:rPr>
  </w:style>
  <w:style w:type="character" w:styleId="HTMLAcronym">
    <w:name w:val="HTML Acronym"/>
    <w:basedOn w:val="DefaultParagraphFont"/>
    <w:rsid w:val="00A65737"/>
  </w:style>
  <w:style w:type="paragraph" w:styleId="HTMLAddress">
    <w:name w:val="HTML Address"/>
    <w:basedOn w:val="Normal"/>
    <w:link w:val="HTMLAddressChar"/>
    <w:rsid w:val="00A65737"/>
    <w:rPr>
      <w:i/>
      <w:iCs/>
    </w:rPr>
  </w:style>
  <w:style w:type="character" w:customStyle="1" w:styleId="HTMLAddressChar">
    <w:name w:val="HTML Address Char"/>
    <w:basedOn w:val="DefaultParagraphFont"/>
    <w:link w:val="HTMLAddress"/>
    <w:rsid w:val="00A65737"/>
    <w:rPr>
      <w:rFonts w:ascii="Times New Roman" w:eastAsia="MS Mincho" w:hAnsi="Times New Roman" w:cs="Times New Roman"/>
      <w:i/>
      <w:iCs/>
      <w:sz w:val="24"/>
      <w:szCs w:val="24"/>
      <w:lang w:val="en-US" w:eastAsia="en-US"/>
    </w:rPr>
  </w:style>
  <w:style w:type="character" w:styleId="HTMLCite">
    <w:name w:val="HTML Cite"/>
    <w:basedOn w:val="DefaultParagraphFont"/>
    <w:rsid w:val="00A65737"/>
    <w:rPr>
      <w:i/>
      <w:iCs/>
    </w:rPr>
  </w:style>
  <w:style w:type="character" w:styleId="HTMLCode">
    <w:name w:val="HTML Code"/>
    <w:basedOn w:val="DefaultParagraphFont"/>
    <w:rsid w:val="00A65737"/>
    <w:rPr>
      <w:rFonts w:ascii="Courier New" w:hAnsi="Courier New"/>
      <w:sz w:val="20"/>
      <w:szCs w:val="20"/>
    </w:rPr>
  </w:style>
  <w:style w:type="character" w:styleId="HTMLDefinition">
    <w:name w:val="HTML Definition"/>
    <w:basedOn w:val="DefaultParagraphFont"/>
    <w:rsid w:val="00A65737"/>
    <w:rPr>
      <w:i/>
      <w:iCs/>
    </w:rPr>
  </w:style>
  <w:style w:type="character" w:styleId="HTMLKeyboard">
    <w:name w:val="HTML Keyboard"/>
    <w:basedOn w:val="DefaultParagraphFont"/>
    <w:rsid w:val="00A65737"/>
    <w:rPr>
      <w:rFonts w:ascii="Courier New" w:hAnsi="Courier New"/>
      <w:sz w:val="20"/>
      <w:szCs w:val="20"/>
    </w:rPr>
  </w:style>
  <w:style w:type="paragraph" w:styleId="HTMLPreformatted">
    <w:name w:val="HTML Preformatted"/>
    <w:basedOn w:val="Normal"/>
    <w:link w:val="HTMLPreformattedChar"/>
    <w:rsid w:val="00A65737"/>
    <w:rPr>
      <w:rFonts w:ascii="Courier New" w:hAnsi="Courier New" w:cs="Courier New"/>
      <w:sz w:val="20"/>
    </w:rPr>
  </w:style>
  <w:style w:type="character" w:customStyle="1" w:styleId="HTMLPreformattedChar">
    <w:name w:val="HTML Preformatted Char"/>
    <w:basedOn w:val="DefaultParagraphFont"/>
    <w:link w:val="HTMLPreformatted"/>
    <w:rsid w:val="00A65737"/>
    <w:rPr>
      <w:rFonts w:ascii="Courier New" w:eastAsia="MS Mincho" w:hAnsi="Courier New" w:cs="Courier New"/>
      <w:sz w:val="20"/>
      <w:szCs w:val="24"/>
      <w:lang w:val="en-US" w:eastAsia="en-US"/>
    </w:rPr>
  </w:style>
  <w:style w:type="character" w:styleId="HTMLSample">
    <w:name w:val="HTML Sample"/>
    <w:basedOn w:val="DefaultParagraphFont"/>
    <w:rsid w:val="00A65737"/>
    <w:rPr>
      <w:rFonts w:ascii="Courier New" w:hAnsi="Courier New"/>
    </w:rPr>
  </w:style>
  <w:style w:type="character" w:styleId="HTMLTypewriter">
    <w:name w:val="HTML Typewriter"/>
    <w:basedOn w:val="DefaultParagraphFont"/>
    <w:rsid w:val="00A65737"/>
    <w:rPr>
      <w:rFonts w:ascii="Courier New" w:hAnsi="Courier New"/>
      <w:sz w:val="20"/>
      <w:szCs w:val="20"/>
    </w:rPr>
  </w:style>
  <w:style w:type="character" w:styleId="HTMLVariable">
    <w:name w:val="HTML Variable"/>
    <w:basedOn w:val="DefaultParagraphFont"/>
    <w:rsid w:val="00A65737"/>
    <w:rPr>
      <w:i/>
      <w:iCs/>
    </w:rPr>
  </w:style>
  <w:style w:type="character" w:styleId="Hyperlink">
    <w:name w:val="Hyperlink"/>
    <w:basedOn w:val="DefaultParagraphFont"/>
    <w:uiPriority w:val="99"/>
    <w:rsid w:val="00A65737"/>
    <w:rPr>
      <w:color w:val="0000FF"/>
      <w:u w:val="single"/>
    </w:rPr>
  </w:style>
  <w:style w:type="paragraph" w:styleId="Index1">
    <w:name w:val="index 1"/>
    <w:basedOn w:val="Normal"/>
    <w:next w:val="Normal"/>
    <w:autoRedefine/>
    <w:semiHidden/>
    <w:rsid w:val="00A65737"/>
    <w:pPr>
      <w:ind w:left="240" w:hanging="240"/>
    </w:pPr>
  </w:style>
  <w:style w:type="paragraph" w:styleId="Index2">
    <w:name w:val="index 2"/>
    <w:basedOn w:val="Normal"/>
    <w:next w:val="Normal"/>
    <w:autoRedefine/>
    <w:semiHidden/>
    <w:rsid w:val="00A65737"/>
    <w:pPr>
      <w:ind w:left="480" w:hanging="240"/>
    </w:pPr>
  </w:style>
  <w:style w:type="paragraph" w:styleId="Index3">
    <w:name w:val="index 3"/>
    <w:basedOn w:val="Normal"/>
    <w:next w:val="Normal"/>
    <w:autoRedefine/>
    <w:semiHidden/>
    <w:rsid w:val="00A65737"/>
    <w:pPr>
      <w:ind w:left="720" w:hanging="240"/>
    </w:pPr>
  </w:style>
  <w:style w:type="paragraph" w:styleId="Index4">
    <w:name w:val="index 4"/>
    <w:basedOn w:val="Normal"/>
    <w:next w:val="Normal"/>
    <w:autoRedefine/>
    <w:semiHidden/>
    <w:rsid w:val="00A65737"/>
    <w:pPr>
      <w:ind w:left="960" w:hanging="240"/>
    </w:pPr>
  </w:style>
  <w:style w:type="paragraph" w:styleId="Index5">
    <w:name w:val="index 5"/>
    <w:basedOn w:val="Normal"/>
    <w:next w:val="Normal"/>
    <w:autoRedefine/>
    <w:semiHidden/>
    <w:rsid w:val="00A65737"/>
    <w:pPr>
      <w:ind w:left="1200" w:hanging="240"/>
    </w:pPr>
  </w:style>
  <w:style w:type="paragraph" w:styleId="Index6">
    <w:name w:val="index 6"/>
    <w:basedOn w:val="Normal"/>
    <w:next w:val="Normal"/>
    <w:autoRedefine/>
    <w:semiHidden/>
    <w:rsid w:val="00A65737"/>
    <w:pPr>
      <w:ind w:left="1440" w:hanging="240"/>
    </w:pPr>
  </w:style>
  <w:style w:type="paragraph" w:styleId="Index7">
    <w:name w:val="index 7"/>
    <w:basedOn w:val="Normal"/>
    <w:next w:val="Normal"/>
    <w:autoRedefine/>
    <w:semiHidden/>
    <w:rsid w:val="00A65737"/>
    <w:pPr>
      <w:ind w:left="1680" w:hanging="240"/>
    </w:pPr>
  </w:style>
  <w:style w:type="paragraph" w:styleId="Index8">
    <w:name w:val="index 8"/>
    <w:basedOn w:val="Normal"/>
    <w:next w:val="Normal"/>
    <w:autoRedefine/>
    <w:semiHidden/>
    <w:rsid w:val="00A65737"/>
    <w:pPr>
      <w:ind w:left="1920" w:hanging="240"/>
    </w:pPr>
  </w:style>
  <w:style w:type="paragraph" w:styleId="Index9">
    <w:name w:val="index 9"/>
    <w:basedOn w:val="Normal"/>
    <w:next w:val="Normal"/>
    <w:autoRedefine/>
    <w:semiHidden/>
    <w:rsid w:val="00A65737"/>
    <w:pPr>
      <w:ind w:left="2160" w:hanging="240"/>
    </w:pPr>
  </w:style>
  <w:style w:type="paragraph" w:styleId="IndexHeading">
    <w:name w:val="index heading"/>
    <w:basedOn w:val="Normal"/>
    <w:next w:val="Index1"/>
    <w:semiHidden/>
    <w:rsid w:val="00A65737"/>
    <w:rPr>
      <w:rFonts w:ascii="Arial" w:hAnsi="Arial" w:cs="Arial"/>
      <w:b/>
      <w:bCs/>
    </w:rPr>
  </w:style>
  <w:style w:type="paragraph" w:customStyle="1" w:styleId="IPO">
    <w:name w:val="IPO"/>
    <w:basedOn w:val="DiscClause"/>
    <w:rsid w:val="00A65737"/>
    <w:pPr>
      <w:pBdr>
        <w:top w:val="single" w:sz="2" w:space="1" w:color="auto"/>
        <w:bottom w:val="single" w:sz="2" w:space="0" w:color="auto"/>
      </w:pBdr>
      <w:spacing w:after="0" w:line="180" w:lineRule="exact"/>
      <w:ind w:left="0" w:right="-360"/>
    </w:pPr>
    <w:rPr>
      <w:rFonts w:ascii="Arial Narrow" w:hAnsi="Arial Narrow"/>
      <w:sz w:val="20"/>
    </w:rPr>
  </w:style>
  <w:style w:type="paragraph" w:customStyle="1" w:styleId="IPOBackCover">
    <w:name w:val="IPOBackCover"/>
    <w:basedOn w:val="IPOInsidePage"/>
    <w:rsid w:val="00A65737"/>
    <w:pPr>
      <w:ind w:left="3125"/>
    </w:pPr>
  </w:style>
  <w:style w:type="paragraph" w:customStyle="1" w:styleId="ipubnormal">
    <w:name w:val="ipubnormal"/>
    <w:rsid w:val="00A65737"/>
    <w:pPr>
      <w:spacing w:after="0" w:line="240" w:lineRule="auto"/>
    </w:pPr>
    <w:rPr>
      <w:rFonts w:ascii="Times New Roman" w:eastAsia="MS Mincho" w:hAnsi="Times New Roman" w:cs="Times New Roman"/>
      <w:sz w:val="20"/>
      <w:szCs w:val="20"/>
      <w:lang w:val="en-US" w:eastAsia="en-US"/>
    </w:rPr>
  </w:style>
  <w:style w:type="paragraph" w:customStyle="1" w:styleId="LegalData">
    <w:name w:val="Legal Data"/>
    <w:basedOn w:val="Body"/>
    <w:rsid w:val="00A65737"/>
    <w:pPr>
      <w:spacing w:before="20" w:after="0" w:line="160" w:lineRule="atLeast"/>
    </w:pPr>
    <w:rPr>
      <w:rFonts w:ascii="Arial Narrow" w:hAnsi="Arial Narrow"/>
      <w:sz w:val="12"/>
    </w:rPr>
  </w:style>
  <w:style w:type="paragraph" w:customStyle="1" w:styleId="LegalEntityName">
    <w:name w:val="LegalEntityName"/>
    <w:basedOn w:val="FooterFrontPage"/>
    <w:rsid w:val="00A65737"/>
    <w:pPr>
      <w:framePr w:wrap="around"/>
      <w:spacing w:line="240" w:lineRule="auto"/>
      <w:jc w:val="right"/>
    </w:pPr>
    <w:rPr>
      <w:rFonts w:ascii="Arial" w:hAnsi="Arial"/>
      <w:b/>
      <w:szCs w:val="20"/>
    </w:rPr>
  </w:style>
  <w:style w:type="table" w:customStyle="1" w:styleId="LegalEntityTable">
    <w:name w:val="LegalEntityTable"/>
    <w:basedOn w:val="TableNormal"/>
    <w:rsid w:val="00A65737"/>
    <w:pPr>
      <w:spacing w:after="0" w:line="240" w:lineRule="auto"/>
    </w:pPr>
    <w:rPr>
      <w:rFonts w:ascii="Arial" w:eastAsia="MS Mincho" w:hAnsi="Arial" w:cs="Times New Roman"/>
      <w:sz w:val="20"/>
      <w:szCs w:val="20"/>
      <w:lang w:val="en-US"/>
    </w:rPr>
    <w:tblPr>
      <w:tblInd w:w="0" w:type="dxa"/>
      <w:tblCellMar>
        <w:top w:w="0" w:type="dxa"/>
        <w:left w:w="108" w:type="dxa"/>
        <w:bottom w:w="0" w:type="dxa"/>
        <w:right w:w="108" w:type="dxa"/>
      </w:tblCellMar>
    </w:tblPr>
    <w:tcPr>
      <w:shd w:val="clear" w:color="auto" w:fill="auto"/>
    </w:tcPr>
  </w:style>
  <w:style w:type="character" w:styleId="LineNumber">
    <w:name w:val="line number"/>
    <w:basedOn w:val="DefaultParagraphFont"/>
    <w:rsid w:val="00A65737"/>
  </w:style>
  <w:style w:type="paragraph" w:styleId="List">
    <w:name w:val="List"/>
    <w:basedOn w:val="Normal"/>
    <w:rsid w:val="00A65737"/>
    <w:pPr>
      <w:ind w:left="360" w:hanging="360"/>
    </w:pPr>
  </w:style>
  <w:style w:type="paragraph" w:styleId="List2">
    <w:name w:val="List 2"/>
    <w:basedOn w:val="Normal"/>
    <w:rsid w:val="00A65737"/>
    <w:pPr>
      <w:ind w:left="720" w:hanging="360"/>
    </w:pPr>
  </w:style>
  <w:style w:type="paragraph" w:styleId="List3">
    <w:name w:val="List 3"/>
    <w:basedOn w:val="Normal"/>
    <w:rsid w:val="00A65737"/>
    <w:pPr>
      <w:ind w:left="1080" w:hanging="360"/>
    </w:pPr>
  </w:style>
  <w:style w:type="paragraph" w:styleId="List4">
    <w:name w:val="List 4"/>
    <w:basedOn w:val="Normal"/>
    <w:rsid w:val="00A65737"/>
    <w:pPr>
      <w:ind w:left="1440" w:hanging="360"/>
    </w:pPr>
  </w:style>
  <w:style w:type="paragraph" w:styleId="List5">
    <w:name w:val="List 5"/>
    <w:basedOn w:val="Normal"/>
    <w:rsid w:val="00A65737"/>
    <w:pPr>
      <w:ind w:left="1800" w:hanging="360"/>
    </w:pPr>
  </w:style>
  <w:style w:type="paragraph" w:styleId="ListBullet">
    <w:name w:val="List Bullet"/>
    <w:basedOn w:val="Normal"/>
    <w:autoRedefine/>
    <w:rsid w:val="00A65737"/>
    <w:pPr>
      <w:numPr>
        <w:numId w:val="18"/>
      </w:numPr>
    </w:pPr>
  </w:style>
  <w:style w:type="paragraph" w:styleId="ListBullet2">
    <w:name w:val="List Bullet 2"/>
    <w:basedOn w:val="Normal"/>
    <w:autoRedefine/>
    <w:rsid w:val="00A65737"/>
    <w:pPr>
      <w:numPr>
        <w:numId w:val="20"/>
      </w:numPr>
    </w:pPr>
  </w:style>
  <w:style w:type="paragraph" w:styleId="ListBullet3">
    <w:name w:val="List Bullet 3"/>
    <w:basedOn w:val="Normal"/>
    <w:autoRedefine/>
    <w:rsid w:val="00A65737"/>
    <w:pPr>
      <w:numPr>
        <w:numId w:val="22"/>
      </w:numPr>
    </w:pPr>
  </w:style>
  <w:style w:type="paragraph" w:styleId="ListBullet4">
    <w:name w:val="List Bullet 4"/>
    <w:basedOn w:val="Normal"/>
    <w:autoRedefine/>
    <w:rsid w:val="00A65737"/>
    <w:pPr>
      <w:numPr>
        <w:numId w:val="24"/>
      </w:numPr>
    </w:pPr>
  </w:style>
  <w:style w:type="paragraph" w:styleId="ListBullet5">
    <w:name w:val="List Bullet 5"/>
    <w:basedOn w:val="Normal"/>
    <w:autoRedefine/>
    <w:rsid w:val="00A65737"/>
    <w:pPr>
      <w:numPr>
        <w:numId w:val="26"/>
      </w:numPr>
    </w:pPr>
  </w:style>
  <w:style w:type="paragraph" w:styleId="ListContinue">
    <w:name w:val="List Continue"/>
    <w:basedOn w:val="Normal"/>
    <w:rsid w:val="00A65737"/>
    <w:pPr>
      <w:spacing w:after="120"/>
      <w:ind w:left="360"/>
    </w:pPr>
  </w:style>
  <w:style w:type="paragraph" w:styleId="ListContinue2">
    <w:name w:val="List Continue 2"/>
    <w:basedOn w:val="Normal"/>
    <w:rsid w:val="00A65737"/>
    <w:pPr>
      <w:spacing w:after="120"/>
      <w:ind w:left="720"/>
    </w:pPr>
  </w:style>
  <w:style w:type="paragraph" w:styleId="ListContinue3">
    <w:name w:val="List Continue 3"/>
    <w:basedOn w:val="Normal"/>
    <w:rsid w:val="00A65737"/>
    <w:pPr>
      <w:spacing w:after="120"/>
      <w:ind w:left="1080"/>
    </w:pPr>
  </w:style>
  <w:style w:type="paragraph" w:styleId="ListContinue4">
    <w:name w:val="List Continue 4"/>
    <w:basedOn w:val="Normal"/>
    <w:rsid w:val="00A65737"/>
    <w:pPr>
      <w:spacing w:after="120"/>
      <w:ind w:left="1440"/>
    </w:pPr>
  </w:style>
  <w:style w:type="paragraph" w:styleId="ListContinue5">
    <w:name w:val="List Continue 5"/>
    <w:basedOn w:val="Normal"/>
    <w:rsid w:val="00A65737"/>
    <w:pPr>
      <w:spacing w:after="120"/>
      <w:ind w:left="1800"/>
    </w:pPr>
  </w:style>
  <w:style w:type="paragraph" w:styleId="ListNumber">
    <w:name w:val="List Number"/>
    <w:basedOn w:val="Normal"/>
    <w:rsid w:val="00A65737"/>
    <w:pPr>
      <w:numPr>
        <w:numId w:val="28"/>
      </w:numPr>
    </w:pPr>
  </w:style>
  <w:style w:type="paragraph" w:styleId="ListNumber2">
    <w:name w:val="List Number 2"/>
    <w:basedOn w:val="Normal"/>
    <w:rsid w:val="00A65737"/>
    <w:pPr>
      <w:numPr>
        <w:numId w:val="30"/>
      </w:numPr>
    </w:pPr>
  </w:style>
  <w:style w:type="paragraph" w:styleId="ListNumber3">
    <w:name w:val="List Number 3"/>
    <w:basedOn w:val="Normal"/>
    <w:rsid w:val="00A65737"/>
    <w:pPr>
      <w:numPr>
        <w:numId w:val="32"/>
      </w:numPr>
    </w:pPr>
  </w:style>
  <w:style w:type="paragraph" w:styleId="ListNumber4">
    <w:name w:val="List Number 4"/>
    <w:basedOn w:val="Normal"/>
    <w:rsid w:val="00A65737"/>
    <w:pPr>
      <w:numPr>
        <w:numId w:val="34"/>
      </w:numPr>
    </w:pPr>
  </w:style>
  <w:style w:type="paragraph" w:styleId="ListNumber5">
    <w:name w:val="List Number 5"/>
    <w:basedOn w:val="Normal"/>
    <w:rsid w:val="00A65737"/>
    <w:pPr>
      <w:numPr>
        <w:numId w:val="36"/>
      </w:numPr>
    </w:pPr>
  </w:style>
  <w:style w:type="paragraph" w:styleId="MacroText">
    <w:name w:val="macro"/>
    <w:link w:val="MacroTextChar"/>
    <w:semiHidden/>
    <w:rsid w:val="00A65737"/>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MS Mincho" w:hAnsi="Courier New" w:cs="Courier New"/>
      <w:sz w:val="20"/>
      <w:szCs w:val="20"/>
      <w:lang w:val="en-US" w:eastAsia="en-US"/>
    </w:rPr>
  </w:style>
  <w:style w:type="character" w:customStyle="1" w:styleId="MacroTextChar">
    <w:name w:val="Macro Text Char"/>
    <w:basedOn w:val="DefaultParagraphFont"/>
    <w:link w:val="MacroText"/>
    <w:semiHidden/>
    <w:rsid w:val="00A65737"/>
    <w:rPr>
      <w:rFonts w:ascii="Courier New" w:eastAsia="MS Mincho" w:hAnsi="Courier New" w:cs="Courier New"/>
      <w:sz w:val="20"/>
      <w:szCs w:val="20"/>
      <w:lang w:val="en-US" w:eastAsia="en-US"/>
    </w:rPr>
  </w:style>
  <w:style w:type="paragraph" w:styleId="MessageHeader">
    <w:name w:val="Message Header"/>
    <w:basedOn w:val="Normal"/>
    <w:link w:val="MessageHeaderChar"/>
    <w:rsid w:val="00A65737"/>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A65737"/>
    <w:rPr>
      <w:rFonts w:ascii="Arial" w:eastAsia="MS Mincho" w:hAnsi="Arial" w:cs="Arial"/>
      <w:sz w:val="24"/>
      <w:szCs w:val="24"/>
      <w:shd w:val="pct20" w:color="auto" w:fill="auto"/>
      <w:lang w:val="en-US" w:eastAsia="en-US"/>
    </w:rPr>
  </w:style>
  <w:style w:type="paragraph" w:customStyle="1" w:styleId="MorganmarketURL">
    <w:name w:val="MorganmarketURL"/>
    <w:basedOn w:val="FooterFrontPage"/>
    <w:rsid w:val="00A65737"/>
    <w:pPr>
      <w:framePr w:wrap="around"/>
      <w:spacing w:line="240" w:lineRule="auto"/>
    </w:pPr>
    <w:rPr>
      <w:rFonts w:ascii="Arial" w:hAnsi="Arial"/>
      <w:b/>
      <w:color w:val="4E8ABE"/>
      <w:szCs w:val="20"/>
    </w:rPr>
  </w:style>
  <w:style w:type="paragraph" w:customStyle="1" w:styleId="Name">
    <w:name w:val="Name"/>
    <w:basedOn w:val="Body"/>
    <w:next w:val="Phone"/>
    <w:rsid w:val="00A65737"/>
    <w:pPr>
      <w:spacing w:after="40" w:line="240" w:lineRule="auto"/>
    </w:pPr>
    <w:rPr>
      <w:rFonts w:ascii="Arial" w:hAnsi="Arial"/>
      <w:b/>
      <w:noProof/>
      <w:sz w:val="17"/>
    </w:rPr>
  </w:style>
  <w:style w:type="paragraph" w:customStyle="1" w:styleId="NameSide">
    <w:name w:val="NameSide"/>
    <w:basedOn w:val="Name"/>
    <w:next w:val="Normal"/>
    <w:rsid w:val="00A65737"/>
    <w:pPr>
      <w:framePr w:w="2520" w:hSpace="187" w:vSpace="187" w:wrap="around" w:vAnchor="text" w:hAnchor="margin" w:x="-3124" w:y="1"/>
    </w:pPr>
  </w:style>
  <w:style w:type="character" w:customStyle="1" w:styleId="NCOComplianceMark">
    <w:name w:val="NCO_ComplianceMark"/>
    <w:basedOn w:val="DefaultParagraphFont"/>
    <w:rsid w:val="00A65737"/>
    <w:rPr>
      <w:rFonts w:ascii="Arial" w:hAnsi="Arial"/>
      <w:b/>
      <w:dstrike w:val="0"/>
      <w:sz w:val="14"/>
      <w:szCs w:val="14"/>
      <w:vertAlign w:val="superscript"/>
    </w:rPr>
  </w:style>
  <w:style w:type="paragraph" w:customStyle="1" w:styleId="NCOEmail">
    <w:name w:val="NCO_Email"/>
    <w:basedOn w:val="EMail"/>
    <w:rsid w:val="00A65737"/>
  </w:style>
  <w:style w:type="table" w:customStyle="1" w:styleId="NCOFrontPageFooterTable">
    <w:name w:val="NCO_FrontPageFooterTable"/>
    <w:basedOn w:val="TableNormal"/>
    <w:rsid w:val="00A65737"/>
    <w:pPr>
      <w:spacing w:after="0" w:line="240" w:lineRule="auto"/>
    </w:pPr>
    <w:rPr>
      <w:rFonts w:ascii="Arial" w:eastAsia="MS Mincho" w:hAnsi="Arial" w:cs="Times New Roman"/>
      <w:sz w:val="20"/>
      <w:szCs w:val="20"/>
      <w:lang w:val="en-US"/>
    </w:rPr>
    <w:tblPr>
      <w:tblInd w:w="0" w:type="dxa"/>
      <w:tblCellMar>
        <w:top w:w="0" w:type="dxa"/>
        <w:left w:w="108" w:type="dxa"/>
        <w:bottom w:w="0" w:type="dxa"/>
        <w:right w:w="108" w:type="dxa"/>
      </w:tblCellMar>
    </w:tblPr>
    <w:tcPr>
      <w:shd w:val="clear" w:color="auto" w:fill="auto"/>
    </w:tcPr>
  </w:style>
  <w:style w:type="paragraph" w:customStyle="1" w:styleId="NCOLegalEntityName">
    <w:name w:val="NCO_LegalEntityName"/>
    <w:basedOn w:val="LegalEntityName"/>
    <w:rsid w:val="00A65737"/>
    <w:pPr>
      <w:framePr w:wrap="around"/>
      <w:jc w:val="left"/>
    </w:pPr>
    <w:rPr>
      <w:sz w:val="14"/>
    </w:rPr>
  </w:style>
  <w:style w:type="paragraph" w:customStyle="1" w:styleId="NCOLocation">
    <w:name w:val="NCO_Location"/>
    <w:basedOn w:val="Body"/>
    <w:rsid w:val="00A65737"/>
    <w:pPr>
      <w:spacing w:before="40" w:after="0" w:line="0" w:lineRule="atLeast"/>
    </w:pPr>
    <w:rPr>
      <w:rFonts w:ascii="Arial" w:hAnsi="Arial"/>
      <w:sz w:val="14"/>
    </w:rPr>
  </w:style>
  <w:style w:type="paragraph" w:customStyle="1" w:styleId="NCOName">
    <w:name w:val="NCO_Name"/>
    <w:basedOn w:val="Name"/>
    <w:rsid w:val="00A65737"/>
    <w:rPr>
      <w:sz w:val="14"/>
    </w:rPr>
  </w:style>
  <w:style w:type="character" w:customStyle="1" w:styleId="NCOPhone">
    <w:name w:val="NCO_Phone"/>
    <w:basedOn w:val="DefaultParagraphFont"/>
    <w:rsid w:val="00A65737"/>
    <w:rPr>
      <w:rFonts w:ascii="Arial" w:hAnsi="Arial"/>
      <w:noProof/>
      <w:sz w:val="14"/>
      <w:szCs w:val="14"/>
    </w:rPr>
  </w:style>
  <w:style w:type="paragraph" w:customStyle="1" w:styleId="NextToSource">
    <w:name w:val="NextToSource"/>
    <w:basedOn w:val="Normal"/>
    <w:next w:val="Body"/>
    <w:rsid w:val="00A65737"/>
    <w:pPr>
      <w:keepLines/>
      <w:spacing w:line="180" w:lineRule="atLeast"/>
    </w:pPr>
    <w:rPr>
      <w:rFonts w:ascii="Arial Narrow" w:hAnsi="Arial Narrow"/>
      <w:sz w:val="14"/>
    </w:rPr>
  </w:style>
  <w:style w:type="paragraph" w:styleId="NormalWeb">
    <w:name w:val="Normal (Web)"/>
    <w:basedOn w:val="Normal"/>
    <w:uiPriority w:val="99"/>
    <w:qFormat/>
    <w:rsid w:val="00A65737"/>
    <w:rPr>
      <w:sz w:val="20"/>
      <w:szCs w:val="20"/>
    </w:rPr>
  </w:style>
  <w:style w:type="paragraph" w:styleId="NormalIndent">
    <w:name w:val="Normal Indent"/>
    <w:basedOn w:val="Normal"/>
    <w:rsid w:val="00A65737"/>
    <w:pPr>
      <w:ind w:left="720"/>
    </w:pPr>
  </w:style>
  <w:style w:type="paragraph" w:styleId="NoteHeading">
    <w:name w:val="Note Heading"/>
    <w:basedOn w:val="Normal"/>
    <w:next w:val="Normal"/>
    <w:link w:val="NoteHeadingChar"/>
    <w:rsid w:val="00A65737"/>
  </w:style>
  <w:style w:type="character" w:customStyle="1" w:styleId="NoteHeadingChar">
    <w:name w:val="Note Heading Char"/>
    <w:basedOn w:val="DefaultParagraphFont"/>
    <w:link w:val="NoteHeading"/>
    <w:rsid w:val="00A65737"/>
    <w:rPr>
      <w:rFonts w:ascii="Times New Roman" w:eastAsia="MS Mincho" w:hAnsi="Times New Roman" w:cs="Times New Roman"/>
      <w:sz w:val="24"/>
      <w:szCs w:val="24"/>
      <w:lang w:val="en-US" w:eastAsia="en-US"/>
    </w:rPr>
  </w:style>
  <w:style w:type="character" w:customStyle="1" w:styleId="NotSeries8687Qualified">
    <w:name w:val="NotSeries8687Qualified"/>
    <w:basedOn w:val="DefaultParagraphFont"/>
    <w:rsid w:val="00A65737"/>
    <w:rPr>
      <w:rFonts w:ascii="Arial" w:hAnsi="Arial"/>
      <w:sz w:val="20"/>
      <w:szCs w:val="20"/>
      <w:vertAlign w:val="superscript"/>
    </w:rPr>
  </w:style>
  <w:style w:type="paragraph" w:customStyle="1" w:styleId="NotSeries8687QualifiedMessage">
    <w:name w:val="NotSeries8687QualifiedMessage"/>
    <w:basedOn w:val="FooterFrontPage"/>
    <w:rsid w:val="00A65737"/>
    <w:pPr>
      <w:framePr w:wrap="around"/>
      <w:spacing w:line="226" w:lineRule="atLeast"/>
    </w:pPr>
  </w:style>
  <w:style w:type="paragraph" w:customStyle="1" w:styleId="NumberBullet">
    <w:name w:val="NumberBullet"/>
    <w:qFormat/>
    <w:rsid w:val="00A65737"/>
    <w:pPr>
      <w:numPr>
        <w:numId w:val="38"/>
      </w:numPr>
      <w:spacing w:after="120"/>
    </w:pPr>
    <w:rPr>
      <w:rFonts w:ascii="Times New Roman" w:eastAsia="MS Mincho" w:hAnsi="Times New Roman" w:cs="Times New Roman"/>
      <w:sz w:val="20"/>
      <w:szCs w:val="20"/>
      <w:lang w:val="en-US" w:eastAsia="en-US"/>
    </w:rPr>
  </w:style>
  <w:style w:type="paragraph" w:customStyle="1" w:styleId="PerfSource">
    <w:name w:val="PerfSource"/>
    <w:basedOn w:val="Normal"/>
    <w:rsid w:val="00A65737"/>
    <w:pPr>
      <w:keepLines/>
    </w:pPr>
    <w:rPr>
      <w:rFonts w:ascii="Arial Narrow" w:hAnsi="Arial Narrow"/>
      <w:noProof/>
      <w:sz w:val="14"/>
    </w:rPr>
  </w:style>
  <w:style w:type="paragraph" w:customStyle="1" w:styleId="PerfChart">
    <w:name w:val="PerfChart"/>
    <w:basedOn w:val="PerfSource"/>
    <w:rsid w:val="00A65737"/>
  </w:style>
  <w:style w:type="paragraph" w:customStyle="1" w:styleId="PhoneSide">
    <w:name w:val="PhoneSide"/>
    <w:basedOn w:val="Phone"/>
    <w:next w:val="EmailSide"/>
    <w:rsid w:val="00A65737"/>
    <w:pPr>
      <w:framePr w:w="2520" w:hSpace="187" w:vSpace="187" w:wrap="around" w:vAnchor="text" w:hAnchor="margin" w:x="-3124" w:y="1"/>
    </w:pPr>
  </w:style>
  <w:style w:type="paragraph" w:styleId="PlainText">
    <w:name w:val="Plain Text"/>
    <w:basedOn w:val="Normal"/>
    <w:link w:val="PlainTextChar"/>
    <w:rsid w:val="00A65737"/>
    <w:rPr>
      <w:rFonts w:ascii="Courier New" w:hAnsi="Courier New" w:cs="Courier New"/>
      <w:sz w:val="20"/>
      <w:szCs w:val="20"/>
    </w:rPr>
  </w:style>
  <w:style w:type="character" w:customStyle="1" w:styleId="PlainTextChar">
    <w:name w:val="Plain Text Char"/>
    <w:basedOn w:val="DefaultParagraphFont"/>
    <w:link w:val="PlainText"/>
    <w:rsid w:val="00A65737"/>
    <w:rPr>
      <w:rFonts w:ascii="Courier New" w:eastAsia="MS Mincho" w:hAnsi="Courier New" w:cs="Courier New"/>
      <w:sz w:val="20"/>
      <w:szCs w:val="20"/>
      <w:lang w:val="en-US" w:eastAsia="en-US"/>
    </w:rPr>
  </w:style>
  <w:style w:type="paragraph" w:customStyle="1" w:styleId="Price">
    <w:name w:val="Price"/>
    <w:basedOn w:val="Normal"/>
    <w:next w:val="Body"/>
    <w:rsid w:val="00A65737"/>
    <w:pPr>
      <w:framePr w:hSpace="187" w:wrap="around" w:vAnchor="page" w:hAnchor="text" w:xAlign="right" w:y="2161"/>
    </w:pPr>
    <w:rPr>
      <w:rFonts w:ascii="Arial" w:hAnsi="Arial"/>
      <w:noProof/>
      <w:sz w:val="16"/>
    </w:rPr>
  </w:style>
  <w:style w:type="paragraph" w:customStyle="1" w:styleId="Target">
    <w:name w:val="Target"/>
    <w:basedOn w:val="Normal"/>
    <w:next w:val="Body"/>
    <w:rsid w:val="00A65737"/>
    <w:pPr>
      <w:spacing w:line="200" w:lineRule="atLeast"/>
    </w:pPr>
    <w:rPr>
      <w:rFonts w:ascii="Arial" w:hAnsi="Arial"/>
      <w:sz w:val="16"/>
    </w:rPr>
  </w:style>
  <w:style w:type="paragraph" w:customStyle="1" w:styleId="PriceDate">
    <w:name w:val="PriceDate"/>
    <w:basedOn w:val="Target"/>
    <w:rsid w:val="00A65737"/>
    <w:pPr>
      <w:framePr w:hSpace="187" w:wrap="around" w:vAnchor="page" w:hAnchor="text" w:xAlign="right" w:y="2161"/>
      <w:spacing w:before="120" w:line="240" w:lineRule="auto"/>
    </w:pPr>
    <w:rPr>
      <w:b/>
      <w:noProof/>
    </w:rPr>
  </w:style>
  <w:style w:type="paragraph" w:customStyle="1" w:styleId="PriceDateDual">
    <w:name w:val="PriceDateDual"/>
    <w:basedOn w:val="Target"/>
    <w:rsid w:val="00A65737"/>
    <w:pPr>
      <w:framePr w:hSpace="187" w:wrap="around" w:vAnchor="page" w:hAnchor="text" w:xAlign="right" w:y="2161"/>
      <w:spacing w:before="120" w:line="160" w:lineRule="exact"/>
    </w:pPr>
    <w:rPr>
      <w:b/>
      <w:noProof/>
    </w:rPr>
  </w:style>
  <w:style w:type="paragraph" w:customStyle="1" w:styleId="RatingDual">
    <w:name w:val="RatingDual"/>
    <w:basedOn w:val="Body"/>
    <w:next w:val="Body"/>
    <w:rsid w:val="00A65737"/>
    <w:pPr>
      <w:framePr w:hSpace="187" w:wrap="around" w:vAnchor="page" w:hAnchor="text" w:xAlign="right" w:y="2161"/>
      <w:spacing w:after="0" w:line="160" w:lineRule="exact"/>
    </w:pPr>
    <w:rPr>
      <w:rFonts w:ascii="Arial" w:hAnsi="Arial"/>
      <w:noProof/>
      <w:sz w:val="15"/>
    </w:rPr>
  </w:style>
  <w:style w:type="paragraph" w:customStyle="1" w:styleId="PriceTargetCurrent">
    <w:name w:val="PriceTargetCurrent"/>
    <w:basedOn w:val="PriceDate"/>
    <w:rsid w:val="00A65737"/>
    <w:pPr>
      <w:framePr w:wrap="around"/>
    </w:pPr>
  </w:style>
  <w:style w:type="paragraph" w:customStyle="1" w:styleId="PriceTargetPrior">
    <w:name w:val="PriceTargetPrior"/>
    <w:basedOn w:val="PriceDate"/>
    <w:rsid w:val="00A65737"/>
    <w:pPr>
      <w:framePr w:wrap="around"/>
      <w:spacing w:before="0"/>
    </w:pPr>
    <w:rPr>
      <w:b w:val="0"/>
    </w:rPr>
  </w:style>
  <w:style w:type="paragraph" w:customStyle="1" w:styleId="PriorRecommendation">
    <w:name w:val="Prior Recommendation"/>
    <w:basedOn w:val="Body"/>
    <w:rsid w:val="00A65737"/>
    <w:pPr>
      <w:spacing w:after="0" w:line="200" w:lineRule="atLeast"/>
    </w:pPr>
    <w:rPr>
      <w:rFonts w:ascii="Arial" w:hAnsi="Arial"/>
      <w:noProof/>
      <w:sz w:val="16"/>
    </w:rPr>
  </w:style>
  <w:style w:type="paragraph" w:customStyle="1" w:styleId="ProductData1">
    <w:name w:val="ProductData1"/>
    <w:basedOn w:val="Body"/>
    <w:next w:val="Normal"/>
    <w:rsid w:val="00A65737"/>
    <w:pPr>
      <w:spacing w:after="0" w:line="200" w:lineRule="atLeast"/>
    </w:pPr>
    <w:rPr>
      <w:rFonts w:ascii="Arial" w:hAnsi="Arial"/>
      <w:b/>
      <w:sz w:val="18"/>
      <w:szCs w:val="18"/>
    </w:rPr>
  </w:style>
  <w:style w:type="paragraph" w:customStyle="1" w:styleId="ProductData2">
    <w:name w:val="ProductData2"/>
    <w:basedOn w:val="Body"/>
    <w:next w:val="Normal"/>
    <w:rsid w:val="00A65737"/>
    <w:pPr>
      <w:spacing w:after="0" w:line="200" w:lineRule="atLeast"/>
    </w:pPr>
    <w:rPr>
      <w:rFonts w:ascii="Arial" w:hAnsi="Arial"/>
      <w:b/>
      <w:sz w:val="14"/>
    </w:rPr>
  </w:style>
  <w:style w:type="paragraph" w:customStyle="1" w:styleId="ProductData3">
    <w:name w:val="ProductData3"/>
    <w:basedOn w:val="ProductData2"/>
    <w:rsid w:val="00A65737"/>
  </w:style>
  <w:style w:type="paragraph" w:customStyle="1" w:styleId="ProductOfJPMSI">
    <w:name w:val="ProductOfJPMSI"/>
    <w:basedOn w:val="DisclaimerBP"/>
    <w:next w:val="Body"/>
    <w:rsid w:val="00A65737"/>
  </w:style>
  <w:style w:type="paragraph" w:customStyle="1" w:styleId="Rating">
    <w:name w:val="Rating"/>
    <w:basedOn w:val="Body"/>
    <w:next w:val="Body"/>
    <w:rsid w:val="00A65737"/>
    <w:pPr>
      <w:spacing w:after="0" w:line="240" w:lineRule="auto"/>
    </w:pPr>
    <w:rPr>
      <w:rFonts w:ascii="Arial" w:hAnsi="Arial"/>
      <w:b/>
      <w:noProof/>
      <w:sz w:val="28"/>
    </w:rPr>
  </w:style>
  <w:style w:type="paragraph" w:customStyle="1" w:styleId="RatingPrior">
    <w:name w:val="RatingPrior"/>
    <w:basedOn w:val="Body"/>
    <w:rsid w:val="00A65737"/>
    <w:pPr>
      <w:spacing w:after="0" w:line="240" w:lineRule="auto"/>
    </w:pPr>
    <w:rPr>
      <w:rFonts w:ascii="Arial" w:hAnsi="Arial"/>
      <w:noProof/>
      <w:sz w:val="16"/>
    </w:rPr>
  </w:style>
  <w:style w:type="paragraph" w:customStyle="1" w:styleId="RatingPriorDual">
    <w:name w:val="RatingPriorDual"/>
    <w:basedOn w:val="Body"/>
    <w:rsid w:val="00A65737"/>
    <w:pPr>
      <w:framePr w:hSpace="187" w:wrap="around" w:vAnchor="page" w:hAnchor="text" w:xAlign="right" w:y="2161"/>
      <w:spacing w:after="0" w:line="240" w:lineRule="auto"/>
    </w:pPr>
    <w:rPr>
      <w:rFonts w:ascii="Arial" w:hAnsi="Arial"/>
      <w:b/>
      <w:noProof/>
      <w:sz w:val="12"/>
    </w:rPr>
  </w:style>
  <w:style w:type="paragraph" w:customStyle="1" w:styleId="RatingPriorSide">
    <w:name w:val="RatingPriorSide"/>
    <w:basedOn w:val="RatingPriorDual"/>
    <w:next w:val="NameSide"/>
    <w:rsid w:val="00A65737"/>
    <w:pPr>
      <w:framePr w:w="2520" w:vSpace="187" w:wrap="around" w:vAnchor="text" w:hAnchor="margin" w:x="-3124" w:y="1"/>
    </w:pPr>
    <w:rPr>
      <w:b w:val="0"/>
    </w:rPr>
  </w:style>
  <w:style w:type="paragraph" w:customStyle="1" w:styleId="RatingsDistributionTableHead">
    <w:name w:val="RatingsDistributionTableHead"/>
    <w:basedOn w:val="Normal"/>
    <w:rsid w:val="00A65737"/>
    <w:pPr>
      <w:spacing w:before="100" w:beforeAutospacing="1" w:after="100" w:afterAutospacing="1"/>
    </w:pPr>
    <w:rPr>
      <w:b/>
      <w:bCs/>
      <w:sz w:val="16"/>
      <w:szCs w:val="16"/>
    </w:rPr>
  </w:style>
  <w:style w:type="paragraph" w:customStyle="1" w:styleId="RatingSide">
    <w:name w:val="RatingSide"/>
    <w:basedOn w:val="RatingDual"/>
    <w:next w:val="NameSide"/>
    <w:rsid w:val="00A65737"/>
    <w:pPr>
      <w:framePr w:w="2520" w:vSpace="187" w:wrap="around" w:vAnchor="text" w:hAnchor="margin" w:x="-3124" w:y="1"/>
    </w:pPr>
    <w:rPr>
      <w:b/>
    </w:rPr>
  </w:style>
  <w:style w:type="paragraph" w:styleId="Salutation">
    <w:name w:val="Salutation"/>
    <w:basedOn w:val="Normal"/>
    <w:next w:val="Normal"/>
    <w:link w:val="SalutationChar"/>
    <w:rsid w:val="00A65737"/>
  </w:style>
  <w:style w:type="character" w:customStyle="1" w:styleId="SalutationChar">
    <w:name w:val="Salutation Char"/>
    <w:basedOn w:val="DefaultParagraphFont"/>
    <w:link w:val="Salutation"/>
    <w:rsid w:val="00A65737"/>
    <w:rPr>
      <w:rFonts w:ascii="Times New Roman" w:eastAsia="MS Mincho" w:hAnsi="Times New Roman" w:cs="Times New Roman"/>
      <w:sz w:val="24"/>
      <w:szCs w:val="24"/>
      <w:lang w:val="en-US" w:eastAsia="en-US"/>
    </w:rPr>
  </w:style>
  <w:style w:type="paragraph" w:customStyle="1" w:styleId="SCFigureTitle">
    <w:name w:val="SCFigureTitle"/>
    <w:basedOn w:val="Normal"/>
    <w:rsid w:val="00A65737"/>
    <w:pPr>
      <w:framePr w:w="2954" w:vSpace="180" w:wrap="around" w:vAnchor="text" w:hAnchor="text" w:x="-3118" w:y="1" w:anchorLock="1"/>
      <w:spacing w:line="200" w:lineRule="atLeast"/>
    </w:pPr>
    <w:rPr>
      <w:rFonts w:ascii="Arial" w:hAnsi="Arial"/>
      <w:b/>
      <w:color w:val="4E8ABE"/>
      <w:spacing w:val="5"/>
      <w:sz w:val="18"/>
      <w:szCs w:val="18"/>
    </w:rPr>
  </w:style>
  <w:style w:type="paragraph" w:customStyle="1" w:styleId="SCSource">
    <w:name w:val="SCSource"/>
    <w:basedOn w:val="Normal"/>
    <w:rsid w:val="00A65737"/>
    <w:pPr>
      <w:framePr w:w="2954" w:vSpace="180" w:wrap="around" w:vAnchor="text" w:hAnchor="text" w:x="-3118" w:y="1" w:anchorLock="1"/>
      <w:spacing w:line="200" w:lineRule="atLeast"/>
    </w:pPr>
    <w:rPr>
      <w:rFonts w:ascii="Arial Narrow" w:hAnsi="Arial Narrow"/>
      <w:sz w:val="14"/>
    </w:rPr>
  </w:style>
  <w:style w:type="paragraph" w:customStyle="1" w:styleId="SCTableUnit">
    <w:name w:val="SCTableUnit"/>
    <w:basedOn w:val="Normal"/>
    <w:rsid w:val="00A65737"/>
    <w:pPr>
      <w:framePr w:w="2954" w:vSpace="180" w:wrap="around" w:vAnchor="text" w:hAnchor="text" w:x="-3118" w:y="1" w:anchorLock="1"/>
      <w:spacing w:line="200" w:lineRule="atLeast"/>
    </w:pPr>
    <w:rPr>
      <w:rFonts w:ascii="Arial Narrow" w:hAnsi="Arial Narrow"/>
      <w:spacing w:val="5"/>
      <w:sz w:val="16"/>
    </w:rPr>
  </w:style>
  <w:style w:type="paragraph" w:customStyle="1" w:styleId="SectionHeading">
    <w:name w:val="SectionHeading"/>
    <w:basedOn w:val="Body"/>
    <w:next w:val="Body"/>
    <w:rsid w:val="00A65737"/>
    <w:pPr>
      <w:pBdr>
        <w:top w:val="single" w:sz="6" w:space="3" w:color="C0C0C0"/>
        <w:bottom w:val="single" w:sz="6" w:space="3" w:color="C0C0C0"/>
      </w:pBdr>
      <w:spacing w:before="180" w:after="80" w:line="240" w:lineRule="auto"/>
    </w:pPr>
    <w:rPr>
      <w:rFonts w:ascii="Arial" w:hAnsi="Arial"/>
      <w:b/>
      <w:color w:val="4E8ABE"/>
      <w:szCs w:val="20"/>
    </w:rPr>
  </w:style>
  <w:style w:type="paragraph" w:customStyle="1" w:styleId="Sector">
    <w:name w:val="Sector"/>
    <w:basedOn w:val="Body"/>
    <w:next w:val="Body"/>
    <w:rsid w:val="00A65737"/>
    <w:pPr>
      <w:spacing w:after="0" w:line="220" w:lineRule="atLeast"/>
    </w:pPr>
    <w:rPr>
      <w:rFonts w:ascii="Arial" w:hAnsi="Arial"/>
      <w:b/>
      <w:sz w:val="18"/>
      <w:szCs w:val="18"/>
    </w:rPr>
  </w:style>
  <w:style w:type="paragraph" w:customStyle="1" w:styleId="Sidecomments">
    <w:name w:val="Sidecomments"/>
    <w:basedOn w:val="Body"/>
    <w:qFormat/>
    <w:rsid w:val="00A65737"/>
    <w:pPr>
      <w:framePr w:w="2520" w:h="403" w:hSpace="187" w:wrap="around" w:vAnchor="text" w:hAnchor="text" w:x="-3124" w:y="1"/>
      <w:spacing w:after="120" w:line="200" w:lineRule="atLeast"/>
    </w:pPr>
    <w:rPr>
      <w:rFonts w:ascii="Arial" w:hAnsi="Arial"/>
      <w:b/>
      <w:sz w:val="16"/>
    </w:rPr>
  </w:style>
  <w:style w:type="paragraph" w:customStyle="1" w:styleId="SideCommentCompanyName">
    <w:name w:val="SideCommentCompanyName"/>
    <w:basedOn w:val="Sidecomments"/>
    <w:qFormat/>
    <w:rsid w:val="00A65737"/>
    <w:pPr>
      <w:framePr w:wrap="around"/>
    </w:pPr>
    <w:rPr>
      <w:color w:val="4E8ABE"/>
      <w:sz w:val="24"/>
    </w:rPr>
  </w:style>
  <w:style w:type="paragraph" w:customStyle="1" w:styleId="SideCommentRating">
    <w:name w:val="SideCommentRating"/>
    <w:basedOn w:val="Sidecomments"/>
    <w:qFormat/>
    <w:rsid w:val="00A65737"/>
    <w:pPr>
      <w:framePr w:wrap="around"/>
    </w:pPr>
    <w:rPr>
      <w:color w:val="4E8ABE"/>
      <w:sz w:val="18"/>
      <w:szCs w:val="18"/>
    </w:rPr>
  </w:style>
  <w:style w:type="paragraph" w:styleId="Signature">
    <w:name w:val="Signature"/>
    <w:basedOn w:val="Normal"/>
    <w:link w:val="SignatureChar"/>
    <w:rsid w:val="00A65737"/>
    <w:pPr>
      <w:ind w:left="4320"/>
    </w:pPr>
  </w:style>
  <w:style w:type="character" w:customStyle="1" w:styleId="SignatureChar">
    <w:name w:val="Signature Char"/>
    <w:basedOn w:val="DefaultParagraphFont"/>
    <w:link w:val="Signature"/>
    <w:rsid w:val="00A65737"/>
    <w:rPr>
      <w:rFonts w:ascii="Times New Roman" w:eastAsia="MS Mincho" w:hAnsi="Times New Roman" w:cs="Times New Roman"/>
      <w:sz w:val="24"/>
      <w:szCs w:val="24"/>
      <w:lang w:val="en-US" w:eastAsia="en-US"/>
    </w:rPr>
  </w:style>
  <w:style w:type="paragraph" w:customStyle="1" w:styleId="Source">
    <w:name w:val="Source"/>
    <w:basedOn w:val="Body"/>
    <w:next w:val="Body"/>
    <w:link w:val="SourceChar"/>
    <w:qFormat/>
    <w:rsid w:val="00A65737"/>
    <w:pPr>
      <w:keepLines/>
      <w:spacing w:before="40" w:line="180" w:lineRule="atLeast"/>
    </w:pPr>
    <w:rPr>
      <w:rFonts w:ascii="Arial Narrow" w:hAnsi="Arial Narrow"/>
      <w:sz w:val="14"/>
    </w:rPr>
  </w:style>
  <w:style w:type="character" w:styleId="Strong">
    <w:name w:val="Strong"/>
    <w:basedOn w:val="DefaultParagraphFont"/>
    <w:rsid w:val="00A65737"/>
    <w:rPr>
      <w:b/>
      <w:bCs/>
    </w:rPr>
  </w:style>
  <w:style w:type="paragraph" w:customStyle="1" w:styleId="StyleArial8ptBoldTopSinglesolidlineAuto05ptLin">
    <w:name w:val="Style Arial 8 pt Bold Top: (Single solid line Auto  0.5 pt Lin..."/>
    <w:basedOn w:val="ESTableRow"/>
    <w:next w:val="ESTableRow"/>
    <w:rsid w:val="00A65737"/>
    <w:pPr>
      <w:pBdr>
        <w:top w:val="single" w:sz="4" w:space="0" w:color="auto"/>
        <w:bottom w:val="single" w:sz="4" w:space="0" w:color="auto"/>
      </w:pBdr>
    </w:pPr>
    <w:rPr>
      <w:b/>
      <w:bCs/>
      <w:szCs w:val="20"/>
    </w:rPr>
  </w:style>
  <w:style w:type="paragraph" w:styleId="Subtitle0">
    <w:name w:val="Subtitle"/>
    <w:basedOn w:val="Normal"/>
    <w:link w:val="SubtitleChar"/>
    <w:rsid w:val="00A65737"/>
    <w:pPr>
      <w:spacing w:after="60"/>
      <w:jc w:val="center"/>
      <w:outlineLvl w:val="1"/>
    </w:pPr>
    <w:rPr>
      <w:rFonts w:ascii="Arial" w:hAnsi="Arial" w:cs="Arial"/>
    </w:rPr>
  </w:style>
  <w:style w:type="character" w:customStyle="1" w:styleId="SubtitleChar">
    <w:name w:val="Subtitle Char"/>
    <w:basedOn w:val="DefaultParagraphFont"/>
    <w:link w:val="Subtitle0"/>
    <w:rsid w:val="00A65737"/>
    <w:rPr>
      <w:rFonts w:ascii="Arial" w:eastAsia="MS Mincho" w:hAnsi="Arial" w:cs="Arial"/>
      <w:sz w:val="24"/>
      <w:szCs w:val="24"/>
      <w:lang w:val="en-US" w:eastAsia="en-US"/>
    </w:rPr>
  </w:style>
  <w:style w:type="paragraph" w:customStyle="1" w:styleId="SubTitleRP">
    <w:name w:val="SubTitleRP"/>
    <w:basedOn w:val="SubTitle"/>
    <w:next w:val="Body"/>
    <w:rsid w:val="00A65737"/>
    <w:pPr>
      <w:spacing w:after="0" w:line="0" w:lineRule="atLeast"/>
      <w:ind w:left="-3125"/>
    </w:pPr>
  </w:style>
  <w:style w:type="table" w:styleId="Table3Deffects1">
    <w:name w:val="Table 3D effects 1"/>
    <w:basedOn w:val="TableNormal"/>
    <w:rsid w:val="00A65737"/>
    <w:pPr>
      <w:spacing w:after="0" w:line="240" w:lineRule="auto"/>
    </w:pPr>
    <w:rPr>
      <w:rFonts w:ascii="Times New Roman" w:eastAsia="MS Mincho" w:hAnsi="Times New Roman" w:cs="Times New Roman"/>
      <w:sz w:val="20"/>
      <w:szCs w:val="20"/>
      <w:lang w:val="en-US"/>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65737"/>
    <w:pPr>
      <w:spacing w:after="0" w:line="240" w:lineRule="auto"/>
    </w:pPr>
    <w:rPr>
      <w:rFonts w:ascii="Times New Roman" w:eastAsia="MS Mincho" w:hAnsi="Times New Roman" w:cs="Times New Roman"/>
      <w:sz w:val="20"/>
      <w:szCs w:val="20"/>
      <w:lang w:val="en-US"/>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65737"/>
    <w:pPr>
      <w:spacing w:after="0" w:line="240" w:lineRule="auto"/>
    </w:pPr>
    <w:rPr>
      <w:rFonts w:ascii="Times New Roman" w:eastAsia="MS Mincho" w:hAnsi="Times New Roman" w:cs="Times New Roman"/>
      <w:sz w:val="20"/>
      <w:szCs w:val="20"/>
      <w:lang w:val="en-US"/>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Body">
    <w:name w:val="Table Body"/>
    <w:basedOn w:val="Body"/>
    <w:rsid w:val="00A65737"/>
    <w:pPr>
      <w:keepNext/>
      <w:keepLines/>
      <w:spacing w:after="7" w:line="200" w:lineRule="atLeast"/>
      <w:jc w:val="right"/>
    </w:pPr>
    <w:rPr>
      <w:rFonts w:ascii="Arial Narrow" w:hAnsi="Arial Narrow"/>
      <w:sz w:val="16"/>
    </w:rPr>
  </w:style>
  <w:style w:type="table" w:styleId="TableClassic1">
    <w:name w:val="Table Classic 1"/>
    <w:basedOn w:val="TableNormal"/>
    <w:rsid w:val="00A65737"/>
    <w:pPr>
      <w:spacing w:after="0" w:line="240" w:lineRule="auto"/>
    </w:pPr>
    <w:rPr>
      <w:rFonts w:ascii="Times New Roman" w:eastAsia="MS Mincho" w:hAnsi="Times New Roman" w:cs="Times New Roman"/>
      <w:sz w:val="20"/>
      <w:szCs w:val="20"/>
      <w:lang w:val="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A65737"/>
    <w:pPr>
      <w:spacing w:after="0" w:line="240" w:lineRule="auto"/>
    </w:pPr>
    <w:rPr>
      <w:rFonts w:ascii="Times New Roman" w:eastAsia="MS Mincho" w:hAnsi="Times New Roman" w:cs="Times New Roman"/>
      <w:sz w:val="20"/>
      <w:szCs w:val="20"/>
      <w:lang w:val="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A65737"/>
    <w:pPr>
      <w:spacing w:after="0" w:line="240" w:lineRule="auto"/>
    </w:pPr>
    <w:rPr>
      <w:rFonts w:ascii="Times New Roman" w:eastAsia="MS Mincho" w:hAnsi="Times New Roman" w:cs="Times New Roman"/>
      <w:color w:val="000080"/>
      <w:sz w:val="20"/>
      <w:szCs w:val="20"/>
      <w:lang w:val="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A65737"/>
    <w:pPr>
      <w:spacing w:after="0" w:line="240" w:lineRule="auto"/>
    </w:pPr>
    <w:rPr>
      <w:rFonts w:ascii="Times New Roman" w:eastAsia="MS Mincho" w:hAnsi="Times New Roman" w:cs="Times New Roman"/>
      <w:sz w:val="20"/>
      <w:szCs w:val="20"/>
      <w:lang w:val="en-US"/>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A65737"/>
    <w:pPr>
      <w:spacing w:after="0" w:line="240" w:lineRule="auto"/>
    </w:pPr>
    <w:rPr>
      <w:rFonts w:ascii="Times New Roman" w:eastAsia="MS Mincho" w:hAnsi="Times New Roman" w:cs="Times New Roman"/>
      <w:color w:val="FFFFFF"/>
      <w:sz w:val="20"/>
      <w:szCs w:val="20"/>
      <w:lang w:val="en-US"/>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A65737"/>
    <w:pPr>
      <w:spacing w:after="0" w:line="240" w:lineRule="auto"/>
    </w:pPr>
    <w:rPr>
      <w:rFonts w:ascii="Times New Roman" w:eastAsia="MS Mincho" w:hAnsi="Times New Roman" w:cs="Times New Roman"/>
      <w:sz w:val="20"/>
      <w:szCs w:val="20"/>
      <w:lang w:val="en-US"/>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A65737"/>
    <w:pPr>
      <w:spacing w:after="0" w:line="240" w:lineRule="auto"/>
    </w:pPr>
    <w:rPr>
      <w:rFonts w:ascii="Times New Roman" w:eastAsia="MS Mincho" w:hAnsi="Times New Roman" w:cs="Times New Roman"/>
      <w:sz w:val="20"/>
      <w:szCs w:val="20"/>
      <w:lang w:val="en-US"/>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A65737"/>
    <w:pPr>
      <w:spacing w:after="0" w:line="240" w:lineRule="auto"/>
    </w:pPr>
    <w:rPr>
      <w:rFonts w:ascii="Times New Roman" w:eastAsia="MS Mincho" w:hAnsi="Times New Roman" w:cs="Times New Roman"/>
      <w:b/>
      <w:bCs/>
      <w:sz w:val="20"/>
      <w:szCs w:val="20"/>
      <w:lang w:val="en-U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A65737"/>
    <w:pPr>
      <w:spacing w:after="0" w:line="240" w:lineRule="auto"/>
    </w:pPr>
    <w:rPr>
      <w:rFonts w:ascii="Times New Roman" w:eastAsia="MS Mincho" w:hAnsi="Times New Roman" w:cs="Times New Roman"/>
      <w:b/>
      <w:bCs/>
      <w:sz w:val="20"/>
      <w:szCs w:val="20"/>
      <w:lang w:val="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A65737"/>
    <w:pPr>
      <w:spacing w:after="0" w:line="240" w:lineRule="auto"/>
    </w:pPr>
    <w:rPr>
      <w:rFonts w:ascii="Times New Roman" w:eastAsia="MS Mincho" w:hAnsi="Times New Roman" w:cs="Times New Roman"/>
      <w:b/>
      <w:bCs/>
      <w:sz w:val="20"/>
      <w:szCs w:val="20"/>
      <w:lang w:val="en-U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A65737"/>
    <w:pPr>
      <w:spacing w:after="0" w:line="240" w:lineRule="auto"/>
    </w:pPr>
    <w:rPr>
      <w:rFonts w:ascii="Times New Roman" w:eastAsia="MS Mincho" w:hAnsi="Times New Roman" w:cs="Times New Roman"/>
      <w:sz w:val="20"/>
      <w:szCs w:val="20"/>
      <w:lang w:val="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A65737"/>
    <w:pPr>
      <w:spacing w:after="0" w:line="240" w:lineRule="auto"/>
    </w:pPr>
    <w:rPr>
      <w:rFonts w:ascii="Times New Roman" w:eastAsia="MS Mincho" w:hAnsi="Times New Roman" w:cs="Times New Roman"/>
      <w:sz w:val="20"/>
      <w:szCs w:val="20"/>
      <w:lang w:val="en-US"/>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A65737"/>
    <w:pPr>
      <w:spacing w:after="0" w:line="240" w:lineRule="auto"/>
    </w:pPr>
    <w:rPr>
      <w:rFonts w:ascii="Times New Roman" w:eastAsia="MS Mincho" w:hAnsi="Times New Roman" w:cs="Times New Roman"/>
      <w:sz w:val="20"/>
      <w:szCs w:val="20"/>
      <w:lang w:val="en-US"/>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A65737"/>
    <w:pPr>
      <w:spacing w:after="0" w:line="240" w:lineRule="auto"/>
    </w:pPr>
    <w:rPr>
      <w:rFonts w:ascii="Times New Roman" w:eastAsia="MS Mincho" w:hAnsi="Times New Roman" w:cs="Times New Roman"/>
      <w:sz w:val="20"/>
      <w:szCs w:val="20"/>
      <w:lang w:val="en-US"/>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A65737"/>
    <w:pPr>
      <w:spacing w:after="0" w:line="240" w:lineRule="auto"/>
    </w:pPr>
    <w:rPr>
      <w:rFonts w:ascii="Times New Roman" w:eastAsia="MS Mincho" w:hAnsi="Times New Roman" w:cs="Times New Roman"/>
      <w:sz w:val="20"/>
      <w:szCs w:val="20"/>
      <w:lang w:val="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A65737"/>
    <w:pPr>
      <w:spacing w:after="0" w:line="240" w:lineRule="auto"/>
    </w:pPr>
    <w:rPr>
      <w:rFonts w:ascii="Times New Roman" w:eastAsia="MS Mincho" w:hAnsi="Times New Roman" w:cs="Times New Roman"/>
      <w:sz w:val="20"/>
      <w:szCs w:val="20"/>
      <w:lang w:val="en-US"/>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A65737"/>
    <w:pPr>
      <w:spacing w:after="0" w:line="240" w:lineRule="auto"/>
    </w:pPr>
    <w:rPr>
      <w:rFonts w:ascii="Times New Roman" w:eastAsia="MS Mincho" w:hAnsi="Times New Roman" w:cs="Times New Roman"/>
      <w:sz w:val="20"/>
      <w:szCs w:val="20"/>
      <w:lang w:val="en-US"/>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A65737"/>
    <w:pPr>
      <w:spacing w:after="0" w:line="240" w:lineRule="auto"/>
    </w:pPr>
    <w:rPr>
      <w:rFonts w:ascii="Times New Roman" w:eastAsia="MS Mincho" w:hAnsi="Times New Roman" w:cs="Times New Roman"/>
      <w:sz w:val="20"/>
      <w:szCs w:val="20"/>
      <w:lang w:val="en-US"/>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A65737"/>
    <w:pPr>
      <w:spacing w:after="0" w:line="240" w:lineRule="auto"/>
    </w:pPr>
    <w:rPr>
      <w:rFonts w:ascii="Times New Roman" w:eastAsia="MS Mincho" w:hAnsi="Times New Roman" w:cs="Times New Roman"/>
      <w:sz w:val="20"/>
      <w:szCs w:val="20"/>
      <w:lang w:val="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A65737"/>
    <w:pPr>
      <w:spacing w:after="0" w:line="240" w:lineRule="auto"/>
    </w:pPr>
    <w:rPr>
      <w:rFonts w:ascii="Times New Roman" w:eastAsia="MS Mincho" w:hAnsi="Times New Roman" w:cs="Times New Roman"/>
      <w:sz w:val="20"/>
      <w:szCs w:val="20"/>
      <w:lang w:val="en-US"/>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A65737"/>
    <w:pPr>
      <w:spacing w:after="0" w:line="240" w:lineRule="auto"/>
    </w:pPr>
    <w:rPr>
      <w:rFonts w:ascii="Times New Roman" w:eastAsia="MS Mincho" w:hAnsi="Times New Roman" w:cs="Times New Roman"/>
      <w:b/>
      <w:bCs/>
      <w:sz w:val="20"/>
      <w:szCs w:val="20"/>
      <w:lang w:val="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A65737"/>
    <w:pPr>
      <w:spacing w:after="0" w:line="240" w:lineRule="auto"/>
    </w:pPr>
    <w:rPr>
      <w:rFonts w:ascii="Times New Roman" w:eastAsia="MS Mincho" w:hAnsi="Times New Roman" w:cs="Times New Roman"/>
      <w:sz w:val="20"/>
      <w:szCs w:val="20"/>
      <w:lang w:val="en-US"/>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TableHead">
    <w:name w:val="Table Head"/>
    <w:basedOn w:val="Normal"/>
    <w:rsid w:val="00A65737"/>
    <w:pPr>
      <w:keepNext/>
      <w:keepLines/>
      <w:jc w:val="center"/>
    </w:pPr>
    <w:rPr>
      <w:b/>
      <w:sz w:val="16"/>
      <w:szCs w:val="20"/>
    </w:rPr>
  </w:style>
  <w:style w:type="paragraph" w:customStyle="1" w:styleId="TableHeadBorder">
    <w:name w:val="Table Head Border"/>
    <w:basedOn w:val="Normal"/>
    <w:rsid w:val="00A65737"/>
    <w:pPr>
      <w:keepNext/>
      <w:keepLines/>
      <w:pBdr>
        <w:bottom w:val="single" w:sz="6" w:space="1" w:color="auto"/>
      </w:pBdr>
      <w:jc w:val="center"/>
    </w:pPr>
    <w:rPr>
      <w:rFonts w:ascii="Arial Narrow" w:hAnsi="Arial Narrow"/>
      <w:b/>
      <w:color w:val="000000"/>
      <w:sz w:val="16"/>
      <w:szCs w:val="20"/>
    </w:rPr>
  </w:style>
  <w:style w:type="paragraph" w:customStyle="1" w:styleId="TableHeading">
    <w:name w:val="Table Heading"/>
    <w:basedOn w:val="Body"/>
    <w:rsid w:val="00A65737"/>
    <w:pPr>
      <w:keepNext/>
      <w:keepLines/>
      <w:spacing w:before="7" w:after="7" w:line="180" w:lineRule="atLeast"/>
      <w:jc w:val="center"/>
    </w:pPr>
    <w:rPr>
      <w:rFonts w:ascii="Arial Narrow" w:hAnsi="Arial Narrow"/>
      <w:b/>
      <w:sz w:val="16"/>
    </w:rPr>
  </w:style>
  <w:style w:type="table" w:styleId="TableList1">
    <w:name w:val="Table List 1"/>
    <w:basedOn w:val="TableNormal"/>
    <w:rsid w:val="00A65737"/>
    <w:pPr>
      <w:spacing w:after="0" w:line="240" w:lineRule="auto"/>
    </w:pPr>
    <w:rPr>
      <w:rFonts w:ascii="Times New Roman" w:eastAsia="MS Mincho" w:hAnsi="Times New Roman" w:cs="Times New Roman"/>
      <w:sz w:val="20"/>
      <w:szCs w:val="20"/>
      <w:lang w:val="en-US"/>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A65737"/>
    <w:pPr>
      <w:spacing w:after="0" w:line="240" w:lineRule="auto"/>
    </w:pPr>
    <w:rPr>
      <w:rFonts w:ascii="Times New Roman" w:eastAsia="MS Mincho" w:hAnsi="Times New Roman" w:cs="Times New Roman"/>
      <w:sz w:val="20"/>
      <w:szCs w:val="20"/>
      <w:lang w:val="en-US"/>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A65737"/>
    <w:pPr>
      <w:spacing w:after="0" w:line="240" w:lineRule="auto"/>
    </w:pPr>
    <w:rPr>
      <w:rFonts w:ascii="Times New Roman" w:eastAsia="MS Mincho" w:hAnsi="Times New Roman" w:cs="Times New Roman"/>
      <w:sz w:val="20"/>
      <w:szCs w:val="20"/>
      <w:lang w:val="en-US"/>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A65737"/>
    <w:pPr>
      <w:spacing w:after="0" w:line="240" w:lineRule="auto"/>
    </w:pPr>
    <w:rPr>
      <w:rFonts w:ascii="Times New Roman" w:eastAsia="MS Mincho" w:hAnsi="Times New Roman" w:cs="Times New Roman"/>
      <w:sz w:val="20"/>
      <w:szCs w:val="20"/>
      <w:lang w:val="en-US"/>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A65737"/>
    <w:pPr>
      <w:spacing w:after="0" w:line="240" w:lineRule="auto"/>
    </w:pPr>
    <w:rPr>
      <w:rFonts w:ascii="Times New Roman" w:eastAsia="MS Mincho" w:hAnsi="Times New Roman" w:cs="Times New Roman"/>
      <w:sz w:val="20"/>
      <w:szCs w:val="20"/>
      <w:lang w:val="en-US"/>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A65737"/>
    <w:pPr>
      <w:spacing w:after="0" w:line="240" w:lineRule="auto"/>
    </w:pPr>
    <w:rPr>
      <w:rFonts w:ascii="Times New Roman" w:eastAsia="MS Mincho" w:hAnsi="Times New Roman" w:cs="Times New Roman"/>
      <w:sz w:val="20"/>
      <w:szCs w:val="20"/>
      <w:lang w:val="en-US"/>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A65737"/>
    <w:pPr>
      <w:spacing w:after="0" w:line="240" w:lineRule="auto"/>
    </w:pPr>
    <w:rPr>
      <w:rFonts w:ascii="Times New Roman" w:eastAsia="MS Mincho" w:hAnsi="Times New Roman" w:cs="Times New Roman"/>
      <w:sz w:val="20"/>
      <w:szCs w:val="20"/>
      <w:lang w:val="en-US"/>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A65737"/>
    <w:pPr>
      <w:spacing w:after="0" w:line="240" w:lineRule="auto"/>
    </w:pPr>
    <w:rPr>
      <w:rFonts w:ascii="Times New Roman" w:eastAsia="MS Mincho" w:hAnsi="Times New Roman" w:cs="Times New Roman"/>
      <w:sz w:val="20"/>
      <w:szCs w:val="20"/>
      <w:lang w:val="en-US"/>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A65737"/>
    <w:pPr>
      <w:ind w:left="240" w:hanging="240"/>
    </w:pPr>
  </w:style>
  <w:style w:type="paragraph" w:styleId="TableofFigures">
    <w:name w:val="table of figures"/>
    <w:basedOn w:val="Normal"/>
    <w:next w:val="Normal"/>
    <w:semiHidden/>
    <w:rsid w:val="00A65737"/>
    <w:pPr>
      <w:ind w:left="480" w:hanging="480"/>
    </w:pPr>
  </w:style>
  <w:style w:type="table" w:styleId="TableProfessional">
    <w:name w:val="Table Professional"/>
    <w:basedOn w:val="TableNormal"/>
    <w:rsid w:val="00A65737"/>
    <w:pPr>
      <w:spacing w:after="0" w:line="240" w:lineRule="auto"/>
    </w:pPr>
    <w:rPr>
      <w:rFonts w:ascii="Times New Roman" w:eastAsia="MS Mincho" w:hAnsi="Times New Roman" w:cs="Times New Roman"/>
      <w:sz w:val="20"/>
      <w:szCs w:val="20"/>
      <w:lang w:val="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2">
    <w:name w:val="Table Simple 2"/>
    <w:basedOn w:val="TableNormal"/>
    <w:rsid w:val="00A65737"/>
    <w:pPr>
      <w:spacing w:after="0" w:line="240" w:lineRule="auto"/>
    </w:pPr>
    <w:rPr>
      <w:rFonts w:ascii="Times New Roman" w:eastAsia="MS Mincho" w:hAnsi="Times New Roman" w:cs="Times New Roman"/>
      <w:sz w:val="20"/>
      <w:szCs w:val="20"/>
      <w:lang w:val="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A65737"/>
    <w:pPr>
      <w:spacing w:after="0" w:line="240" w:lineRule="auto"/>
    </w:pPr>
    <w:rPr>
      <w:rFonts w:ascii="Times New Roman" w:eastAsia="MS Mincho" w:hAnsi="Times New Roman" w:cs="Times New Roman"/>
      <w:sz w:val="20"/>
      <w:szCs w:val="20"/>
      <w:lang w:val="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A65737"/>
    <w:pPr>
      <w:spacing w:after="0" w:line="240" w:lineRule="auto"/>
    </w:pPr>
    <w:rPr>
      <w:rFonts w:ascii="Times New Roman" w:eastAsia="MS Mincho" w:hAnsi="Times New Roman" w:cs="Times New Roman"/>
      <w:sz w:val="20"/>
      <w:szCs w:val="20"/>
      <w:lang w:val="en-US"/>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A65737"/>
    <w:pPr>
      <w:spacing w:after="0" w:line="240" w:lineRule="auto"/>
    </w:pPr>
    <w:rPr>
      <w:rFonts w:ascii="Times New Roman" w:eastAsia="MS Mincho" w:hAnsi="Times New Roman" w:cs="Times New Roman"/>
      <w:sz w:val="20"/>
      <w:szCs w:val="20"/>
      <w:lang w:val="en-US"/>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A65737"/>
    <w:pPr>
      <w:spacing w:after="0" w:line="240" w:lineRule="auto"/>
    </w:pPr>
    <w:rPr>
      <w:rFonts w:ascii="Times New Roman" w:eastAsia="MS Mincho"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A65737"/>
    <w:pPr>
      <w:spacing w:after="0" w:line="240" w:lineRule="auto"/>
    </w:pPr>
    <w:rPr>
      <w:rFonts w:ascii="Times New Roman" w:eastAsia="MS Mincho" w:hAnsi="Times New Roman" w:cs="Times New Roman"/>
      <w:sz w:val="20"/>
      <w:szCs w:val="20"/>
      <w:lang w:val="en-US"/>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A65737"/>
    <w:pPr>
      <w:spacing w:after="0" w:line="240" w:lineRule="auto"/>
    </w:pPr>
    <w:rPr>
      <w:rFonts w:ascii="Times New Roman" w:eastAsia="MS Mincho" w:hAnsi="Times New Roman" w:cs="Times New Roman"/>
      <w:sz w:val="20"/>
      <w:szCs w:val="20"/>
      <w:lang w:val="en-US"/>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A65737"/>
    <w:pPr>
      <w:spacing w:after="0" w:line="240" w:lineRule="auto"/>
    </w:pPr>
    <w:rPr>
      <w:rFonts w:ascii="Times New Roman" w:eastAsia="MS Mincho" w:hAnsi="Times New Roman" w:cs="Times New Roman"/>
      <w:sz w:val="20"/>
      <w:szCs w:val="20"/>
      <w:lang w:val="en-US"/>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cker">
    <w:name w:val="Ticker"/>
    <w:basedOn w:val="RatingDual"/>
    <w:rsid w:val="00A65737"/>
    <w:pPr>
      <w:framePr w:wrap="around"/>
      <w:spacing w:before="120"/>
    </w:pPr>
    <w:rPr>
      <w:b/>
      <w:sz w:val="16"/>
      <w:szCs w:val="16"/>
    </w:rPr>
  </w:style>
  <w:style w:type="paragraph" w:customStyle="1" w:styleId="Tiny">
    <w:name w:val="Tiny"/>
    <w:basedOn w:val="Body"/>
    <w:rsid w:val="00A65737"/>
    <w:pPr>
      <w:spacing w:after="0" w:line="14" w:lineRule="exact"/>
    </w:pPr>
    <w:rPr>
      <w:sz w:val="2"/>
    </w:rPr>
  </w:style>
  <w:style w:type="paragraph" w:styleId="Title">
    <w:name w:val="Title"/>
    <w:basedOn w:val="Normal"/>
    <w:link w:val="TitleChar"/>
    <w:rsid w:val="00A65737"/>
    <w:pPr>
      <w:spacing w:before="240" w:after="60"/>
      <w:jc w:val="center"/>
      <w:outlineLvl w:val="0"/>
    </w:pPr>
    <w:rPr>
      <w:rFonts w:ascii="Arial" w:hAnsi="Arial" w:cs="Arial"/>
      <w:b/>
      <w:bCs/>
      <w:noProof/>
      <w:kern w:val="28"/>
      <w:sz w:val="32"/>
      <w:szCs w:val="32"/>
    </w:rPr>
  </w:style>
  <w:style w:type="character" w:customStyle="1" w:styleId="TitleChar">
    <w:name w:val="Title Char"/>
    <w:basedOn w:val="DefaultParagraphFont"/>
    <w:link w:val="Title"/>
    <w:rsid w:val="00A65737"/>
    <w:rPr>
      <w:rFonts w:ascii="Arial" w:eastAsia="MS Mincho" w:hAnsi="Arial" w:cs="Arial"/>
      <w:b/>
      <w:bCs/>
      <w:noProof/>
      <w:kern w:val="28"/>
      <w:sz w:val="32"/>
      <w:szCs w:val="32"/>
      <w:lang w:val="en-US" w:eastAsia="en-US"/>
    </w:rPr>
  </w:style>
  <w:style w:type="paragraph" w:customStyle="1" w:styleId="TitlesforContents">
    <w:name w:val="Titles for Contents"/>
    <w:basedOn w:val="Heading1"/>
    <w:next w:val="Normal"/>
    <w:rsid w:val="00A65737"/>
    <w:pPr>
      <w:pBdr>
        <w:bottom w:val="single" w:sz="6" w:space="1" w:color="auto"/>
      </w:pBdr>
      <w:spacing w:before="120" w:after="120" w:line="240" w:lineRule="auto"/>
      <w:outlineLvl w:val="9"/>
    </w:pPr>
    <w:rPr>
      <w:rFonts w:ascii="Times New Roman" w:hAnsi="Times New Roman" w:cs="Times New Roman"/>
      <w:bCs w:val="0"/>
      <w:smallCaps/>
      <w:color w:val="000080"/>
      <w:kern w:val="0"/>
      <w:sz w:val="28"/>
      <w:szCs w:val="28"/>
    </w:rPr>
  </w:style>
  <w:style w:type="paragraph" w:customStyle="1" w:styleId="TitlesforContents0">
    <w:name w:val="TitlesforContents"/>
    <w:basedOn w:val="Normal"/>
    <w:next w:val="Heading1"/>
    <w:rsid w:val="00A65737"/>
    <w:pPr>
      <w:spacing w:before="120" w:after="120"/>
    </w:pPr>
    <w:rPr>
      <w:rFonts w:ascii="Arial" w:hAnsi="Arial"/>
      <w:color w:val="4E8ABE"/>
      <w:sz w:val="36"/>
      <w:szCs w:val="36"/>
    </w:rPr>
  </w:style>
  <w:style w:type="paragraph" w:styleId="TOAHeading">
    <w:name w:val="toa heading"/>
    <w:basedOn w:val="Normal"/>
    <w:next w:val="Normal"/>
    <w:semiHidden/>
    <w:rsid w:val="00A65737"/>
    <w:pPr>
      <w:spacing w:before="120"/>
    </w:pPr>
    <w:rPr>
      <w:rFonts w:ascii="Arial" w:hAnsi="Arial" w:cs="Arial"/>
      <w:b/>
      <w:bCs/>
    </w:rPr>
  </w:style>
  <w:style w:type="paragraph" w:styleId="TOC1">
    <w:name w:val="toc 1"/>
    <w:basedOn w:val="Heading2"/>
    <w:next w:val="Body"/>
    <w:autoRedefine/>
    <w:semiHidden/>
    <w:rsid w:val="00A65737"/>
    <w:pPr>
      <w:tabs>
        <w:tab w:val="left" w:leader="dot" w:pos="0"/>
        <w:tab w:val="right" w:leader="dot" w:pos="6840"/>
      </w:tabs>
      <w:spacing w:line="240" w:lineRule="auto"/>
      <w:outlineLvl w:val="0"/>
    </w:pPr>
  </w:style>
  <w:style w:type="paragraph" w:styleId="TOC2">
    <w:name w:val="toc 2"/>
    <w:basedOn w:val="Body"/>
    <w:next w:val="Body"/>
    <w:autoRedefine/>
    <w:semiHidden/>
    <w:rsid w:val="00A65737"/>
    <w:pPr>
      <w:tabs>
        <w:tab w:val="left" w:pos="0"/>
        <w:tab w:val="right" w:leader="dot" w:pos="6840"/>
      </w:tabs>
      <w:spacing w:after="40" w:line="240" w:lineRule="auto"/>
    </w:pPr>
  </w:style>
  <w:style w:type="paragraph" w:styleId="TOC3">
    <w:name w:val="toc 3"/>
    <w:basedOn w:val="Body"/>
    <w:next w:val="Body"/>
    <w:autoRedefine/>
    <w:semiHidden/>
    <w:rsid w:val="00A65737"/>
    <w:pPr>
      <w:tabs>
        <w:tab w:val="left" w:pos="0"/>
      </w:tabs>
      <w:ind w:left="-340"/>
    </w:pPr>
  </w:style>
  <w:style w:type="paragraph" w:styleId="TOC4">
    <w:name w:val="toc 4"/>
    <w:basedOn w:val="Body"/>
    <w:next w:val="Body"/>
    <w:autoRedefine/>
    <w:semiHidden/>
    <w:rsid w:val="00A65737"/>
    <w:pPr>
      <w:tabs>
        <w:tab w:val="left" w:pos="0"/>
      </w:tabs>
      <w:ind w:left="-340"/>
    </w:pPr>
  </w:style>
  <w:style w:type="paragraph" w:styleId="TOC5">
    <w:name w:val="toc 5"/>
    <w:basedOn w:val="Body"/>
    <w:next w:val="Body"/>
    <w:autoRedefine/>
    <w:semiHidden/>
    <w:rsid w:val="00A65737"/>
    <w:pPr>
      <w:tabs>
        <w:tab w:val="left" w:pos="0"/>
      </w:tabs>
      <w:ind w:left="-340"/>
    </w:pPr>
  </w:style>
  <w:style w:type="paragraph" w:styleId="TOC6">
    <w:name w:val="toc 6"/>
    <w:basedOn w:val="TOC3"/>
    <w:next w:val="Normal"/>
    <w:autoRedefine/>
    <w:semiHidden/>
    <w:rsid w:val="00A65737"/>
    <w:rPr>
      <w:b/>
    </w:rPr>
  </w:style>
  <w:style w:type="paragraph" w:styleId="TOC7">
    <w:name w:val="toc 7"/>
    <w:basedOn w:val="TOC1"/>
    <w:next w:val="Normal"/>
    <w:autoRedefine/>
    <w:semiHidden/>
    <w:rsid w:val="00A65737"/>
    <w:pPr>
      <w:tabs>
        <w:tab w:val="clear" w:pos="0"/>
        <w:tab w:val="clear" w:pos="6840"/>
        <w:tab w:val="left" w:pos="2602"/>
      </w:tabs>
      <w:spacing w:after="0"/>
    </w:pPr>
    <w:rPr>
      <w:rFonts w:ascii="Arial Narrow" w:hAnsi="Arial Narrow"/>
      <w:b w:val="0"/>
      <w:color w:val="auto"/>
      <w:sz w:val="16"/>
      <w:szCs w:val="16"/>
    </w:rPr>
  </w:style>
  <w:style w:type="paragraph" w:styleId="TOC8">
    <w:name w:val="toc 8"/>
    <w:basedOn w:val="TOC1"/>
    <w:next w:val="Normal"/>
    <w:autoRedefine/>
    <w:semiHidden/>
    <w:rsid w:val="00A65737"/>
    <w:pPr>
      <w:tabs>
        <w:tab w:val="clear" w:pos="0"/>
        <w:tab w:val="clear" w:pos="6840"/>
        <w:tab w:val="right" w:leader="dot" w:pos="6120"/>
      </w:tabs>
      <w:spacing w:after="0"/>
      <w:ind w:right="3269"/>
    </w:pPr>
    <w:rPr>
      <w:b w:val="0"/>
      <w:szCs w:val="20"/>
    </w:rPr>
  </w:style>
  <w:style w:type="paragraph" w:styleId="TOC9">
    <w:name w:val="toc 9"/>
    <w:basedOn w:val="TOC2"/>
    <w:next w:val="Normal"/>
    <w:autoRedefine/>
    <w:semiHidden/>
    <w:rsid w:val="00A65737"/>
    <w:pPr>
      <w:tabs>
        <w:tab w:val="clear" w:pos="0"/>
        <w:tab w:val="clear" w:pos="6840"/>
        <w:tab w:val="right" w:leader="dot" w:pos="6120"/>
      </w:tabs>
      <w:spacing w:after="0"/>
      <w:ind w:right="3269"/>
    </w:pPr>
    <w:rPr>
      <w:szCs w:val="20"/>
    </w:rPr>
  </w:style>
  <w:style w:type="paragraph" w:customStyle="1" w:styleId="TOCHeading1">
    <w:name w:val="TOC Heading 1"/>
    <w:basedOn w:val="Heading1"/>
    <w:next w:val="Body"/>
    <w:rsid w:val="00A65737"/>
    <w:rPr>
      <w:color w:val="auto"/>
    </w:rPr>
  </w:style>
  <w:style w:type="paragraph" w:customStyle="1" w:styleId="TOCHeading2">
    <w:name w:val="TOC Heading 2"/>
    <w:basedOn w:val="Heading2"/>
    <w:next w:val="Body"/>
    <w:rsid w:val="00A65737"/>
    <w:pPr>
      <w:spacing w:before="120" w:line="260" w:lineRule="atLeast"/>
    </w:pPr>
  </w:style>
  <w:style w:type="paragraph" w:customStyle="1" w:styleId="TPR">
    <w:name w:val="TPR"/>
    <w:basedOn w:val="BodyTextIndent"/>
    <w:rsid w:val="00A65737"/>
    <w:pPr>
      <w:ind w:left="-3125" w:right="-14"/>
    </w:pPr>
    <w:rPr>
      <w:bCs/>
      <w:sz w:val="20"/>
      <w:szCs w:val="16"/>
    </w:rPr>
  </w:style>
  <w:style w:type="paragraph" w:customStyle="1" w:styleId="TPRHead">
    <w:name w:val="TPRHead"/>
    <w:basedOn w:val="TPR"/>
    <w:rsid w:val="00A65737"/>
    <w:pPr>
      <w:keepNext/>
      <w:spacing w:after="0"/>
    </w:pPr>
    <w:rPr>
      <w:b/>
    </w:rPr>
  </w:style>
  <w:style w:type="paragraph" w:customStyle="1" w:styleId="Tradedetail">
    <w:name w:val="Trade detail"/>
    <w:basedOn w:val="Bullettext"/>
    <w:rsid w:val="00A65737"/>
    <w:pPr>
      <w:numPr>
        <w:numId w:val="39"/>
      </w:numPr>
      <w:spacing w:after="0"/>
    </w:pPr>
  </w:style>
  <w:style w:type="paragraph" w:customStyle="1" w:styleId="Tradeinnertext">
    <w:name w:val="Trade inner text"/>
    <w:basedOn w:val="CommentText"/>
    <w:rsid w:val="00A65737"/>
    <w:pPr>
      <w:tabs>
        <w:tab w:val="left" w:pos="216"/>
      </w:tabs>
      <w:spacing w:line="240" w:lineRule="exact"/>
      <w:ind w:left="216"/>
    </w:pPr>
  </w:style>
  <w:style w:type="paragraph" w:customStyle="1" w:styleId="Underline">
    <w:name w:val="Underline"/>
    <w:basedOn w:val="Normal"/>
    <w:rsid w:val="00A65737"/>
    <w:pPr>
      <w:keepNext/>
      <w:spacing w:before="20" w:after="60" w:line="60" w:lineRule="atLeast"/>
      <w:ind w:left="-3125"/>
    </w:pPr>
    <w:rPr>
      <w:sz w:val="16"/>
    </w:rPr>
  </w:style>
  <w:style w:type="paragraph" w:customStyle="1" w:styleId="Units">
    <w:name w:val="Units"/>
    <w:basedOn w:val="Body"/>
    <w:rsid w:val="00A65737"/>
    <w:pPr>
      <w:keepNext/>
      <w:keepLines/>
      <w:spacing w:after="50" w:line="200" w:lineRule="atLeast"/>
    </w:pPr>
    <w:rPr>
      <w:rFonts w:ascii="Arial Narrow" w:hAnsi="Arial Narrow"/>
      <w:spacing w:val="5"/>
      <w:sz w:val="16"/>
    </w:rPr>
  </w:style>
  <w:style w:type="paragraph" w:customStyle="1" w:styleId="units0">
    <w:name w:val="units"/>
    <w:basedOn w:val="Normal"/>
    <w:rsid w:val="00A65737"/>
    <w:pPr>
      <w:keepNext/>
      <w:keepLines/>
      <w:spacing w:after="50" w:line="200" w:lineRule="atLeast"/>
    </w:pPr>
    <w:rPr>
      <w:rFonts w:ascii="Arial Narrow" w:hAnsi="Arial Narrow"/>
      <w:noProof/>
      <w:spacing w:val="5"/>
      <w:sz w:val="16"/>
    </w:rPr>
  </w:style>
  <w:style w:type="paragraph" w:customStyle="1" w:styleId="WebURL">
    <w:name w:val="WebURL"/>
    <w:basedOn w:val="Body"/>
    <w:next w:val="Body"/>
    <w:rsid w:val="00A65737"/>
    <w:pPr>
      <w:spacing w:after="0"/>
    </w:pPr>
    <w:rPr>
      <w:rFonts w:ascii="Arial Narrow" w:hAnsi="Arial Narrow"/>
      <w:b/>
      <w:color w:val="4E8ABE"/>
      <w:sz w:val="16"/>
      <w:szCs w:val="16"/>
    </w:rPr>
  </w:style>
  <w:style w:type="character" w:customStyle="1" w:styleId="SourceChar">
    <w:name w:val="Source Char"/>
    <w:basedOn w:val="DefaultParagraphFont"/>
    <w:link w:val="Source"/>
    <w:rsid w:val="00A65737"/>
    <w:rPr>
      <w:rFonts w:ascii="Arial Narrow" w:eastAsia="MS Mincho" w:hAnsi="Arial Narrow" w:cs="Times New Roman"/>
      <w:sz w:val="14"/>
      <w:szCs w:val="24"/>
      <w:lang w:val="en-US" w:eastAsia="en-US"/>
    </w:rPr>
  </w:style>
  <w:style w:type="paragraph" w:customStyle="1" w:styleId="TableText">
    <w:name w:val="Table Text"/>
    <w:basedOn w:val="Normal"/>
    <w:rsid w:val="00A65737"/>
    <w:pPr>
      <w:keepNext/>
      <w:keepLines/>
    </w:pPr>
    <w:rPr>
      <w:rFonts w:eastAsia="Times New Roman"/>
      <w:sz w:val="16"/>
      <w:szCs w:val="20"/>
    </w:rPr>
  </w:style>
  <w:style w:type="paragraph" w:customStyle="1" w:styleId="TableFootnotes">
    <w:name w:val="Table Footnotes"/>
    <w:basedOn w:val="Normal"/>
    <w:next w:val="Normal"/>
    <w:rsid w:val="00A65737"/>
    <w:rPr>
      <w:rFonts w:eastAsia="Times New Roman"/>
      <w:sz w:val="16"/>
      <w:lang w:val="en-GB"/>
    </w:rPr>
  </w:style>
  <w:style w:type="paragraph" w:customStyle="1" w:styleId="FooterFrontPage1stLine">
    <w:name w:val="FooterFrontPage1stLine"/>
    <w:basedOn w:val="Normal"/>
    <w:rsid w:val="00A65737"/>
    <w:pPr>
      <w:framePr w:wrap="around" w:hAnchor="text" w:yAlign="bottom"/>
      <w:spacing w:line="216" w:lineRule="atLeast"/>
    </w:pPr>
    <w:rPr>
      <w:rFonts w:ascii="Arial Narrow" w:hAnsi="Arial Narrow"/>
      <w:b/>
      <w:noProof/>
      <w:sz w:val="22"/>
    </w:rPr>
  </w:style>
  <w:style w:type="paragraph" w:customStyle="1" w:styleId="ShiftFPBullet">
    <w:name w:val="Shift FPBullet"/>
    <w:basedOn w:val="FPBullet"/>
    <w:qFormat/>
    <w:rsid w:val="00A65737"/>
    <w:pPr>
      <w:tabs>
        <w:tab w:val="clear" w:pos="0"/>
      </w:tabs>
      <w:ind w:left="2707" w:right="518"/>
    </w:pPr>
  </w:style>
  <w:style w:type="paragraph" w:customStyle="1" w:styleId="ShiftFPBody">
    <w:name w:val="Shift FPBody"/>
    <w:basedOn w:val="FPBody"/>
    <w:rsid w:val="00A65737"/>
    <w:pPr>
      <w:ind w:left="2520" w:right="518"/>
    </w:pPr>
  </w:style>
  <w:style w:type="paragraph" w:customStyle="1" w:styleId="Heading1-PBBefore">
    <w:name w:val="Heading 1 -PB Before"/>
    <w:basedOn w:val="Heading1"/>
    <w:qFormat/>
    <w:rsid w:val="00A65737"/>
    <w:pPr>
      <w:pageBreakBefore/>
      <w:spacing w:before="0"/>
    </w:pPr>
  </w:style>
  <w:style w:type="paragraph" w:customStyle="1" w:styleId="FPBullet">
    <w:name w:val="FPBullet"/>
    <w:basedOn w:val="Body"/>
    <w:link w:val="FPBulletChar"/>
    <w:rsid w:val="00A65737"/>
    <w:pPr>
      <w:numPr>
        <w:numId w:val="42"/>
      </w:numPr>
      <w:spacing w:after="180"/>
      <w:ind w:left="187" w:right="3269" w:hanging="187"/>
      <w:jc w:val="both"/>
    </w:pPr>
    <w:rPr>
      <w:sz w:val="22"/>
    </w:rPr>
  </w:style>
  <w:style w:type="paragraph" w:customStyle="1" w:styleId="A813BAA329CE47B0AB211AB001636E2C7">
    <w:name w:val="A813BAA329CE47B0AB211AB001636E2C7"/>
    <w:rsid w:val="00A65737"/>
    <w:pPr>
      <w:numPr>
        <w:numId w:val="47"/>
      </w:numPr>
      <w:tabs>
        <w:tab w:val="num" w:pos="0"/>
      </w:tabs>
      <w:spacing w:after="180"/>
      <w:ind w:left="187" w:right="3272" w:hanging="187"/>
      <w:jc w:val="both"/>
    </w:pPr>
    <w:rPr>
      <w:rFonts w:ascii="Times New Roman" w:eastAsia="MS Mincho" w:hAnsi="Times New Roman" w:cs="Times New Roman"/>
      <w:lang w:val="en-US" w:eastAsia="en-US"/>
    </w:rPr>
  </w:style>
  <w:style w:type="paragraph" w:customStyle="1" w:styleId="Source-NoSpacingAfter">
    <w:name w:val="Source-NoSpacingAfter"/>
    <w:basedOn w:val="Source"/>
    <w:next w:val="Body"/>
    <w:link w:val="Source-NoSpacingAfterChar"/>
    <w:rsid w:val="00A65737"/>
    <w:pPr>
      <w:spacing w:after="0"/>
    </w:pPr>
  </w:style>
  <w:style w:type="character" w:customStyle="1" w:styleId="Source-NoSpacingAfterChar">
    <w:name w:val="Source-NoSpacingAfter Char"/>
    <w:basedOn w:val="SourceChar"/>
    <w:link w:val="Source-NoSpacingAfter"/>
    <w:rsid w:val="00A65737"/>
  </w:style>
  <w:style w:type="paragraph" w:customStyle="1" w:styleId="BBGText">
    <w:name w:val="BBGText"/>
    <w:next w:val="Normal"/>
    <w:link w:val="BBGTextChar"/>
    <w:rsid w:val="00A65737"/>
    <w:pPr>
      <w:spacing w:before="40" w:after="0" w:line="240" w:lineRule="auto"/>
    </w:pPr>
    <w:rPr>
      <w:rFonts w:ascii="Arial" w:eastAsia="MS Mincho" w:hAnsi="Arial" w:cs="Times New Roman"/>
      <w:b/>
      <w:noProof/>
      <w:sz w:val="14"/>
      <w:szCs w:val="24"/>
      <w:lang w:val="en-US" w:eastAsia="en-US"/>
    </w:rPr>
  </w:style>
  <w:style w:type="paragraph" w:customStyle="1" w:styleId="BBGValue">
    <w:name w:val="BBGValue"/>
    <w:next w:val="Normal"/>
    <w:link w:val="BBGValueChar"/>
    <w:rsid w:val="00A65737"/>
    <w:pPr>
      <w:spacing w:before="40" w:after="60" w:line="240" w:lineRule="auto"/>
    </w:pPr>
    <w:rPr>
      <w:rFonts w:ascii="Arial" w:eastAsia="MS Mincho" w:hAnsi="Arial" w:cs="Times New Roman"/>
      <w:noProof/>
      <w:sz w:val="14"/>
      <w:szCs w:val="24"/>
      <w:lang w:val="en-US" w:eastAsia="en-US"/>
    </w:rPr>
  </w:style>
  <w:style w:type="character" w:customStyle="1" w:styleId="BBGTextChar">
    <w:name w:val="BBGText Char"/>
    <w:basedOn w:val="DefaultParagraphFont"/>
    <w:link w:val="BBGText"/>
    <w:rsid w:val="00A65737"/>
    <w:rPr>
      <w:rFonts w:ascii="Arial" w:eastAsia="MS Mincho" w:hAnsi="Arial" w:cs="Times New Roman"/>
      <w:b/>
      <w:noProof/>
      <w:sz w:val="14"/>
      <w:szCs w:val="24"/>
      <w:lang w:val="en-US" w:eastAsia="en-US"/>
    </w:rPr>
  </w:style>
  <w:style w:type="character" w:customStyle="1" w:styleId="BBGValueChar">
    <w:name w:val="BBGValue Char"/>
    <w:basedOn w:val="DefaultParagraphFont"/>
    <w:link w:val="BBGValue"/>
    <w:rsid w:val="00A65737"/>
    <w:rPr>
      <w:rFonts w:ascii="Arial" w:eastAsia="MS Mincho" w:hAnsi="Arial" w:cs="Times New Roman"/>
      <w:noProof/>
      <w:sz w:val="14"/>
      <w:szCs w:val="24"/>
      <w:lang w:val="en-US" w:eastAsia="en-US"/>
    </w:rPr>
  </w:style>
  <w:style w:type="paragraph" w:customStyle="1" w:styleId="FPLegalEntityNamewithoutborder">
    <w:name w:val="FPLegalEntityName(without border)"/>
    <w:basedOn w:val="EMail"/>
    <w:next w:val="FPLegalEntityName"/>
    <w:rsid w:val="00A65737"/>
    <w:pPr>
      <w:spacing w:after="90"/>
    </w:pPr>
    <w:rPr>
      <w:color w:val="000000" w:themeColor="text1"/>
    </w:rPr>
  </w:style>
  <w:style w:type="paragraph" w:customStyle="1" w:styleId="LastBullet">
    <w:name w:val="Last Bullet"/>
    <w:basedOn w:val="Bullet"/>
    <w:link w:val="LastBulletChar"/>
    <w:rsid w:val="00A65737"/>
    <w:pPr>
      <w:spacing w:after="240"/>
    </w:pPr>
  </w:style>
  <w:style w:type="character" w:customStyle="1" w:styleId="BodyChar">
    <w:name w:val="Body Char"/>
    <w:basedOn w:val="DefaultParagraphFont"/>
    <w:link w:val="Body"/>
    <w:rsid w:val="00A65737"/>
    <w:rPr>
      <w:rFonts w:ascii="Times New Roman" w:eastAsia="MS Mincho" w:hAnsi="Times New Roman" w:cs="Times New Roman"/>
      <w:sz w:val="20"/>
      <w:szCs w:val="24"/>
      <w:lang w:val="en-US" w:eastAsia="en-US"/>
    </w:rPr>
  </w:style>
  <w:style w:type="character" w:customStyle="1" w:styleId="FPBulletChar">
    <w:name w:val="FPBullet Char"/>
    <w:basedOn w:val="BodyChar"/>
    <w:link w:val="FPBullet"/>
    <w:rsid w:val="00A65737"/>
  </w:style>
  <w:style w:type="character" w:customStyle="1" w:styleId="LastBulletChar">
    <w:name w:val="Last Bullet Char"/>
    <w:basedOn w:val="FPBulletChar"/>
    <w:link w:val="LastBullet"/>
    <w:rsid w:val="00A65737"/>
    <w:rPr>
      <w:sz w:val="20"/>
    </w:rPr>
  </w:style>
  <w:style w:type="paragraph" w:styleId="ListParagraph">
    <w:name w:val="List Paragraph"/>
    <w:basedOn w:val="Normal"/>
    <w:uiPriority w:val="34"/>
    <w:rsid w:val="00F6139A"/>
    <w:pPr>
      <w:ind w:left="720"/>
      <w:contextualSpacing/>
    </w:pPr>
  </w:style>
</w:styles>
</file>

<file path=word/webSettings.xml><?xml version="1.0" encoding="utf-8"?>
<w:webSettings xmlns:r="http://schemas.openxmlformats.org/officeDocument/2006/relationships" xmlns:w="http://schemas.openxmlformats.org/wordprocessingml/2006/main">
  <w:divs>
    <w:div w:id="281614837">
      <w:bodyDiv w:val="1"/>
      <w:marLeft w:val="0"/>
      <w:marRight w:val="0"/>
      <w:marTop w:val="0"/>
      <w:marBottom w:val="0"/>
      <w:divBdr>
        <w:top w:val="none" w:sz="0" w:space="0" w:color="auto"/>
        <w:left w:val="none" w:sz="0" w:space="0" w:color="auto"/>
        <w:bottom w:val="none" w:sz="0" w:space="0" w:color="auto"/>
        <w:right w:val="none" w:sz="0" w:space="0" w:color="auto"/>
      </w:divBdr>
      <w:divsChild>
        <w:div w:id="1864126225">
          <w:marLeft w:val="0"/>
          <w:marRight w:val="0"/>
          <w:marTop w:val="0"/>
          <w:marBottom w:val="0"/>
          <w:divBdr>
            <w:top w:val="none" w:sz="0" w:space="0" w:color="auto"/>
            <w:left w:val="none" w:sz="0" w:space="0" w:color="auto"/>
            <w:bottom w:val="none" w:sz="0" w:space="0" w:color="auto"/>
            <w:right w:val="none" w:sz="0" w:space="0" w:color="auto"/>
          </w:divBdr>
        </w:div>
        <w:div w:id="1507359097">
          <w:marLeft w:val="0"/>
          <w:marRight w:val="0"/>
          <w:marTop w:val="0"/>
          <w:marBottom w:val="0"/>
          <w:divBdr>
            <w:top w:val="none" w:sz="0" w:space="0" w:color="auto"/>
            <w:left w:val="none" w:sz="0" w:space="0" w:color="auto"/>
            <w:bottom w:val="none" w:sz="0" w:space="0" w:color="auto"/>
            <w:right w:val="none" w:sz="0" w:space="0" w:color="auto"/>
          </w:divBdr>
        </w:div>
        <w:div w:id="1049960559">
          <w:marLeft w:val="0"/>
          <w:marRight w:val="0"/>
          <w:marTop w:val="0"/>
          <w:marBottom w:val="0"/>
          <w:divBdr>
            <w:top w:val="none" w:sz="0" w:space="0" w:color="auto"/>
            <w:left w:val="none" w:sz="0" w:space="0" w:color="auto"/>
            <w:bottom w:val="none" w:sz="0" w:space="0" w:color="auto"/>
            <w:right w:val="none" w:sz="0" w:space="0" w:color="auto"/>
          </w:divBdr>
        </w:div>
        <w:div w:id="1203903292">
          <w:marLeft w:val="0"/>
          <w:marRight w:val="0"/>
          <w:marTop w:val="0"/>
          <w:marBottom w:val="0"/>
          <w:divBdr>
            <w:top w:val="none" w:sz="0" w:space="0" w:color="auto"/>
            <w:left w:val="none" w:sz="0" w:space="0" w:color="auto"/>
            <w:bottom w:val="none" w:sz="0" w:space="0" w:color="auto"/>
            <w:right w:val="none" w:sz="0" w:space="0" w:color="auto"/>
          </w:divBdr>
        </w:div>
        <w:div w:id="1878346892">
          <w:marLeft w:val="0"/>
          <w:marRight w:val="0"/>
          <w:marTop w:val="0"/>
          <w:marBottom w:val="0"/>
          <w:divBdr>
            <w:top w:val="none" w:sz="0" w:space="0" w:color="auto"/>
            <w:left w:val="none" w:sz="0" w:space="0" w:color="auto"/>
            <w:bottom w:val="none" w:sz="0" w:space="0" w:color="auto"/>
            <w:right w:val="none" w:sz="0" w:space="0" w:color="auto"/>
          </w:divBdr>
        </w:div>
        <w:div w:id="1187907813">
          <w:marLeft w:val="0"/>
          <w:marRight w:val="0"/>
          <w:marTop w:val="0"/>
          <w:marBottom w:val="0"/>
          <w:divBdr>
            <w:top w:val="none" w:sz="0" w:space="0" w:color="auto"/>
            <w:left w:val="none" w:sz="0" w:space="0" w:color="auto"/>
            <w:bottom w:val="none" w:sz="0" w:space="0" w:color="auto"/>
            <w:right w:val="none" w:sz="0" w:space="0" w:color="auto"/>
          </w:divBdr>
        </w:div>
        <w:div w:id="949244807">
          <w:marLeft w:val="0"/>
          <w:marRight w:val="0"/>
          <w:marTop w:val="0"/>
          <w:marBottom w:val="0"/>
          <w:divBdr>
            <w:top w:val="none" w:sz="0" w:space="0" w:color="auto"/>
            <w:left w:val="none" w:sz="0" w:space="0" w:color="auto"/>
            <w:bottom w:val="none" w:sz="0" w:space="0" w:color="auto"/>
            <w:right w:val="none" w:sz="0" w:space="0" w:color="auto"/>
          </w:divBdr>
        </w:div>
        <w:div w:id="2825990">
          <w:marLeft w:val="0"/>
          <w:marRight w:val="0"/>
          <w:marTop w:val="0"/>
          <w:marBottom w:val="0"/>
          <w:divBdr>
            <w:top w:val="none" w:sz="0" w:space="0" w:color="auto"/>
            <w:left w:val="none" w:sz="0" w:space="0" w:color="auto"/>
            <w:bottom w:val="none" w:sz="0" w:space="0" w:color="auto"/>
            <w:right w:val="none" w:sz="0" w:space="0" w:color="auto"/>
          </w:divBdr>
        </w:div>
        <w:div w:id="777213001">
          <w:marLeft w:val="0"/>
          <w:marRight w:val="0"/>
          <w:marTop w:val="0"/>
          <w:marBottom w:val="0"/>
          <w:divBdr>
            <w:top w:val="none" w:sz="0" w:space="0" w:color="auto"/>
            <w:left w:val="none" w:sz="0" w:space="0" w:color="auto"/>
            <w:bottom w:val="none" w:sz="0" w:space="0" w:color="auto"/>
            <w:right w:val="none" w:sz="0" w:space="0" w:color="auto"/>
          </w:divBdr>
        </w:div>
        <w:div w:id="224071204">
          <w:marLeft w:val="0"/>
          <w:marRight w:val="0"/>
          <w:marTop w:val="0"/>
          <w:marBottom w:val="0"/>
          <w:divBdr>
            <w:top w:val="none" w:sz="0" w:space="0" w:color="auto"/>
            <w:left w:val="none" w:sz="0" w:space="0" w:color="auto"/>
            <w:bottom w:val="none" w:sz="0" w:space="0" w:color="auto"/>
            <w:right w:val="none" w:sz="0" w:space="0" w:color="auto"/>
          </w:divBdr>
        </w:div>
        <w:div w:id="188495100">
          <w:marLeft w:val="0"/>
          <w:marRight w:val="0"/>
          <w:marTop w:val="0"/>
          <w:marBottom w:val="0"/>
          <w:divBdr>
            <w:top w:val="none" w:sz="0" w:space="0" w:color="auto"/>
            <w:left w:val="none" w:sz="0" w:space="0" w:color="auto"/>
            <w:bottom w:val="none" w:sz="0" w:space="0" w:color="auto"/>
            <w:right w:val="none" w:sz="0" w:space="0" w:color="auto"/>
          </w:divBdr>
        </w:div>
        <w:div w:id="1344429435">
          <w:marLeft w:val="0"/>
          <w:marRight w:val="0"/>
          <w:marTop w:val="0"/>
          <w:marBottom w:val="0"/>
          <w:divBdr>
            <w:top w:val="none" w:sz="0" w:space="0" w:color="auto"/>
            <w:left w:val="none" w:sz="0" w:space="0" w:color="auto"/>
            <w:bottom w:val="none" w:sz="0" w:space="0" w:color="auto"/>
            <w:right w:val="none" w:sz="0" w:space="0" w:color="auto"/>
          </w:divBdr>
        </w:div>
        <w:div w:id="1301686872">
          <w:marLeft w:val="0"/>
          <w:marRight w:val="0"/>
          <w:marTop w:val="0"/>
          <w:marBottom w:val="0"/>
          <w:divBdr>
            <w:top w:val="none" w:sz="0" w:space="0" w:color="auto"/>
            <w:left w:val="none" w:sz="0" w:space="0" w:color="auto"/>
            <w:bottom w:val="none" w:sz="0" w:space="0" w:color="auto"/>
            <w:right w:val="none" w:sz="0" w:space="0" w:color="auto"/>
          </w:divBdr>
        </w:div>
        <w:div w:id="201669538">
          <w:marLeft w:val="0"/>
          <w:marRight w:val="0"/>
          <w:marTop w:val="0"/>
          <w:marBottom w:val="0"/>
          <w:divBdr>
            <w:top w:val="none" w:sz="0" w:space="0" w:color="auto"/>
            <w:left w:val="none" w:sz="0" w:space="0" w:color="auto"/>
            <w:bottom w:val="none" w:sz="0" w:space="0" w:color="auto"/>
            <w:right w:val="none" w:sz="0" w:space="0" w:color="auto"/>
          </w:divBdr>
        </w:div>
        <w:div w:id="1198473210">
          <w:marLeft w:val="0"/>
          <w:marRight w:val="0"/>
          <w:marTop w:val="0"/>
          <w:marBottom w:val="0"/>
          <w:divBdr>
            <w:top w:val="none" w:sz="0" w:space="0" w:color="auto"/>
            <w:left w:val="none" w:sz="0" w:space="0" w:color="auto"/>
            <w:bottom w:val="none" w:sz="0" w:space="0" w:color="auto"/>
            <w:right w:val="none" w:sz="0" w:space="0" w:color="auto"/>
          </w:divBdr>
        </w:div>
        <w:div w:id="2072652993">
          <w:marLeft w:val="0"/>
          <w:marRight w:val="0"/>
          <w:marTop w:val="0"/>
          <w:marBottom w:val="0"/>
          <w:divBdr>
            <w:top w:val="none" w:sz="0" w:space="0" w:color="auto"/>
            <w:left w:val="none" w:sz="0" w:space="0" w:color="auto"/>
            <w:bottom w:val="none" w:sz="0" w:space="0" w:color="auto"/>
            <w:right w:val="none" w:sz="0" w:space="0" w:color="auto"/>
          </w:divBdr>
        </w:div>
        <w:div w:id="36130151">
          <w:marLeft w:val="0"/>
          <w:marRight w:val="0"/>
          <w:marTop w:val="0"/>
          <w:marBottom w:val="0"/>
          <w:divBdr>
            <w:top w:val="none" w:sz="0" w:space="0" w:color="auto"/>
            <w:left w:val="none" w:sz="0" w:space="0" w:color="auto"/>
            <w:bottom w:val="none" w:sz="0" w:space="0" w:color="auto"/>
            <w:right w:val="none" w:sz="0" w:space="0" w:color="auto"/>
          </w:divBdr>
        </w:div>
        <w:div w:id="2011062053">
          <w:marLeft w:val="0"/>
          <w:marRight w:val="0"/>
          <w:marTop w:val="0"/>
          <w:marBottom w:val="0"/>
          <w:divBdr>
            <w:top w:val="none" w:sz="0" w:space="0" w:color="auto"/>
            <w:left w:val="none" w:sz="0" w:space="0" w:color="auto"/>
            <w:bottom w:val="none" w:sz="0" w:space="0" w:color="auto"/>
            <w:right w:val="none" w:sz="0" w:space="0" w:color="auto"/>
          </w:divBdr>
        </w:div>
        <w:div w:id="747194493">
          <w:marLeft w:val="0"/>
          <w:marRight w:val="0"/>
          <w:marTop w:val="0"/>
          <w:marBottom w:val="0"/>
          <w:divBdr>
            <w:top w:val="none" w:sz="0" w:space="0" w:color="auto"/>
            <w:left w:val="none" w:sz="0" w:space="0" w:color="auto"/>
            <w:bottom w:val="none" w:sz="0" w:space="0" w:color="auto"/>
            <w:right w:val="none" w:sz="0" w:space="0" w:color="auto"/>
          </w:divBdr>
        </w:div>
        <w:div w:id="95027583">
          <w:marLeft w:val="0"/>
          <w:marRight w:val="0"/>
          <w:marTop w:val="0"/>
          <w:marBottom w:val="0"/>
          <w:divBdr>
            <w:top w:val="none" w:sz="0" w:space="0" w:color="auto"/>
            <w:left w:val="none" w:sz="0" w:space="0" w:color="auto"/>
            <w:bottom w:val="none" w:sz="0" w:space="0" w:color="auto"/>
            <w:right w:val="none" w:sz="0" w:space="0" w:color="auto"/>
          </w:divBdr>
        </w:div>
        <w:div w:id="1752773386">
          <w:marLeft w:val="0"/>
          <w:marRight w:val="0"/>
          <w:marTop w:val="0"/>
          <w:marBottom w:val="0"/>
          <w:divBdr>
            <w:top w:val="none" w:sz="0" w:space="0" w:color="auto"/>
            <w:left w:val="none" w:sz="0" w:space="0" w:color="auto"/>
            <w:bottom w:val="none" w:sz="0" w:space="0" w:color="auto"/>
            <w:right w:val="none" w:sz="0" w:space="0" w:color="auto"/>
          </w:divBdr>
        </w:div>
      </w:divsChild>
    </w:div>
    <w:div w:id="302585416">
      <w:bodyDiv w:val="1"/>
      <w:marLeft w:val="0"/>
      <w:marRight w:val="0"/>
      <w:marTop w:val="0"/>
      <w:marBottom w:val="0"/>
      <w:divBdr>
        <w:top w:val="none" w:sz="0" w:space="0" w:color="auto"/>
        <w:left w:val="none" w:sz="0" w:space="0" w:color="auto"/>
        <w:bottom w:val="none" w:sz="0" w:space="0" w:color="auto"/>
        <w:right w:val="none" w:sz="0" w:space="0" w:color="auto"/>
      </w:divBdr>
      <w:divsChild>
        <w:div w:id="488711751">
          <w:marLeft w:val="0"/>
          <w:marRight w:val="0"/>
          <w:marTop w:val="0"/>
          <w:marBottom w:val="0"/>
          <w:divBdr>
            <w:top w:val="none" w:sz="0" w:space="0" w:color="auto"/>
            <w:left w:val="none" w:sz="0" w:space="0" w:color="auto"/>
            <w:bottom w:val="none" w:sz="0" w:space="0" w:color="auto"/>
            <w:right w:val="none" w:sz="0" w:space="0" w:color="auto"/>
          </w:divBdr>
        </w:div>
        <w:div w:id="1935822066">
          <w:marLeft w:val="0"/>
          <w:marRight w:val="0"/>
          <w:marTop w:val="0"/>
          <w:marBottom w:val="0"/>
          <w:divBdr>
            <w:top w:val="none" w:sz="0" w:space="0" w:color="auto"/>
            <w:left w:val="none" w:sz="0" w:space="0" w:color="auto"/>
            <w:bottom w:val="none" w:sz="0" w:space="0" w:color="auto"/>
            <w:right w:val="none" w:sz="0" w:space="0" w:color="auto"/>
          </w:divBdr>
        </w:div>
        <w:div w:id="145708068">
          <w:marLeft w:val="0"/>
          <w:marRight w:val="0"/>
          <w:marTop w:val="0"/>
          <w:marBottom w:val="0"/>
          <w:divBdr>
            <w:top w:val="none" w:sz="0" w:space="0" w:color="auto"/>
            <w:left w:val="none" w:sz="0" w:space="0" w:color="auto"/>
            <w:bottom w:val="none" w:sz="0" w:space="0" w:color="auto"/>
            <w:right w:val="none" w:sz="0" w:space="0" w:color="auto"/>
          </w:divBdr>
        </w:div>
        <w:div w:id="767043740">
          <w:marLeft w:val="0"/>
          <w:marRight w:val="0"/>
          <w:marTop w:val="0"/>
          <w:marBottom w:val="0"/>
          <w:divBdr>
            <w:top w:val="none" w:sz="0" w:space="0" w:color="auto"/>
            <w:left w:val="none" w:sz="0" w:space="0" w:color="auto"/>
            <w:bottom w:val="none" w:sz="0" w:space="0" w:color="auto"/>
            <w:right w:val="none" w:sz="0" w:space="0" w:color="auto"/>
          </w:divBdr>
        </w:div>
        <w:div w:id="239557739">
          <w:marLeft w:val="0"/>
          <w:marRight w:val="0"/>
          <w:marTop w:val="0"/>
          <w:marBottom w:val="0"/>
          <w:divBdr>
            <w:top w:val="none" w:sz="0" w:space="0" w:color="auto"/>
            <w:left w:val="none" w:sz="0" w:space="0" w:color="auto"/>
            <w:bottom w:val="none" w:sz="0" w:space="0" w:color="auto"/>
            <w:right w:val="none" w:sz="0" w:space="0" w:color="auto"/>
          </w:divBdr>
        </w:div>
        <w:div w:id="191655701">
          <w:marLeft w:val="0"/>
          <w:marRight w:val="0"/>
          <w:marTop w:val="0"/>
          <w:marBottom w:val="0"/>
          <w:divBdr>
            <w:top w:val="none" w:sz="0" w:space="0" w:color="auto"/>
            <w:left w:val="none" w:sz="0" w:space="0" w:color="auto"/>
            <w:bottom w:val="none" w:sz="0" w:space="0" w:color="auto"/>
            <w:right w:val="none" w:sz="0" w:space="0" w:color="auto"/>
          </w:divBdr>
        </w:div>
        <w:div w:id="496774502">
          <w:marLeft w:val="0"/>
          <w:marRight w:val="0"/>
          <w:marTop w:val="0"/>
          <w:marBottom w:val="0"/>
          <w:divBdr>
            <w:top w:val="none" w:sz="0" w:space="0" w:color="auto"/>
            <w:left w:val="none" w:sz="0" w:space="0" w:color="auto"/>
            <w:bottom w:val="none" w:sz="0" w:space="0" w:color="auto"/>
            <w:right w:val="none" w:sz="0" w:space="0" w:color="auto"/>
          </w:divBdr>
        </w:div>
        <w:div w:id="1059283569">
          <w:marLeft w:val="0"/>
          <w:marRight w:val="0"/>
          <w:marTop w:val="0"/>
          <w:marBottom w:val="0"/>
          <w:divBdr>
            <w:top w:val="none" w:sz="0" w:space="0" w:color="auto"/>
            <w:left w:val="none" w:sz="0" w:space="0" w:color="auto"/>
            <w:bottom w:val="none" w:sz="0" w:space="0" w:color="auto"/>
            <w:right w:val="none" w:sz="0" w:space="0" w:color="auto"/>
          </w:divBdr>
        </w:div>
        <w:div w:id="782770460">
          <w:marLeft w:val="0"/>
          <w:marRight w:val="0"/>
          <w:marTop w:val="0"/>
          <w:marBottom w:val="0"/>
          <w:divBdr>
            <w:top w:val="none" w:sz="0" w:space="0" w:color="auto"/>
            <w:left w:val="none" w:sz="0" w:space="0" w:color="auto"/>
            <w:bottom w:val="none" w:sz="0" w:space="0" w:color="auto"/>
            <w:right w:val="none" w:sz="0" w:space="0" w:color="auto"/>
          </w:divBdr>
        </w:div>
        <w:div w:id="1259755732">
          <w:marLeft w:val="0"/>
          <w:marRight w:val="0"/>
          <w:marTop w:val="0"/>
          <w:marBottom w:val="0"/>
          <w:divBdr>
            <w:top w:val="none" w:sz="0" w:space="0" w:color="auto"/>
            <w:left w:val="none" w:sz="0" w:space="0" w:color="auto"/>
            <w:bottom w:val="none" w:sz="0" w:space="0" w:color="auto"/>
            <w:right w:val="none" w:sz="0" w:space="0" w:color="auto"/>
          </w:divBdr>
        </w:div>
        <w:div w:id="1643535328">
          <w:marLeft w:val="0"/>
          <w:marRight w:val="0"/>
          <w:marTop w:val="0"/>
          <w:marBottom w:val="0"/>
          <w:divBdr>
            <w:top w:val="none" w:sz="0" w:space="0" w:color="auto"/>
            <w:left w:val="none" w:sz="0" w:space="0" w:color="auto"/>
            <w:bottom w:val="none" w:sz="0" w:space="0" w:color="auto"/>
            <w:right w:val="none" w:sz="0" w:space="0" w:color="auto"/>
          </w:divBdr>
        </w:div>
        <w:div w:id="1036546006">
          <w:marLeft w:val="0"/>
          <w:marRight w:val="0"/>
          <w:marTop w:val="0"/>
          <w:marBottom w:val="0"/>
          <w:divBdr>
            <w:top w:val="none" w:sz="0" w:space="0" w:color="auto"/>
            <w:left w:val="none" w:sz="0" w:space="0" w:color="auto"/>
            <w:bottom w:val="none" w:sz="0" w:space="0" w:color="auto"/>
            <w:right w:val="none" w:sz="0" w:space="0" w:color="auto"/>
          </w:divBdr>
        </w:div>
        <w:div w:id="261913624">
          <w:marLeft w:val="0"/>
          <w:marRight w:val="0"/>
          <w:marTop w:val="0"/>
          <w:marBottom w:val="0"/>
          <w:divBdr>
            <w:top w:val="none" w:sz="0" w:space="0" w:color="auto"/>
            <w:left w:val="none" w:sz="0" w:space="0" w:color="auto"/>
            <w:bottom w:val="none" w:sz="0" w:space="0" w:color="auto"/>
            <w:right w:val="none" w:sz="0" w:space="0" w:color="auto"/>
          </w:divBdr>
        </w:div>
        <w:div w:id="1122532214">
          <w:marLeft w:val="0"/>
          <w:marRight w:val="0"/>
          <w:marTop w:val="0"/>
          <w:marBottom w:val="0"/>
          <w:divBdr>
            <w:top w:val="none" w:sz="0" w:space="0" w:color="auto"/>
            <w:left w:val="none" w:sz="0" w:space="0" w:color="auto"/>
            <w:bottom w:val="none" w:sz="0" w:space="0" w:color="auto"/>
            <w:right w:val="none" w:sz="0" w:space="0" w:color="auto"/>
          </w:divBdr>
        </w:div>
        <w:div w:id="28378602">
          <w:marLeft w:val="0"/>
          <w:marRight w:val="0"/>
          <w:marTop w:val="0"/>
          <w:marBottom w:val="0"/>
          <w:divBdr>
            <w:top w:val="none" w:sz="0" w:space="0" w:color="auto"/>
            <w:left w:val="none" w:sz="0" w:space="0" w:color="auto"/>
            <w:bottom w:val="none" w:sz="0" w:space="0" w:color="auto"/>
            <w:right w:val="none" w:sz="0" w:space="0" w:color="auto"/>
          </w:divBdr>
        </w:div>
        <w:div w:id="1655865172">
          <w:marLeft w:val="0"/>
          <w:marRight w:val="0"/>
          <w:marTop w:val="0"/>
          <w:marBottom w:val="0"/>
          <w:divBdr>
            <w:top w:val="none" w:sz="0" w:space="0" w:color="auto"/>
            <w:left w:val="none" w:sz="0" w:space="0" w:color="auto"/>
            <w:bottom w:val="none" w:sz="0" w:space="0" w:color="auto"/>
            <w:right w:val="none" w:sz="0" w:space="0" w:color="auto"/>
          </w:divBdr>
        </w:div>
        <w:div w:id="1571766778">
          <w:marLeft w:val="0"/>
          <w:marRight w:val="0"/>
          <w:marTop w:val="0"/>
          <w:marBottom w:val="0"/>
          <w:divBdr>
            <w:top w:val="none" w:sz="0" w:space="0" w:color="auto"/>
            <w:left w:val="none" w:sz="0" w:space="0" w:color="auto"/>
            <w:bottom w:val="none" w:sz="0" w:space="0" w:color="auto"/>
            <w:right w:val="none" w:sz="0" w:space="0" w:color="auto"/>
          </w:divBdr>
        </w:div>
        <w:div w:id="789318990">
          <w:marLeft w:val="0"/>
          <w:marRight w:val="0"/>
          <w:marTop w:val="0"/>
          <w:marBottom w:val="0"/>
          <w:divBdr>
            <w:top w:val="none" w:sz="0" w:space="0" w:color="auto"/>
            <w:left w:val="none" w:sz="0" w:space="0" w:color="auto"/>
            <w:bottom w:val="none" w:sz="0" w:space="0" w:color="auto"/>
            <w:right w:val="none" w:sz="0" w:space="0" w:color="auto"/>
          </w:divBdr>
        </w:div>
        <w:div w:id="2039576870">
          <w:marLeft w:val="0"/>
          <w:marRight w:val="0"/>
          <w:marTop w:val="0"/>
          <w:marBottom w:val="0"/>
          <w:divBdr>
            <w:top w:val="none" w:sz="0" w:space="0" w:color="auto"/>
            <w:left w:val="none" w:sz="0" w:space="0" w:color="auto"/>
            <w:bottom w:val="none" w:sz="0" w:space="0" w:color="auto"/>
            <w:right w:val="none" w:sz="0" w:space="0" w:color="auto"/>
          </w:divBdr>
        </w:div>
        <w:div w:id="1688091632">
          <w:marLeft w:val="0"/>
          <w:marRight w:val="0"/>
          <w:marTop w:val="0"/>
          <w:marBottom w:val="0"/>
          <w:divBdr>
            <w:top w:val="none" w:sz="0" w:space="0" w:color="auto"/>
            <w:left w:val="none" w:sz="0" w:space="0" w:color="auto"/>
            <w:bottom w:val="none" w:sz="0" w:space="0" w:color="auto"/>
            <w:right w:val="none" w:sz="0" w:space="0" w:color="auto"/>
          </w:divBdr>
        </w:div>
        <w:div w:id="1887719687">
          <w:marLeft w:val="0"/>
          <w:marRight w:val="0"/>
          <w:marTop w:val="0"/>
          <w:marBottom w:val="0"/>
          <w:divBdr>
            <w:top w:val="none" w:sz="0" w:space="0" w:color="auto"/>
            <w:left w:val="none" w:sz="0" w:space="0" w:color="auto"/>
            <w:bottom w:val="none" w:sz="0" w:space="0" w:color="auto"/>
            <w:right w:val="none" w:sz="0" w:space="0" w:color="auto"/>
          </w:divBdr>
        </w:div>
      </w:divsChild>
    </w:div>
    <w:div w:id="357508110">
      <w:bodyDiv w:val="1"/>
      <w:marLeft w:val="0"/>
      <w:marRight w:val="0"/>
      <w:marTop w:val="0"/>
      <w:marBottom w:val="0"/>
      <w:divBdr>
        <w:top w:val="none" w:sz="0" w:space="0" w:color="auto"/>
        <w:left w:val="none" w:sz="0" w:space="0" w:color="auto"/>
        <w:bottom w:val="none" w:sz="0" w:space="0" w:color="auto"/>
        <w:right w:val="none" w:sz="0" w:space="0" w:color="auto"/>
      </w:divBdr>
      <w:divsChild>
        <w:div w:id="331027573">
          <w:marLeft w:val="0"/>
          <w:marRight w:val="0"/>
          <w:marTop w:val="0"/>
          <w:marBottom w:val="0"/>
          <w:divBdr>
            <w:top w:val="none" w:sz="0" w:space="0" w:color="auto"/>
            <w:left w:val="none" w:sz="0" w:space="0" w:color="auto"/>
            <w:bottom w:val="none" w:sz="0" w:space="0" w:color="auto"/>
            <w:right w:val="none" w:sz="0" w:space="0" w:color="auto"/>
          </w:divBdr>
        </w:div>
        <w:div w:id="1737241447">
          <w:marLeft w:val="0"/>
          <w:marRight w:val="0"/>
          <w:marTop w:val="0"/>
          <w:marBottom w:val="0"/>
          <w:divBdr>
            <w:top w:val="none" w:sz="0" w:space="0" w:color="auto"/>
            <w:left w:val="none" w:sz="0" w:space="0" w:color="auto"/>
            <w:bottom w:val="none" w:sz="0" w:space="0" w:color="auto"/>
            <w:right w:val="none" w:sz="0" w:space="0" w:color="auto"/>
          </w:divBdr>
        </w:div>
        <w:div w:id="405810104">
          <w:marLeft w:val="0"/>
          <w:marRight w:val="0"/>
          <w:marTop w:val="0"/>
          <w:marBottom w:val="0"/>
          <w:divBdr>
            <w:top w:val="none" w:sz="0" w:space="0" w:color="auto"/>
            <w:left w:val="none" w:sz="0" w:space="0" w:color="auto"/>
            <w:bottom w:val="none" w:sz="0" w:space="0" w:color="auto"/>
            <w:right w:val="none" w:sz="0" w:space="0" w:color="auto"/>
          </w:divBdr>
        </w:div>
        <w:div w:id="913320719">
          <w:marLeft w:val="0"/>
          <w:marRight w:val="0"/>
          <w:marTop w:val="0"/>
          <w:marBottom w:val="0"/>
          <w:divBdr>
            <w:top w:val="none" w:sz="0" w:space="0" w:color="auto"/>
            <w:left w:val="none" w:sz="0" w:space="0" w:color="auto"/>
            <w:bottom w:val="none" w:sz="0" w:space="0" w:color="auto"/>
            <w:right w:val="none" w:sz="0" w:space="0" w:color="auto"/>
          </w:divBdr>
        </w:div>
        <w:div w:id="52395205">
          <w:marLeft w:val="0"/>
          <w:marRight w:val="0"/>
          <w:marTop w:val="0"/>
          <w:marBottom w:val="0"/>
          <w:divBdr>
            <w:top w:val="none" w:sz="0" w:space="0" w:color="auto"/>
            <w:left w:val="none" w:sz="0" w:space="0" w:color="auto"/>
            <w:bottom w:val="none" w:sz="0" w:space="0" w:color="auto"/>
            <w:right w:val="none" w:sz="0" w:space="0" w:color="auto"/>
          </w:divBdr>
        </w:div>
        <w:div w:id="942374290">
          <w:marLeft w:val="0"/>
          <w:marRight w:val="0"/>
          <w:marTop w:val="0"/>
          <w:marBottom w:val="0"/>
          <w:divBdr>
            <w:top w:val="none" w:sz="0" w:space="0" w:color="auto"/>
            <w:left w:val="none" w:sz="0" w:space="0" w:color="auto"/>
            <w:bottom w:val="none" w:sz="0" w:space="0" w:color="auto"/>
            <w:right w:val="none" w:sz="0" w:space="0" w:color="auto"/>
          </w:divBdr>
        </w:div>
        <w:div w:id="1737361273">
          <w:marLeft w:val="0"/>
          <w:marRight w:val="0"/>
          <w:marTop w:val="0"/>
          <w:marBottom w:val="0"/>
          <w:divBdr>
            <w:top w:val="none" w:sz="0" w:space="0" w:color="auto"/>
            <w:left w:val="none" w:sz="0" w:space="0" w:color="auto"/>
            <w:bottom w:val="none" w:sz="0" w:space="0" w:color="auto"/>
            <w:right w:val="none" w:sz="0" w:space="0" w:color="auto"/>
          </w:divBdr>
        </w:div>
        <w:div w:id="1229464205">
          <w:marLeft w:val="0"/>
          <w:marRight w:val="0"/>
          <w:marTop w:val="0"/>
          <w:marBottom w:val="0"/>
          <w:divBdr>
            <w:top w:val="none" w:sz="0" w:space="0" w:color="auto"/>
            <w:left w:val="none" w:sz="0" w:space="0" w:color="auto"/>
            <w:bottom w:val="none" w:sz="0" w:space="0" w:color="auto"/>
            <w:right w:val="none" w:sz="0" w:space="0" w:color="auto"/>
          </w:divBdr>
        </w:div>
        <w:div w:id="392002359">
          <w:marLeft w:val="0"/>
          <w:marRight w:val="0"/>
          <w:marTop w:val="0"/>
          <w:marBottom w:val="0"/>
          <w:divBdr>
            <w:top w:val="none" w:sz="0" w:space="0" w:color="auto"/>
            <w:left w:val="none" w:sz="0" w:space="0" w:color="auto"/>
            <w:bottom w:val="none" w:sz="0" w:space="0" w:color="auto"/>
            <w:right w:val="none" w:sz="0" w:space="0" w:color="auto"/>
          </w:divBdr>
        </w:div>
        <w:div w:id="439303055">
          <w:marLeft w:val="0"/>
          <w:marRight w:val="0"/>
          <w:marTop w:val="0"/>
          <w:marBottom w:val="0"/>
          <w:divBdr>
            <w:top w:val="none" w:sz="0" w:space="0" w:color="auto"/>
            <w:left w:val="none" w:sz="0" w:space="0" w:color="auto"/>
            <w:bottom w:val="none" w:sz="0" w:space="0" w:color="auto"/>
            <w:right w:val="none" w:sz="0" w:space="0" w:color="auto"/>
          </w:divBdr>
        </w:div>
        <w:div w:id="151527455">
          <w:marLeft w:val="0"/>
          <w:marRight w:val="0"/>
          <w:marTop w:val="0"/>
          <w:marBottom w:val="0"/>
          <w:divBdr>
            <w:top w:val="none" w:sz="0" w:space="0" w:color="auto"/>
            <w:left w:val="none" w:sz="0" w:space="0" w:color="auto"/>
            <w:bottom w:val="none" w:sz="0" w:space="0" w:color="auto"/>
            <w:right w:val="none" w:sz="0" w:space="0" w:color="auto"/>
          </w:divBdr>
        </w:div>
        <w:div w:id="1169250057">
          <w:marLeft w:val="0"/>
          <w:marRight w:val="0"/>
          <w:marTop w:val="0"/>
          <w:marBottom w:val="0"/>
          <w:divBdr>
            <w:top w:val="none" w:sz="0" w:space="0" w:color="auto"/>
            <w:left w:val="none" w:sz="0" w:space="0" w:color="auto"/>
            <w:bottom w:val="none" w:sz="0" w:space="0" w:color="auto"/>
            <w:right w:val="none" w:sz="0" w:space="0" w:color="auto"/>
          </w:divBdr>
        </w:div>
        <w:div w:id="254167887">
          <w:marLeft w:val="0"/>
          <w:marRight w:val="0"/>
          <w:marTop w:val="0"/>
          <w:marBottom w:val="0"/>
          <w:divBdr>
            <w:top w:val="none" w:sz="0" w:space="0" w:color="auto"/>
            <w:left w:val="none" w:sz="0" w:space="0" w:color="auto"/>
            <w:bottom w:val="none" w:sz="0" w:space="0" w:color="auto"/>
            <w:right w:val="none" w:sz="0" w:space="0" w:color="auto"/>
          </w:divBdr>
        </w:div>
        <w:div w:id="924921029">
          <w:marLeft w:val="0"/>
          <w:marRight w:val="0"/>
          <w:marTop w:val="0"/>
          <w:marBottom w:val="0"/>
          <w:divBdr>
            <w:top w:val="none" w:sz="0" w:space="0" w:color="auto"/>
            <w:left w:val="none" w:sz="0" w:space="0" w:color="auto"/>
            <w:bottom w:val="none" w:sz="0" w:space="0" w:color="auto"/>
            <w:right w:val="none" w:sz="0" w:space="0" w:color="auto"/>
          </w:divBdr>
        </w:div>
        <w:div w:id="663508847">
          <w:marLeft w:val="0"/>
          <w:marRight w:val="0"/>
          <w:marTop w:val="0"/>
          <w:marBottom w:val="0"/>
          <w:divBdr>
            <w:top w:val="none" w:sz="0" w:space="0" w:color="auto"/>
            <w:left w:val="none" w:sz="0" w:space="0" w:color="auto"/>
            <w:bottom w:val="none" w:sz="0" w:space="0" w:color="auto"/>
            <w:right w:val="none" w:sz="0" w:space="0" w:color="auto"/>
          </w:divBdr>
        </w:div>
        <w:div w:id="1411585521">
          <w:marLeft w:val="0"/>
          <w:marRight w:val="0"/>
          <w:marTop w:val="0"/>
          <w:marBottom w:val="0"/>
          <w:divBdr>
            <w:top w:val="none" w:sz="0" w:space="0" w:color="auto"/>
            <w:left w:val="none" w:sz="0" w:space="0" w:color="auto"/>
            <w:bottom w:val="none" w:sz="0" w:space="0" w:color="auto"/>
            <w:right w:val="none" w:sz="0" w:space="0" w:color="auto"/>
          </w:divBdr>
        </w:div>
        <w:div w:id="1609657611">
          <w:marLeft w:val="0"/>
          <w:marRight w:val="0"/>
          <w:marTop w:val="0"/>
          <w:marBottom w:val="0"/>
          <w:divBdr>
            <w:top w:val="none" w:sz="0" w:space="0" w:color="auto"/>
            <w:left w:val="none" w:sz="0" w:space="0" w:color="auto"/>
            <w:bottom w:val="none" w:sz="0" w:space="0" w:color="auto"/>
            <w:right w:val="none" w:sz="0" w:space="0" w:color="auto"/>
          </w:divBdr>
        </w:div>
        <w:div w:id="1654218315">
          <w:marLeft w:val="0"/>
          <w:marRight w:val="0"/>
          <w:marTop w:val="0"/>
          <w:marBottom w:val="0"/>
          <w:divBdr>
            <w:top w:val="none" w:sz="0" w:space="0" w:color="auto"/>
            <w:left w:val="none" w:sz="0" w:space="0" w:color="auto"/>
            <w:bottom w:val="none" w:sz="0" w:space="0" w:color="auto"/>
            <w:right w:val="none" w:sz="0" w:space="0" w:color="auto"/>
          </w:divBdr>
        </w:div>
      </w:divsChild>
    </w:div>
    <w:div w:id="872693612">
      <w:bodyDiv w:val="1"/>
      <w:marLeft w:val="0"/>
      <w:marRight w:val="0"/>
      <w:marTop w:val="0"/>
      <w:marBottom w:val="0"/>
      <w:divBdr>
        <w:top w:val="none" w:sz="0" w:space="0" w:color="auto"/>
        <w:left w:val="none" w:sz="0" w:space="0" w:color="auto"/>
        <w:bottom w:val="none" w:sz="0" w:space="0" w:color="auto"/>
        <w:right w:val="none" w:sz="0" w:space="0" w:color="auto"/>
      </w:divBdr>
      <w:divsChild>
        <w:div w:id="1758362025">
          <w:marLeft w:val="0"/>
          <w:marRight w:val="0"/>
          <w:marTop w:val="0"/>
          <w:marBottom w:val="0"/>
          <w:divBdr>
            <w:top w:val="none" w:sz="0" w:space="0" w:color="auto"/>
            <w:left w:val="none" w:sz="0" w:space="0" w:color="auto"/>
            <w:bottom w:val="none" w:sz="0" w:space="0" w:color="auto"/>
            <w:right w:val="none" w:sz="0" w:space="0" w:color="auto"/>
          </w:divBdr>
        </w:div>
        <w:div w:id="1699042257">
          <w:marLeft w:val="0"/>
          <w:marRight w:val="0"/>
          <w:marTop w:val="0"/>
          <w:marBottom w:val="0"/>
          <w:divBdr>
            <w:top w:val="none" w:sz="0" w:space="0" w:color="auto"/>
            <w:left w:val="none" w:sz="0" w:space="0" w:color="auto"/>
            <w:bottom w:val="none" w:sz="0" w:space="0" w:color="auto"/>
            <w:right w:val="none" w:sz="0" w:space="0" w:color="auto"/>
          </w:divBdr>
        </w:div>
        <w:div w:id="312292088">
          <w:marLeft w:val="0"/>
          <w:marRight w:val="0"/>
          <w:marTop w:val="0"/>
          <w:marBottom w:val="0"/>
          <w:divBdr>
            <w:top w:val="none" w:sz="0" w:space="0" w:color="auto"/>
            <w:left w:val="none" w:sz="0" w:space="0" w:color="auto"/>
            <w:bottom w:val="none" w:sz="0" w:space="0" w:color="auto"/>
            <w:right w:val="none" w:sz="0" w:space="0" w:color="auto"/>
          </w:divBdr>
        </w:div>
        <w:div w:id="1695229530">
          <w:marLeft w:val="0"/>
          <w:marRight w:val="0"/>
          <w:marTop w:val="0"/>
          <w:marBottom w:val="0"/>
          <w:divBdr>
            <w:top w:val="none" w:sz="0" w:space="0" w:color="auto"/>
            <w:left w:val="none" w:sz="0" w:space="0" w:color="auto"/>
            <w:bottom w:val="none" w:sz="0" w:space="0" w:color="auto"/>
            <w:right w:val="none" w:sz="0" w:space="0" w:color="auto"/>
          </w:divBdr>
        </w:div>
        <w:div w:id="1583756523">
          <w:marLeft w:val="0"/>
          <w:marRight w:val="0"/>
          <w:marTop w:val="0"/>
          <w:marBottom w:val="0"/>
          <w:divBdr>
            <w:top w:val="none" w:sz="0" w:space="0" w:color="auto"/>
            <w:left w:val="none" w:sz="0" w:space="0" w:color="auto"/>
            <w:bottom w:val="none" w:sz="0" w:space="0" w:color="auto"/>
            <w:right w:val="none" w:sz="0" w:space="0" w:color="auto"/>
          </w:divBdr>
        </w:div>
        <w:div w:id="1015234432">
          <w:marLeft w:val="0"/>
          <w:marRight w:val="0"/>
          <w:marTop w:val="0"/>
          <w:marBottom w:val="0"/>
          <w:divBdr>
            <w:top w:val="none" w:sz="0" w:space="0" w:color="auto"/>
            <w:left w:val="none" w:sz="0" w:space="0" w:color="auto"/>
            <w:bottom w:val="none" w:sz="0" w:space="0" w:color="auto"/>
            <w:right w:val="none" w:sz="0" w:space="0" w:color="auto"/>
          </w:divBdr>
        </w:div>
        <w:div w:id="710763315">
          <w:marLeft w:val="0"/>
          <w:marRight w:val="0"/>
          <w:marTop w:val="0"/>
          <w:marBottom w:val="0"/>
          <w:divBdr>
            <w:top w:val="none" w:sz="0" w:space="0" w:color="auto"/>
            <w:left w:val="none" w:sz="0" w:space="0" w:color="auto"/>
            <w:bottom w:val="none" w:sz="0" w:space="0" w:color="auto"/>
            <w:right w:val="none" w:sz="0" w:space="0" w:color="auto"/>
          </w:divBdr>
        </w:div>
        <w:div w:id="1262565538">
          <w:marLeft w:val="0"/>
          <w:marRight w:val="0"/>
          <w:marTop w:val="0"/>
          <w:marBottom w:val="0"/>
          <w:divBdr>
            <w:top w:val="none" w:sz="0" w:space="0" w:color="auto"/>
            <w:left w:val="none" w:sz="0" w:space="0" w:color="auto"/>
            <w:bottom w:val="none" w:sz="0" w:space="0" w:color="auto"/>
            <w:right w:val="none" w:sz="0" w:space="0" w:color="auto"/>
          </w:divBdr>
        </w:div>
        <w:div w:id="689113019">
          <w:marLeft w:val="0"/>
          <w:marRight w:val="0"/>
          <w:marTop w:val="0"/>
          <w:marBottom w:val="0"/>
          <w:divBdr>
            <w:top w:val="none" w:sz="0" w:space="0" w:color="auto"/>
            <w:left w:val="none" w:sz="0" w:space="0" w:color="auto"/>
            <w:bottom w:val="none" w:sz="0" w:space="0" w:color="auto"/>
            <w:right w:val="none" w:sz="0" w:space="0" w:color="auto"/>
          </w:divBdr>
        </w:div>
        <w:div w:id="719327169">
          <w:marLeft w:val="0"/>
          <w:marRight w:val="0"/>
          <w:marTop w:val="0"/>
          <w:marBottom w:val="0"/>
          <w:divBdr>
            <w:top w:val="none" w:sz="0" w:space="0" w:color="auto"/>
            <w:left w:val="none" w:sz="0" w:space="0" w:color="auto"/>
            <w:bottom w:val="none" w:sz="0" w:space="0" w:color="auto"/>
            <w:right w:val="none" w:sz="0" w:space="0" w:color="auto"/>
          </w:divBdr>
        </w:div>
        <w:div w:id="1998725259">
          <w:marLeft w:val="0"/>
          <w:marRight w:val="0"/>
          <w:marTop w:val="0"/>
          <w:marBottom w:val="0"/>
          <w:divBdr>
            <w:top w:val="none" w:sz="0" w:space="0" w:color="auto"/>
            <w:left w:val="none" w:sz="0" w:space="0" w:color="auto"/>
            <w:bottom w:val="none" w:sz="0" w:space="0" w:color="auto"/>
            <w:right w:val="none" w:sz="0" w:space="0" w:color="auto"/>
          </w:divBdr>
        </w:div>
        <w:div w:id="327951736">
          <w:marLeft w:val="0"/>
          <w:marRight w:val="0"/>
          <w:marTop w:val="0"/>
          <w:marBottom w:val="0"/>
          <w:divBdr>
            <w:top w:val="none" w:sz="0" w:space="0" w:color="auto"/>
            <w:left w:val="none" w:sz="0" w:space="0" w:color="auto"/>
            <w:bottom w:val="none" w:sz="0" w:space="0" w:color="auto"/>
            <w:right w:val="none" w:sz="0" w:space="0" w:color="auto"/>
          </w:divBdr>
        </w:div>
        <w:div w:id="1869562604">
          <w:marLeft w:val="0"/>
          <w:marRight w:val="0"/>
          <w:marTop w:val="0"/>
          <w:marBottom w:val="0"/>
          <w:divBdr>
            <w:top w:val="none" w:sz="0" w:space="0" w:color="auto"/>
            <w:left w:val="none" w:sz="0" w:space="0" w:color="auto"/>
            <w:bottom w:val="none" w:sz="0" w:space="0" w:color="auto"/>
            <w:right w:val="none" w:sz="0" w:space="0" w:color="auto"/>
          </w:divBdr>
        </w:div>
        <w:div w:id="1801991144">
          <w:marLeft w:val="0"/>
          <w:marRight w:val="0"/>
          <w:marTop w:val="0"/>
          <w:marBottom w:val="0"/>
          <w:divBdr>
            <w:top w:val="none" w:sz="0" w:space="0" w:color="auto"/>
            <w:left w:val="none" w:sz="0" w:space="0" w:color="auto"/>
            <w:bottom w:val="none" w:sz="0" w:space="0" w:color="auto"/>
            <w:right w:val="none" w:sz="0" w:space="0" w:color="auto"/>
          </w:divBdr>
        </w:div>
        <w:div w:id="1649242860">
          <w:marLeft w:val="0"/>
          <w:marRight w:val="0"/>
          <w:marTop w:val="0"/>
          <w:marBottom w:val="0"/>
          <w:divBdr>
            <w:top w:val="none" w:sz="0" w:space="0" w:color="auto"/>
            <w:left w:val="none" w:sz="0" w:space="0" w:color="auto"/>
            <w:bottom w:val="none" w:sz="0" w:space="0" w:color="auto"/>
            <w:right w:val="none" w:sz="0" w:space="0" w:color="auto"/>
          </w:divBdr>
        </w:div>
        <w:div w:id="1982273020">
          <w:marLeft w:val="0"/>
          <w:marRight w:val="0"/>
          <w:marTop w:val="0"/>
          <w:marBottom w:val="0"/>
          <w:divBdr>
            <w:top w:val="none" w:sz="0" w:space="0" w:color="auto"/>
            <w:left w:val="none" w:sz="0" w:space="0" w:color="auto"/>
            <w:bottom w:val="none" w:sz="0" w:space="0" w:color="auto"/>
            <w:right w:val="none" w:sz="0" w:space="0" w:color="auto"/>
          </w:divBdr>
        </w:div>
        <w:div w:id="2002006562">
          <w:marLeft w:val="0"/>
          <w:marRight w:val="0"/>
          <w:marTop w:val="0"/>
          <w:marBottom w:val="0"/>
          <w:divBdr>
            <w:top w:val="none" w:sz="0" w:space="0" w:color="auto"/>
            <w:left w:val="none" w:sz="0" w:space="0" w:color="auto"/>
            <w:bottom w:val="none" w:sz="0" w:space="0" w:color="auto"/>
            <w:right w:val="none" w:sz="0" w:space="0" w:color="auto"/>
          </w:divBdr>
        </w:div>
        <w:div w:id="1673220019">
          <w:marLeft w:val="0"/>
          <w:marRight w:val="0"/>
          <w:marTop w:val="0"/>
          <w:marBottom w:val="0"/>
          <w:divBdr>
            <w:top w:val="none" w:sz="0" w:space="0" w:color="auto"/>
            <w:left w:val="none" w:sz="0" w:space="0" w:color="auto"/>
            <w:bottom w:val="none" w:sz="0" w:space="0" w:color="auto"/>
            <w:right w:val="none" w:sz="0" w:space="0" w:color="auto"/>
          </w:divBdr>
        </w:div>
      </w:divsChild>
    </w:div>
    <w:div w:id="1754936151">
      <w:bodyDiv w:val="1"/>
      <w:marLeft w:val="0"/>
      <w:marRight w:val="0"/>
      <w:marTop w:val="0"/>
      <w:marBottom w:val="0"/>
      <w:divBdr>
        <w:top w:val="none" w:sz="0" w:space="0" w:color="auto"/>
        <w:left w:val="none" w:sz="0" w:space="0" w:color="auto"/>
        <w:bottom w:val="none" w:sz="0" w:space="0" w:color="auto"/>
        <w:right w:val="none" w:sz="0" w:space="0" w:color="auto"/>
      </w:divBdr>
      <w:divsChild>
        <w:div w:id="1448430651">
          <w:marLeft w:val="0"/>
          <w:marRight w:val="0"/>
          <w:marTop w:val="0"/>
          <w:marBottom w:val="0"/>
          <w:divBdr>
            <w:top w:val="none" w:sz="0" w:space="0" w:color="auto"/>
            <w:left w:val="none" w:sz="0" w:space="0" w:color="auto"/>
            <w:bottom w:val="none" w:sz="0" w:space="0" w:color="auto"/>
            <w:right w:val="none" w:sz="0" w:space="0" w:color="auto"/>
          </w:divBdr>
        </w:div>
        <w:div w:id="34698203">
          <w:marLeft w:val="0"/>
          <w:marRight w:val="0"/>
          <w:marTop w:val="0"/>
          <w:marBottom w:val="0"/>
          <w:divBdr>
            <w:top w:val="none" w:sz="0" w:space="0" w:color="auto"/>
            <w:left w:val="none" w:sz="0" w:space="0" w:color="auto"/>
            <w:bottom w:val="none" w:sz="0" w:space="0" w:color="auto"/>
            <w:right w:val="none" w:sz="0" w:space="0" w:color="auto"/>
          </w:divBdr>
        </w:div>
        <w:div w:id="1003436375">
          <w:marLeft w:val="0"/>
          <w:marRight w:val="0"/>
          <w:marTop w:val="0"/>
          <w:marBottom w:val="0"/>
          <w:divBdr>
            <w:top w:val="none" w:sz="0" w:space="0" w:color="auto"/>
            <w:left w:val="none" w:sz="0" w:space="0" w:color="auto"/>
            <w:bottom w:val="none" w:sz="0" w:space="0" w:color="auto"/>
            <w:right w:val="none" w:sz="0" w:space="0" w:color="auto"/>
          </w:divBdr>
        </w:div>
        <w:div w:id="690306344">
          <w:marLeft w:val="0"/>
          <w:marRight w:val="0"/>
          <w:marTop w:val="0"/>
          <w:marBottom w:val="0"/>
          <w:divBdr>
            <w:top w:val="none" w:sz="0" w:space="0" w:color="auto"/>
            <w:left w:val="none" w:sz="0" w:space="0" w:color="auto"/>
            <w:bottom w:val="none" w:sz="0" w:space="0" w:color="auto"/>
            <w:right w:val="none" w:sz="0" w:space="0" w:color="auto"/>
          </w:divBdr>
        </w:div>
        <w:div w:id="1167093096">
          <w:marLeft w:val="0"/>
          <w:marRight w:val="0"/>
          <w:marTop w:val="0"/>
          <w:marBottom w:val="0"/>
          <w:divBdr>
            <w:top w:val="none" w:sz="0" w:space="0" w:color="auto"/>
            <w:left w:val="none" w:sz="0" w:space="0" w:color="auto"/>
            <w:bottom w:val="none" w:sz="0" w:space="0" w:color="auto"/>
            <w:right w:val="none" w:sz="0" w:space="0" w:color="auto"/>
          </w:divBdr>
        </w:div>
        <w:div w:id="1416827342">
          <w:marLeft w:val="0"/>
          <w:marRight w:val="0"/>
          <w:marTop w:val="0"/>
          <w:marBottom w:val="0"/>
          <w:divBdr>
            <w:top w:val="none" w:sz="0" w:space="0" w:color="auto"/>
            <w:left w:val="none" w:sz="0" w:space="0" w:color="auto"/>
            <w:bottom w:val="none" w:sz="0" w:space="0" w:color="auto"/>
            <w:right w:val="none" w:sz="0" w:space="0" w:color="auto"/>
          </w:divBdr>
        </w:div>
        <w:div w:id="175658182">
          <w:marLeft w:val="0"/>
          <w:marRight w:val="0"/>
          <w:marTop w:val="0"/>
          <w:marBottom w:val="0"/>
          <w:divBdr>
            <w:top w:val="none" w:sz="0" w:space="0" w:color="auto"/>
            <w:left w:val="none" w:sz="0" w:space="0" w:color="auto"/>
            <w:bottom w:val="none" w:sz="0" w:space="0" w:color="auto"/>
            <w:right w:val="none" w:sz="0" w:space="0" w:color="auto"/>
          </w:divBdr>
        </w:div>
        <w:div w:id="1314717755">
          <w:marLeft w:val="0"/>
          <w:marRight w:val="0"/>
          <w:marTop w:val="0"/>
          <w:marBottom w:val="0"/>
          <w:divBdr>
            <w:top w:val="none" w:sz="0" w:space="0" w:color="auto"/>
            <w:left w:val="none" w:sz="0" w:space="0" w:color="auto"/>
            <w:bottom w:val="none" w:sz="0" w:space="0" w:color="auto"/>
            <w:right w:val="none" w:sz="0" w:space="0" w:color="auto"/>
          </w:divBdr>
        </w:div>
        <w:div w:id="1511095104">
          <w:marLeft w:val="0"/>
          <w:marRight w:val="0"/>
          <w:marTop w:val="0"/>
          <w:marBottom w:val="0"/>
          <w:divBdr>
            <w:top w:val="none" w:sz="0" w:space="0" w:color="auto"/>
            <w:left w:val="none" w:sz="0" w:space="0" w:color="auto"/>
            <w:bottom w:val="none" w:sz="0" w:space="0" w:color="auto"/>
            <w:right w:val="none" w:sz="0" w:space="0" w:color="auto"/>
          </w:divBdr>
        </w:div>
        <w:div w:id="66612487">
          <w:marLeft w:val="0"/>
          <w:marRight w:val="0"/>
          <w:marTop w:val="0"/>
          <w:marBottom w:val="0"/>
          <w:divBdr>
            <w:top w:val="none" w:sz="0" w:space="0" w:color="auto"/>
            <w:left w:val="none" w:sz="0" w:space="0" w:color="auto"/>
            <w:bottom w:val="none" w:sz="0" w:space="0" w:color="auto"/>
            <w:right w:val="none" w:sz="0" w:space="0" w:color="auto"/>
          </w:divBdr>
        </w:div>
        <w:div w:id="1096443813">
          <w:marLeft w:val="0"/>
          <w:marRight w:val="0"/>
          <w:marTop w:val="0"/>
          <w:marBottom w:val="0"/>
          <w:divBdr>
            <w:top w:val="none" w:sz="0" w:space="0" w:color="auto"/>
            <w:left w:val="none" w:sz="0" w:space="0" w:color="auto"/>
            <w:bottom w:val="none" w:sz="0" w:space="0" w:color="auto"/>
            <w:right w:val="none" w:sz="0" w:space="0" w:color="auto"/>
          </w:divBdr>
        </w:div>
        <w:div w:id="1463184958">
          <w:marLeft w:val="0"/>
          <w:marRight w:val="0"/>
          <w:marTop w:val="0"/>
          <w:marBottom w:val="0"/>
          <w:divBdr>
            <w:top w:val="none" w:sz="0" w:space="0" w:color="auto"/>
            <w:left w:val="none" w:sz="0" w:space="0" w:color="auto"/>
            <w:bottom w:val="none" w:sz="0" w:space="0" w:color="auto"/>
            <w:right w:val="none" w:sz="0" w:space="0" w:color="auto"/>
          </w:divBdr>
        </w:div>
        <w:div w:id="1829861836">
          <w:marLeft w:val="0"/>
          <w:marRight w:val="0"/>
          <w:marTop w:val="0"/>
          <w:marBottom w:val="0"/>
          <w:divBdr>
            <w:top w:val="none" w:sz="0" w:space="0" w:color="auto"/>
            <w:left w:val="none" w:sz="0" w:space="0" w:color="auto"/>
            <w:bottom w:val="none" w:sz="0" w:space="0" w:color="auto"/>
            <w:right w:val="none" w:sz="0" w:space="0" w:color="auto"/>
          </w:divBdr>
        </w:div>
        <w:div w:id="824512285">
          <w:marLeft w:val="0"/>
          <w:marRight w:val="0"/>
          <w:marTop w:val="0"/>
          <w:marBottom w:val="0"/>
          <w:divBdr>
            <w:top w:val="none" w:sz="0" w:space="0" w:color="auto"/>
            <w:left w:val="none" w:sz="0" w:space="0" w:color="auto"/>
            <w:bottom w:val="none" w:sz="0" w:space="0" w:color="auto"/>
            <w:right w:val="none" w:sz="0" w:space="0" w:color="auto"/>
          </w:divBdr>
        </w:div>
        <w:div w:id="1368682773">
          <w:marLeft w:val="0"/>
          <w:marRight w:val="0"/>
          <w:marTop w:val="0"/>
          <w:marBottom w:val="0"/>
          <w:divBdr>
            <w:top w:val="none" w:sz="0" w:space="0" w:color="auto"/>
            <w:left w:val="none" w:sz="0" w:space="0" w:color="auto"/>
            <w:bottom w:val="none" w:sz="0" w:space="0" w:color="auto"/>
            <w:right w:val="none" w:sz="0" w:space="0" w:color="auto"/>
          </w:divBdr>
        </w:div>
        <w:div w:id="1608389223">
          <w:marLeft w:val="0"/>
          <w:marRight w:val="0"/>
          <w:marTop w:val="0"/>
          <w:marBottom w:val="0"/>
          <w:divBdr>
            <w:top w:val="none" w:sz="0" w:space="0" w:color="auto"/>
            <w:left w:val="none" w:sz="0" w:space="0" w:color="auto"/>
            <w:bottom w:val="none" w:sz="0" w:space="0" w:color="auto"/>
            <w:right w:val="none" w:sz="0" w:space="0" w:color="auto"/>
          </w:divBdr>
        </w:div>
        <w:div w:id="412551648">
          <w:marLeft w:val="0"/>
          <w:marRight w:val="0"/>
          <w:marTop w:val="0"/>
          <w:marBottom w:val="0"/>
          <w:divBdr>
            <w:top w:val="none" w:sz="0" w:space="0" w:color="auto"/>
            <w:left w:val="none" w:sz="0" w:space="0" w:color="auto"/>
            <w:bottom w:val="none" w:sz="0" w:space="0" w:color="auto"/>
            <w:right w:val="none" w:sz="0" w:space="0" w:color="auto"/>
          </w:divBdr>
        </w:div>
        <w:div w:id="1468165123">
          <w:marLeft w:val="0"/>
          <w:marRight w:val="0"/>
          <w:marTop w:val="0"/>
          <w:marBottom w:val="0"/>
          <w:divBdr>
            <w:top w:val="none" w:sz="0" w:space="0" w:color="auto"/>
            <w:left w:val="none" w:sz="0" w:space="0" w:color="auto"/>
            <w:bottom w:val="none" w:sz="0" w:space="0" w:color="auto"/>
            <w:right w:val="none" w:sz="0" w:space="0" w:color="auto"/>
          </w:divBdr>
        </w:div>
        <w:div w:id="1452480903">
          <w:marLeft w:val="0"/>
          <w:marRight w:val="0"/>
          <w:marTop w:val="0"/>
          <w:marBottom w:val="0"/>
          <w:divBdr>
            <w:top w:val="none" w:sz="0" w:space="0" w:color="auto"/>
            <w:left w:val="none" w:sz="0" w:space="0" w:color="auto"/>
            <w:bottom w:val="none" w:sz="0" w:space="0" w:color="auto"/>
            <w:right w:val="none" w:sz="0" w:space="0" w:color="auto"/>
          </w:divBdr>
        </w:div>
        <w:div w:id="1363942358">
          <w:marLeft w:val="0"/>
          <w:marRight w:val="0"/>
          <w:marTop w:val="0"/>
          <w:marBottom w:val="0"/>
          <w:divBdr>
            <w:top w:val="none" w:sz="0" w:space="0" w:color="auto"/>
            <w:left w:val="none" w:sz="0" w:space="0" w:color="auto"/>
            <w:bottom w:val="none" w:sz="0" w:space="0" w:color="auto"/>
            <w:right w:val="none" w:sz="0" w:space="0" w:color="auto"/>
          </w:divBdr>
        </w:div>
        <w:div w:id="17830687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tyles" Target="styles.xml" Id="rId8" /><Relationship Type="http://schemas.openxmlformats.org/officeDocument/2006/relationships/hyperlink" Target="https://jpmm.com/research/content/GPS-1203955-0" TargetMode="External" Id="rId13" /><Relationship Type="http://schemas.openxmlformats.org/officeDocument/2006/relationships/hyperlink" Target="https://jpmm.com/research/content/GPS-1262846-0" TargetMode="External" Id="rId18" /><Relationship Type="http://schemas.openxmlformats.org/officeDocument/2006/relationships/footer" Target="footer1.xml" Id="rId26" /><Relationship Type="http://schemas.openxmlformats.org/officeDocument/2006/relationships/header" Target="header4.xml" Id="rId39" /><Relationship Type="http://schemas.openxmlformats.org/officeDocument/2006/relationships/customXml" Target="../customXml/item3.xml" Id="rId3" /><Relationship Type="http://schemas.openxmlformats.org/officeDocument/2006/relationships/hyperlink" Target="https://jpmm.com/research/content/GPS-1384335-0" TargetMode="External" Id="rId21" /><Relationship Type="http://schemas.openxmlformats.org/officeDocument/2006/relationships/image" Target="media/image7.wmf" Id="rId34" /><Relationship Type="http://schemas.openxmlformats.org/officeDocument/2006/relationships/footer" Target="footer5.xml" Id="rId42" /><Relationship Type="http://schemas.openxmlformats.org/officeDocument/2006/relationships/numbering" Target="numbering.xml" Id="rId7" /><Relationship Type="http://schemas.openxmlformats.org/officeDocument/2006/relationships/endnotes" Target="endnotes.xml" Id="rId12" /><Relationship Type="http://schemas.openxmlformats.org/officeDocument/2006/relationships/hyperlink" Target="https://jpmm.com/research/content/GPS-1230627-0" TargetMode="External" Id="rId17" /><Relationship Type="http://schemas.openxmlformats.org/officeDocument/2006/relationships/header" Target="header2.xml" Id="rId25" /><Relationship Type="http://schemas.openxmlformats.org/officeDocument/2006/relationships/image" Target="media/image6.wmf" Id="rId33" /><Relationship Type="http://schemas.openxmlformats.org/officeDocument/2006/relationships/hyperlink" Target="http://www.jpmipl.com" TargetMode="External" Id="rId38" /><Relationship Type="http://schemas.openxmlformats.org/officeDocument/2006/relationships/hyperlink" Target="https://jpmm.com/research/content/GPS-1222984-0" TargetMode="External" Id="rId16" /><Relationship Type="http://schemas.openxmlformats.org/officeDocument/2006/relationships/hyperlink" Target="https://jpmm.com/research/content/GPS-1310622-0" TargetMode="External" Id="rId20" /><Relationship Type="http://schemas.openxmlformats.org/officeDocument/2006/relationships/footer" Target="footer3.xml" Id="rId29" /><Relationship Type="http://schemas.openxmlformats.org/officeDocument/2006/relationships/header" Target="header5.xml" Id="rId41" /><Relationship Type="http://schemas.openxmlformats.org/officeDocument/2006/relationships/customXml" Target="../customXml/item6.xml" Id="rId6" /><Relationship Type="http://schemas.openxmlformats.org/officeDocument/2006/relationships/footnotes" Target="footnotes.xml" Id="rId11" /><Relationship Type="http://schemas.openxmlformats.org/officeDocument/2006/relationships/header" Target="header1.xml" Id="rId24" /><Relationship Type="http://schemas.openxmlformats.org/officeDocument/2006/relationships/hyperlink" Target="mailto:research.disclosure.inquiries@jpmorgan.com" TargetMode="External" Id="rId32" /><Relationship Type="http://schemas.openxmlformats.org/officeDocument/2006/relationships/hyperlink" Target="http://www.optionsclearing.com/publications/risks/riskstoc.pdf" TargetMode="External" Id="rId37" /><Relationship Type="http://schemas.openxmlformats.org/officeDocument/2006/relationships/footer" Target="footer4.xml" Id="rId40" /><Relationship Type="http://schemas.openxmlformats.org/officeDocument/2006/relationships/theme" Target="theme/theme1.xml" Id="rId45" /><Relationship Type="http://schemas.openxmlformats.org/officeDocument/2006/relationships/hyperlink" Target="https://jpmm.com/research/content/GPS-1214432-0" TargetMode="External" Id="rId15" /><Relationship Type="http://schemas.openxmlformats.org/officeDocument/2006/relationships/hyperlink" Target="https://jpmm.com/research/content/GPS-1428141-0" TargetMode="External" Id="rId23" /><Relationship Type="http://schemas.openxmlformats.org/officeDocument/2006/relationships/header" Target="header3.xml" Id="rId28" /><Relationship Type="http://schemas.openxmlformats.org/officeDocument/2006/relationships/hyperlink" Target="mailto:research.disclosure.inquiries@jpmorgan.com" TargetMode="External" Id="rId36" /><Relationship Type="http://schemas.openxmlformats.org/officeDocument/2006/relationships/webSettings" Target="webSettings.xml" Id="rId10" /><Relationship Type="http://schemas.openxmlformats.org/officeDocument/2006/relationships/hyperlink" Target="https://jpmm.com/research/content/GPS-1287453-0" TargetMode="External" Id="rId19" /><Relationship Type="http://schemas.openxmlformats.org/officeDocument/2006/relationships/hyperlink" Target="mailto:research.disclosure.inquiries@jpmorgan.com" TargetMode="External" Id="rId31" /><Relationship Type="http://schemas.openxmlformats.org/officeDocument/2006/relationships/glossaryDocument" Target="glossary/document.xml" Id="rId44" /><Relationship Type="http://schemas.openxmlformats.org/officeDocument/2006/relationships/settings" Target="settings.xml" Id="rId9" /><Relationship Type="http://schemas.openxmlformats.org/officeDocument/2006/relationships/hyperlink" Target="https://jpmm.com/research/content/GPS-1210215-0" TargetMode="External" Id="rId14" /><Relationship Type="http://schemas.openxmlformats.org/officeDocument/2006/relationships/hyperlink" Target="https://jpmm.com/research/content/GPS-1384335-0" TargetMode="External" Id="rId22" /><Relationship Type="http://schemas.openxmlformats.org/officeDocument/2006/relationships/footer" Target="footer2.xml" Id="rId27" /><Relationship Type="http://schemas.openxmlformats.org/officeDocument/2006/relationships/hyperlink" Target="https://jpmm.com/research/disclosures" TargetMode="External" Id="rId30" /><Relationship Type="http://schemas.openxmlformats.org/officeDocument/2006/relationships/hyperlink" Target="http://www.jpmorganmarkets.com" TargetMode="External" Id="rId35" /><Relationship Type="http://schemas.openxmlformats.org/officeDocument/2006/relationships/fontTable" Target="fontTable.xml" Id="rId43" /><Relationship Type="http://schemas.openxmlformats.org/officeDocument/2006/relationships/customXml" Target="/customXML/item7.xml" Id="R61a2aad4ad3442a5" /><Relationship Type="http://schemas.openxmlformats.org/officeDocument/2006/relationships/customXml" Target="/customXML/item8.xml" Id="Rc0b27c98ba7c4ec6" /><Relationship Type="http://schemas.openxmlformats.org/officeDocument/2006/relationships/customXml" Target="/customXML/item9.xml" Id="R9a75f6c577584bc3" /><Relationship Type="http://schemas.openxmlformats.org/officeDocument/2006/relationships/customXml" Target="/customXML/itema.xml" Id="Ra9c7b8f101e445d9" /><Relationship Type="http://schemas.openxmlformats.org/officeDocument/2006/relationships/package" Target="/word/embeddings/package.bin" Id="TextFile" /><Relationship Type="http://schemas.openxmlformats.org/officeDocument/2006/relationships/image" Target="/media/image.bin" Id="STPlogo.gif" /><Relationship Type="http://schemas.openxmlformats.org/officeDocument/2006/relationships/image" Target="/media/image2.bin" Id="STPadobepdf.gif" /><Relationship Type="http://schemas.openxmlformats.org/officeDocument/2006/relationships/package" Target="/word/embeddings/package2.bin" Id="StpText" /><Relationship Type="http://schemas.openxmlformats.org/officeDocument/2006/relationships/package" Target="/word/embeddings/package3.bin" Id="StpHtml" /><Relationship Type="http://schemas.openxmlformats.org/officeDocument/2006/relationships/package" Target="/word/embeddings/package4.bin" Id="StpEmailJob" /></Relationships>
</file>

<file path=word/_rels/footer3.xml.rels><?xml version="1.0" encoding="UTF-8" standalone="yes"?>
<Relationships xmlns="http://schemas.openxmlformats.org/package/2006/relationships"><Relationship Id="rId1" Type="http://schemas.openxmlformats.org/officeDocument/2006/relationships/hyperlink" Target="http://www.jpmorganmarkets.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jpeg"/><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158757\AppData\Local\Temp\NonCompanyAlert.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F941368A9DB48489189927D0BAD9E15"/>
        <w:category>
          <w:name w:val="General"/>
          <w:gallery w:val="placeholder"/>
        </w:category>
        <w:types>
          <w:type w:val="bbPlcHdr"/>
        </w:types>
        <w:behaviors>
          <w:behavior w:val="content"/>
        </w:behaviors>
        <w:guid w:val="{5A0D513E-83FE-4C4F-A315-2BE1FC27441B}"/>
      </w:docPartPr>
      <w:docPartBody>
        <w:p w:rsidR="00D528DB" w:rsidRDefault="00D528DB"/>
      </w:docPartBody>
    </w:docPart>
    <w:docPart>
      <w:docPartPr>
        <w:name w:val="1C225EC886D046FCBEEF5542718196F6"/>
        <w:category>
          <w:name w:val="General"/>
          <w:gallery w:val="placeholder"/>
        </w:category>
        <w:types>
          <w:type w:val="bbPlcHdr"/>
        </w:types>
        <w:behaviors>
          <w:behavior w:val="content"/>
        </w:behaviors>
        <w:guid w:val="{D4B0D1E2-EE4F-47B3-8547-295354482A75}"/>
      </w:docPartPr>
      <w:docPartBody>
        <w:p w:rsidR="00D528DB" w:rsidRDefault="00D528DB">
          <w:pPr>
            <w:pStyle w:val="1C225EC886D046FCBEEF5542718196F6"/>
          </w:pPr>
          <w:r w:rsidRPr="00491D29">
            <w:t>Region</w:t>
          </w:r>
        </w:p>
      </w:docPartBody>
    </w:docPart>
    <w:docPart>
      <w:docPartPr>
        <w:name w:val="31DA8D0CFE644884B7A73BA6B8521F81"/>
        <w:category>
          <w:name w:val="General"/>
          <w:gallery w:val="placeholder"/>
        </w:category>
        <w:types>
          <w:type w:val="bbPlcHdr"/>
        </w:types>
        <w:behaviors>
          <w:behavior w:val="content"/>
        </w:behaviors>
        <w:guid w:val="{A969C0ED-D394-4435-8715-CAEE7E4F4723}"/>
      </w:docPartPr>
      <w:docPartBody>
        <w:p w:rsidR="00D528DB" w:rsidRDefault="00D528DB">
          <w:pPr>
            <w:pStyle w:val="31DA8D0CFE644884B7A73BA6B8521F81"/>
          </w:pPr>
          <w:r w:rsidRPr="00491D29">
            <w:t>Business Group</w:t>
          </w:r>
        </w:p>
      </w:docPartBody>
    </w:docPart>
    <w:docPart>
      <w:docPartPr>
        <w:name w:val="B290DA4549F7456E98ED8E8665E92422"/>
        <w:category>
          <w:name w:val="General"/>
          <w:gallery w:val="placeholder"/>
        </w:category>
        <w:types>
          <w:type w:val="bbPlcHdr"/>
        </w:types>
        <w:behaviors>
          <w:behavior w:val="content"/>
        </w:behaviors>
        <w:guid w:val="{E5764802-A999-498A-9C08-C6DFD910B3E0}"/>
      </w:docPartPr>
      <w:docPartBody>
        <w:p w:rsidR="00D528DB" w:rsidRDefault="00D528DB">
          <w:pPr>
            <w:pStyle w:val="B290DA4549F7456E98ED8E8665E92422"/>
          </w:pPr>
          <w:r w:rsidRPr="00A300ED">
            <w:rPr>
              <w:rStyle w:val="PlaceholderText"/>
            </w:rPr>
            <w:t>.</w:t>
          </w:r>
        </w:p>
      </w:docPartBody>
    </w:docPart>
    <w:docPart>
      <w:docPartPr>
        <w:name w:val="ABED45C2BE6C4B46B9834E2D7C630C0D"/>
        <w:category>
          <w:name w:val="General"/>
          <w:gallery w:val="placeholder"/>
        </w:category>
        <w:types>
          <w:type w:val="bbPlcHdr"/>
        </w:types>
        <w:behaviors>
          <w:behavior w:val="content"/>
        </w:behaviors>
        <w:guid w:val="{24B20ACC-9F5F-4630-9D0E-38D8CFD4C8E3}"/>
      </w:docPartPr>
      <w:docPartBody>
        <w:p w:rsidR="00D528DB" w:rsidRDefault="00D528DB">
          <w:pPr>
            <w:pStyle w:val="ABED45C2BE6C4B46B9834E2D7C630C0D"/>
          </w:pPr>
          <w:r>
            <w:t xml:space="preserve"> </w:t>
          </w:r>
        </w:p>
      </w:docPartBody>
    </w:docPart>
    <w:docPart>
      <w:docPartPr>
        <w:name w:val="12E7C8B7A9E5497DAA56CAE5912A9EAE"/>
        <w:category>
          <w:name w:val="General"/>
          <w:gallery w:val="placeholder"/>
        </w:category>
        <w:types>
          <w:type w:val="bbPlcHdr"/>
        </w:types>
        <w:behaviors>
          <w:behavior w:val="content"/>
        </w:behaviors>
        <w:guid w:val="{DE15700D-7DA1-4502-8E70-DCE4F032190C}"/>
      </w:docPartPr>
      <w:docPartBody>
        <w:p w:rsidR="00D528DB" w:rsidRDefault="00D528DB">
          <w:pPr>
            <w:pStyle w:val="12E7C8B7A9E5497DAA56CAE5912A9EAE"/>
          </w:pPr>
          <w:r>
            <w:t xml:space="preserve"> </w:t>
          </w:r>
        </w:p>
      </w:docPartBody>
    </w:docPart>
    <w:docPart>
      <w:docPartPr>
        <w:name w:val="BC8CA6454F6F4587A193D2DFA354484D"/>
        <w:category>
          <w:name w:val="General"/>
          <w:gallery w:val="placeholder"/>
        </w:category>
        <w:types>
          <w:type w:val="bbPlcHdr"/>
        </w:types>
        <w:behaviors>
          <w:behavior w:val="content"/>
        </w:behaviors>
        <w:guid w:val="{6E4F48B3-E521-44D6-8293-6B29FC7ABBAC}"/>
      </w:docPartPr>
      <w:docPartBody>
        <w:p w:rsidR="00D528DB" w:rsidRDefault="00D528DB">
          <w:pPr>
            <w:pStyle w:val="BC8CA6454F6F4587A193D2DFA354484D"/>
          </w:pPr>
          <w:r>
            <w:t xml:space="preserve"> </w:t>
          </w:r>
        </w:p>
      </w:docPartBody>
    </w:docPart>
    <w:docPart>
      <w:docPartPr>
        <w:name w:val="3203AD69EFD7435E9354E78C9CBF60EA"/>
        <w:category>
          <w:name w:val="General"/>
          <w:gallery w:val="placeholder"/>
        </w:category>
        <w:types>
          <w:type w:val="bbPlcHdr"/>
        </w:types>
        <w:behaviors>
          <w:behavior w:val="content"/>
        </w:behaviors>
        <w:guid w:val="{FEB84103-F58E-493B-9E4A-48E707290C11}"/>
      </w:docPartPr>
      <w:docPartBody>
        <w:p w:rsidR="00D528DB" w:rsidRDefault="00D528DB">
          <w:pPr>
            <w:pStyle w:val="3203AD69EFD7435E9354E78C9CBF60EA"/>
          </w:pPr>
          <w:r>
            <w:t xml:space="preserve"> </w:t>
          </w:r>
        </w:p>
      </w:docPartBody>
    </w:docPart>
    <w:docPart>
      <w:docPartPr>
        <w:name w:val="75D8CEC8410B467E954DA568931681DB"/>
        <w:category>
          <w:name w:val="General"/>
          <w:gallery w:val="placeholder"/>
        </w:category>
        <w:types>
          <w:type w:val="bbPlcHdr"/>
        </w:types>
        <w:behaviors>
          <w:behavior w:val="content"/>
        </w:behaviors>
        <w:guid w:val="{CA783254-D681-4EE1-B37B-9CB3B00A8B53}"/>
      </w:docPartPr>
      <w:docPartBody>
        <w:p w:rsidR="00D528DB" w:rsidRDefault="00D528DB">
          <w:pPr>
            <w:pStyle w:val="75D8CEC8410B467E954DA568931681DB"/>
          </w:pPr>
          <w:r w:rsidRPr="00EB6911">
            <w:rPr>
              <w:rStyle w:val="PlaceholderText"/>
            </w:rPr>
            <w:t xml:space="preserve"> </w:t>
          </w:r>
        </w:p>
      </w:docPartBody>
    </w:docPart>
    <w:docPart>
      <w:docPartPr>
        <w:name w:val="D996F290B07D4F86B78B0160D8594F17"/>
        <w:category>
          <w:name w:val="General"/>
          <w:gallery w:val="placeholder"/>
        </w:category>
        <w:types>
          <w:type w:val="bbPlcHdr"/>
        </w:types>
        <w:behaviors>
          <w:behavior w:val="content"/>
        </w:behaviors>
        <w:guid w:val="{A6ADC9FC-0EAB-450B-97CB-D6135D127DFF}"/>
      </w:docPartPr>
      <w:docPartBody>
        <w:p w:rsidR="00D528DB" w:rsidRDefault="00D528DB">
          <w:pPr>
            <w:pStyle w:val="D996F290B07D4F86B78B0160D8594F17"/>
          </w:pPr>
          <w:r>
            <w:t xml:space="preserve"> </w:t>
          </w:r>
        </w:p>
      </w:docPartBody>
    </w:docPart>
    <w:docPart>
      <w:docPartPr>
        <w:name w:val="0563F97271F44CF8975712DD56EA70D3"/>
        <w:category>
          <w:name w:val="General"/>
          <w:gallery w:val="placeholder"/>
        </w:category>
        <w:types>
          <w:type w:val="bbPlcHdr"/>
        </w:types>
        <w:behaviors>
          <w:behavior w:val="content"/>
        </w:behaviors>
        <w:guid w:val="{A03B83F6-F528-4FD1-BB60-2D42A85B84BB}"/>
      </w:docPartPr>
      <w:docPartBody>
        <w:p w:rsidR="00D528DB" w:rsidRDefault="00D528DB">
          <w:pPr>
            <w:pStyle w:val="0563F97271F44CF8975712DD56EA70D3"/>
          </w:pPr>
          <w:r>
            <w:t xml:space="preserve"> </w:t>
          </w:r>
        </w:p>
      </w:docPartBody>
    </w:docPart>
    <w:docPart>
      <w:docPartPr>
        <w:name w:val="60A11C6974E94B8A919D2B3329D6F3B3"/>
        <w:category>
          <w:name w:val="General"/>
          <w:gallery w:val="placeholder"/>
        </w:category>
        <w:types>
          <w:type w:val="bbPlcHdr"/>
        </w:types>
        <w:behaviors>
          <w:behavior w:val="content"/>
        </w:behaviors>
        <w:guid w:val="{FDBC13AB-62C8-4793-8BE6-290D38556CA7}"/>
      </w:docPartPr>
      <w:docPartBody>
        <w:p w:rsidR="00D528DB" w:rsidRDefault="00D528DB">
          <w:pPr>
            <w:pStyle w:val="60A11C6974E94B8A919D2B3329D6F3B3"/>
          </w:pPr>
          <w:r>
            <w:t xml:space="preserve"> </w:t>
          </w:r>
        </w:p>
      </w:docPartBody>
    </w:docPart>
    <w:docPart>
      <w:docPartPr>
        <w:name w:val="21F70C2BCC9541D9975258E6BAE0C91D"/>
        <w:category>
          <w:name w:val="General"/>
          <w:gallery w:val="placeholder"/>
        </w:category>
        <w:types>
          <w:type w:val="bbPlcHdr"/>
        </w:types>
        <w:behaviors>
          <w:behavior w:val="content"/>
        </w:behaviors>
        <w:guid w:val="{8ED79C61-E233-4BFA-B3D3-99D94BFCF2D6}"/>
      </w:docPartPr>
      <w:docPartBody>
        <w:p w:rsidR="00D528DB" w:rsidRDefault="00D528DB">
          <w:pPr>
            <w:pStyle w:val="21F70C2BCC9541D9975258E6BAE0C91D"/>
          </w:pPr>
          <w:r>
            <w:t xml:space="preserve"> </w:t>
          </w:r>
        </w:p>
      </w:docPartBody>
    </w:docPart>
    <w:docPart>
      <w:docPartPr>
        <w:name w:val="12A0CCB061414517BF5D178B880C25A4"/>
        <w:category>
          <w:name w:val="General"/>
          <w:gallery w:val="placeholder"/>
        </w:category>
        <w:types>
          <w:type w:val="bbPlcHdr"/>
        </w:types>
        <w:behaviors>
          <w:behavior w:val="content"/>
        </w:behaviors>
        <w:guid w:val="{DE7E0D0C-7891-4037-8F7E-DA2A3C9781A6}"/>
      </w:docPartPr>
      <w:docPartBody>
        <w:p w:rsidR="00D528DB" w:rsidRDefault="00D528DB">
          <w:pPr>
            <w:pStyle w:val="12A0CCB061414517BF5D178B880C25A4"/>
          </w:pPr>
          <w:r>
            <w:t xml:space="preserve"> </w:t>
          </w:r>
        </w:p>
      </w:docPartBody>
    </w:docPart>
    <w:docPart>
      <w:docPartPr>
        <w:name w:val="D0F7B0873FE848CAAC073E3D49A46B21"/>
        <w:category>
          <w:name w:val="General"/>
          <w:gallery w:val="placeholder"/>
        </w:category>
        <w:types>
          <w:type w:val="bbPlcHdr"/>
        </w:types>
        <w:behaviors>
          <w:behavior w:val="content"/>
        </w:behaviors>
        <w:guid w:val="{20F8BF92-32D8-4032-8F48-2436BB2DF47E}"/>
      </w:docPartPr>
      <w:docPartBody>
        <w:p w:rsidR="00D528DB" w:rsidRDefault="00D528DB">
          <w:pPr>
            <w:pStyle w:val="D0F7B0873FE848CAAC073E3D49A46B21"/>
          </w:pPr>
          <w:r>
            <w:t xml:space="preserve"> </w:t>
          </w:r>
        </w:p>
      </w:docPartBody>
    </w:docPart>
    <w:docPart>
      <w:docPartPr>
        <w:name w:val="0824EB81AC634099BC5E1EC2CB31B4D5"/>
        <w:category>
          <w:name w:val="General"/>
          <w:gallery w:val="placeholder"/>
        </w:category>
        <w:types>
          <w:type w:val="bbPlcHdr"/>
        </w:types>
        <w:behaviors>
          <w:behavior w:val="content"/>
        </w:behaviors>
        <w:guid w:val="{2A5364BA-7598-43AC-8686-15F486EE6401}"/>
      </w:docPartPr>
      <w:docPartBody>
        <w:p w:rsidR="00D528DB" w:rsidRDefault="00D528DB">
          <w:pPr>
            <w:pStyle w:val="0824EB81AC634099BC5E1EC2CB31B4D5"/>
          </w:pPr>
          <w:r>
            <w:t xml:space="preserve"> </w:t>
          </w:r>
        </w:p>
      </w:docPartBody>
    </w:docPart>
    <w:docPart>
      <w:docPartPr>
        <w:name w:val="733473684B6249FFA0AC473A7B3F1B4E"/>
        <w:category>
          <w:name w:val="General"/>
          <w:gallery w:val="placeholder"/>
        </w:category>
        <w:types>
          <w:type w:val="bbPlcHdr"/>
        </w:types>
        <w:behaviors>
          <w:behavior w:val="content"/>
        </w:behaviors>
        <w:guid w:val="{0D1A6CF8-D478-4BED-8374-4FAFA54A1F81}"/>
      </w:docPartPr>
      <w:docPartBody>
        <w:p w:rsidR="00D528DB" w:rsidRDefault="00D528DB">
          <w:pPr>
            <w:pStyle w:val="733473684B6249FFA0AC473A7B3F1B4E"/>
          </w:pPr>
          <w:r>
            <w:t xml:space="preserve"> </w:t>
          </w:r>
        </w:p>
      </w:docPartBody>
    </w:docPart>
    <w:docPart>
      <w:docPartPr>
        <w:name w:val="C813F8CCE9774B6BB33E0A229B7CB73C"/>
        <w:category>
          <w:name w:val="General"/>
          <w:gallery w:val="placeholder"/>
        </w:category>
        <w:types>
          <w:type w:val="bbPlcHdr"/>
        </w:types>
        <w:behaviors>
          <w:behavior w:val="content"/>
        </w:behaviors>
        <w:guid w:val="{24954CA1-7557-4D4C-84E0-B76711131B98}"/>
      </w:docPartPr>
      <w:docPartBody>
        <w:p w:rsidR="00D528DB" w:rsidRDefault="00D528DB">
          <w:pPr>
            <w:pStyle w:val="C813F8CCE9774B6BB33E0A229B7CB73C"/>
          </w:pPr>
          <w:r w:rsidRPr="00A300ED">
            <w:rPr>
              <w:rStyle w:val="PlaceholderText"/>
            </w:rPr>
            <w:t>.</w:t>
          </w:r>
        </w:p>
      </w:docPartBody>
    </w:docPart>
    <w:docPart>
      <w:docPartPr>
        <w:name w:val="3946C58D7F9A46DB95A075D20C68F9FC"/>
        <w:category>
          <w:name w:val="General"/>
          <w:gallery w:val="placeholder"/>
        </w:category>
        <w:types>
          <w:type w:val="bbPlcHdr"/>
        </w:types>
        <w:behaviors>
          <w:behavior w:val="content"/>
        </w:behaviors>
        <w:guid w:val="{2379AC85-4D42-4A50-A4F5-1AE4F3C9BAB2}"/>
      </w:docPartPr>
      <w:docPartBody>
        <w:p w:rsidR="00D528DB" w:rsidRDefault="00D528DB">
          <w:pPr>
            <w:pStyle w:val="3946C58D7F9A46DB95A075D20C68F9FC"/>
          </w:pPr>
          <w:r w:rsidRPr="003D1683">
            <w:t xml:space="preserve"> </w:t>
          </w:r>
        </w:p>
      </w:docPartBody>
    </w:docPart>
    <w:docPart>
      <w:docPartPr>
        <w:name w:val="B7375D8A0EC1499E92E800B93F0DD450"/>
        <w:category>
          <w:name w:val="General"/>
          <w:gallery w:val="placeholder"/>
        </w:category>
        <w:types>
          <w:type w:val="bbPlcHdr"/>
        </w:types>
        <w:behaviors>
          <w:behavior w:val="content"/>
        </w:behaviors>
        <w:guid w:val="{5529F3E9-A747-4A48-9FEB-A362A339FC3F}"/>
      </w:docPartPr>
      <w:docPartBody>
        <w:p w:rsidR="00D528DB" w:rsidRDefault="00D528DB">
          <w:pPr>
            <w:pStyle w:val="B7375D8A0EC1499E92E800B93F0DD450"/>
          </w:pPr>
          <w:r>
            <w:t xml:space="preserve"> </w:t>
          </w:r>
        </w:p>
      </w:docPartBody>
    </w:docPart>
    <w:docPart>
      <w:docPartPr>
        <w:name w:val="498B2FC92D024E0BA47D99661D8BB19D"/>
        <w:category>
          <w:name w:val="General"/>
          <w:gallery w:val="placeholder"/>
        </w:category>
        <w:types>
          <w:type w:val="bbPlcHdr"/>
        </w:types>
        <w:behaviors>
          <w:behavior w:val="content"/>
        </w:behaviors>
        <w:guid w:val="{0EE64BF2-751B-49EB-A013-06C7A0D1A6D3}"/>
      </w:docPartPr>
      <w:docPartBody>
        <w:p w:rsidR="00D528DB" w:rsidRDefault="00D528DB">
          <w:pPr>
            <w:pStyle w:val="498B2FC92D024E0BA47D99661D8BB19D"/>
          </w:pPr>
          <w:r>
            <w:t xml:space="preserve"> </w:t>
          </w:r>
        </w:p>
      </w:docPartBody>
    </w:docPart>
    <w:docPart>
      <w:docPartPr>
        <w:name w:val="427816C35A964ED5BEAD2572323AB41C"/>
        <w:category>
          <w:name w:val="General"/>
          <w:gallery w:val="placeholder"/>
        </w:category>
        <w:types>
          <w:type w:val="bbPlcHdr"/>
        </w:types>
        <w:behaviors>
          <w:behavior w:val="content"/>
        </w:behaviors>
        <w:guid w:val="{80DD6DB7-3A6F-4A43-9A8C-E01E97F15F95}"/>
      </w:docPartPr>
      <w:docPartBody>
        <w:p w:rsidR="00D528DB" w:rsidRDefault="00D528DB">
          <w:pPr>
            <w:pStyle w:val="427816C35A964ED5BEAD2572323AB41C"/>
          </w:pPr>
          <w:r>
            <w:t xml:space="preserve"> </w:t>
          </w:r>
        </w:p>
      </w:docPartBody>
    </w:docPart>
    <w:docPart>
      <w:docPartPr>
        <w:name w:val="30B0EB2E99444A71BF63D5EDF28BDF47"/>
        <w:category>
          <w:name w:val="General"/>
          <w:gallery w:val="placeholder"/>
        </w:category>
        <w:types>
          <w:type w:val="bbPlcHdr"/>
        </w:types>
        <w:behaviors>
          <w:behavior w:val="content"/>
        </w:behaviors>
        <w:guid w:val="{0E383CEB-A990-4940-8C73-F4EFA441738B}"/>
      </w:docPartPr>
      <w:docPartBody>
        <w:p w:rsidR="00D528DB" w:rsidRDefault="00D528DB">
          <w:pPr>
            <w:pStyle w:val="30B0EB2E99444A71BF63D5EDF28BDF47"/>
          </w:pPr>
          <w:r>
            <w:t xml:space="preserve"> </w:t>
          </w:r>
        </w:p>
      </w:docPartBody>
    </w:docPart>
    <w:docPart>
      <w:docPartPr>
        <w:name w:val="2279A6DF29FE4D39A3FB77BBC696703B"/>
        <w:category>
          <w:name w:val="General"/>
          <w:gallery w:val="placeholder"/>
        </w:category>
        <w:types>
          <w:type w:val="bbPlcHdr"/>
        </w:types>
        <w:behaviors>
          <w:behavior w:val="content"/>
        </w:behaviors>
        <w:guid w:val="{5DC47D6C-5133-4BDB-AC6A-B4469F0248E3}"/>
      </w:docPartPr>
      <w:docPartBody>
        <w:p w:rsidR="00D528DB" w:rsidRDefault="00D528DB">
          <w:pPr>
            <w:pStyle w:val="2279A6DF29FE4D39A3FB77BBC696703B"/>
          </w:pPr>
          <w:r>
            <w:t xml:space="preserve"> </w:t>
          </w:r>
        </w:p>
      </w:docPartBody>
    </w:docPart>
    <w:docPart>
      <w:docPartPr>
        <w:name w:val="51EDA9960E6E495D8FFDFE02C8CD674E"/>
        <w:category>
          <w:name w:val="General"/>
          <w:gallery w:val="placeholder"/>
        </w:category>
        <w:types>
          <w:type w:val="bbPlcHdr"/>
        </w:types>
        <w:behaviors>
          <w:behavior w:val="content"/>
        </w:behaviors>
        <w:guid w:val="{90D00D4F-485C-4AA4-80B1-E57E5EC46AB0}"/>
      </w:docPartPr>
      <w:docPartBody>
        <w:p w:rsidR="00D528DB" w:rsidRDefault="00D528DB">
          <w:pPr>
            <w:pStyle w:val="51EDA9960E6E495D8FFDFE02C8CD674E"/>
          </w:pPr>
          <w:r>
            <w:t xml:space="preserve"> </w:t>
          </w:r>
        </w:p>
      </w:docPartBody>
    </w:docPart>
    <w:docPart>
      <w:docPartPr>
        <w:name w:val="28F907465AFB41B29911E8819FB9050B"/>
        <w:category>
          <w:name w:val="General"/>
          <w:gallery w:val="placeholder"/>
        </w:category>
        <w:types>
          <w:type w:val="bbPlcHdr"/>
        </w:types>
        <w:behaviors>
          <w:behavior w:val="content"/>
        </w:behaviors>
        <w:guid w:val="{1538527D-9520-4877-9F1A-B86F85CFCC12}"/>
      </w:docPartPr>
      <w:docPartBody>
        <w:p w:rsidR="00D528DB" w:rsidRDefault="00D528DB">
          <w:pPr>
            <w:pStyle w:val="28F907465AFB41B29911E8819FB9050B"/>
          </w:pPr>
          <w:r>
            <w:t xml:space="preserve"> </w:t>
          </w:r>
        </w:p>
      </w:docPartBody>
    </w:docPart>
    <w:docPart>
      <w:docPartPr>
        <w:name w:val="0046E73A691E4F9482965D833C1B5CA3"/>
        <w:category>
          <w:name w:val="General"/>
          <w:gallery w:val="placeholder"/>
        </w:category>
        <w:types>
          <w:type w:val="bbPlcHdr"/>
        </w:types>
        <w:behaviors>
          <w:behavior w:val="content"/>
        </w:behaviors>
        <w:guid w:val="{0D8DB140-78AC-4E44-9D99-7CCD62E725E0}"/>
      </w:docPartPr>
      <w:docPartBody>
        <w:p w:rsidR="00D528DB" w:rsidRDefault="00D528DB">
          <w:pPr>
            <w:pStyle w:val="0046E73A691E4F9482965D833C1B5CA3"/>
          </w:pPr>
          <w:r>
            <w:t xml:space="preserve"> </w:t>
          </w:r>
        </w:p>
      </w:docPartBody>
    </w:docPart>
    <w:docPart>
      <w:docPartPr>
        <w:name w:val="AA158A01386A40CD8DCEA6699FC12FDF"/>
        <w:category>
          <w:name w:val="General"/>
          <w:gallery w:val="placeholder"/>
        </w:category>
        <w:types>
          <w:type w:val="bbPlcHdr"/>
        </w:types>
        <w:behaviors>
          <w:behavior w:val="content"/>
        </w:behaviors>
        <w:guid w:val="{2B227D4F-AD75-4816-BC4D-98DEE2895DD7}"/>
      </w:docPartPr>
      <w:docPartBody>
        <w:p w:rsidR="00D528DB" w:rsidRDefault="00D528DB">
          <w:pPr>
            <w:pStyle w:val="AA158A01386A40CD8DCEA6699FC12FDF"/>
          </w:pPr>
          <w:r w:rsidRPr="00A300ED">
            <w:rPr>
              <w:rStyle w:val="PlaceholderText"/>
            </w:rPr>
            <w:t>.</w:t>
          </w:r>
        </w:p>
      </w:docPartBody>
    </w:docPart>
    <w:docPart>
      <w:docPartPr>
        <w:name w:val="A0A0575E90E94A90B1347E51DC375F86"/>
        <w:category>
          <w:name w:val="General"/>
          <w:gallery w:val="placeholder"/>
        </w:category>
        <w:types>
          <w:type w:val="bbPlcHdr"/>
        </w:types>
        <w:behaviors>
          <w:behavior w:val="content"/>
        </w:behaviors>
        <w:guid w:val="{2D453D32-257B-4072-9C95-A3B6E44EE8AA}"/>
      </w:docPartPr>
      <w:docPartBody>
        <w:p w:rsidR="00406680" w:rsidRDefault="00406680">
          <w:r w:rsidRPr="00D23148">
            <w:rPr>
              <w:rStyle w:val="PlaceholderText"/>
            </w:rPr>
            <w:t xml:space="preserve"> </w:t>
          </w:r>
        </w:p>
      </w:docPartBody>
    </w:docPart>
    <w:docPart>
      <w:docPartPr>
        <w:name w:val="4F5E8F16865F4CF7B56FC4809A091168"/>
        <w:category>
          <w:name w:val="General"/>
          <w:gallery w:val="placeholder"/>
        </w:category>
        <w:types>
          <w:type w:val="bbPlcHdr"/>
        </w:types>
        <w:behaviors>
          <w:behavior w:val="content"/>
        </w:behaviors>
        <w:guid w:val="{322373DE-D0B7-4429-B803-683F3936AFF7}"/>
      </w:docPartPr>
      <w:docPartBody>
        <w:p w:rsidR="00406680" w:rsidRDefault="00406680">
          <w:r w:rsidRPr="00D23148">
            <w:rPr>
              <w:rStyle w:val="PlaceholderText"/>
            </w:rPr>
            <w:t xml:space="preserve"> </w:t>
          </w:r>
        </w:p>
      </w:docPartBody>
    </w:docPart>
    <w:docPart>
      <w:docPartPr>
        <w:name w:val="0C59D7FD10A14EA3A8189024CC380BBE"/>
        <w:category>
          <w:name w:val="General"/>
          <w:gallery w:val="placeholder"/>
        </w:category>
        <w:types>
          <w:type w:val="bbPlcHdr"/>
        </w:types>
        <w:behaviors>
          <w:behavior w:val="content"/>
        </w:behaviors>
        <w:guid w:val="{32F15D48-4132-4CAD-9AD0-1A23F86A3567}"/>
      </w:docPartPr>
      <w:docPartBody>
        <w:p w:rsidR="00000000" w:rsidRDefault="002D2E76">
          <w:r w:rsidRPr="00374750">
            <w:rPr>
              <w:rStyle w:val="PlaceholderText"/>
            </w:rPr>
            <w:t xml:space="preserve"> </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Bookdings">
    <w:altName w:val="Symbol"/>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imes">
    <w:panose1 w:val="02020603060405020304"/>
    <w:charset w:val="00"/>
    <w:family w:val="roman"/>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528DB"/>
    <w:rsid w:val="002D2E76"/>
    <w:rsid w:val="00406680"/>
    <w:rsid w:val="00D528DB"/>
    <w:rsid w:val="00F907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66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225EC886D046FCBEEF5542718196F6">
    <w:name w:val="1C225EC886D046FCBEEF5542718196F6"/>
    <w:rsid w:val="00406680"/>
  </w:style>
  <w:style w:type="paragraph" w:customStyle="1" w:styleId="31DA8D0CFE644884B7A73BA6B8521F81">
    <w:name w:val="31DA8D0CFE644884B7A73BA6B8521F81"/>
    <w:rsid w:val="00406680"/>
  </w:style>
  <w:style w:type="character" w:styleId="PlaceholderText">
    <w:name w:val="Placeholder Text"/>
    <w:basedOn w:val="DefaultParagraphFont"/>
    <w:uiPriority w:val="99"/>
    <w:semiHidden/>
    <w:rsid w:val="002D2E76"/>
    <w:rPr>
      <w:color w:val="808080"/>
    </w:rPr>
  </w:style>
  <w:style w:type="paragraph" w:customStyle="1" w:styleId="B290DA4549F7456E98ED8E8665E92422">
    <w:name w:val="B290DA4549F7456E98ED8E8665E92422"/>
    <w:rsid w:val="00406680"/>
  </w:style>
  <w:style w:type="paragraph" w:customStyle="1" w:styleId="ABED45C2BE6C4B46B9834E2D7C630C0D">
    <w:name w:val="ABED45C2BE6C4B46B9834E2D7C630C0D"/>
    <w:rsid w:val="00406680"/>
  </w:style>
  <w:style w:type="paragraph" w:customStyle="1" w:styleId="12E7C8B7A9E5497DAA56CAE5912A9EAE">
    <w:name w:val="12E7C8B7A9E5497DAA56CAE5912A9EAE"/>
    <w:rsid w:val="00406680"/>
  </w:style>
  <w:style w:type="paragraph" w:customStyle="1" w:styleId="BC8CA6454F6F4587A193D2DFA354484D">
    <w:name w:val="BC8CA6454F6F4587A193D2DFA354484D"/>
    <w:rsid w:val="00406680"/>
  </w:style>
  <w:style w:type="paragraph" w:customStyle="1" w:styleId="3203AD69EFD7435E9354E78C9CBF60EA">
    <w:name w:val="3203AD69EFD7435E9354E78C9CBF60EA"/>
    <w:rsid w:val="00406680"/>
  </w:style>
  <w:style w:type="paragraph" w:customStyle="1" w:styleId="5E2619B3A0E048E9851114E0D1294601">
    <w:name w:val="5E2619B3A0E048E9851114E0D1294601"/>
    <w:rsid w:val="00406680"/>
  </w:style>
  <w:style w:type="paragraph" w:customStyle="1" w:styleId="F18126ED88744BAC80D6CEB3BB268715">
    <w:name w:val="F18126ED88744BAC80D6CEB3BB268715"/>
    <w:rsid w:val="00406680"/>
  </w:style>
  <w:style w:type="paragraph" w:customStyle="1" w:styleId="F7F1B2BA30284D648D0F8282CA93397A">
    <w:name w:val="F7F1B2BA30284D648D0F8282CA93397A"/>
    <w:rsid w:val="00406680"/>
  </w:style>
  <w:style w:type="paragraph" w:customStyle="1" w:styleId="448F2E367493469391FB62CDFB64E512">
    <w:name w:val="448F2E367493469391FB62CDFB64E512"/>
    <w:rsid w:val="00406680"/>
  </w:style>
  <w:style w:type="paragraph" w:customStyle="1" w:styleId="75D8CEC8410B467E954DA568931681DB">
    <w:name w:val="75D8CEC8410B467E954DA568931681DB"/>
    <w:rsid w:val="00406680"/>
  </w:style>
  <w:style w:type="paragraph" w:customStyle="1" w:styleId="D996F290B07D4F86B78B0160D8594F17">
    <w:name w:val="D996F290B07D4F86B78B0160D8594F17"/>
    <w:rsid w:val="00406680"/>
  </w:style>
  <w:style w:type="paragraph" w:customStyle="1" w:styleId="0563F97271F44CF8975712DD56EA70D3">
    <w:name w:val="0563F97271F44CF8975712DD56EA70D3"/>
    <w:rsid w:val="00406680"/>
  </w:style>
  <w:style w:type="paragraph" w:customStyle="1" w:styleId="60A11C6974E94B8A919D2B3329D6F3B3">
    <w:name w:val="60A11C6974E94B8A919D2B3329D6F3B3"/>
    <w:rsid w:val="00406680"/>
  </w:style>
  <w:style w:type="paragraph" w:customStyle="1" w:styleId="21F70C2BCC9541D9975258E6BAE0C91D">
    <w:name w:val="21F70C2BCC9541D9975258E6BAE0C91D"/>
    <w:rsid w:val="00406680"/>
  </w:style>
  <w:style w:type="paragraph" w:customStyle="1" w:styleId="12A0CCB061414517BF5D178B880C25A4">
    <w:name w:val="12A0CCB061414517BF5D178B880C25A4"/>
    <w:rsid w:val="00406680"/>
  </w:style>
  <w:style w:type="paragraph" w:customStyle="1" w:styleId="D0F7B0873FE848CAAC073E3D49A46B21">
    <w:name w:val="D0F7B0873FE848CAAC073E3D49A46B21"/>
    <w:rsid w:val="00406680"/>
  </w:style>
  <w:style w:type="paragraph" w:customStyle="1" w:styleId="0824EB81AC634099BC5E1EC2CB31B4D5">
    <w:name w:val="0824EB81AC634099BC5E1EC2CB31B4D5"/>
    <w:rsid w:val="00406680"/>
  </w:style>
  <w:style w:type="paragraph" w:customStyle="1" w:styleId="733473684B6249FFA0AC473A7B3F1B4E">
    <w:name w:val="733473684B6249FFA0AC473A7B3F1B4E"/>
    <w:rsid w:val="00406680"/>
  </w:style>
  <w:style w:type="paragraph" w:customStyle="1" w:styleId="C813F8CCE9774B6BB33E0A229B7CB73C">
    <w:name w:val="C813F8CCE9774B6BB33E0A229B7CB73C"/>
    <w:rsid w:val="00406680"/>
  </w:style>
  <w:style w:type="paragraph" w:customStyle="1" w:styleId="3946C58D7F9A46DB95A075D20C68F9FC">
    <w:name w:val="3946C58D7F9A46DB95A075D20C68F9FC"/>
    <w:rsid w:val="00406680"/>
  </w:style>
  <w:style w:type="paragraph" w:customStyle="1" w:styleId="B7375D8A0EC1499E92E800B93F0DD450">
    <w:name w:val="B7375D8A0EC1499E92E800B93F0DD450"/>
    <w:rsid w:val="00406680"/>
  </w:style>
  <w:style w:type="paragraph" w:customStyle="1" w:styleId="498B2FC92D024E0BA47D99661D8BB19D">
    <w:name w:val="498B2FC92D024E0BA47D99661D8BB19D"/>
    <w:rsid w:val="00406680"/>
  </w:style>
  <w:style w:type="paragraph" w:customStyle="1" w:styleId="427816C35A964ED5BEAD2572323AB41C">
    <w:name w:val="427816C35A964ED5BEAD2572323AB41C"/>
    <w:rsid w:val="00406680"/>
  </w:style>
  <w:style w:type="paragraph" w:customStyle="1" w:styleId="30B0EB2E99444A71BF63D5EDF28BDF47">
    <w:name w:val="30B0EB2E99444A71BF63D5EDF28BDF47"/>
    <w:rsid w:val="00406680"/>
  </w:style>
  <w:style w:type="paragraph" w:customStyle="1" w:styleId="2279A6DF29FE4D39A3FB77BBC696703B">
    <w:name w:val="2279A6DF29FE4D39A3FB77BBC696703B"/>
    <w:rsid w:val="00406680"/>
  </w:style>
  <w:style w:type="paragraph" w:customStyle="1" w:styleId="51EDA9960E6E495D8FFDFE02C8CD674E">
    <w:name w:val="51EDA9960E6E495D8FFDFE02C8CD674E"/>
    <w:rsid w:val="00406680"/>
  </w:style>
  <w:style w:type="paragraph" w:customStyle="1" w:styleId="28F907465AFB41B29911E8819FB9050B">
    <w:name w:val="28F907465AFB41B29911E8819FB9050B"/>
    <w:rsid w:val="00406680"/>
  </w:style>
  <w:style w:type="paragraph" w:customStyle="1" w:styleId="0046E73A691E4F9482965D833C1B5CA3">
    <w:name w:val="0046E73A691E4F9482965D833C1B5CA3"/>
    <w:rsid w:val="00406680"/>
  </w:style>
  <w:style w:type="paragraph" w:customStyle="1" w:styleId="AA158A01386A40CD8DCEA6699FC12FDF">
    <w:name w:val="AA158A01386A40CD8DCEA6699FC12FDF"/>
    <w:rsid w:val="0040668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item7.xml><?xml version="1.0" encoding="utf-8"?>
<DocumentState xmlns="http://www.w3.org/2001/XMLSchema-instance">
  <Application>MS Word</Application>
  <SourceSubmissionTool/>
  <ApprovedAttachment>False</ApprovedAttachment>
  <NonApprovedAttachment>False</NonApprovedAttachment>
  <BlastVoiceMail>False</BlastVoiceMail>
  <PrintResearch>False</PrintResearch>
  <ContentType>Alert</ContentType>
  <TemplateType>EquityIndustryAlert</TemplateType>
  <PublicNote>False</PublicNote>
  <InsertAllFinancialsFired>False</InsertAllFinancialsFired>
  <DocumentId>1431408</DocumentId>
  <DocumentVersion>3</DocumentVersion>
  <SendEmail>True</SendEmail>
  <EmailRequiresApproval>False</EmailRequiresApproval>
  <EmailDistributionOnly>False</EmailDistributionOnly>
  <GPSDistributable>True</GPSDistributable>
  <InternalOnly>False</InternalOnly>
  <Language>1-0</Language>
  <NumberOfPages>7</NumberOfPages>
  <ReleaseDate>2014-07-02T23:15:00+00:00</ReleaseDate>
  <OriginalCreateDatetime>2014-07-01T15:09:37+00:00</OriginalCreateDatetime>
  <OriginalAuthor>1001873-1</OriginalAuthor>
  <RetractionDate/>
  <ApproveRelease>false</ApproveRelease>
  <SendToCompliance>false</SendToCompliance>
  <WorkflowState>0</WorkflowState>
  <SAApprove>false</SAApprove>
  <SAReviewed>false</SAReviewed>
  <SubmissionTool>GPS Author</SubmissionTool>
  <SubmittingUser>1003297-1</SubmittingUser>
  <FirstSubmittingUser>1001873-1</FirstSubmittingUser>
  <Title>RWE and E.ON</Title>
  <SubTitle>German utilities investor tour feedback</SubTitle>
  <Abstract>On July 1st we hosted group meetings with Klaus Schaffer, E.ON’s CFO, Stein Dale, E.ON’s Head of Strategy, Peter Terium, RWE’s CEO, and Martin Hermann, CEO of RWE East. RWE conveyed the vision of a leaner group focused on downstream with a free option in power generation, which in our view continues to contrast favorably with E.ON (see links to previous research in the right panel). That being said, at these levels we see more potential value in the latter (positive gearing to a CO2 recovery and German capacity markets, growth options outside of Europe). Near term, however, we would expect investors to continue reducing underweight positions indiscriminately in both E.ON and RWE given the perceived potential upside from capacity payments, higher power prices, further cost cutting and a burden sharing deal with the government on long-term nuclear liabilities.  
German political backdrop: benign, not yet supportive. According to E.ON and RWE, the reformed EEG law will change very little for conventional utilities, with renewable additions simply slowing down versus 2012/13. RWE’s lignite mining business will continue to be exempt from the EEG levy for now, but there is no clarity beyond 2016 (maximum downside to EBIT €190m p.a. or 10% of 2017 EPS). Both companies reiterated their wishes for a non-discriminatory capacity market but E.ON management in particular is realistic about the likelihood of the system being geographically and technologically selective. Timing wise, the capacity market design should be finalized by the end of this year and a white paper should be published by the middle of next year. This will be followed by a consultation with the EU and other countries which may lead to legislation before 2016. 
No discussions on a nuclear “bad utility”. Both companies reiterated that there are currently no discussions with politicians on the subject of a potential burden sharing agreement on long term nuclear liabilities, though clearly they would be open to this. As detailed in our May 15th note, unburdening E.ON and RWE of their long term fuel storage liabilities (the most sensitive topic from the point of view of public health and the environment) could potentially accrete equity values by €6.6bn and €5.5bn, respectively. Any potential negotiation will likely take several years to conclude, in our view. 
Generation a free option? Both companies expect their generation businesses will not turn cash negative on a mark to market basis (according to E.ON, €1.2bn of EBITDA in the medium term is a reasonable objective, which would allow the company to cover both maintenance capex of c€0.3-0.4bn and cash outflows related to nuclear liabilities of c€0.8bn). According to RWE, with coal prices having bottomed out (which we do not think is evident, as per JPM coal analysts’ latest report) and plans for capacity payments being drawn up in the UK and Germany, generation now represents a free option. That the business stays cash positive remains a strict requirement and further cost cutting efforts, if necessary, will ensure this is the case. 
Clear vision of the equity story transformation at RWE. RWE’s CEO thus conveyed a clear message of deep equity story transformation, in our view. Following the sale of DEA (which is very likely to complete, with the government expected to give its view on the deal by the end of the year), RWE’s refinancing requirements should be very manageable. However, management continues to consider that a 3.0x economic leverage target is prudent, and it is also an important point of focus for the company’s internal focus on efficiency. Our view however remains that the leverage target could be reviewed over the next 18-24 months. The group remains very focused on FCF generation (including working capital management) and a third cost cutting wave will be announced, most likely in March 2015. Given the above, and with cash costs of nuclear decommissioning expected to stay stable at €0.3-0.4bn p.a. for the next decade, we believe a return to growth capex or indeed a payout ratio increase (though obviously politically unadvisable near term) are options that will be considered once the company has “earned its right to grow again”.
More uncertainty about the future shape of the group at E.ON. Our perception remains that there is less strategic clarity at E.ON than at RWE, partly because of the group’s higher geographical and business diversification. Management is pleased with the progress of its Turkish business, whilst it continues to focus on stabilizing Eneva before further growth options are examined. E&amp;P is managed as a standalone business, given the lack of synergies with the rest of the group. Capex over the next few years will focus on renewables, distributed energy and regulated grids. Cost cutting efforts will continue, potentially beyond the need to offset inflation, but the company does not expect to communicate group-wide targets at this stage. Management says it will rotate assets on an opportunistic basis (no comment on press reports of a disposal process in Italy or Spain). In summary, E.ON’s diversification seems to be less of an advantage versus peers (particularly RWE) than it could be. 
</Abstract>
  <Filename>140703_german_utilities_tour_feedback_JPM.docx</Filename>
  <Branding>Cazenove</Branding>
  <Focus>5-0</Focus>
  <Periodicity/>
  <Publication/>
  <BusinessGroupDocument>8-0</BusinessGroupDocument>
  <BusinessGroupAlias/>
  <WorkflowRegion>1-0</WorkflowRegion>
  <AnalystRegion>1-0</AnalystRegion>
  <GPSDraftMark>
    <GPSDraftMarkType>None</GPSDraftMarkType>
    <WaterMark/>
    <Dirty>False</Dirty>
  </GPSDraftMark>
  <AnalystDisplayMode>Group</AnalystDisplayMode>
  <ShowAnalystSelected>True</ShowAnalystSelected>
  <DocumentTitleReadOnly>False</DocumentTitleReadOnly>
  <SummaryStripInserted>False</SummaryStripInserted>
  <SummaryStripRemovedBySA>False</SummaryStripRemovedBySA>
  <SummaryStripMarketCapUnits>Millions</SummaryStripMarketCapUnits>
  <ShowSummaryStripOnSecondPage>False</ShowSummaryStripOnSecondPage>
  <ShowSummaryStrip>True</ShowSummaryStrip>
  <SummaryStripNeedsUpdating>False</SummaryStripNeedsUpdating>
  <SummaryStrip>
    <WordMLSummaryStrip/>
    <FootNote/>
    <ShowPriceInfo>True</ShowPriceInfo>
  </SummaryStrip>
  <FinancialLayoutType>NotApplicable</FinancialLayoutType>
  <VAndRLayoutType>NotApplicable</VAndRLayoutType>
  <CompanyPageFixedLayoutType>NotApplicable</CompanyPageFixedLayoutType>
  <GroupNameRenderOnInsideCPLs>False</GroupNameRenderOnInsideCPLs>
  <Companies>
    <Company>
      <Key>1002916-1</Key>
      <Cover>nonsubject</Cover>
      <Tagging>Dynamic</Tagging>
      <Tpr>1002916-1</Tpr>
      <StockPrice>15.21</StockPrice>
      <PriceDate>2014-07-01 00:00</PriceDate>
      <EquityRating>39-0</EquityRating>
      <TprPriceFormat>#,###,##0.00</TprPriceFormat>
      <TprPriceSymbol>€</TprPriceSymbol>
      <TprPriceTarget>14.0</TprPriceTarget>
      <TprPriorRating>39-0</TprPriorRating>
      <TprPricePrefix>True</TprPricePrefix>
      <TprPriceTargetAction/>
      <TprRatingChangeAction/>
      <TprPriorPriceTarget>14.0</TprPriorPriceTarget>
      <TprMarketCap>28.99</TprMarketCap>
      <TprPriceTargetEndDate>2015-06-30 00:00</TprPriceTargetEndDate>
      <TprPriorPriceTargetEndDate>2015-06-30 00:00</TprPriorPriceTargetEndDate>
      <TprFlag>True</TprFlag>
      <Important>Equity</Important>
      <Chart>True</Chart>
      <Disclosure>True</Disclosure>
      <IsSubject>False</IsSubject>
      <AVRSelected>False</AVRSelected>
      <Restricted>False</Restricted>
      <RestrictedLite>False</RestrictedLite>
      <Intraday>False</Intraday>
      <AflList>False</AflList>
      <IsAFLChanged>False</IsAFLChanged>
      <UTCAFLUpdateDateTime>0001-01-01T00:00:00+00:00</UTCAFLUpdateDateTime>
      <ShowFinancialDataSheet>True</ShowFinancialDataSheet>
      <HasDatasheetAssociated>False</HasDatasheetAssociated>
      <ShowEarningStrip>True</ShowEarningStrip>
      <isCredit144A>False</isCredit144A>
      <CompanyActions>
        <Coverage>No Action</Coverage>
        <Estimate>No Action</Estimate>
        <PriceTarget>No Action</PriceTarget>
        <Rating>No Action</Rating>
      </CompanyActions>
    </Company>
    <Company>
      <Key>1002918-1</Key>
      <Cover>nonsubject</Cover>
      <Tagging>Dynamic</Tagging>
      <Tpr>1002918-1</Tpr>
      <StockPrice>32.15</StockPrice>
      <PriceDate>2014-07-02 00:00</PriceDate>
      <EquityRating>39-0</EquityRating>
      <TprPriceFormat>#,###,##0.00</TprPriceFormat>
      <TprPriceSymbol>€</TprPriceSymbol>
      <TprPriceTarget>26.0</TprPriceTarget>
      <TprPriorRating>39-0</TprPriorRating>
      <TprPricePrefix>True</TprPricePrefix>
      <TprPriceTargetAction/>
      <TprRatingChangeAction/>
      <TprPriorPriceTarget>26.0</TprPriorPriceTarget>
      <TprMarketCap>19.76</TprMarketCap>
      <TprPriceTargetEndDate>2015-06-30 00:00</TprPriceTargetEndDate>
      <TprPriorPriceTargetEndDate>2015-06-30 00:00</TprPriorPriceTargetEndDate>
      <TprFlag>True</TprFlag>
      <Important>Equity</Important>
      <Chart>True</Chart>
      <Disclosure>True</Disclosure>
      <IsSubject>False</IsSubject>
      <AVRSelected>False</AVRSelected>
      <Restricted>False</Restricted>
      <RestrictedLite>False</RestrictedLite>
      <Intraday>False</Intraday>
      <AflList>False</AflList>
      <IsAFLChanged>False</IsAFLChanged>
      <UTCAFLUpdateDateTime>0001-01-01T00:00:00+00:00</UTCAFLUpdateDateTime>
      <ShowFinancialDataSheet>True</ShowFinancialDataSheet>
      <HasDatasheetAssociated>False</HasDatasheetAssociated>
      <ShowEarningStrip>True</ShowEarningStrip>
      <isCredit144A>False</isCredit144A>
      <CompanyActions>
        <Coverage>No Action</Coverage>
        <Estimate>No Action</Estimate>
        <PriceTarget>No Action</PriceTarget>
        <Rating>No Action</Rating>
      </CompanyActions>
    </Company>
  </Companies>
  <Analysts>
    <Analyst>
      <Key>1001873-1</Key>
      <Lead>lead</Lead>
      <Tagging>Static</Tagging>
      <BusinessGroup>8-0</BusinessGroup>
      <AC>CoverAutomatic</AC>
      <BBGPageCode>
        <Status>AutomaticON</Status>
        <IsRendered>True</IsRendered>
        <Value>JPMA CASALI &lt;GO&gt;</Value>
      </BBGPageCode>
      <EquityCoverage>True</EquityCoverage>
      <LegalEntity>JPMSL</LegalEntity>
      <AnalystGroupKey>774883777-1001873</AnalystGroupKey>
      <AnalystGroupName>European Utilities</AnalystGroupName>
    </Analyst>
  </Analysts>
  <TaggedAnalysts/>
  <Regions>
    <Region>
      <Key>1-0</Key>
      <Tagging>Static</Tagging>
    </Region>
  </Regions>
  <Countries>
    <Country>
      <Key>22-0</Key>
      <Tagging>Dynamic</Tagging>
      <IsSubject>False</IsSubject>
    </Country>
  </Countries>
  <AssetClasses>
    <AssetClass>
      <Key>1-0</Key>
      <Tagging>Dynamic</Tagging>
    </AssetClass>
  </AssetClasses>
  <AssetTypes>
    <AssetType>
      <Key>1-0</Key>
      <Tagging>Dynamic</Tagging>
    </AssetType>
  </AssetTypes>
  <DistributionTargets>
    <DistributionTarget>
      <Key>16-0</Key>
    </DistributionTarget>
    <DistributionTarget>
      <Key>27-0</Key>
    </DistributionTarget>
    <DistributionTarget>
      <Key>7-0</Key>
    </DistributionTarget>
    <DistributionTarget>
      <Key>39-0</Key>
    </DistributionTarget>
    <DistributionTarget>
      <Key>43-0</Key>
    </DistributionTarget>
    <DistributionTarget>
      <Key>18-0</Key>
    </DistributionTarget>
    <DistributionTarget>
      <Key>15-0</Key>
    </DistributionTarget>
    <DistributionTarget>
      <Key>25-0</Key>
    </DistributionTarget>
    <DistributionTarget>
      <Key>46-0</Key>
    </DistributionTarget>
    <DistributionTarget>
      <Key>42-0</Key>
    </DistributionTarget>
    <DistributionTarget>
      <Key>41-0</Key>
    </DistributionTarget>
    <DistributionTarget>
      <Key>28-0</Key>
    </DistributionTarget>
  </DistributionTargets>
  <AudienceEntitlements>
    <AudienceEntitlement>
      <Key>1-0</Key>
    </AudienceEntitlement>
    <AudienceEntitlement>
      <Key>3-0</Key>
    </AudienceEntitlement>
    <AudienceEntitlement>
      <Key>5-0</Key>
    </AudienceEntitlement>
    <AudienceEntitlement>
      <Key>4-0</Key>
    </AudienceEntitlement>
    <AudienceEntitlement>
      <Key>2-0</Key>
    </AudienceEntitlement>
  </AudienceEntitlements>
  <Contains144ASecurityContent>False</Contains144ASecurityContent>
  <Industries>
    <Industry>
      <Key>421-0</Key>
      <Tagging>Static</Tagging>
      <IsSubject>True</IsSubject>
    </Industry>
  </Industries>
  <Keywords>
    <Keyword>
      <Key>6-0</Key>
      <Tagging>Dynamic</Tagging>
    </Keyword>
  </Keywords>
  <MarketStrategies/>
  <Subjects/>
  <Email>
    <EmailSubject>RWE and E.ON : German utilities investor tour feedback - ALERT</EmailSubject>
    <ReplyAddress/>
    <ReplyAddressDisplay/>
    <FromAddress>nathalie.x.casali@jpmorgan.com</FromAddress>
    <FromAddressDisplay>Nathalie F Casali &lt;nathalie.x.casali@jpmorgan.com&gt;</FromAddressDisplay>
    <IntroductionText/>
    <Personalization>None</Personalization>
    <EmailStyle>Cazenove</EmailStyle>
    <DeliveryDate>2014-07-02T21:06:21+00:00</DeliveryDate>
    <PasswordProtect>False</PasswordProtect>
    <HasSubjectChanged>False</HasSubjectChanged>
    <HasFromAddressDisplayChanged>False</HasFromAddressDisplayChanged>
    <EmailLists>
      <EmailList name="Casali, Nathalie - French bankers" short="French_bankers">3979-0</EmailList>
      <EmailList name="Laitung, Sarah - Company list (STP)" short="Company_list_STP">2417-0</EmailList>
      <EmailList name="Laitung, Sarah - Pan-European Utilities" short="PanEuropean_Utilities">6972-0</EmailList>
    </EmailLists>
  </Email>
  <Comments>
    <Public/>
    <Private/>
    <LockedDisclosures>False</LockedDisclosures>
    <LockedDisclosureDate>2014-07-03T00:18:29+01:00</LockedDisclosureDate>
    <LockedDisclosureSA/>
    <UpdateDisclosures>True</UpdateDisclosures>
    <EmailContact>False</EmailContact>
    <PhoneContact>True</PhoneContact>
    <EmailFreetext>michael.chung@jpmorgan.com</EmailFreetext>
    <PhoneFreetext>(1-415) 315-6714</PhoneFreetext>
  </Comments>
  <Disclosures>
    <CompendiumText>False</CompendiumText>
    <DisclosureDefaultingPerformed>True</DisclosureDefaultingPerformed>
    <PageStart>
      <DisclosureClause>
        <Id>5</Id>
        <Name>Disclosure ref, non US</Name>
        <Text>See page ${PAGESTART} for analyst certification and important disclosures, including non-US analyst disclosures.</Text>
      </DisclosureClause>
    </PageStart>
    <Page1Banner>
      <DisclosureClause>
        <Id>1</Id>
        <Name>None</Name>
        <Text/>
      </DisclosureClause>
    </Page1Banner>
    <Page1Banner>
      <DisclosureClause>
        <Id>1</Id>
        <Name>None</Name>
        <Text/>
      </DisclosureClause>
    </Page1Banner>
    <Page1Footer>
      <DisclosureClause>
        <Id>7</Id>
        <Name>JPM does and seeks</Name>
        <Text>J.P. Morgan does and seeks to do business with companies covered in its research reports. As a result, investors should be aware that the firm may have a conflict of interest that could affect the objectivity of this report. Investors should consider this report as only a single factor in making their investment decision.</Text>
      </DisclosureClause>
    </Page1Footer>
    <ShowFrontPageBannerClauseOnAllPages>False</ShowFrontPageBannerClauseOnAllPages>
  </Disclosures>
  <BulletList>
    <Bullet>
      <TagName>FRONT_PAGE_BULLET_P1</TagName>
      <PlainText>On July 1st we hosted group meetings with Klaus Schaffer, E.ON’s CFO, Stein Dale, E.ON’s Head of Strategy, Peter Terium, RWE’s CEO, and Martin Hermann, CEO of RWE East. RWE conveyed the vision of a leaner group focused on downstream with a free option in power generation, which in our view continues to contrast favorably with E.ON (see links to previous research in the right panel). That being said, at these levels we see more potential value in the latter (positive gearing to a CO2 recovery and German capacity markets, growth options outside of Europe). Near term, however, we would expect investors to continue reducing underweight positions indiscriminately in both E.ON and RWE given the perceived potential upside from capacity payments, higher power prices, further cost cutting and a burden sharing deal with the government on long-term nuclear liabilities.  </PlainText>
      <HtmlText><![CDATA[On July 1st we hosted group meetings with Klaus Schaffer, E.ON’s CFO, Stein Dale, E.ON’s Head of Strategy, Peter Terium, RWE’s CEO, and Martin Hermann, CEO of RWE East. RWE conveyed the vision of a leaner group focused on downstream with a free option in power generation, which in our view continues to contrast favorably with E.ON (see links to previous research in the right panel). That being said, at these levels we see more potential value in the latter (positive gearing to a CO2 recovery and German capacity markets, growth options outside of Europe). Near term, however, we would expect investors to continue reducing underweight positions indiscriminately in both E.ON and RWE given the perceived potential upside from capacity payments, higher power prices, further cost cutting and a burden sharing deal with the government on long-term nuclear liabilities.  ]]></HtmlText>
      <BulletVisual>False</BulletVisual>
    </Bullet>
    <Bullet>
      <TagName>FRONT_PAGE_BULLET_P2</TagName>
      <PlainText>German political backdrop: benign, not yet supportive. According to E.ON and RWE, the reformed EEG law will change very little for conventional utilities, with renewable additions simply slowing down versus 2012/13. RWE’s lignite mining business will continue to be exempt from the EEG levy for now, but there is no clarity beyond 2016 (maximum downside to EBIT €190m p.a. or 10% of 2017 EPS). Both companies reiterated their wishes for a non-discriminatory capacity market but E.ON management in particular is realistic about the likelihood of the system being geographically and technologically selective. Timing wise, the capacity market design should be finalized by the end of this year and a white paper should be published by the middle of next year. This will be followed by a consultation with the EU and other countries which may lead to legislation before 2016. </PlainText>
      <HtmlText><![CDATA[<b>German political backdrop:</b> <b>benign, not yet supportive</b>. According to E.ON and RWE, the reformed EEG law will change very little for conventional utilities, with renewable additions simply slowing down versus 2012/13. RWE’s lignite mining business will continue to be exempt from the EEG levy for now, but there is no clarity beyond 2016 (maximum downside to EBIT €190m p.a. or 10% of 2017 EPS). Both companies reiterated their wishes for a non-discriminatory capacity market but E.ON management in particular is realistic about the likelihood of the system being geographically and technologically selective. Timing wise, the capacity market design should be finalized by the end of this year and a white paper should be published by the middle of next year. This will be followed by a consultation with the EU and other countries which may lead to legislation before 2016. ]]></HtmlText>
      <BulletVisual>True</BulletVisual>
    </Bullet>
    <Bullet>
      <TagName>FRONT_PAGE_BULLET_P3</TagName>
      <PlainText>No discussions on a nuclear “bad utility”. Both companies reiterated that there are currently no discussions with politicians on the subject of a potential burden sharing agreement on long term nuclear liabilities, though clearly they would be open to this. As detailed in our May 15th note, unburdening E.ON and RWE of their long term fuel storage liabilities (the most sensitive topic from the point of view of public health and the environment) could potentially accrete equity values by €6.6bn and €5.5bn, respectively. Any potential negotiation will likely take several years to conclude, in our view. </PlainText>
      <HtmlText><![CDATA[<b>No discussions on a nuclear “bad utility”.</b> Both companies reiterated that there are currently no discussions with politicians on the subject of a potential burden sharing agreement on long term nuclear liabilities, though clearly they would be open to this. As detailed in our May 15th <a href='https://jpmm.com/research/content/GPS-1384335-0' target='\_blank\'>note</a>, unburdening E.ON and RWE of their long term fuel storage liabilities (the most sensitive topic from the point of view of public health and the environment) could potentially accrete equity values by €6.6bn and €5.5bn, respectively. Any potential negotiation will likely take several years to conclude, in our view. ]]></HtmlText>
      <BulletVisual>True</BulletVisual>
    </Bullet>
    <Bullet>
      <TagName>FRONT_PAGE_BULLET_P4</TagName>
      <PlainText>Generation a free option? Both companies expect their generation businesses will not turn cash negative on a mark to market basis (according to E.ON, €1.2bn of EBITDA in the medium term is a reasonable objective, which would allow the company to cover both maintenance capex of c€0.3-0.4bn and cash outflows related to nuclear liabilities of c€0.8bn). According to RWE, with coal prices having bottomed out (which we do not think is evident, as per JPM coal analysts’ latest report) and plans for capacity payments being drawn up in the UK and Germany, generation now represents a free option. That the business stays cash positive remains a strict requirement and further cost cutting efforts, if necessary, will ensure this is the case. </PlainText>
      <HtmlText><![CDATA[<b>Generation a free option?</b> Both companies expect their generation businesses will not turn cash negative on a mark to market basis (according to E.ON, €1.2bn of EBITDA in the medium term is a reasonable objective, which would allow the company to cover both maintenance capex of c€0.3-0.4bn and cash outflows related to nuclear liabilities of c€0.8bn). According to RWE, with coal prices having bottomed out (which we do not think is evident, as per JPM coal analysts’ latest <a href='https://jpmm.com/research/content/GPS-1428141-0' target='\_blank\'>report</a>) and plans for capacity payments being drawn up in the UK and Germany, generation now represents a free option. That the business stays cash positive remains a strict requirement and further cost cutting efforts, if necessary, will ensure this is the case. ]]></HtmlText>
      <BulletVisual>True</BulletVisual>
    </Bullet>
    <Bullet>
      <TagName>FRONT_PAGE_BULLET_P5</TagName>
      <PlainText>Clear vision of the equity story transformation at RWE. RWE’s CEO thus conveyed a clear message of deep equity story transformation, in our view. Following the sale of DEA (which is very likely to complete, with the government expected to give its view on the deal by the end of the year), RWE’s refinancing requirements should be very manageable. However, management continues to consider that a 3.0x economic leverage target is prudent, and it is also an important point of focus for the company’s internal focus on efficiency. Our view however remains that the leverage target could be reviewed over the next 18-24 months. The group remains very focused on FCF generation (including working capital management) and a third cost cutting wave will be announced, most likely in March 2015. Given the above, and with cash costs of nuclear decommissioning expected to stay stable at €0.3-0.4bn p.a. for the next decade, we believe a return to growth capex or indeed a payout ratio increase (though obviously politically unadvisable near term) are options that will be considered once the company has “earned its right to grow again”.</PlainText>
      <HtmlText><![CDATA[<b>Clear vision of the equity story transformation at RWE. </b>RWE’s CEO thus conveyed a clear message of deep equity story transformation, in our view. Following the sale of DEA (which is very likely to complete, with the government expected to give its view on the deal by the end of the year), RWE’s refinancing requirements should be very manageable. However, management continues to consider that a 3.0x economic leverage target is prudent, and it is also an important point of focus for the company’s internal focus on efficiency. Our view however remains that the leverage target could be reviewed over the next 18-24 months. The group remains very focused on FCF generation (including working capital management) and a third cost cutting wave will be announced, most likely in March 2015. Given the above, and with cash costs of nuclear decommissioning expected to stay stable at €0.3-0.4bn p.a. for the next decade, we believe a return to growth capex or indeed a payout ratio increase (though obviously politically unadvisable near term) are options that will be considered once the company has “earned its right to grow again”.]]></HtmlText>
      <BulletVisual>True</BulletVisual>
    </Bullet>
    <Bullet>
      <TagName>FRONT_PAGE_BULLET_P6</TagName>
      <PlainText>More uncertainty about the future shape of the group at E.ON. Our perception remains that there is less strategic clarity at E.ON than at RWE, partly because of the group’s higher geographical and business diversification. Management is pleased with the progress of its Turkish business, whilst it continues to focus on stabilizing Eneva before further growth options are examined. E&amp;P is managed as a standalone business, given the lack of synergies with the rest of the group. Capex over the next few years will focus on renewables, distributed energy and regulated grids. Cost cutting efforts will continue, potentially beyond the need to offset inflation, but the company does not expect to communicate group-wide targets at this stage. Management says it will rotate assets on an opportunistic basis (no comment on press reports of a disposal process in Italy or Spain). In summary, E.ON’s diversification seems to be less of an advantage versus peers (particularly RWE) than it could be. </PlainText>
      <HtmlText><![CDATA[<b>More uncertainty about the future shape of the group at E.ON</b>. Our perception remains that there is less strategic clarity at E.ON than at RWE, partly because of the group’s higher geographical and business diversification. Management is pleased with the progress of its Turkish business, whilst it continues to focus on stabilizing Eneva before further growth options are examined. E&P is managed as a standalone business, given the lack of synergies with the rest of the group. Capex over the next few years will focus on renewables, distributed energy and regulated grids. Cost cutting efforts will continue, potentially beyond the need to offset inflation, but the company does not expect to communicate group-wide targets at this stage. Management says it will rotate assets on an opportunistic basis (no comment on press reports of a disposal process in Italy or Spain). In summary, E.ON’s diversification seems to be less of an advantage versus peers (particularly RWE) than it could be. ]]></HtmlText>
      <BulletVisual>True</BulletVisual>
    </Bullet>
  </BulletList>
  <EditHeader>
    <HeaderType>jpAllHeaders</HeaderType>
    <IsEditHeaderRun>False</IsEditHeaderRun>
    <ShowAnalystAll>True</ShowAnalystAll>
    <AnalystText/>
    <ShowBusinessGroupAll>True</ShowBusinessGroupAll>
    <BusinessGroupText/>
    <ShowAnalystEven>False</ShowAnalystEven>
    <EvenAnalystText/>
    <ShowBusinessGroupEven>False</ShowBusinessGroupEven>
    <EvenBusinessGroupText/>
    <ShowAnalystOdd>False</ShowAnalystOdd>
    <OddAnalystText/>
    <ShowBusinessGroupOdd>False</ShowBusinessGroupOdd>
    <OddBusinessGroupText/>
    <ShowAnalystSection>False</ShowAnalystSection>
    <SectionAnalystText/>
    <ShowBusinessGroupSection>False</ShowBusinessGroupSection>
    <SectionBusinessGroupText/>
    <HeaderAllAnalysts/>
    <HeaderEvenAnalysts/>
    <HeaderOddAnalysts/>
    <HeaderSectionAnalysts/>
  </EditHeader>
  <STPImages>
    <STPImage>STPlogo.gif</STPImage>
    <STPImage>STPadobepdf.gif</STPImage>
  </STPImages>
  <CompanyDisclosureType>Equity</CompanyDisclosureType>
  <FxCurrencyGroups/>
  <AFLTracker/>
</DocumentState>
</file>

<file path=customXML/item8.xml><?xml version="1.0" encoding="utf-8"?>
<Research xmlns:rixmldt="http://www.rixml.org/2010/1/RIXML-datatypes" xmlns:xsi="http://www.w3.org/2001/XMLSchema-instance" xmlns="http://www.rixml.org/2010/1/RIXML" language="eng" createDateTime="2014-07-03T00:18:34+01:00" researchID="GPS-1431408-0" xsi:schemaLocation="http://www.rixml.org/2010/1/RIXML http://www.rixml.org/newsite/specifications/v231/RIXML-2_3_1.xsd">
  <Product productID="GPS-1431408-0">
    <StatusInfo currentStatusIndicator="Yes" statusDateTime="2014-07-03T00:18:34+01:00" statusType="Published">
      <Version>3</Version>
    </StatusInfo>
    <Source>
      <Organization primaryIndicator="Yes" type="SellSideFirm">
        <OrganizationID idType="VendorCode">JPM</OrganizationID>
        <OrganizationName nameType="Display">JPMorgan</OrganizationName>
        <PersonGroup>
          <PersonGroupMember primaryIndicator="Yes" sequence="1">
            <Person personID="V026176">
              <FamilyName>Casali</FamilyName>
              <GivenName>Nathalie</GivenName>
              <DisplayName>Nathalie F Casali</DisplayName>
              <JobTitle>Analyst</JobTitle>
              <Division>EQUITY RESEARCH</Division>
            </Person>
          </PersonGroupMember>
          <ContactInfo nature="Business">
            <Email>nathalie.x.casali@jpmorgan.com</Email>
            <Phone type="Voice">
              <CountryCode/>
              <Number>(44-20) 7134-9023</Number>
            </Phone>
          </ContactInfo>
        </PersonGroup>
      </Organization>
    </Source>
    <Content>
      <Title>RWE and E.ON</Title>
      <SubTitle>German utilities investor tour feedback - ALERT</SubTitle>
      <Abstract>On July 1st we hosted group meetings with Klaus Schaffer, E.ON’s CFO, Stein Dale, E.ON’s Head of Strategy, Peter Terium, RWE’s CEO, and Martin Hermann, CEO of RWE East. RWE conveyed the vision of a leaner group focused on downstream with a free option in power generation, which in our view continues to contrast favorably with E.ON (see links to previous research in the right panel). That being said, at these levels we see more potential value in the latter (positive gearing to a CO2 recovery and German capacity markets, growth options outside of Europe). Near term, however, we would expect investors to continue reducing underweight positions indiscriminately in both E.ON and RWE given the perceived potential upside from capacity payments, higher power prices, further cost cutting and a burden sharing deal with the government on long-term nuclear liabilities.  
German political backdrop: benign, not yet supportive. According to E.ON and RWE, the reformed EEG law will change very little for conventional utilities, with renewable additions simply slowing down versus 2012/13. RWE’s lignite mining business will continue to be exempt from the EEG levy for now, but there is no clarity beyond 2016 (maximum downside to EBIT €190m p.a. or 10% of 2017 EPS). Both companies reiterated their wishes for a non-discriminatory capacity market but E.ON management in particular is realistic about the likelihood of the system being geographically and technologically selective. Timing wise, the capacity market design should be finalized by the end of this year and a white paper should be published by the middle of next year. This will be followed by a consultation with the EU and other countries which may lead to legislation before 2016. 
No discussions on a nuclear “bad utility”. Both companies reiterated that there are currently no discussions with politicians on the subject of a potential burden sharing agreement on long term nuclear liabilities, though clearly they would be open to this. As detailed in our May 15th note, unburdening E.ON and RWE of their long term fuel storage liabilities (the most sensitive topic from the point of view of public health and the environment) could potentially accrete equity values by €6.6bn and €5.5bn, respectively. Any potential negotiation will likely take several years to conclude, in our view. 
Generation a free option? Both companies expect their generation businesses will not turn cash negative on a mark to market basis (according to E.ON, €1.2bn of EBITDA in the medium term is a reasonable objective, which would allow the company to cover both maintenance capex of c€0.3-0.4bn and cash outflows related to nuclear liabilities of c€0.8bn). According to RWE, with coal prices having bottomed out (which we do not think is evident, as per JPM coal analysts’ latest report) and plans for capacity payments being drawn up in the UK and Germany, generation now represents a free option. That the business stays cash positive remains a strict requirement and further cost cutting efforts, if necessary, will ensure this is the case. 
Clear vision of the equity story transformation at RWE. RWE’s CEO thus conveyed a clear message of deep equity story transformation, in our view. Following the sale of DEA (which is very likely to complete, with the government expected to give its view on the deal by the end of the year), RWE’s refinancing requirements should be very manageable. However, management continues to consider that a 3.0x economic leverage target is prudent, and it is also an important point of focus for the company’s internal focus on efficiency. Our view however remains that the leverage target could be reviewed over the next 18-24 months. The group remains very focused on FCF generation (including working capital management) and a third cost cutting wave will be announced, most likely in March 2015. Given the above, and with cash costs of nuclear decommissioning expected to stay stable at €0.3-0.4bn p.a. for the next decade, we believe a return to growth capex or indeed a payout ratio increase (though obviously politically unadvisable near term) are options that will be considered once the company has “earned its right to grow again”.
More uncertainty about the future shape of the group at E.ON. Our perception remains that there is less strategic clarity at E.ON than at RWE, partly because of the group’s higher geographical and business diversification. Management is pleased with the progress of its Turkish business, whilst it continues to focus on stabilizing Eneva before further growth options are examined. E&amp;P is managed as a standalone business, given the lack of synergies with the rest of the group. Capex over the next few years will focus on renewables, distributed energy and regulated grids. Cost cutting efforts will continue, potentially beyond the need to offset inflation, but the company does not expect to communicate group-wide targets at this stage. Management says it will rotate assets on an opportunistic basis (no comment on press reports of a disposal process in Italy or Spain). In summary, E.ON’s diversification seems to be less of an advantage versus peers (particularly RWE) than it could be. 
</Abstract>
      <Synopsis>On July 1st we hosted group meetings with Klaus Schaffer, E.ON’s CFO, Stein Dale, E.ON’s Head of Strategy, Peter Terium, RWE’s CEO, and Martin Hermann, CEO of RWE East. RWE conveyed the vision of a leaner group focused on downstream with a free option in power generation, which in our view contin...</Synopsis>
    </Content>
    <Context external="Yes">
      <IssuerDetails>
        <Issuer domicileCountryCode="DE" fiscalYearEnd="--12-31" issuerType="Corporate" primaryIndicator="No">
          <SecurityDetails>
            <Security primaryIndicator="No">
              <SecurityID idType="CUSIP" idValue=" "/>
              <SecurityID idType="SEDOL" idValue="4942904"/>
              <SecurityID idType="Bloomberg" idValue="EOAN GR"/>
              <SecurityID idType="RIC" idValue="EONGn.DE"/>
              <SecurityID idType="ISIN" idValue="DE000ENAG999"/>
              <AssetClass assetClass="Equity"/>
              <AssetType assetType="Stock"/>
              <Rating priorCurrent="Prior" rating="NeutralSentiment" timeFrame="ShortTerm">
                <RatingEntity ratingEntity="Publisher"/>
              </Rating>
              <Rating priorCurrent="Current" rating="NeutralSentiment" timeFrame="ShortTerm">
                <RatingEntity ratingEntity="Publisher"/>
              </Rating>
            </Security>
          </SecurityDetails>
          <IssuerName nameType="Display">
            <NameValue>E.ON</NameValue>
          </IssuerName>
        </Issuer>
        <Issuer domicileCountryCode="DE" fiscalYearEnd="--12-31" issuerType="Corporate" primaryIndicator="No">
          <SecurityDetails>
            <Security primaryIndicator="No">
              <SecurityID idType="CUSIP" idValue=" "/>
              <SecurityID idType="SEDOL" idValue="4768962"/>
              <SecurityID idType="Bloomberg" idValue="RWE GR"/>
              <SecurityID idType="RIC" idValue="RWEG.DE"/>
              <SecurityID idType="ISIN" idValue="DE0007037129"/>
              <AssetClass assetClass="Equity"/>
              <AssetType assetType="Stock"/>
              <Rating priorCurrent="Prior" rating="NeutralSentiment" timeFrame="ShortTerm">
                <RatingEntity ratingEntity="Publisher"/>
              </Rating>
              <Rating priorCurrent="Current" rating="NeutralSentiment" timeFrame="ShortTerm">
                <RatingEntity ratingEntity="Publisher"/>
              </Rating>
            </Security>
          </SecurityDetails>
          <IssuerName nameType="Display">
            <NameValue>RWE</NameValue>
          </IssuerName>
        </Issuer>
      </IssuerDetails>
      <ProductDetails periodicalIndicator="No" publicationDateTime="2014-07-03T00:18:34+01:00">
        <ProductCategory productCategory="Comment"/>
        <ProductFocus focus="SectorIndustry" primaryIndicator="Yes"/>
        <EntitlementGroup>
          <Entitlement includeExcludeIndicator="Include" primaryIndicator="No">
            <AudienceTypeEntitlement audienceType="QualifiedInstitutionalBuyer" external="Yes"/>
          </Entitlement>
        </EntitlementGroup>
        <EntitlementGroup>
          <Entitlement includeExcludeIndicator="Include" primaryIndicator="No">
            <AudienceTypeEntitlement audienceType="Institutional" external="Yes"/>
          </Entitlement>
        </EntitlementGroup>
        <EntitlementGroup>
          <Entitlement includeExcludeIndicator="Include" primaryIndicator="No">
            <AudienceTypeEntitlement audienceType="Retail" external="Yes"/>
          </Entitlement>
        </EntitlementGroup>
      </ProductDetails>
      <ProductClassifications>
        <KeywordClassifications>
          <Keyword>JPMORGANCAZENOVE</Keyword>
        </KeywordClassifications>
        <Discipline disciplineType="Investment"/>
        <Country code="DE" primaryIndicator="No" emergingIndicator="No"/>
        <Region primaryIndicator="No" regionType="Europe" emergingIndicator="No"/>
        <AssetClass assetClass="Equity"/>
        <AssetType assetType="Stock"/>
        <SectorIndustry classificationType="GICS" code="55" focusLevel="Yes" level="1" primaryIndicator="No">
          <Name>Utilities</Name>
        </SectorIndustry>
        <SectorIndustry classificationType="GICS" code="5510" focusLevel="Yes" level="2" primaryIndicator="No">
          <Name>Utilities</Name>
        </SectorIndustry>
        <SectorIndustry classificationType="GICS" code="551010" focusLevel="Yes" level="3" primaryIndicator="No">
          <Name>Electric Utilities</Name>
        </SectorIndustry>
        <SectorIndustry classificationType="GICS" code="55101010" focusLevel="Yes" level="4" primaryIndicator="Yes">
          <Name>Electric Utilities</Name>
        </SectorIndustry>
        <SectorIndustry classificationType="GICS" code="551030" focusLevel="Yes" level="3" primaryIndicator="No">
          <Name>Multi-Utilities</Name>
        </SectorIndustry>
        <SectorIndustry classificationType="GICS" code="55103010" focusLevel="Yes" level="4" primaryIndicator="Yes">
          <Name>Multi-Utilities</Name>
        </SectorIndustry>
        <SectorIndustry classificationType="GICS" code="551050" focusLevel="Yes" level="3" primaryIndicator="No">
          <Name>Independent Power and Renewable Electricity Producers</Name>
        </SectorIndustry>
        <SectorIndustry classificationType="GICS" code="55105010" focusLevel="Yes" level="4" primaryIndicator="Yes">
          <Name>Independent Power Producers &amp; Energy Traders</Name>
        </SectorIndustry>
      </ProductClassifications>
    </Context>
  </Product>
</Research>
</file>

<file path=customXML/item9.xml><?xml version="1.0" encoding="utf-8"?>
<JpmcExtensions>
  <EmailAlert>Y</EmailAlert>
  <Searchable>Y</Searchable>
  <SourceSystem>GPSAuthor</SourceSystem>
  <Permission>100</Permission>
  <BulletList>
    <component id="SUMMARY.ASCII.FORMATTEDBULLET" isBullet="Yes" order="1">On July 1st we hosted group meetings with Klaus Schaffer, E.ON’s CFO, Stein Dale, E.ON’s Head of Strategy, Peter Terium, RWE’s CEO, and Martin Hermann, CEO of RWE East. RWE conveyed the vision of a leaner group focused on downstream with a free option in power generation, which in our view continues to contrast favorably with E.ON (see links to previous research in the right panel). That being said, at these levels we see more potential value in the latter (positive gearing to a CO2 recovery and German capacity markets, growth options outside of Europe). Near term, however, we would expect investors to continue reducing underweight positions indiscriminately in both E.ON and RWE given the perceived potential upside from capacity payments, higher power prices, further cost cutting and a burden sharing deal with the government on long-term nuclear liabilities.  </component>
    <component id="SUMMARY.ASCII.FORMATTEDBULLET" isBullet="Yes" order="2">German political backdrop: benign, not yet supportive. According to E.ON and RWE, the reformed EEG law will change very little for conventional utilities, with renewable additions simply slowing down versus 2012/13. RWE’s lignite mining business will continue to be exempt from the EEG levy for now, but there is no clarity beyond 2016 (maximum downside to EBIT €190m p.a. or 10% of 2017 EPS). Both companies reiterated their wishes for a non-discriminatory capacity market but E.ON management in particular is realistic about the likelihood of the system being geographically and technologically selective. Timing wise, the capacity market design should be finalized by the end of this year and a white paper should be published by the middle of next year. This will be followed by a consultation with the EU and other countries which may lead to legislation before 2016. </component>
    <component id="SUMMARY.ASCII.FORMATTEDBULLET" isBullet="Yes" order="3">No discussions on a nuclear “bad utility”. Both companies reiterated that there are currently no discussions with politicians on the subject of a potential burden sharing agreement on long term nuclear liabilities, though clearly they would be open to this. As detailed in our May 15th note, unburdening E.ON and RWE of their long term fuel storage liabilities (the most sensitive topic from the point of view of public health and the environment) could potentially accrete equity values by €6.6bn and €5.5bn, respectively. Any potential negotiation will likely take several years to conclude, in our view. </component>
    <component id="SUMMARY.ASCII.FORMATTEDBULLET" isBullet="Yes" order="4">Generation a free option? Both companies expect their generation businesses will not turn cash negative on a mark to market basis (according to E.ON, €1.2bn of EBITDA in the medium term is a reasonable objective, which would allow the company to cover both maintenance capex of c€0.3-0.4bn and cash outflows related to nuclear liabilities of c€0.8bn). According to RWE, with coal prices having bottomed out (which we do not think is evident, as per JPM coal analysts’ latest report) and plans for capacity payments being drawn up in the UK and Germany, generation now represents a free option. That the business stays cash positive remains a strict requirement and further cost cutting efforts, if necessary, will ensure this is the case. </component>
    <component id="SUMMARY.ASCII.FORMATTEDBULLET" isBullet="Yes" order="5">Clear vision of the equity story transformation at RWE. RWE’s CEO thus conveyed a clear message of deep equity story transformation, in our view. Following the sale of DEA (which is very likely to complete, with the government expected to give its view on the deal by the end of the year), RWE’s refinancing requirements should be very manageable. However, management continues to consider that a 3.0x economic leverage target is prudent, and it is also an important point of focus for the company’s internal focus on efficiency. Our view however remains that the leverage target could be reviewed over the next 18-24 months. The group remains very focused on FCF generation (including working capital management) and a third cost cutting wave will be announced, most likely in March 2015. Given the above, and with cash costs of nuclear decommissioning expected to stay stable at €0.3-0.4bn p.a. for the next decade, we believe a return to growth capex or indeed a payout ratio increase (though obviously politically unadvisable near term) are options that will be considered once the company has “earned its right to grow again”.</component>
    <component id="SUMMARY.ASCII.FORMATTEDBULLET" isBullet="Yes" order="6">More uncertainty about the future shape of the group at E.ON. Our perception remains that there is less strategic clarity at E.ON than at RWE, partly because of the group’s higher geographical and business diversification. Management is pleased with the progress of its Turkish business, whilst it continues to focus on stabilizing Eneva before further growth options are examined. E&amp;P is managed as a standalone business, given the lack of synergies with the rest of the group. Capex over the next few years will focus on renewables, distributed energy and regulated grids. Cost cutting efforts will continue, potentially beyond the need to offset inflation, but the company does not expect to communicate group-wide targets at this stage. Management says it will rotate assets on an opportunistic basis (no comment on press reports of a disposal process in Italy or Spain). In summary, E.ON’s diversification seems to be less of an advantage versus peers (particularly RWE) than it could be. </component>
  </BulletList>
  <ContentTypeList>
    <ContentType>ANOT</ContentType>
  </ContentTypeList>
  <PrimaryAnalystList>
    <PrimaryAnalyst analystID="V026176">Nathalie F Casali</PrimaryAnalyst>
  </PrimaryAnalystList>
  <SecondaryAnalystList/>
  <PrimaryCompanyList/>
  <SecondaryCompanyList>
    <SecondaryCompany companyID="EONGn.DE">E.ON</SecondaryCompany>
    <SecondaryCompany companyID="RWEG.DE">RWE</SecondaryCompany>
  </SecondaryCompanyList>
  <ExpiryDate/>
  <RICList>
    <RIC>EONGn.DE</RIC>
    <RIC>RWEG.DE</RIC>
  </RICList>
  <RenderHtmlFlag>N</RenderHtmlFlag>
</JpmcExtensions>
</file>

<file path=customXML/itema.xml><?xml version="1.0" encoding="utf-8"?>
<economicsCharts xmlns="http://www.w3.org/2001/XMLSchema-instance"/>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3.xml><?xml version="1.0" encoding="utf-8"?>
<publishingControl xmlns="http://www.w3.org/2001/XMLSchema-instance">
  <action>Publish</action>
  <type>
    <primary>RESEARCH</primary>
  </type>
  <distribution>
    <destination>THOMSON-EQUITIES</destination>
    <destination>GREENJAR</destination>
    <destination>BLOOMBERG-EMEA</destination>
    <destination>CAPITAL-IQ-EQUITIES</destination>
    <destination>WSOD</destination>
    <destination>MORGAN-MARKETS</destination>
    <destination>REUTERS-EQUITIES</destination>
    <destination>VAULT</destination>
    <destination>PRIVATEBANK</destination>
    <destination>WSOD-RBC</destination>
    <destination>WSOD-MorganOnline</destination>
    <destination>FACTSET</destination>
  </distribution>
  <documentId>GPS-1431408-0</documentId>
</publishingControl>
</file>

<file path=customXml/item6.xml><?xml version="1.0" encoding="utf-8"?>
<b:Sources xmlns:b="http://schemas.openxmlformats.org/officeDocument/2006/bibliography" xmlns="http://schemas.openxmlformats.org/officeDocument/2006/bibliography" SelectedStyle="\APA.XSL" StyleName="APA"/>
</file>

<file path=customXml/itemProps3.xml><?xml version="1.0" encoding="utf-8"?>
<ds:datastoreItem xmlns:ds="http://schemas.openxmlformats.org/officeDocument/2006/customXml" ds:itemID="{01ADEF74-DFBA-4DC3-991A-8F034E3925E3}">
  <ds:schemaRefs/>
</ds:datastoreItem>
</file>

<file path=customXml/itemProps6.xml><?xml version="1.0" encoding="utf-8"?>
<ds:datastoreItem xmlns:ds="http://schemas.openxmlformats.org/officeDocument/2006/customXml" ds:itemID="{C836A56C-A0B6-4827-96A7-95E01F1D9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NonCompanyAlert.dotm</Template>
  <TotalTime>0</TotalTime>
  <Pages>7</Pages>
  <Words>4299</Words>
  <Characters>23671</Characters>
  <Application>Microsoft Office Word</Application>
  <DocSecurity>0</DocSecurity>
  <Lines>518</Lines>
  <Paragraphs>271</Paragraphs>
  <ScaleCrop>false</ScaleCrop>
  <HeadingPairs>
    <vt:vector size="2" baseType="variant">
      <vt:variant>
        <vt:lpstr>Title</vt:lpstr>
      </vt:variant>
      <vt:variant>
        <vt:i4>1</vt:i4>
      </vt:variant>
    </vt:vector>
  </HeadingPairs>
  <TitlesOfParts>
    <vt:vector size="1" baseType="lpstr">
      <vt:lpstr/>
    </vt:vector>
  </TitlesOfParts>
  <Company>JPMorgan Chase and Co.</Company>
  <LinksUpToDate>false</LinksUpToDate>
  <CharactersWithSpaces>27739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JPM Research</dc:creator>
  <cp:lastModifiedBy>Michael G Chung</cp:lastModifiedBy>
  <cp:revision>2</cp:revision>
  <dcterms:created xsi:type="dcterms:W3CDTF">2014-07-02T23:18:00Z</dcterms:created>
  <dcterms:modified xsi:type="dcterms:W3CDTF">2014-07-02T23:18:00Z</dcterms:modified>
</cp:coreProperties>
</file>