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bin" ContentType="application/vnd.openxmlformats-officedocument.wordprocessingml.document"/>
  <Override PartName="/media/image2.bin" ContentType="image/gif"/>
  <Override PartName="/customXml/itemProps3.xml" ContentType="application/vnd.openxmlformats-officedocument.customXmlProperties+xml"/>
  <Override PartName="/word/footnotes.xml" ContentType="application/vnd.openxmlformats-officedocument.wordprocessingml.footnotes+xml"/>
  <Override PartName="/word/footer6.xml" ContentType="application/vnd.openxmlformats-officedocument.wordprocessingml.footer+xml"/>
  <Override PartName="/word/footer7.xml" ContentType="application/vnd.openxmlformats-officedocument.wordprocessingml.footer+xml"/>
  <Override PartName="/word/glossary/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customXml/itemProps6.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media/image.bin" ContentType="image/gif"/>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12DB" w:rsidRDefault="00BA7961" w:rsidP="002E61D7">
      <w:pPr>
        <w:pStyle w:val="FPBody"/>
      </w:pPr>
      <w:r>
        <w:t xml:space="preserve">Earnings &amp; Sentiment Factors were top performers across the world, being particularly strong in Emerging Markets. Price Momentum continued </w:t>
      </w:r>
      <w:r w:rsidR="007512DB">
        <w:t>to do well</w:t>
      </w:r>
      <w:r>
        <w:t xml:space="preserve"> after the underperformance earlier in the year. It continues to struggle in Australia, though. </w:t>
      </w:r>
      <w:r w:rsidR="007512DB">
        <w:t xml:space="preserve">Value was poor in Asia Ex but did well in other Emerging markets, Japan and Australia. It has failed for the second straight month in Europe. Quality continued to outperform in Europe and EM (x Asia) but was less impressive in rest of the developed world. A common theme emerging based on feedback from several clients suggests that </w:t>
      </w:r>
      <w:r w:rsidR="003D6ABB">
        <w:t xml:space="preserve">'Quality at a Reasonable Price' </w:t>
      </w:r>
      <w:r w:rsidR="007512DB">
        <w:t>is gaining more traction</w:t>
      </w:r>
      <w:r w:rsidR="00005212">
        <w:t>, perhaps reflecting some of the uncertainty seen on the macro front</w:t>
      </w:r>
      <w:r w:rsidR="003D6ABB">
        <w:t>.</w:t>
      </w:r>
    </w:p>
    <w:p w:rsidR="00E80FC3" w:rsidRDefault="007512DB" w:rsidP="002E61D7">
      <w:pPr>
        <w:pStyle w:val="FPBody"/>
      </w:pPr>
      <w:r>
        <w:t>Our generic multi-Factor Q-Score Model was strong in the Emerging Markets and Japan but struggled to impress in Europe, US and Australia.</w:t>
      </w:r>
      <w:r w:rsidR="003D6ABB">
        <w:t xml:space="preserve"> </w:t>
      </w:r>
    </w:p>
    <w:p w:rsidR="002E61D7" w:rsidRDefault="002E61D7" w:rsidP="002E61D7">
      <w:pPr>
        <w:pStyle w:val="FPBody"/>
      </w:pPr>
      <w:r w:rsidRPr="00B51E52">
        <w:t xml:space="preserve">This </w:t>
      </w:r>
      <w:r>
        <w:t xml:space="preserve">monthly publication </w:t>
      </w:r>
      <w:r w:rsidR="00BA3AE8">
        <w:t>summarizes performance</w:t>
      </w:r>
      <w:r w:rsidRPr="00B51E52">
        <w:t xml:space="preserve"> </w:t>
      </w:r>
      <w:r w:rsidR="00BA3AE8">
        <w:t>of</w:t>
      </w:r>
      <w:r w:rsidRPr="00B51E52">
        <w:t xml:space="preserve"> a range of popular </w:t>
      </w:r>
      <w:r w:rsidR="00BA3AE8">
        <w:t>Q</w:t>
      </w:r>
      <w:r w:rsidRPr="00B51E52">
        <w:t>ua</w:t>
      </w:r>
      <w:r w:rsidR="00BA3AE8">
        <w:t>nt factors</w:t>
      </w:r>
      <w:r w:rsidRPr="00B51E52">
        <w:t>.</w:t>
      </w:r>
      <w:r w:rsidR="00BA3AE8">
        <w:t xml:space="preserve"> </w:t>
      </w:r>
      <w:r>
        <w:t xml:space="preserve">In all, </w:t>
      </w:r>
      <w:r w:rsidR="00E80FC3">
        <w:t>nine</w:t>
      </w:r>
      <w:r>
        <w:t xml:space="preserve"> (MSCI based) unive</w:t>
      </w:r>
      <w:r w:rsidR="00BA3AE8">
        <w:t>rses are included in the report: US,</w:t>
      </w:r>
      <w:r>
        <w:t xml:space="preserve"> </w:t>
      </w:r>
      <w:r w:rsidR="00BA3AE8">
        <w:t xml:space="preserve">Europe, Japan, </w:t>
      </w:r>
      <w:r w:rsidR="00E80FC3">
        <w:t xml:space="preserve">Australia, </w:t>
      </w:r>
      <w:r>
        <w:t>Asia ex Japan, GEM, EM ex Asia, Global Developed and All World.</w:t>
      </w:r>
    </w:p>
    <w:p w:rsidR="002E61D7" w:rsidRDefault="002E61D7" w:rsidP="002E61D7">
      <w:pPr>
        <w:pStyle w:val="FPBody"/>
      </w:pPr>
      <w:r>
        <w:t xml:space="preserve">For each universe we include a summary of performance over the last month, </w:t>
      </w:r>
      <w:r w:rsidR="00005212">
        <w:t>12 months, QTD and</w:t>
      </w:r>
      <w:r w:rsidR="00E80FC3">
        <w:t xml:space="preserve"> YTD</w:t>
      </w:r>
      <w:r>
        <w:t xml:space="preserve"> for </w:t>
      </w:r>
      <w:r w:rsidR="00E80FC3">
        <w:t>four</w:t>
      </w:r>
      <w:r>
        <w:t xml:space="preserve"> popular composite alpha sources that we refer to as the Value, Earnings, Quality and Price families.</w:t>
      </w:r>
    </w:p>
    <w:p w:rsidR="00E80FC3" w:rsidRDefault="002E61D7" w:rsidP="00005212">
      <w:pPr>
        <w:pStyle w:val="FPBody"/>
      </w:pPr>
      <w:r>
        <w:t>We also include a table detailing performance over the last month for 42 popular alpha and risk factors.</w:t>
      </w:r>
    </w:p>
    <w:p w:rsidR="00005212" w:rsidRDefault="00005212" w:rsidP="00005212">
      <w:pPr>
        <w:pStyle w:val="FPBody"/>
      </w:pPr>
    </w:p>
    <w:p w:rsidR="002E61D7" w:rsidRDefault="002E61D7" w:rsidP="002E61D7">
      <w:pPr>
        <w:pStyle w:val="TableTitle"/>
      </w:pPr>
      <w:r w:rsidRPr="00B51E52">
        <w:t xml:space="preserve">Monthly L/S Returns for </w:t>
      </w:r>
      <w:r w:rsidR="00117EB5">
        <w:t>June</w:t>
      </w:r>
      <w:r w:rsidRPr="00B51E52">
        <w:t xml:space="preserve"> </w:t>
      </w:r>
      <w:r w:rsidR="0046020C">
        <w:t>2014</w:t>
      </w:r>
      <w:r>
        <w:t xml:space="preserve"> around the world</w:t>
      </w:r>
    </w:p>
    <w:p w:rsidR="002E61D7" w:rsidRPr="00AE70D6" w:rsidRDefault="00117EB5" w:rsidP="00E80FC3">
      <w:r w:rsidRPr="00117EB5">
        <w:rPr>
          <w:noProof/>
        </w:rPr>
        <w:drawing>
          <wp:inline distT="0" distB="0" distL="0" distR="0">
            <wp:extent cx="4104640" cy="165989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4104640" cy="1659890"/>
                    </a:xfrm>
                    <a:prstGeom prst="rect">
                      <a:avLst/>
                    </a:prstGeom>
                    <a:noFill/>
                    <a:ln w="9525">
                      <a:noFill/>
                      <a:miter lim="800000"/>
                      <a:headEnd/>
                      <a:tailEnd/>
                    </a:ln>
                  </pic:spPr>
                </pic:pic>
              </a:graphicData>
            </a:graphic>
          </wp:inline>
        </w:drawing>
      </w:r>
      <w:r w:rsidR="00D713E5">
        <w:rPr>
          <w:noProof/>
        </w:rPr>
        <w:pict>
          <v:shapetype id="_x0000_t202" coordsize="21600,21600" o:spt="202" path="m,l,21600r21600,l21600,xe">
            <v:stroke joinstyle="miter"/>
            <v:path gradientshapeok="t" o:connecttype="rect"/>
          </v:shapetype>
          <v:shape id="GPS_FrontCoverPanel" o:spid="_x0000_s1026" type="#_x0000_t202" style="position:absolute;margin-left:355.7pt;margin-top:467.3pt;width:141.1pt;height:182.5pt;z-index:-251658752;mso-position-horizontal-relative:margin;mso-position-vertical-relative:page" filled="f" stroked="f">
            <v:textbox style="mso-next-textbox:#GPS_FrontCoverPanel" inset="0,0,0,0">
              <w:txbxContent>
                <w:tbl>
                  <w:tblPr>
                    <w:tblW w:w="2898" w:type="dxa"/>
                    <w:tblLayout w:type="fixed"/>
                    <w:tblLook w:val="0000"/>
                  </w:tblPr>
                  <w:tblGrid>
                    <w:gridCol w:w="1638"/>
                    <w:gridCol w:w="1260"/>
                  </w:tblGrid>
                  <w:tr w:rsidR="00BA7961" w:rsidRPr="00901A42" w:rsidTr="0098477B">
                    <w:trPr>
                      <w:trHeight w:val="504"/>
                    </w:trPr>
                    <w:tc>
                      <w:tcPr>
                        <w:tcW w:w="2898" w:type="dxa"/>
                        <w:gridSpan w:val="2"/>
                        <w:vAlign w:val="bottom"/>
                      </w:tcPr>
                      <w:p w:rsidR="00BA7961" w:rsidRPr="00901A42" w:rsidRDefault="00BA7961" w:rsidP="0098477B">
                        <w:pPr>
                          <w:spacing w:after="60"/>
                          <w:rPr>
                            <w:rFonts w:ascii="Arial" w:hAnsi="Arial" w:cs="Arial"/>
                            <w:sz w:val="16"/>
                            <w:szCs w:val="16"/>
                          </w:rPr>
                        </w:pPr>
                        <w:r>
                          <w:rPr>
                            <w:rFonts w:ascii="Arial" w:hAnsi="Arial" w:cs="Arial"/>
                            <w:b/>
                            <w:bCs/>
                            <w:sz w:val="17"/>
                            <w:szCs w:val="17"/>
                          </w:rPr>
                          <w:t>Global Quantitative and Derivatives Strategy</w:t>
                        </w:r>
                      </w:p>
                    </w:tc>
                  </w:tr>
                  <w:tr w:rsidR="00BA7961" w:rsidRPr="00901A42" w:rsidTr="0098477B">
                    <w:tc>
                      <w:tcPr>
                        <w:tcW w:w="1638" w:type="dxa"/>
                        <w:vAlign w:val="center"/>
                      </w:tcPr>
                      <w:p w:rsidR="00BA7961" w:rsidRPr="00901A42" w:rsidRDefault="00BA7961" w:rsidP="0098477B">
                        <w:pPr>
                          <w:spacing w:after="60"/>
                          <w:rPr>
                            <w:rFonts w:ascii="Arial Narrow" w:hAnsi="Arial Narrow" w:cs="Arial Narrow"/>
                            <w:sz w:val="16"/>
                            <w:szCs w:val="16"/>
                          </w:rPr>
                        </w:pPr>
                        <w:r w:rsidRPr="00901A42">
                          <w:rPr>
                            <w:rFonts w:ascii="Arial Narrow" w:hAnsi="Arial Narrow" w:cs="Arial Narrow"/>
                            <w:sz w:val="16"/>
                            <w:szCs w:val="16"/>
                          </w:rPr>
                          <w:t>Marko Kolanovic</w:t>
                        </w:r>
                      </w:p>
                    </w:tc>
                    <w:tc>
                      <w:tcPr>
                        <w:tcW w:w="1260" w:type="dxa"/>
                        <w:vAlign w:val="center"/>
                      </w:tcPr>
                      <w:p w:rsidR="00BA7961" w:rsidRPr="00901A42" w:rsidRDefault="00BA7961" w:rsidP="0098477B">
                        <w:pPr>
                          <w:spacing w:after="60"/>
                          <w:jc w:val="right"/>
                          <w:rPr>
                            <w:rFonts w:ascii="Arial Narrow" w:hAnsi="Arial Narrow" w:cs="Arial Narrow"/>
                            <w:sz w:val="16"/>
                            <w:szCs w:val="16"/>
                          </w:rPr>
                        </w:pPr>
                        <w:r w:rsidRPr="00901A42">
                          <w:rPr>
                            <w:rFonts w:ascii="Arial Narrow" w:hAnsi="Arial Narrow" w:cs="Arial Narrow"/>
                            <w:sz w:val="16"/>
                            <w:szCs w:val="16"/>
                          </w:rPr>
                          <w:t>Global</w:t>
                        </w:r>
                        <w:r>
                          <w:rPr>
                            <w:rFonts w:ascii="Arial Narrow" w:hAnsi="Arial Narrow" w:cs="Arial Narrow"/>
                            <w:sz w:val="16"/>
                            <w:szCs w:val="16"/>
                          </w:rPr>
                          <w:t xml:space="preserve"> Head</w:t>
                        </w:r>
                      </w:p>
                    </w:tc>
                  </w:tr>
                  <w:tr w:rsidR="00BA7961" w:rsidRPr="00901A42" w:rsidTr="0098477B">
                    <w:tc>
                      <w:tcPr>
                        <w:tcW w:w="1638" w:type="dxa"/>
                        <w:vAlign w:val="center"/>
                      </w:tcPr>
                      <w:p w:rsidR="00BA7961" w:rsidRPr="00901A42" w:rsidRDefault="00BA7961" w:rsidP="0098477B">
                        <w:pPr>
                          <w:spacing w:after="60"/>
                          <w:rPr>
                            <w:rFonts w:ascii="Arial Narrow" w:hAnsi="Arial Narrow" w:cs="Arial Narrow"/>
                            <w:sz w:val="16"/>
                            <w:szCs w:val="16"/>
                          </w:rPr>
                        </w:pPr>
                        <w:r w:rsidRPr="00901A42">
                          <w:rPr>
                            <w:rFonts w:ascii="Arial Narrow" w:hAnsi="Arial Narrow" w:cs="Arial Narrow"/>
                            <w:sz w:val="16"/>
                            <w:szCs w:val="16"/>
                          </w:rPr>
                          <w:t>Dubravko Lakos-Bujas</w:t>
                        </w:r>
                      </w:p>
                    </w:tc>
                    <w:tc>
                      <w:tcPr>
                        <w:tcW w:w="1260" w:type="dxa"/>
                        <w:vAlign w:val="center"/>
                      </w:tcPr>
                      <w:p w:rsidR="00BA7961" w:rsidRPr="00901A42" w:rsidRDefault="00BA7961" w:rsidP="0098477B">
                        <w:pPr>
                          <w:spacing w:after="60"/>
                          <w:jc w:val="right"/>
                          <w:rPr>
                            <w:rFonts w:ascii="Arial Narrow" w:hAnsi="Arial Narrow" w:cs="Arial Narrow"/>
                            <w:sz w:val="12"/>
                            <w:szCs w:val="12"/>
                          </w:rPr>
                        </w:pPr>
                        <w:r w:rsidRPr="00901A42">
                          <w:rPr>
                            <w:rFonts w:ascii="Arial Narrow" w:hAnsi="Arial Narrow" w:cs="Arial Narrow"/>
                            <w:sz w:val="16"/>
                            <w:szCs w:val="16"/>
                          </w:rPr>
                          <w:t>Americas</w:t>
                        </w:r>
                      </w:p>
                    </w:tc>
                  </w:tr>
                  <w:tr w:rsidR="00BA7961" w:rsidRPr="00901A42" w:rsidTr="0098477B">
                    <w:tc>
                      <w:tcPr>
                        <w:tcW w:w="1638" w:type="dxa"/>
                        <w:vAlign w:val="center"/>
                      </w:tcPr>
                      <w:p w:rsidR="00BA7961" w:rsidRPr="00901A42" w:rsidRDefault="00BA7961" w:rsidP="0098477B">
                        <w:pPr>
                          <w:spacing w:after="60"/>
                          <w:rPr>
                            <w:rFonts w:ascii="Arial Narrow" w:hAnsi="Arial Narrow" w:cs="Arial Narrow"/>
                            <w:sz w:val="16"/>
                            <w:szCs w:val="16"/>
                          </w:rPr>
                        </w:pPr>
                        <w:r w:rsidRPr="00901A42">
                          <w:rPr>
                            <w:rFonts w:ascii="Arial Narrow" w:hAnsi="Arial Narrow" w:cs="Arial Narrow"/>
                            <w:sz w:val="16"/>
                            <w:szCs w:val="16"/>
                          </w:rPr>
                          <w:t>David Han</w:t>
                        </w:r>
                      </w:p>
                    </w:tc>
                    <w:tc>
                      <w:tcPr>
                        <w:tcW w:w="1260" w:type="dxa"/>
                        <w:vAlign w:val="center"/>
                      </w:tcPr>
                      <w:p w:rsidR="00BA7961" w:rsidRPr="00901A42" w:rsidRDefault="00BA7961" w:rsidP="0098477B">
                        <w:pPr>
                          <w:spacing w:after="60"/>
                          <w:jc w:val="right"/>
                          <w:rPr>
                            <w:rFonts w:ascii="Arial" w:hAnsi="Arial" w:cs="Arial"/>
                            <w:sz w:val="12"/>
                            <w:szCs w:val="12"/>
                          </w:rPr>
                        </w:pPr>
                        <w:r w:rsidRPr="00901A42">
                          <w:rPr>
                            <w:rFonts w:ascii="Arial Narrow" w:hAnsi="Arial Narrow" w:cs="Arial Narrow"/>
                            <w:sz w:val="16"/>
                            <w:szCs w:val="16"/>
                          </w:rPr>
                          <w:t>Americas</w:t>
                        </w:r>
                      </w:p>
                    </w:tc>
                  </w:tr>
                  <w:tr w:rsidR="00BA7961" w:rsidRPr="00901A42" w:rsidTr="0098477B">
                    <w:tc>
                      <w:tcPr>
                        <w:tcW w:w="1638" w:type="dxa"/>
                        <w:vAlign w:val="center"/>
                      </w:tcPr>
                      <w:p w:rsidR="00BA7961" w:rsidRPr="00901A42" w:rsidRDefault="00BA7961" w:rsidP="0098477B">
                        <w:pPr>
                          <w:spacing w:after="60"/>
                          <w:rPr>
                            <w:rFonts w:ascii="Arial Narrow" w:hAnsi="Arial Narrow" w:cs="Arial Narrow"/>
                            <w:sz w:val="16"/>
                            <w:szCs w:val="16"/>
                          </w:rPr>
                        </w:pPr>
                        <w:r w:rsidRPr="00901A42">
                          <w:rPr>
                            <w:rFonts w:ascii="Arial Narrow" w:hAnsi="Arial Narrow" w:cs="Arial Narrow"/>
                            <w:sz w:val="16"/>
                            <w:szCs w:val="16"/>
                          </w:rPr>
                          <w:t>Viquar Shaikh</w:t>
                        </w:r>
                      </w:p>
                    </w:tc>
                    <w:tc>
                      <w:tcPr>
                        <w:tcW w:w="1260" w:type="dxa"/>
                        <w:vAlign w:val="center"/>
                      </w:tcPr>
                      <w:p w:rsidR="00BA7961" w:rsidRPr="00901A42" w:rsidRDefault="00BA7961" w:rsidP="0098477B">
                        <w:pPr>
                          <w:spacing w:after="60"/>
                          <w:jc w:val="right"/>
                          <w:rPr>
                            <w:rFonts w:ascii="Arial Narrow" w:hAnsi="Arial Narrow" w:cs="Arial Narrow"/>
                            <w:sz w:val="12"/>
                            <w:szCs w:val="12"/>
                          </w:rPr>
                        </w:pPr>
                        <w:r w:rsidRPr="00901A42">
                          <w:rPr>
                            <w:rFonts w:ascii="Arial Narrow" w:hAnsi="Arial Narrow" w:cs="Arial Narrow"/>
                            <w:sz w:val="16"/>
                            <w:szCs w:val="16"/>
                          </w:rPr>
                          <w:t>EMEA</w:t>
                        </w:r>
                      </w:p>
                    </w:tc>
                  </w:tr>
                  <w:tr w:rsidR="00BA7961" w:rsidRPr="00901A42" w:rsidTr="0098477B">
                    <w:tc>
                      <w:tcPr>
                        <w:tcW w:w="1638" w:type="dxa"/>
                        <w:vAlign w:val="center"/>
                      </w:tcPr>
                      <w:p w:rsidR="00BA7961" w:rsidRDefault="00BA7961" w:rsidP="00D31909">
                        <w:pPr>
                          <w:spacing w:after="60"/>
                          <w:rPr>
                            <w:rFonts w:ascii="Arial Narrow" w:hAnsi="Arial Narrow" w:cs="Arial Narrow"/>
                            <w:sz w:val="16"/>
                            <w:szCs w:val="16"/>
                          </w:rPr>
                        </w:pPr>
                        <w:r>
                          <w:rPr>
                            <w:rFonts w:ascii="Arial Narrow" w:hAnsi="Arial Narrow" w:cs="Arial Narrow"/>
                            <w:sz w:val="16"/>
                            <w:szCs w:val="16"/>
                          </w:rPr>
                          <w:t>Robert Smith</w:t>
                        </w:r>
                      </w:p>
                      <w:p w:rsidR="00BA7961" w:rsidRPr="00901A42" w:rsidRDefault="00BA7961" w:rsidP="00D31909">
                        <w:pPr>
                          <w:spacing w:after="60"/>
                          <w:rPr>
                            <w:rFonts w:ascii="Arial Narrow" w:hAnsi="Arial Narrow" w:cs="Arial Narrow"/>
                            <w:sz w:val="16"/>
                            <w:szCs w:val="16"/>
                          </w:rPr>
                        </w:pPr>
                        <w:r w:rsidRPr="00901A42">
                          <w:rPr>
                            <w:rFonts w:ascii="Arial Narrow" w:hAnsi="Arial Narrow" w:cs="Arial Narrow"/>
                            <w:sz w:val="16"/>
                            <w:szCs w:val="16"/>
                          </w:rPr>
                          <w:t>Christopher Ma</w:t>
                        </w:r>
                      </w:p>
                    </w:tc>
                    <w:tc>
                      <w:tcPr>
                        <w:tcW w:w="1260" w:type="dxa"/>
                        <w:vAlign w:val="center"/>
                      </w:tcPr>
                      <w:p w:rsidR="00BA7961" w:rsidRDefault="00BA7961" w:rsidP="00D31909">
                        <w:pPr>
                          <w:spacing w:after="60"/>
                          <w:jc w:val="right"/>
                          <w:rPr>
                            <w:rFonts w:ascii="Arial Narrow" w:hAnsi="Arial Narrow" w:cs="Arial Narrow"/>
                            <w:sz w:val="16"/>
                            <w:szCs w:val="16"/>
                          </w:rPr>
                        </w:pPr>
                        <w:r>
                          <w:rPr>
                            <w:rFonts w:ascii="Arial Narrow" w:hAnsi="Arial Narrow" w:cs="Arial Narrow"/>
                            <w:sz w:val="16"/>
                            <w:szCs w:val="16"/>
                          </w:rPr>
                          <w:t>Asia Pacific</w:t>
                        </w:r>
                      </w:p>
                      <w:p w:rsidR="00BA7961" w:rsidRPr="00901A42" w:rsidRDefault="00BA7961" w:rsidP="00D31909">
                        <w:pPr>
                          <w:spacing w:after="60"/>
                          <w:jc w:val="right"/>
                          <w:rPr>
                            <w:rFonts w:ascii="Arial" w:hAnsi="Arial" w:cs="Arial"/>
                            <w:sz w:val="12"/>
                            <w:szCs w:val="12"/>
                          </w:rPr>
                        </w:pPr>
                        <w:r w:rsidRPr="00901A42">
                          <w:rPr>
                            <w:rFonts w:ascii="Arial Narrow" w:hAnsi="Arial Narrow" w:cs="Arial Narrow"/>
                            <w:sz w:val="16"/>
                            <w:szCs w:val="16"/>
                          </w:rPr>
                          <w:t>Asia Pacific</w:t>
                        </w:r>
                      </w:p>
                    </w:tc>
                  </w:tr>
                  <w:tr w:rsidR="00BA7961" w:rsidRPr="00901A42" w:rsidTr="0098477B">
                    <w:tc>
                      <w:tcPr>
                        <w:tcW w:w="1638" w:type="dxa"/>
                        <w:vAlign w:val="center"/>
                      </w:tcPr>
                      <w:p w:rsidR="00BA7961" w:rsidRPr="00901A42" w:rsidRDefault="00BA7961" w:rsidP="00D31909">
                        <w:pPr>
                          <w:spacing w:after="60"/>
                          <w:rPr>
                            <w:rFonts w:ascii="Arial Narrow" w:hAnsi="Arial Narrow" w:cs="Arial Narrow"/>
                            <w:sz w:val="16"/>
                            <w:szCs w:val="16"/>
                          </w:rPr>
                        </w:pPr>
                        <w:r w:rsidRPr="00901A42">
                          <w:rPr>
                            <w:rFonts w:ascii="Arial Narrow" w:hAnsi="Arial Narrow" w:cs="Arial Narrow"/>
                            <w:sz w:val="16"/>
                            <w:szCs w:val="16"/>
                          </w:rPr>
                          <w:t>Berowne Hlavaty</w:t>
                        </w:r>
                      </w:p>
                    </w:tc>
                    <w:tc>
                      <w:tcPr>
                        <w:tcW w:w="1260" w:type="dxa"/>
                        <w:vAlign w:val="center"/>
                      </w:tcPr>
                      <w:p w:rsidR="00BA7961" w:rsidRPr="00901A42" w:rsidRDefault="00BA7961" w:rsidP="00D31909">
                        <w:pPr>
                          <w:spacing w:after="60"/>
                          <w:jc w:val="right"/>
                          <w:rPr>
                            <w:rFonts w:ascii="Arial" w:hAnsi="Arial" w:cs="Arial"/>
                            <w:sz w:val="12"/>
                            <w:szCs w:val="12"/>
                          </w:rPr>
                        </w:pPr>
                        <w:r w:rsidRPr="00901A42">
                          <w:rPr>
                            <w:rFonts w:ascii="Arial Narrow" w:hAnsi="Arial Narrow" w:cs="Arial Narrow"/>
                            <w:sz w:val="16"/>
                            <w:szCs w:val="16"/>
                          </w:rPr>
                          <w:t>Asia Pacific</w:t>
                        </w:r>
                      </w:p>
                    </w:tc>
                  </w:tr>
                  <w:tr w:rsidR="00BA7961" w:rsidRPr="00901A42" w:rsidTr="0098477B">
                    <w:tc>
                      <w:tcPr>
                        <w:tcW w:w="1638" w:type="dxa"/>
                        <w:vAlign w:val="center"/>
                      </w:tcPr>
                      <w:p w:rsidR="00BA7961" w:rsidRPr="00901A42" w:rsidRDefault="00BA7961" w:rsidP="00D31909">
                        <w:pPr>
                          <w:spacing w:after="60"/>
                          <w:rPr>
                            <w:rFonts w:ascii="Arial Narrow" w:hAnsi="Arial Narrow" w:cs="Arial Narrow"/>
                            <w:sz w:val="16"/>
                            <w:szCs w:val="16"/>
                          </w:rPr>
                        </w:pPr>
                        <w:r w:rsidRPr="00901A42">
                          <w:rPr>
                            <w:rFonts w:ascii="Arial Narrow" w:hAnsi="Arial Narrow" w:cs="Arial Narrow"/>
                            <w:sz w:val="16"/>
                            <w:szCs w:val="16"/>
                          </w:rPr>
                          <w:t>Michiro Naito</w:t>
                        </w:r>
                      </w:p>
                    </w:tc>
                    <w:tc>
                      <w:tcPr>
                        <w:tcW w:w="1260" w:type="dxa"/>
                        <w:vAlign w:val="center"/>
                      </w:tcPr>
                      <w:p w:rsidR="00BA7961" w:rsidRPr="00901A42" w:rsidRDefault="00BA7961" w:rsidP="00D31909">
                        <w:pPr>
                          <w:spacing w:after="60"/>
                          <w:jc w:val="right"/>
                          <w:rPr>
                            <w:rFonts w:ascii="Arial" w:hAnsi="Arial" w:cs="Arial"/>
                            <w:sz w:val="16"/>
                            <w:szCs w:val="16"/>
                          </w:rPr>
                        </w:pPr>
                        <w:r w:rsidRPr="00901A42">
                          <w:rPr>
                            <w:rFonts w:ascii="Arial Narrow" w:hAnsi="Arial Narrow" w:cs="Arial Narrow"/>
                            <w:sz w:val="16"/>
                            <w:szCs w:val="16"/>
                          </w:rPr>
                          <w:t>Asia Pacific</w:t>
                        </w:r>
                      </w:p>
                    </w:tc>
                  </w:tr>
                  <w:tr w:rsidR="00BA7961" w:rsidRPr="00901A42" w:rsidTr="0098477B">
                    <w:tc>
                      <w:tcPr>
                        <w:tcW w:w="1638" w:type="dxa"/>
                        <w:vAlign w:val="center"/>
                      </w:tcPr>
                      <w:p w:rsidR="00BA7961" w:rsidRPr="00901A42" w:rsidRDefault="00BA7961" w:rsidP="0098477B">
                        <w:pPr>
                          <w:spacing w:after="60"/>
                          <w:rPr>
                            <w:rFonts w:ascii="Arial Narrow" w:hAnsi="Arial Narrow" w:cs="Arial Narrow"/>
                            <w:sz w:val="16"/>
                            <w:szCs w:val="16"/>
                          </w:rPr>
                        </w:pPr>
                      </w:p>
                    </w:tc>
                    <w:tc>
                      <w:tcPr>
                        <w:tcW w:w="1260" w:type="dxa"/>
                        <w:vAlign w:val="center"/>
                      </w:tcPr>
                      <w:p w:rsidR="00BA7961" w:rsidRPr="00901A42" w:rsidRDefault="00BA7961" w:rsidP="0098477B">
                        <w:pPr>
                          <w:spacing w:after="60"/>
                          <w:jc w:val="right"/>
                          <w:rPr>
                            <w:rFonts w:ascii="Arial" w:hAnsi="Arial" w:cs="Arial"/>
                            <w:sz w:val="16"/>
                            <w:szCs w:val="16"/>
                          </w:rPr>
                        </w:pPr>
                      </w:p>
                    </w:tc>
                  </w:tr>
                  <w:tr w:rsidR="00BA7961" w:rsidRPr="00901A42" w:rsidTr="0098477B">
                    <w:tc>
                      <w:tcPr>
                        <w:tcW w:w="1638" w:type="dxa"/>
                        <w:vAlign w:val="center"/>
                      </w:tcPr>
                      <w:p w:rsidR="00BA7961" w:rsidRPr="00901A42" w:rsidRDefault="00BA7961" w:rsidP="0098477B">
                        <w:pPr>
                          <w:spacing w:after="60"/>
                          <w:rPr>
                            <w:rFonts w:ascii="Arial Narrow" w:hAnsi="Arial Narrow" w:cs="Arial Narrow"/>
                            <w:sz w:val="16"/>
                            <w:szCs w:val="16"/>
                          </w:rPr>
                        </w:pPr>
                      </w:p>
                    </w:tc>
                    <w:tc>
                      <w:tcPr>
                        <w:tcW w:w="1260" w:type="dxa"/>
                        <w:vAlign w:val="center"/>
                      </w:tcPr>
                      <w:p w:rsidR="00BA7961" w:rsidRPr="00901A42" w:rsidRDefault="00BA7961" w:rsidP="0098477B">
                        <w:pPr>
                          <w:spacing w:after="60"/>
                          <w:jc w:val="right"/>
                          <w:rPr>
                            <w:rFonts w:ascii="Arial" w:hAnsi="Arial" w:cs="Arial"/>
                            <w:sz w:val="16"/>
                            <w:szCs w:val="16"/>
                          </w:rPr>
                        </w:pPr>
                      </w:p>
                    </w:tc>
                  </w:tr>
                  <w:tr w:rsidR="00BA7961" w:rsidRPr="00901A42" w:rsidTr="0098477B">
                    <w:tc>
                      <w:tcPr>
                        <w:tcW w:w="1638" w:type="dxa"/>
                        <w:vAlign w:val="center"/>
                      </w:tcPr>
                      <w:p w:rsidR="00BA7961" w:rsidRPr="00901A42" w:rsidRDefault="00BA7961" w:rsidP="0098477B">
                        <w:pPr>
                          <w:spacing w:after="60"/>
                          <w:rPr>
                            <w:rFonts w:ascii="Arial Narrow" w:hAnsi="Arial Narrow" w:cs="Arial Narrow"/>
                            <w:sz w:val="16"/>
                            <w:szCs w:val="16"/>
                          </w:rPr>
                        </w:pPr>
                      </w:p>
                    </w:tc>
                    <w:tc>
                      <w:tcPr>
                        <w:tcW w:w="1260" w:type="dxa"/>
                        <w:vAlign w:val="center"/>
                      </w:tcPr>
                      <w:p w:rsidR="00BA7961" w:rsidRPr="00901A42" w:rsidRDefault="00BA7961" w:rsidP="0098477B">
                        <w:pPr>
                          <w:spacing w:after="60"/>
                          <w:jc w:val="right"/>
                          <w:rPr>
                            <w:rFonts w:ascii="Arial" w:hAnsi="Arial" w:cs="Arial"/>
                            <w:sz w:val="16"/>
                            <w:szCs w:val="16"/>
                          </w:rPr>
                        </w:pPr>
                      </w:p>
                    </w:tc>
                  </w:tr>
                </w:tbl>
                <w:p w:rsidR="00BA7961" w:rsidRPr="00C42509" w:rsidRDefault="00BA7961" w:rsidP="002E61D7">
                  <w:pPr>
                    <w:spacing w:after="60"/>
                    <w:rPr>
                      <w:rFonts w:ascii="Arial" w:hAnsi="Arial" w:cs="Arial"/>
                      <w:b/>
                      <w:bCs/>
                      <w:sz w:val="18"/>
                      <w:szCs w:val="18"/>
                    </w:rPr>
                  </w:pPr>
                  <w:r>
                    <w:rPr>
                      <w:rFonts w:ascii="Arial" w:hAnsi="Arial" w:cs="Arial"/>
                      <w:b/>
                      <w:bCs/>
                      <w:sz w:val="18"/>
                      <w:szCs w:val="18"/>
                    </w:rPr>
                    <w:t>S</w:t>
                  </w:r>
                  <w:r w:rsidRPr="00C42509">
                    <w:rPr>
                      <w:rFonts w:ascii="Arial" w:hAnsi="Arial" w:cs="Arial"/>
                      <w:b/>
                      <w:bCs/>
                      <w:sz w:val="18"/>
                      <w:szCs w:val="18"/>
                    </w:rPr>
                    <w:t xml:space="preserve">ee page </w:t>
                  </w:r>
                  <w:r>
                    <w:rPr>
                      <w:rFonts w:ascii="Arial" w:hAnsi="Arial" w:cs="Arial"/>
                      <w:b/>
                      <w:bCs/>
                      <w:sz w:val="18"/>
                      <w:szCs w:val="18"/>
                    </w:rPr>
                    <w:fldChar w:fldCharType="begin"/>
                  </w:r>
                  <w:r>
                    <w:rPr>
                      <w:rFonts w:ascii="Arial" w:hAnsi="Arial" w:cs="Arial"/>
                      <w:b/>
                      <w:bCs/>
                      <w:sz w:val="18"/>
                      <w:szCs w:val="18"/>
                    </w:rPr>
                    <w:instrText xml:space="preserve"> PAGEREF  Contacts \h </w:instrText>
                  </w:r>
                  <w:r>
                    <w:rPr>
                      <w:rFonts w:ascii="Arial" w:hAnsi="Arial" w:cs="Arial"/>
                      <w:b/>
                      <w:bCs/>
                      <w:sz w:val="18"/>
                      <w:szCs w:val="18"/>
                    </w:rPr>
                  </w:r>
                  <w:r>
                    <w:rPr>
                      <w:rFonts w:ascii="Arial" w:hAnsi="Arial" w:cs="Arial"/>
                      <w:b/>
                      <w:bCs/>
                      <w:sz w:val="18"/>
                      <w:szCs w:val="18"/>
                    </w:rPr>
                    <w:fldChar w:fldCharType="separate"/>
                  </w:r>
                  <w:r>
                    <w:rPr>
                      <w:rFonts w:ascii="Arial" w:hAnsi="Arial" w:cs="Arial"/>
                      <w:b/>
                      <w:bCs/>
                      <w:noProof/>
                      <w:sz w:val="18"/>
                      <w:szCs w:val="18"/>
                    </w:rPr>
                    <w:t>45</w:t>
                  </w:r>
                  <w:r>
                    <w:rPr>
                      <w:rFonts w:ascii="Arial" w:hAnsi="Arial" w:cs="Arial"/>
                      <w:b/>
                      <w:bCs/>
                      <w:sz w:val="18"/>
                      <w:szCs w:val="18"/>
                    </w:rPr>
                    <w:fldChar w:fldCharType="end"/>
                  </w:r>
                  <w:r>
                    <w:rPr>
                      <w:rFonts w:ascii="Arial" w:hAnsi="Arial" w:cs="Arial"/>
                      <w:b/>
                      <w:bCs/>
                      <w:sz w:val="18"/>
                      <w:szCs w:val="18"/>
                    </w:rPr>
                    <w:t xml:space="preserve"> for contact details</w:t>
                  </w:r>
                  <w:r w:rsidRPr="00C42509">
                    <w:rPr>
                      <w:rFonts w:ascii="Arial" w:hAnsi="Arial" w:cs="Arial"/>
                      <w:b/>
                      <w:bCs/>
                      <w:sz w:val="18"/>
                      <w:szCs w:val="18"/>
                    </w:rPr>
                    <w:br/>
                  </w:r>
                </w:p>
                <w:p w:rsidR="00BA7961" w:rsidRDefault="00BA7961" w:rsidP="002E61D7">
                  <w:pPr>
                    <w:pStyle w:val="Body"/>
                  </w:pPr>
                </w:p>
              </w:txbxContent>
            </v:textbox>
            <w10:wrap anchorx="margin" anchory="page"/>
            <w10:anchorlock/>
          </v:shape>
        </w:pict>
      </w:r>
    </w:p>
    <w:p w:rsidR="009D47AA" w:rsidRPr="00207CF8" w:rsidRDefault="002E61D7" w:rsidP="00E80FC3">
      <w:pPr>
        <w:pStyle w:val="Source"/>
        <w:spacing w:after="120"/>
      </w:pPr>
      <w:r w:rsidRPr="00FD4802">
        <w:t>S</w:t>
      </w:r>
      <w:r>
        <w:t>ource: Barra, MSCI, Thomson Reuters, J.P. Morgan</w:t>
      </w:r>
      <w:r w:rsidR="00E80FC3">
        <w:t xml:space="preserve"> </w:t>
      </w:r>
    </w:p>
    <w:p w:rsidR="00096996" w:rsidRDefault="00096996" w:rsidP="00096996">
      <w:pPr>
        <w:pStyle w:val="Body"/>
        <w:spacing w:after="0" w:line="0" w:lineRule="atLeast"/>
        <w:rPr>
          <w:sz w:val="10"/>
        </w:rPr>
        <w:sectPr w:rsidR="00096996" w:rsidSect="00096996">
          <w:headerReference w:type="even" r:id="rId14"/>
          <w:headerReference w:type="default" r:id="rId15"/>
          <w:footerReference w:type="even" r:id="rId16"/>
          <w:footerReference w:type="default" r:id="rId17"/>
          <w:headerReference w:type="first" r:id="rId18"/>
          <w:footerReference w:type="first" r:id="rId19"/>
          <w:pgSz w:w="12240" w:h="15840" w:code="1"/>
          <w:pgMar w:top="2376" w:right="578" w:bottom="720" w:left="1729" w:header="431" w:footer="720" w:gutter="0"/>
          <w:cols w:space="720"/>
          <w:formProt w:val="0"/>
          <w:titlePg/>
          <w:docGrid w:linePitch="360"/>
        </w:sectPr>
      </w:pPr>
    </w:p>
    <w:p w:rsidR="002E61D7" w:rsidRDefault="002E61D7" w:rsidP="002E61D7">
      <w:pPr>
        <w:pStyle w:val="TitlesforContents0"/>
      </w:pPr>
      <w:r>
        <w:lastRenderedPageBreak/>
        <w:t>Table of Contents</w:t>
      </w:r>
    </w:p>
    <w:p w:rsidR="002E61D7" w:rsidRDefault="00D713E5" w:rsidP="00E57ECC">
      <w:pPr>
        <w:pStyle w:val="TOC1"/>
        <w:rPr>
          <w:rFonts w:asciiTheme="minorHAnsi" w:eastAsiaTheme="minorEastAsia" w:hAnsiTheme="minorHAnsi" w:cstheme="minorBidi"/>
          <w:b w:val="0"/>
          <w:color w:val="auto"/>
          <w:sz w:val="22"/>
          <w:szCs w:val="22"/>
        </w:rPr>
      </w:pPr>
      <w:r w:rsidRPr="00D713E5">
        <w:rPr>
          <w:noProof/>
        </w:rPr>
        <w:fldChar w:fldCharType="begin"/>
      </w:r>
      <w:r w:rsidR="002E61D7">
        <w:instrText xml:space="preserve"> TOC \t "Heading 1,1, CompanyDescriptionHeader,1" </w:instrText>
      </w:r>
      <w:r w:rsidRPr="00D713E5">
        <w:rPr>
          <w:noProof/>
        </w:rPr>
        <w:fldChar w:fldCharType="separate"/>
      </w:r>
      <w:r w:rsidR="002E61D7">
        <w:t>Introduction</w:t>
      </w:r>
      <w:r w:rsidR="002E61D7">
        <w:tab/>
      </w:r>
      <w:r>
        <w:fldChar w:fldCharType="begin"/>
      </w:r>
      <w:r w:rsidR="002E61D7">
        <w:instrText xml:space="preserve"> PAGEREF _Toc368470395 \h </w:instrText>
      </w:r>
      <w:r>
        <w:fldChar w:fldCharType="separate"/>
      </w:r>
      <w:r w:rsidR="002E61D7">
        <w:t>3</w:t>
      </w:r>
      <w:r>
        <w:fldChar w:fldCharType="end"/>
      </w:r>
    </w:p>
    <w:p w:rsidR="002E61D7" w:rsidRDefault="002E61D7" w:rsidP="00E57ECC">
      <w:pPr>
        <w:pStyle w:val="TOC1"/>
        <w:rPr>
          <w:rFonts w:asciiTheme="minorHAnsi" w:eastAsiaTheme="minorEastAsia" w:hAnsiTheme="minorHAnsi" w:cstheme="minorBidi"/>
          <w:b w:val="0"/>
          <w:color w:val="auto"/>
          <w:sz w:val="22"/>
          <w:szCs w:val="22"/>
        </w:rPr>
      </w:pPr>
      <w:r>
        <w:t xml:space="preserve">MSCI All World Country Performance – </w:t>
      </w:r>
      <w:r w:rsidR="00117EB5">
        <w:t>June</w:t>
      </w:r>
      <w:r>
        <w:t xml:space="preserve"> </w:t>
      </w:r>
      <w:r w:rsidR="0046020C">
        <w:t>2014</w:t>
      </w:r>
      <w:r>
        <w:tab/>
      </w:r>
      <w:r w:rsidR="00D713E5">
        <w:fldChar w:fldCharType="begin"/>
      </w:r>
      <w:r>
        <w:instrText xml:space="preserve"> PAGEREF _Toc368470396 \h </w:instrText>
      </w:r>
      <w:r w:rsidR="00D713E5">
        <w:fldChar w:fldCharType="separate"/>
      </w:r>
      <w:r>
        <w:t>5</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Family Summary – MSCI Asia ex Japan</w:t>
      </w:r>
      <w:r>
        <w:tab/>
      </w:r>
      <w:r w:rsidR="00D713E5">
        <w:fldChar w:fldCharType="begin"/>
      </w:r>
      <w:r>
        <w:instrText xml:space="preserve"> PAGEREF _Toc368470397 \h </w:instrText>
      </w:r>
      <w:r w:rsidR="00D713E5">
        <w:fldChar w:fldCharType="separate"/>
      </w:r>
      <w:r>
        <w:t>6</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Factor Summary – MSCI Asia ex Japan</w:t>
      </w:r>
      <w:r>
        <w:tab/>
      </w:r>
      <w:r w:rsidR="00D713E5">
        <w:fldChar w:fldCharType="begin"/>
      </w:r>
      <w:r>
        <w:instrText xml:space="preserve"> PAGEREF _Toc368470398 \h </w:instrText>
      </w:r>
      <w:r w:rsidR="00D713E5">
        <w:fldChar w:fldCharType="separate"/>
      </w:r>
      <w:r>
        <w:t>7</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Family Summary – MSCI Japan</w:t>
      </w:r>
      <w:r>
        <w:tab/>
      </w:r>
      <w:r w:rsidR="00D713E5">
        <w:fldChar w:fldCharType="begin"/>
      </w:r>
      <w:r>
        <w:instrText xml:space="preserve"> PAGEREF _Toc368470399 \h </w:instrText>
      </w:r>
      <w:r w:rsidR="00D713E5">
        <w:fldChar w:fldCharType="separate"/>
      </w:r>
      <w:r>
        <w:t>8</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Factor Summary – MSCI Japan</w:t>
      </w:r>
      <w:r>
        <w:tab/>
      </w:r>
      <w:r w:rsidR="00D713E5">
        <w:fldChar w:fldCharType="begin"/>
      </w:r>
      <w:r>
        <w:instrText xml:space="preserve"> PAGEREF _Toc368470400 \h </w:instrText>
      </w:r>
      <w:r w:rsidR="00D713E5">
        <w:fldChar w:fldCharType="separate"/>
      </w:r>
      <w:r>
        <w:t>9</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Family Summary – MSCI Australia</w:t>
      </w:r>
      <w:r>
        <w:tab/>
      </w:r>
      <w:r w:rsidR="00D713E5">
        <w:fldChar w:fldCharType="begin"/>
      </w:r>
      <w:r>
        <w:instrText xml:space="preserve"> PAGEREF _Toc368470401 \h </w:instrText>
      </w:r>
      <w:r w:rsidR="00D713E5">
        <w:fldChar w:fldCharType="separate"/>
      </w:r>
      <w:r>
        <w:t>10</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Factor Summary – MSCI Australia</w:t>
      </w:r>
      <w:r>
        <w:tab/>
      </w:r>
      <w:r w:rsidR="00D713E5">
        <w:fldChar w:fldCharType="begin"/>
      </w:r>
      <w:r>
        <w:instrText xml:space="preserve"> PAGEREF _Toc368470402 \h </w:instrText>
      </w:r>
      <w:r w:rsidR="00D713E5">
        <w:fldChar w:fldCharType="separate"/>
      </w:r>
      <w:r>
        <w:t>11</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Family Summary – MSCI Europe</w:t>
      </w:r>
      <w:r>
        <w:tab/>
      </w:r>
      <w:r w:rsidR="00D713E5">
        <w:fldChar w:fldCharType="begin"/>
      </w:r>
      <w:r>
        <w:instrText xml:space="preserve"> PAGEREF _Toc368470403 \h </w:instrText>
      </w:r>
      <w:r w:rsidR="00D713E5">
        <w:fldChar w:fldCharType="separate"/>
      </w:r>
      <w:r>
        <w:t>12</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Factor Summary – MSCI Europe</w:t>
      </w:r>
      <w:r>
        <w:tab/>
      </w:r>
      <w:r w:rsidR="00D713E5">
        <w:fldChar w:fldCharType="begin"/>
      </w:r>
      <w:r>
        <w:instrText xml:space="preserve"> PAGEREF _Toc368470404 \h </w:instrText>
      </w:r>
      <w:r w:rsidR="00D713E5">
        <w:fldChar w:fldCharType="separate"/>
      </w:r>
      <w:r>
        <w:t>13</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Family Summary – MSCI US</w:t>
      </w:r>
      <w:r>
        <w:tab/>
      </w:r>
      <w:r w:rsidR="00D713E5">
        <w:fldChar w:fldCharType="begin"/>
      </w:r>
      <w:r>
        <w:instrText xml:space="preserve"> PAGEREF _Toc368470405 \h </w:instrText>
      </w:r>
      <w:r w:rsidR="00D713E5">
        <w:fldChar w:fldCharType="separate"/>
      </w:r>
      <w:r>
        <w:t>14</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Factor Summary – MSCI US</w:t>
      </w:r>
      <w:r>
        <w:tab/>
      </w:r>
      <w:r w:rsidR="00D713E5">
        <w:fldChar w:fldCharType="begin"/>
      </w:r>
      <w:r>
        <w:instrText xml:space="preserve"> PAGEREF _Toc368470406 \h </w:instrText>
      </w:r>
      <w:r w:rsidR="00D713E5">
        <w:fldChar w:fldCharType="separate"/>
      </w:r>
      <w:r>
        <w:t>15</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Family Summary – MSCI GEM</w:t>
      </w:r>
      <w:r>
        <w:tab/>
      </w:r>
      <w:r w:rsidR="00D713E5">
        <w:fldChar w:fldCharType="begin"/>
      </w:r>
      <w:r>
        <w:instrText xml:space="preserve"> PAGEREF _Toc368470407 \h </w:instrText>
      </w:r>
      <w:r w:rsidR="00D713E5">
        <w:fldChar w:fldCharType="separate"/>
      </w:r>
      <w:r>
        <w:t>16</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Factor Summary – MSCI GEM</w:t>
      </w:r>
      <w:r>
        <w:tab/>
      </w:r>
      <w:r w:rsidR="00D713E5">
        <w:fldChar w:fldCharType="begin"/>
      </w:r>
      <w:r>
        <w:instrText xml:space="preserve"> PAGEREF _Toc368470408 \h </w:instrText>
      </w:r>
      <w:r w:rsidR="00D713E5">
        <w:fldChar w:fldCharType="separate"/>
      </w:r>
      <w:r>
        <w:t>17</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Family Summary – MSCI EM ex Asia</w:t>
      </w:r>
      <w:r>
        <w:tab/>
      </w:r>
      <w:r w:rsidR="00D713E5">
        <w:fldChar w:fldCharType="begin"/>
      </w:r>
      <w:r>
        <w:instrText xml:space="preserve"> PAGEREF _Toc368470409 \h </w:instrText>
      </w:r>
      <w:r w:rsidR="00D713E5">
        <w:fldChar w:fldCharType="separate"/>
      </w:r>
      <w:r>
        <w:t>18</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Factor Summary – MSCI EM ex Asia</w:t>
      </w:r>
      <w:r>
        <w:tab/>
      </w:r>
      <w:r w:rsidR="00D713E5">
        <w:fldChar w:fldCharType="begin"/>
      </w:r>
      <w:r>
        <w:instrText xml:space="preserve"> PAGEREF _Toc368470410 \h </w:instrText>
      </w:r>
      <w:r w:rsidR="00D713E5">
        <w:fldChar w:fldCharType="separate"/>
      </w:r>
      <w:r>
        <w:t>19</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Family Summary – MSCI Global Developed</w:t>
      </w:r>
      <w:r>
        <w:tab/>
      </w:r>
      <w:r w:rsidR="00D713E5">
        <w:fldChar w:fldCharType="begin"/>
      </w:r>
      <w:r>
        <w:instrText xml:space="preserve"> PAGEREF _Toc368470411 \h </w:instrText>
      </w:r>
      <w:r w:rsidR="00D713E5">
        <w:fldChar w:fldCharType="separate"/>
      </w:r>
      <w:r>
        <w:t>20</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Factor Summary – MSCI Global Developed</w:t>
      </w:r>
      <w:r>
        <w:tab/>
      </w:r>
      <w:r w:rsidR="00D713E5">
        <w:fldChar w:fldCharType="begin"/>
      </w:r>
      <w:r>
        <w:instrText xml:space="preserve"> PAGEREF _Toc368470412 \h </w:instrText>
      </w:r>
      <w:r w:rsidR="00D713E5">
        <w:fldChar w:fldCharType="separate"/>
      </w:r>
      <w:r>
        <w:t>21</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Family Summary – MSCI All World</w:t>
      </w:r>
      <w:r>
        <w:tab/>
      </w:r>
      <w:r w:rsidR="00D713E5">
        <w:fldChar w:fldCharType="begin"/>
      </w:r>
      <w:r>
        <w:instrText xml:space="preserve"> PAGEREF _Toc368470413 \h </w:instrText>
      </w:r>
      <w:r w:rsidR="00D713E5">
        <w:fldChar w:fldCharType="separate"/>
      </w:r>
      <w:r>
        <w:t>22</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Factor Summary – MSCI All World</w:t>
      </w:r>
      <w:r>
        <w:tab/>
      </w:r>
      <w:r w:rsidR="00D713E5">
        <w:fldChar w:fldCharType="begin"/>
      </w:r>
      <w:r>
        <w:instrText xml:space="preserve"> PAGEREF _Toc368470414 \h </w:instrText>
      </w:r>
      <w:r w:rsidR="00D713E5">
        <w:fldChar w:fldCharType="separate"/>
      </w:r>
      <w:r>
        <w:t>23</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 xml:space="preserve">Information </w:t>
      </w:r>
      <w:r w:rsidR="00E57ECC">
        <w:t>Coefficient</w:t>
      </w:r>
      <w:r>
        <w:t xml:space="preserve"> Matrix – Valuation</w:t>
      </w:r>
      <w:r>
        <w:tab/>
      </w:r>
      <w:r w:rsidR="00D713E5">
        <w:fldChar w:fldCharType="begin"/>
      </w:r>
      <w:r>
        <w:instrText xml:space="preserve"> PAGEREF _Toc368470415 \h </w:instrText>
      </w:r>
      <w:r w:rsidR="00D713E5">
        <w:fldChar w:fldCharType="separate"/>
      </w:r>
      <w:r>
        <w:t>33</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 xml:space="preserve">Information </w:t>
      </w:r>
      <w:r w:rsidR="00E57ECC">
        <w:t>Coefficient</w:t>
      </w:r>
      <w:r>
        <w:t xml:space="preserve"> Matrix – Earnings</w:t>
      </w:r>
      <w:r>
        <w:tab/>
      </w:r>
      <w:r w:rsidR="00D713E5">
        <w:fldChar w:fldCharType="begin"/>
      </w:r>
      <w:r>
        <w:instrText xml:space="preserve"> PAGEREF _Toc368470416 \h </w:instrText>
      </w:r>
      <w:r w:rsidR="00D713E5">
        <w:fldChar w:fldCharType="separate"/>
      </w:r>
      <w:r>
        <w:t>34</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 xml:space="preserve">Information </w:t>
      </w:r>
      <w:r w:rsidR="00E57ECC">
        <w:t>Coefficient</w:t>
      </w:r>
      <w:r>
        <w:t xml:space="preserve"> Matrix – Price</w:t>
      </w:r>
      <w:r>
        <w:tab/>
      </w:r>
      <w:r w:rsidR="00D713E5">
        <w:fldChar w:fldCharType="begin"/>
      </w:r>
      <w:r>
        <w:instrText xml:space="preserve"> PAGEREF _Toc368470417 \h </w:instrText>
      </w:r>
      <w:r w:rsidR="00D713E5">
        <w:fldChar w:fldCharType="separate"/>
      </w:r>
      <w:r>
        <w:t>35</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 xml:space="preserve">Information </w:t>
      </w:r>
      <w:r w:rsidR="00E57ECC">
        <w:t>Coefficient</w:t>
      </w:r>
      <w:r>
        <w:t xml:space="preserve"> Matrix – Quality</w:t>
      </w:r>
      <w:r>
        <w:tab/>
      </w:r>
      <w:r w:rsidR="00D713E5">
        <w:fldChar w:fldCharType="begin"/>
      </w:r>
      <w:r>
        <w:instrText xml:space="preserve"> PAGEREF _Toc368470418 \h </w:instrText>
      </w:r>
      <w:r w:rsidR="00D713E5">
        <w:fldChar w:fldCharType="separate"/>
      </w:r>
      <w:r>
        <w:t>36</w:t>
      </w:r>
      <w:r w:rsidR="00D713E5">
        <w:fldChar w:fldCharType="end"/>
      </w:r>
    </w:p>
    <w:p w:rsidR="002E61D7" w:rsidRPr="00E57ECC" w:rsidRDefault="002E61D7" w:rsidP="00E57ECC">
      <w:pPr>
        <w:pStyle w:val="TOC1"/>
        <w:rPr>
          <w:rFonts w:asciiTheme="minorHAnsi" w:eastAsiaTheme="minorEastAsia" w:hAnsiTheme="minorHAnsi" w:cstheme="minorBidi"/>
          <w:color w:val="auto"/>
          <w:sz w:val="22"/>
          <w:szCs w:val="22"/>
        </w:rPr>
      </w:pPr>
      <w:r w:rsidRPr="00E57ECC">
        <w:t xml:space="preserve">Information </w:t>
      </w:r>
      <w:r w:rsidR="00E57ECC">
        <w:t>Coefficient</w:t>
      </w:r>
      <w:r w:rsidRPr="00E57ECC">
        <w:t xml:space="preserve"> Matrix – Model</w:t>
      </w:r>
      <w:r w:rsidRPr="00E57ECC">
        <w:tab/>
      </w:r>
      <w:r w:rsidR="00D713E5" w:rsidRPr="00E57ECC">
        <w:fldChar w:fldCharType="begin"/>
      </w:r>
      <w:r w:rsidRPr="00E57ECC">
        <w:instrText xml:space="preserve"> PAGEREF _Toc368470419 \h </w:instrText>
      </w:r>
      <w:r w:rsidR="00D713E5" w:rsidRPr="00E57ECC">
        <w:fldChar w:fldCharType="separate"/>
      </w:r>
      <w:r w:rsidRPr="00E57ECC">
        <w:t>37</w:t>
      </w:r>
      <w:r w:rsidR="00D713E5" w:rsidRPr="00E57ECC">
        <w:fldChar w:fldCharType="end"/>
      </w:r>
    </w:p>
    <w:p w:rsidR="002E61D7" w:rsidRDefault="002E61D7" w:rsidP="00E57ECC">
      <w:pPr>
        <w:pStyle w:val="TOC1"/>
        <w:rPr>
          <w:rFonts w:asciiTheme="minorHAnsi" w:eastAsiaTheme="minorEastAsia" w:hAnsiTheme="minorHAnsi" w:cstheme="minorBidi"/>
          <w:b w:val="0"/>
          <w:color w:val="auto"/>
          <w:sz w:val="22"/>
          <w:szCs w:val="22"/>
        </w:rPr>
      </w:pPr>
      <w:r>
        <w:t>Factor Definitions</w:t>
      </w:r>
      <w:r>
        <w:tab/>
      </w:r>
      <w:r w:rsidR="00D713E5">
        <w:fldChar w:fldCharType="begin"/>
      </w:r>
      <w:r>
        <w:instrText xml:space="preserve"> PAGEREF _Toc368470420 \h </w:instrText>
      </w:r>
      <w:r w:rsidR="00D713E5">
        <w:fldChar w:fldCharType="separate"/>
      </w:r>
      <w:r>
        <w:t>38</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The JPM Q-Score - A Composite Approach</w:t>
      </w:r>
      <w:r>
        <w:tab/>
      </w:r>
      <w:r w:rsidR="00D713E5">
        <w:fldChar w:fldCharType="begin"/>
      </w:r>
      <w:r>
        <w:instrText xml:space="preserve"> PAGEREF _Toc368470421 \h </w:instrText>
      </w:r>
      <w:r w:rsidR="00D713E5">
        <w:fldChar w:fldCharType="separate"/>
      </w:r>
      <w:r>
        <w:t>42</w:t>
      </w:r>
      <w:r w:rsidR="00D713E5">
        <w:fldChar w:fldCharType="end"/>
      </w:r>
    </w:p>
    <w:p w:rsidR="002E61D7" w:rsidRDefault="002E61D7" w:rsidP="00E57ECC">
      <w:pPr>
        <w:pStyle w:val="TOC1"/>
        <w:rPr>
          <w:rFonts w:asciiTheme="minorHAnsi" w:eastAsiaTheme="minorEastAsia" w:hAnsiTheme="minorHAnsi" w:cstheme="minorBidi"/>
          <w:b w:val="0"/>
          <w:color w:val="auto"/>
          <w:sz w:val="22"/>
          <w:szCs w:val="22"/>
        </w:rPr>
      </w:pPr>
      <w:r>
        <w:t>Contacts</w:t>
      </w:r>
      <w:r>
        <w:tab/>
      </w:r>
      <w:r w:rsidR="00D713E5">
        <w:fldChar w:fldCharType="begin"/>
      </w:r>
      <w:r>
        <w:instrText xml:space="preserve"> PAGEREF _Toc368470422 \h </w:instrText>
      </w:r>
      <w:r w:rsidR="00D713E5">
        <w:fldChar w:fldCharType="separate"/>
      </w:r>
      <w:r>
        <w:t>45</w:t>
      </w:r>
      <w:r w:rsidR="00D713E5">
        <w:fldChar w:fldCharType="end"/>
      </w:r>
    </w:p>
    <w:p w:rsidR="002E61D7" w:rsidRDefault="00D713E5" w:rsidP="002E61D7">
      <w:r>
        <w:fldChar w:fldCharType="end"/>
      </w:r>
    </w:p>
    <w:p w:rsidR="002E61D7" w:rsidRDefault="002E61D7" w:rsidP="002E61D7"/>
    <w:p w:rsidR="002E61D7" w:rsidRDefault="002E61D7" w:rsidP="002E61D7">
      <w:pPr>
        <w:pStyle w:val="Body"/>
        <w:ind w:left="-3120"/>
      </w:pPr>
    </w:p>
    <w:p w:rsidR="002E61D7" w:rsidRDefault="002E61D7" w:rsidP="002E61D7">
      <w:pPr>
        <w:pStyle w:val="Body"/>
        <w:ind w:left="-3120"/>
        <w:sectPr w:rsidR="002E61D7" w:rsidSect="0098477B">
          <w:headerReference w:type="first" r:id="rId20"/>
          <w:footerReference w:type="first" r:id="rId21"/>
          <w:pgSz w:w="12240" w:h="15840" w:code="1"/>
          <w:pgMar w:top="2376" w:right="1138" w:bottom="936" w:left="4248" w:header="936" w:footer="576" w:gutter="0"/>
          <w:cols w:space="720"/>
          <w:formProt w:val="0"/>
          <w:docGrid w:linePitch="360"/>
        </w:sectPr>
      </w:pPr>
    </w:p>
    <w:p w:rsidR="002E61D7" w:rsidRDefault="002E61D7" w:rsidP="002E61D7">
      <w:pPr>
        <w:pStyle w:val="Heading1"/>
      </w:pPr>
      <w:bookmarkStart w:id="0" w:name="_Toc368470395"/>
      <w:r>
        <w:lastRenderedPageBreak/>
        <w:t>Introduction</w:t>
      </w:r>
      <w:bookmarkEnd w:id="0"/>
    </w:p>
    <w:p w:rsidR="002E61D7" w:rsidRPr="002A5589" w:rsidRDefault="002E61D7" w:rsidP="002E61D7">
      <w:pPr>
        <w:pStyle w:val="BodyText"/>
        <w:rPr>
          <w:sz w:val="20"/>
          <w:szCs w:val="20"/>
        </w:rPr>
      </w:pPr>
      <w:r w:rsidRPr="002A5589">
        <w:rPr>
          <w:sz w:val="20"/>
          <w:szCs w:val="20"/>
        </w:rPr>
        <w:t>This report published monthly summarises factor returns for a range of popular quant factors in a range of global universes.</w:t>
      </w:r>
    </w:p>
    <w:p w:rsidR="002E61D7" w:rsidRDefault="002E61D7" w:rsidP="002E61D7">
      <w:pPr>
        <w:pStyle w:val="BodyText"/>
        <w:rPr>
          <w:sz w:val="20"/>
          <w:szCs w:val="20"/>
        </w:rPr>
      </w:pPr>
      <w:r>
        <w:rPr>
          <w:sz w:val="20"/>
          <w:szCs w:val="20"/>
        </w:rPr>
        <w:t>All f</w:t>
      </w:r>
      <w:r w:rsidRPr="002A5589">
        <w:rPr>
          <w:sz w:val="20"/>
          <w:szCs w:val="20"/>
        </w:rPr>
        <w:t>actors are normalized relative to country or sector as appropriate. Returns are equal weighted and monthly rebalanced. The long portfolio consists of the top 10% (decile 1) of stocks for the relevant Factor with the short portfolios consisting of the bottom 10% (decile 10)</w:t>
      </w:r>
      <w:r>
        <w:rPr>
          <w:sz w:val="20"/>
          <w:szCs w:val="20"/>
        </w:rPr>
        <w:t>.</w:t>
      </w:r>
    </w:p>
    <w:p w:rsidR="002E61D7" w:rsidRPr="002A5589" w:rsidRDefault="002E61D7" w:rsidP="002E61D7">
      <w:pPr>
        <w:pStyle w:val="BodyText"/>
        <w:rPr>
          <w:sz w:val="20"/>
          <w:szCs w:val="20"/>
        </w:rPr>
      </w:pPr>
      <w:r>
        <w:rPr>
          <w:sz w:val="20"/>
          <w:szCs w:val="20"/>
        </w:rPr>
        <w:t xml:space="preserve">The </w:t>
      </w:r>
      <w:r w:rsidRPr="002A5589">
        <w:rPr>
          <w:sz w:val="20"/>
          <w:szCs w:val="20"/>
        </w:rPr>
        <w:t xml:space="preserve">Universes </w:t>
      </w:r>
      <w:r>
        <w:rPr>
          <w:sz w:val="20"/>
          <w:szCs w:val="20"/>
        </w:rPr>
        <w:t>i</w:t>
      </w:r>
      <w:r w:rsidRPr="002A5589">
        <w:rPr>
          <w:sz w:val="20"/>
          <w:szCs w:val="20"/>
        </w:rPr>
        <w:t>ncluded are shown in the table below.</w:t>
      </w:r>
      <w:r>
        <w:rPr>
          <w:sz w:val="20"/>
          <w:szCs w:val="20"/>
        </w:rPr>
        <w:t xml:space="preserve"> Factor definitions can be found at the end of this report.</w:t>
      </w:r>
    </w:p>
    <w:p w:rsidR="002E61D7" w:rsidRDefault="002E61D7" w:rsidP="002E61D7">
      <w:pPr>
        <w:pStyle w:val="TableTitle"/>
      </w:pPr>
      <w:r w:rsidRPr="002A5589">
        <w:t xml:space="preserve">Table </w:t>
      </w:r>
      <w:fldSimple w:instr=" SEQ Table \* ARABIC ">
        <w:r>
          <w:rPr>
            <w:noProof/>
          </w:rPr>
          <w:t>1</w:t>
        </w:r>
      </w:fldSimple>
      <w:r w:rsidRPr="002A5589">
        <w:t>: Universes Included</w:t>
      </w:r>
    </w:p>
    <w:p w:rsidR="002E61D7" w:rsidRPr="009670C9" w:rsidRDefault="00721C6E" w:rsidP="002E61D7">
      <w:bookmarkStart w:id="1" w:name="PrintArea3"/>
      <w:bookmarkEnd w:id="1"/>
      <w:r w:rsidRPr="00721C6E">
        <w:rPr>
          <w:noProof/>
        </w:rPr>
        <w:drawing>
          <wp:inline distT="0" distB="0" distL="0" distR="0">
            <wp:extent cx="4074795" cy="1630045"/>
            <wp:effectExtent l="1905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4074795" cy="1630045"/>
                    </a:xfrm>
                    <a:prstGeom prst="rect">
                      <a:avLst/>
                    </a:prstGeom>
                    <a:noFill/>
                    <a:ln w="9525">
                      <a:noFill/>
                      <a:miter lim="800000"/>
                      <a:headEnd/>
                      <a:tailEnd/>
                    </a:ln>
                  </pic:spPr>
                </pic:pic>
              </a:graphicData>
            </a:graphic>
          </wp:inline>
        </w:drawing>
      </w:r>
    </w:p>
    <w:p w:rsidR="002E61D7" w:rsidRPr="002A5589" w:rsidRDefault="002E61D7" w:rsidP="002E61D7">
      <w:pPr>
        <w:pStyle w:val="Source"/>
      </w:pPr>
      <w:r w:rsidRPr="002A5589">
        <w:t>Source: J.P. Morgan</w:t>
      </w:r>
    </w:p>
    <w:p w:rsidR="002E61D7" w:rsidRDefault="002E61D7" w:rsidP="002E61D7">
      <w:pPr>
        <w:pStyle w:val="Heading2"/>
      </w:pPr>
      <w:r>
        <w:t>Family Summary</w:t>
      </w:r>
    </w:p>
    <w:p w:rsidR="002E61D7" w:rsidRDefault="002E61D7" w:rsidP="002E61D7">
      <w:pPr>
        <w:pStyle w:val="Body"/>
      </w:pPr>
      <w:r>
        <w:t>For each universe we include a summary of performance over the last month, 12 months, YTD and QTD for 4 popular composite alpha sources that we refer to as the Value, Earnings, Quality and Price families. We also include performance information for a simple combination of these family factors (refer to factor definitions for more information).</w:t>
      </w:r>
    </w:p>
    <w:p w:rsidR="002E61D7" w:rsidRDefault="002E61D7" w:rsidP="002E61D7">
      <w:pPr>
        <w:pStyle w:val="Heading2"/>
      </w:pPr>
      <w:r>
        <w:t>Factor Summary</w:t>
      </w:r>
    </w:p>
    <w:p w:rsidR="002E61D7" w:rsidRDefault="002E61D7" w:rsidP="002E61D7">
      <w:pPr>
        <w:pStyle w:val="Body"/>
      </w:pPr>
      <w:r>
        <w:t xml:space="preserve">We also include a table detailing performance over the last month for 42 popular alpha and risk factors. For each factor we provide returns data as well as the monthly Information </w:t>
      </w:r>
      <w:r w:rsidR="00E57ECC">
        <w:t>coefficient</w:t>
      </w:r>
      <w:r>
        <w:t xml:space="preserve"> (IC) calculated by correlating start of month scores with subsequent returns. This provides a more robust picture on factor efficacy than returns alone given it is possible for the returns to be distorted by outliers.</w:t>
      </w:r>
    </w:p>
    <w:p w:rsidR="002E61D7" w:rsidRDefault="002E61D7" w:rsidP="002E61D7">
      <w:pPr>
        <w:pStyle w:val="Body"/>
      </w:pPr>
      <w:r>
        <w:t>Factors are shown in two tables. One is sorted by L/S return over the month and one by factor family.</w:t>
      </w:r>
    </w:p>
    <w:p w:rsidR="002E61D7" w:rsidRDefault="002E61D7" w:rsidP="002E61D7">
      <w:pPr>
        <w:pStyle w:val="Heading2"/>
      </w:pPr>
      <w:r>
        <w:t>Factor Summary Chart</w:t>
      </w:r>
    </w:p>
    <w:p w:rsidR="002E61D7" w:rsidRDefault="002E61D7" w:rsidP="002E61D7">
      <w:pPr>
        <w:pStyle w:val="Body"/>
      </w:pPr>
      <w:r>
        <w:t>For a quick visual reference the same 42 factors are charted for each universe. The chart shows monthly L/S returns and average monthly L/S returns over the last year.</w:t>
      </w:r>
    </w:p>
    <w:p w:rsidR="002E61D7" w:rsidRDefault="002E61D7" w:rsidP="002E61D7">
      <w:pPr>
        <w:pStyle w:val="Body"/>
        <w:sectPr w:rsidR="002E61D7" w:rsidSect="0098477B">
          <w:pgSz w:w="12240" w:h="15840" w:code="1"/>
          <w:pgMar w:top="2376" w:right="1138" w:bottom="936" w:left="4248" w:header="936" w:footer="576" w:gutter="0"/>
          <w:cols w:space="720"/>
          <w:formProt w:val="0"/>
          <w:docGrid w:linePitch="360"/>
        </w:sectPr>
      </w:pPr>
      <w:r>
        <w:t>For more information on this product or for any custom backtest requ</w:t>
      </w:r>
      <w:r w:rsidR="004945AF">
        <w:t>ests please contact Quant Strategy</w:t>
      </w:r>
      <w:r>
        <w:t xml:space="preserve"> (</w:t>
      </w:r>
      <w:hyperlink r:id="rId23" w:history="1">
        <w:r w:rsidR="004945AF" w:rsidRPr="00A6567C">
          <w:rPr>
            <w:rStyle w:val="Hyperlink"/>
          </w:rPr>
          <w:t>quant_strategy@jpmorgan.com</w:t>
        </w:r>
      </w:hyperlink>
      <w:r w:rsidR="004945AF">
        <w:t>)</w:t>
      </w:r>
      <w:r>
        <w:t>.</w:t>
      </w:r>
    </w:p>
    <w:p w:rsidR="002E61D7" w:rsidRDefault="002E61D7" w:rsidP="002E61D7">
      <w:pPr>
        <w:pStyle w:val="Body"/>
        <w:rPr>
          <w:rStyle w:val="Heading1CharCharCharCharChar"/>
        </w:rPr>
      </w:pPr>
      <w:r w:rsidRPr="00FD4802">
        <w:rPr>
          <w:rStyle w:val="Heading1CharCharCharCharChar"/>
        </w:rPr>
        <w:lastRenderedPageBreak/>
        <w:t>Quick summary</w:t>
      </w:r>
    </w:p>
    <w:p w:rsidR="007512DB" w:rsidRDefault="007512DB" w:rsidP="007512DB">
      <w:pPr>
        <w:pStyle w:val="Body"/>
        <w:jc w:val="both"/>
      </w:pPr>
      <w:r>
        <w:t xml:space="preserve">Earnings &amp; Sentiment Factors were top performers across the world, being particularly strong in Emerging Markets. Price Momentum continued to do well after the underperformance earlier in the year. Value was poor in Asia Ex but did well in other Emerging markets, Japan and Australia. Quality continued to outperform in Europe and EM (x Asia) but was less impressive in rest of the developed world. </w:t>
      </w:r>
    </w:p>
    <w:p w:rsidR="007512DB" w:rsidRDefault="007512DB" w:rsidP="007512DB">
      <w:pPr>
        <w:pStyle w:val="Body"/>
        <w:jc w:val="both"/>
      </w:pPr>
      <w:r>
        <w:t xml:space="preserve">Our generic multi-Factor Q-Score Model was strong in the Emerging Markets and Japan but struggled to impress in Europe, US and Australia. </w:t>
      </w:r>
    </w:p>
    <w:p w:rsidR="002E61D7" w:rsidRDefault="002E61D7" w:rsidP="00436510">
      <w:pPr>
        <w:pStyle w:val="TableTitle"/>
      </w:pPr>
      <w:r w:rsidRPr="00B51E52">
        <w:t xml:space="preserve">Table </w:t>
      </w:r>
      <w:fldSimple w:instr=" SEQ Table \* ARABIC ">
        <w:r>
          <w:rPr>
            <w:noProof/>
          </w:rPr>
          <w:t>2</w:t>
        </w:r>
      </w:fldSimple>
      <w:r w:rsidRPr="00B51E52">
        <w:t xml:space="preserve">: Monthly L/S Returns for </w:t>
      </w:r>
      <w:r w:rsidR="00117EB5">
        <w:t>June</w:t>
      </w:r>
      <w:r>
        <w:t xml:space="preserve"> </w:t>
      </w:r>
      <w:r w:rsidR="0046020C">
        <w:t>2014</w:t>
      </w:r>
      <w:r w:rsidRPr="00B51E52">
        <w:t xml:space="preserve"> for global universes</w:t>
      </w:r>
    </w:p>
    <w:p w:rsidR="00C873AB" w:rsidRDefault="00C873AB" w:rsidP="00C873AB">
      <w:pPr>
        <w:pStyle w:val="Sidecomments"/>
        <w:framePr w:wrap="around" w:hAnchor="page" w:x="1082" w:y="1901"/>
      </w:pPr>
      <w:bookmarkStart w:id="2" w:name="PrintArea1"/>
      <w:bookmarkEnd w:id="2"/>
      <w:r>
        <w:t>Earnings &amp; Sentiment Factors were strong across the world with all regions showing flat to positive returns.</w:t>
      </w:r>
    </w:p>
    <w:p w:rsidR="00C873AB" w:rsidRDefault="00C873AB" w:rsidP="00C873AB">
      <w:pPr>
        <w:pStyle w:val="Sidecomments"/>
        <w:framePr w:wrap="around" w:hAnchor="page" w:x="1082" w:y="1901"/>
      </w:pPr>
      <w:r>
        <w:t>Our Q-Score Model was strong in Emerging Markets and Japan but underperformed in rest of the developed markets.</w:t>
      </w:r>
    </w:p>
    <w:p w:rsidR="00C873AB" w:rsidRDefault="00C873AB" w:rsidP="00C873AB">
      <w:pPr>
        <w:pStyle w:val="Sidecomments"/>
        <w:framePr w:wrap="around" w:hAnchor="page" w:x="1082" w:y="1901"/>
      </w:pPr>
    </w:p>
    <w:p w:rsidR="002E61D7" w:rsidRPr="009670C9" w:rsidRDefault="00721C6E" w:rsidP="002E61D7">
      <w:r w:rsidRPr="00721C6E">
        <w:rPr>
          <w:noProof/>
        </w:rPr>
        <w:drawing>
          <wp:inline distT="0" distB="0" distL="0" distR="0">
            <wp:extent cx="4104640" cy="16598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104640" cy="1659890"/>
                    </a:xfrm>
                    <a:prstGeom prst="rect">
                      <a:avLst/>
                    </a:prstGeom>
                    <a:noFill/>
                    <a:ln w="9525">
                      <a:noFill/>
                      <a:miter lim="800000"/>
                      <a:headEnd/>
                      <a:tailEnd/>
                    </a:ln>
                  </pic:spPr>
                </pic:pic>
              </a:graphicData>
            </a:graphic>
          </wp:inline>
        </w:drawing>
      </w:r>
    </w:p>
    <w:p w:rsidR="002E61D7" w:rsidRDefault="002E61D7" w:rsidP="002E61D7">
      <w:pPr>
        <w:pStyle w:val="Source"/>
        <w:spacing w:before="0"/>
      </w:pPr>
      <w:r w:rsidRPr="00FD4802">
        <w:t>S</w:t>
      </w:r>
      <w:r>
        <w:t>ource: Barra, MSCI, Thomson Reuters, J.P. Morgan</w:t>
      </w:r>
    </w:p>
    <w:p w:rsidR="002E61D7" w:rsidRDefault="002E61D7" w:rsidP="00436510">
      <w:pPr>
        <w:pStyle w:val="TableTitle"/>
      </w:pPr>
      <w:r w:rsidRPr="00B51E52">
        <w:t xml:space="preserve">Table </w:t>
      </w:r>
      <w:fldSimple w:instr=" SEQ Table \* ARABIC ">
        <w:r>
          <w:rPr>
            <w:noProof/>
          </w:rPr>
          <w:t>3</w:t>
        </w:r>
      </w:fldSimple>
      <w:r w:rsidRPr="00B51E52">
        <w:t xml:space="preserve">: Monthly </w:t>
      </w:r>
      <w:r>
        <w:t>Information Coefficients</w:t>
      </w:r>
      <w:r w:rsidRPr="00B51E52">
        <w:t xml:space="preserve"> for </w:t>
      </w:r>
      <w:r w:rsidR="00117EB5">
        <w:t>June</w:t>
      </w:r>
      <w:r>
        <w:t xml:space="preserve"> </w:t>
      </w:r>
      <w:r w:rsidR="0046020C">
        <w:t>2014</w:t>
      </w:r>
      <w:r>
        <w:t xml:space="preserve"> </w:t>
      </w:r>
      <w:r w:rsidRPr="00B51E52">
        <w:t>for global universes</w:t>
      </w:r>
    </w:p>
    <w:p w:rsidR="002E61D7" w:rsidRPr="009670C9" w:rsidRDefault="00721C6E" w:rsidP="002E61D7">
      <w:bookmarkStart w:id="3" w:name="PrintArea4"/>
      <w:bookmarkEnd w:id="3"/>
      <w:r w:rsidRPr="00721C6E">
        <w:rPr>
          <w:noProof/>
        </w:rPr>
        <w:drawing>
          <wp:inline distT="0" distB="0" distL="0" distR="0">
            <wp:extent cx="4104640" cy="164020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4104640" cy="1640205"/>
                    </a:xfrm>
                    <a:prstGeom prst="rect">
                      <a:avLst/>
                    </a:prstGeom>
                    <a:noFill/>
                    <a:ln w="9525">
                      <a:noFill/>
                      <a:miter lim="800000"/>
                      <a:headEnd/>
                      <a:tailEnd/>
                    </a:ln>
                  </pic:spPr>
                </pic:pic>
              </a:graphicData>
            </a:graphic>
          </wp:inline>
        </w:drawing>
      </w:r>
    </w:p>
    <w:p w:rsidR="002E61D7" w:rsidRDefault="002E61D7" w:rsidP="002E61D7">
      <w:pPr>
        <w:pStyle w:val="Source"/>
        <w:spacing w:before="0"/>
      </w:pPr>
      <w:r w:rsidRPr="00FD4802">
        <w:t>S</w:t>
      </w:r>
      <w:r>
        <w:t>ource: Barra, MSCI, Thomson Reuters, J.P. Morgan</w:t>
      </w:r>
    </w:p>
    <w:p w:rsidR="002E61D7" w:rsidRDefault="002E61D7" w:rsidP="00436510">
      <w:pPr>
        <w:pStyle w:val="FigureTitle"/>
      </w:pPr>
      <w:r w:rsidRPr="00FD4802">
        <w:t xml:space="preserve">Figure </w:t>
      </w:r>
      <w:fldSimple w:instr=" SEQ Figure \* ARABIC ">
        <w:r>
          <w:rPr>
            <w:noProof/>
          </w:rPr>
          <w:t>1</w:t>
        </w:r>
      </w:fldSimple>
      <w:r w:rsidRPr="00FD4802">
        <w:t xml:space="preserve">: </w:t>
      </w:r>
      <w:r>
        <w:t xml:space="preserve">Performance of a simple </w:t>
      </w:r>
      <w:r w:rsidR="007512DB">
        <w:t>Qu</w:t>
      </w:r>
      <w:r>
        <w:t xml:space="preserve">ant composite signal through </w:t>
      </w:r>
      <w:r w:rsidR="00117EB5">
        <w:t>June</w:t>
      </w:r>
    </w:p>
    <w:p w:rsidR="002E61D7" w:rsidRDefault="00721C6E" w:rsidP="002E61D7">
      <w:pPr>
        <w:pStyle w:val="Body"/>
        <w:spacing w:after="0"/>
      </w:pPr>
      <w:bookmarkStart w:id="4" w:name="PrintArea2"/>
      <w:bookmarkEnd w:id="4"/>
      <w:r w:rsidRPr="00721C6E">
        <w:rPr>
          <w:noProof/>
        </w:rPr>
        <w:drawing>
          <wp:inline distT="0" distB="0" distL="0" distR="0">
            <wp:extent cx="3762679" cy="1908313"/>
            <wp:effectExtent l="19050" t="0" r="9221"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3766820" cy="1910413"/>
                    </a:xfrm>
                    <a:prstGeom prst="rect">
                      <a:avLst/>
                    </a:prstGeom>
                    <a:noFill/>
                    <a:ln w="9525">
                      <a:noFill/>
                      <a:miter lim="800000"/>
                      <a:headEnd/>
                      <a:tailEnd/>
                    </a:ln>
                  </pic:spPr>
                </pic:pic>
              </a:graphicData>
            </a:graphic>
          </wp:inline>
        </w:drawing>
      </w:r>
    </w:p>
    <w:p w:rsidR="00535F15" w:rsidRDefault="002E61D7" w:rsidP="0046020C">
      <w:pPr>
        <w:pStyle w:val="Source"/>
        <w:spacing w:before="0"/>
        <w:rPr>
          <w:rStyle w:val="Heading1Char"/>
        </w:rPr>
      </w:pPr>
      <w:r w:rsidRPr="00FD4802">
        <w:t>S</w:t>
      </w:r>
      <w:r>
        <w:t>ource: Barra, MSCI, Thomson Reuters, J.P. Morgan</w:t>
      </w:r>
      <w:bookmarkStart w:id="5" w:name="_Toc368470396"/>
    </w:p>
    <w:p w:rsidR="002E61D7" w:rsidRDefault="002E61D7" w:rsidP="002E61D7">
      <w:pPr>
        <w:pStyle w:val="Body"/>
        <w:spacing w:after="0"/>
        <w:ind w:left="-3125"/>
        <w:rPr>
          <w:rStyle w:val="Heading1Char"/>
        </w:rPr>
      </w:pPr>
      <w:r w:rsidRPr="001D7DFE">
        <w:rPr>
          <w:rStyle w:val="Heading1Char"/>
        </w:rPr>
        <w:lastRenderedPageBreak/>
        <w:t>MSCI All World Country Performance</w:t>
      </w:r>
      <w:r>
        <w:rPr>
          <w:rStyle w:val="Heading1Char"/>
        </w:rPr>
        <w:t xml:space="preserve"> – </w:t>
      </w:r>
      <w:r w:rsidR="00117EB5">
        <w:rPr>
          <w:rStyle w:val="Heading1Char"/>
        </w:rPr>
        <w:t>June</w:t>
      </w:r>
      <w:r>
        <w:rPr>
          <w:rStyle w:val="Heading1Char"/>
        </w:rPr>
        <w:t xml:space="preserve"> </w:t>
      </w:r>
      <w:r w:rsidR="0046020C">
        <w:rPr>
          <w:rStyle w:val="Heading1Char"/>
        </w:rPr>
        <w:t>2014</w:t>
      </w:r>
      <w:bookmarkEnd w:id="5"/>
    </w:p>
    <w:p w:rsidR="002E61D7" w:rsidRDefault="00436510" w:rsidP="00436510">
      <w:pPr>
        <w:pStyle w:val="Body"/>
        <w:spacing w:after="0"/>
        <w:ind w:left="-3125"/>
        <w:rPr>
          <w:rStyle w:val="Heading1Char"/>
        </w:rPr>
      </w:pPr>
      <w:r w:rsidRPr="00436510">
        <w:rPr>
          <w:noProof/>
          <w:szCs w:val="36"/>
        </w:rPr>
        <w:drawing>
          <wp:inline distT="0" distB="0" distL="0" distR="0">
            <wp:extent cx="6336665" cy="3499069"/>
            <wp:effectExtent l="1905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srcRect/>
                    <a:stretch>
                      <a:fillRect/>
                    </a:stretch>
                  </pic:blipFill>
                  <pic:spPr bwMode="auto">
                    <a:xfrm>
                      <a:off x="0" y="0"/>
                      <a:ext cx="6336665" cy="3499069"/>
                    </a:xfrm>
                    <a:prstGeom prst="rect">
                      <a:avLst/>
                    </a:prstGeom>
                    <a:noFill/>
                    <a:ln w="9525">
                      <a:noFill/>
                      <a:miter lim="800000"/>
                      <a:headEnd/>
                      <a:tailEnd/>
                    </a:ln>
                  </pic:spPr>
                </pic:pic>
              </a:graphicData>
            </a:graphic>
          </wp:inline>
        </w:drawing>
      </w:r>
    </w:p>
    <w:p w:rsidR="002E61D7" w:rsidRDefault="00436510" w:rsidP="00436510">
      <w:pPr>
        <w:pStyle w:val="Body"/>
        <w:spacing w:after="0"/>
        <w:ind w:left="-3125"/>
        <w:rPr>
          <w:rStyle w:val="Heading1Char"/>
        </w:rPr>
      </w:pPr>
      <w:r w:rsidRPr="00436510">
        <w:rPr>
          <w:noProof/>
          <w:szCs w:val="36"/>
        </w:rPr>
        <w:drawing>
          <wp:inline distT="0" distB="0" distL="0" distR="0">
            <wp:extent cx="6336665" cy="3639824"/>
            <wp:effectExtent l="1905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srcRect/>
                    <a:stretch>
                      <a:fillRect/>
                    </a:stretch>
                  </pic:blipFill>
                  <pic:spPr bwMode="auto">
                    <a:xfrm>
                      <a:off x="0" y="0"/>
                      <a:ext cx="6336665" cy="3639824"/>
                    </a:xfrm>
                    <a:prstGeom prst="rect">
                      <a:avLst/>
                    </a:prstGeom>
                    <a:noFill/>
                    <a:ln w="9525">
                      <a:noFill/>
                      <a:miter lim="800000"/>
                      <a:headEnd/>
                      <a:tailEnd/>
                    </a:ln>
                  </pic:spPr>
                </pic:pic>
              </a:graphicData>
            </a:graphic>
          </wp:inline>
        </w:drawing>
      </w:r>
    </w:p>
    <w:p w:rsidR="002E61D7" w:rsidRDefault="002E61D7" w:rsidP="00436510">
      <w:pPr>
        <w:pStyle w:val="Source"/>
        <w:spacing w:before="0" w:after="0"/>
        <w:ind w:left="-3125"/>
      </w:pPr>
      <w:r w:rsidRPr="00FD4802">
        <w:t>S</w:t>
      </w:r>
      <w:r>
        <w:t>ource: MSCI, Bloomberg, J.P. Morgan</w:t>
      </w:r>
    </w:p>
    <w:p w:rsidR="002E61D7" w:rsidRDefault="002E61D7" w:rsidP="002E61D7">
      <w:pPr>
        <w:pStyle w:val="Body"/>
        <w:ind w:left="-3120"/>
        <w:sectPr w:rsidR="002E61D7" w:rsidSect="007512DB">
          <w:pgSz w:w="12240" w:h="15840" w:code="1"/>
          <w:pgMar w:top="1890" w:right="1138" w:bottom="936" w:left="4248" w:header="936" w:footer="576" w:gutter="0"/>
          <w:cols w:space="720"/>
          <w:formProt w:val="0"/>
          <w:docGrid w:linePitch="360"/>
        </w:sectPr>
      </w:pPr>
    </w:p>
    <w:p w:rsidR="002E61D7" w:rsidRDefault="002E61D7" w:rsidP="002E61D7">
      <w:pPr>
        <w:pStyle w:val="Body"/>
        <w:ind w:left="-2760"/>
      </w:pPr>
      <w:bookmarkStart w:id="6" w:name="_Toc368470397"/>
      <w:r w:rsidRPr="00D039F9">
        <w:rPr>
          <w:rStyle w:val="Heading1Char"/>
        </w:rPr>
        <w:lastRenderedPageBreak/>
        <w:t xml:space="preserve">Family Summary – </w:t>
      </w:r>
      <w:r>
        <w:rPr>
          <w:rStyle w:val="Heading1Char"/>
        </w:rPr>
        <w:t xml:space="preserve">MSCI </w:t>
      </w:r>
      <w:r w:rsidRPr="00D039F9">
        <w:rPr>
          <w:rStyle w:val="Heading1Char"/>
        </w:rPr>
        <w:t>Asia</w:t>
      </w:r>
      <w:r>
        <w:rPr>
          <w:rStyle w:val="Heading1Char"/>
        </w:rPr>
        <w:t xml:space="preserve"> ex Japan</w:t>
      </w:r>
      <w:bookmarkEnd w:id="6"/>
      <w:r>
        <w:t xml:space="preserve"> </w:t>
      </w:r>
    </w:p>
    <w:p w:rsidR="002E61D7" w:rsidRDefault="00721C6E" w:rsidP="002E61D7">
      <w:pPr>
        <w:pStyle w:val="Body"/>
        <w:ind w:left="-2736"/>
        <w:rPr>
          <w:noProof/>
        </w:rPr>
      </w:pPr>
      <w:bookmarkStart w:id="7" w:name="PrintArea5"/>
      <w:bookmarkEnd w:id="7"/>
      <w:r w:rsidRPr="00721C6E">
        <w:rPr>
          <w:noProof/>
        </w:rPr>
        <w:drawing>
          <wp:inline distT="0" distB="0" distL="0" distR="0">
            <wp:extent cx="6638290" cy="4902032"/>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6638290" cy="4902032"/>
                    </a:xfrm>
                    <a:prstGeom prst="rect">
                      <a:avLst/>
                    </a:prstGeom>
                    <a:noFill/>
                    <a:ln w="9525">
                      <a:noFill/>
                      <a:miter lim="800000"/>
                      <a:headEnd/>
                      <a:tailEnd/>
                    </a:ln>
                  </pic:spPr>
                </pic:pic>
              </a:graphicData>
            </a:graphic>
          </wp:inline>
        </w:drawing>
      </w:r>
    </w:p>
    <w:p w:rsidR="002E61D7" w:rsidRDefault="002E61D7" w:rsidP="002E61D7">
      <w:pPr>
        <w:pStyle w:val="Body"/>
        <w:ind w:left="-2736"/>
        <w:sectPr w:rsidR="002E61D7" w:rsidSect="0098477B">
          <w:pgSz w:w="15840" w:h="12240" w:orient="landscape" w:code="1"/>
          <w:pgMar w:top="1800" w:right="1138" w:bottom="936" w:left="4248" w:header="936" w:footer="576" w:gutter="0"/>
          <w:cols w:space="720"/>
          <w:formProt w:val="0"/>
          <w:docGrid w:linePitch="360"/>
        </w:sectPr>
      </w:pPr>
    </w:p>
    <w:p w:rsidR="002E61D7" w:rsidRPr="003C4433" w:rsidRDefault="002E61D7" w:rsidP="002E61D7">
      <w:pPr>
        <w:pStyle w:val="Body"/>
        <w:ind w:left="-2760"/>
        <w:rPr>
          <w:rStyle w:val="Heading1Char"/>
        </w:rPr>
      </w:pPr>
      <w:bookmarkStart w:id="8" w:name="_Toc368470398"/>
      <w:r w:rsidRPr="003C4433">
        <w:rPr>
          <w:rStyle w:val="Heading1Char"/>
        </w:rPr>
        <w:lastRenderedPageBreak/>
        <w:t>Factor Summary – MSCI Asia ex Japan</w:t>
      </w:r>
      <w:bookmarkEnd w:id="8"/>
    </w:p>
    <w:p w:rsidR="002E61D7" w:rsidRDefault="00721C6E" w:rsidP="002E61D7">
      <w:pPr>
        <w:pStyle w:val="Body"/>
        <w:ind w:left="-2736"/>
      </w:pPr>
      <w:bookmarkStart w:id="9" w:name="PrintArea6"/>
      <w:bookmarkEnd w:id="9"/>
      <w:r w:rsidRPr="00721C6E">
        <w:rPr>
          <w:noProof/>
        </w:rPr>
        <w:drawing>
          <wp:inline distT="0" distB="0" distL="0" distR="0">
            <wp:extent cx="6638290" cy="445814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6638290" cy="4458142"/>
                    </a:xfrm>
                    <a:prstGeom prst="rect">
                      <a:avLst/>
                    </a:prstGeom>
                    <a:noFill/>
                    <a:ln w="9525">
                      <a:noFill/>
                      <a:miter lim="800000"/>
                      <a:headEnd/>
                      <a:tailEnd/>
                    </a:ln>
                  </pic:spPr>
                </pic:pic>
              </a:graphicData>
            </a:graphic>
          </wp:inline>
        </w:drawing>
      </w:r>
    </w:p>
    <w:p w:rsidR="002E61D7" w:rsidRDefault="002E61D7" w:rsidP="002E61D7">
      <w:pPr>
        <w:pStyle w:val="Body"/>
        <w:ind w:left="-2760"/>
      </w:pPr>
    </w:p>
    <w:p w:rsidR="002E61D7" w:rsidRDefault="002E61D7" w:rsidP="002E61D7">
      <w:pPr>
        <w:pStyle w:val="Body"/>
        <w:ind w:left="-2760"/>
        <w:sectPr w:rsidR="002E61D7" w:rsidSect="0098477B">
          <w:pgSz w:w="15840" w:h="12240" w:orient="landscape" w:code="1"/>
          <w:pgMar w:top="1800" w:right="1138" w:bottom="936" w:left="4248" w:header="936" w:footer="576" w:gutter="0"/>
          <w:cols w:space="720"/>
          <w:formProt w:val="0"/>
          <w:docGrid w:linePitch="360"/>
        </w:sectPr>
      </w:pPr>
    </w:p>
    <w:p w:rsidR="002E61D7" w:rsidRDefault="002E61D7" w:rsidP="002E61D7">
      <w:pPr>
        <w:pStyle w:val="Body"/>
        <w:ind w:left="-2760"/>
      </w:pPr>
      <w:bookmarkStart w:id="10" w:name="_Toc368470399"/>
      <w:r w:rsidRPr="00D039F9">
        <w:rPr>
          <w:rStyle w:val="Heading1Char"/>
        </w:rPr>
        <w:lastRenderedPageBreak/>
        <w:t>Family Summary –</w:t>
      </w:r>
      <w:r>
        <w:rPr>
          <w:rStyle w:val="Heading1Char"/>
        </w:rPr>
        <w:t xml:space="preserve"> MSCI Japan</w:t>
      </w:r>
      <w:bookmarkEnd w:id="10"/>
      <w:r>
        <w:t xml:space="preserve"> </w:t>
      </w:r>
    </w:p>
    <w:p w:rsidR="002E61D7" w:rsidRDefault="00721C6E" w:rsidP="002E61D7">
      <w:pPr>
        <w:pStyle w:val="Body"/>
        <w:ind w:left="-2736"/>
      </w:pPr>
      <w:bookmarkStart w:id="11" w:name="PrintArea7"/>
      <w:bookmarkEnd w:id="11"/>
      <w:r w:rsidRPr="00721C6E">
        <w:rPr>
          <w:noProof/>
        </w:rPr>
        <w:drawing>
          <wp:inline distT="0" distB="0" distL="0" distR="0">
            <wp:extent cx="6638290" cy="490203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6638290" cy="4902032"/>
                    </a:xfrm>
                    <a:prstGeom prst="rect">
                      <a:avLst/>
                    </a:prstGeom>
                    <a:noFill/>
                    <a:ln w="9525">
                      <a:noFill/>
                      <a:miter lim="800000"/>
                      <a:headEnd/>
                      <a:tailEnd/>
                    </a:ln>
                  </pic:spPr>
                </pic:pic>
              </a:graphicData>
            </a:graphic>
          </wp:inline>
        </w:drawing>
      </w:r>
    </w:p>
    <w:p w:rsidR="002E61D7" w:rsidRDefault="002E61D7" w:rsidP="002E61D7">
      <w:pPr>
        <w:pStyle w:val="Body"/>
        <w:ind w:left="-2760"/>
        <w:sectPr w:rsidR="002E61D7" w:rsidSect="0098477B">
          <w:pgSz w:w="15840" w:h="12240" w:orient="landscape" w:code="1"/>
          <w:pgMar w:top="1800" w:right="1138" w:bottom="936" w:left="4248" w:header="936" w:footer="576" w:gutter="0"/>
          <w:cols w:space="720"/>
          <w:formProt w:val="0"/>
          <w:docGrid w:linePitch="360"/>
        </w:sectPr>
      </w:pPr>
    </w:p>
    <w:p w:rsidR="002E61D7" w:rsidRPr="003C4433" w:rsidRDefault="002E61D7" w:rsidP="002E61D7">
      <w:pPr>
        <w:pStyle w:val="Body"/>
        <w:ind w:left="-2760"/>
        <w:rPr>
          <w:rStyle w:val="Heading1Char"/>
        </w:rPr>
      </w:pPr>
      <w:bookmarkStart w:id="12" w:name="_Toc368470400"/>
      <w:r w:rsidRPr="003C4433">
        <w:rPr>
          <w:rStyle w:val="Heading1Char"/>
        </w:rPr>
        <w:lastRenderedPageBreak/>
        <w:t>Factor Summary – MSCI Japan</w:t>
      </w:r>
      <w:bookmarkEnd w:id="12"/>
    </w:p>
    <w:p w:rsidR="002E61D7" w:rsidRPr="009670C9" w:rsidRDefault="00721C6E" w:rsidP="002E61D7">
      <w:pPr>
        <w:pStyle w:val="Body"/>
        <w:ind w:left="-2736"/>
      </w:pPr>
      <w:bookmarkStart w:id="13" w:name="PrintArea8"/>
      <w:bookmarkEnd w:id="13"/>
      <w:r w:rsidRPr="00721C6E">
        <w:rPr>
          <w:noProof/>
        </w:rPr>
        <w:drawing>
          <wp:inline distT="0" distB="0" distL="0" distR="0">
            <wp:extent cx="6638290" cy="4458142"/>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6638290" cy="4458142"/>
                    </a:xfrm>
                    <a:prstGeom prst="rect">
                      <a:avLst/>
                    </a:prstGeom>
                    <a:noFill/>
                    <a:ln w="9525">
                      <a:noFill/>
                      <a:miter lim="800000"/>
                      <a:headEnd/>
                      <a:tailEnd/>
                    </a:ln>
                  </pic:spPr>
                </pic:pic>
              </a:graphicData>
            </a:graphic>
          </wp:inline>
        </w:drawing>
      </w:r>
    </w:p>
    <w:p w:rsidR="002E61D7" w:rsidRDefault="002E61D7" w:rsidP="002E61D7">
      <w:pPr>
        <w:pStyle w:val="Body"/>
        <w:ind w:left="-2760"/>
      </w:pPr>
    </w:p>
    <w:p w:rsidR="002E61D7" w:rsidRDefault="002E61D7" w:rsidP="002E61D7">
      <w:pPr>
        <w:pStyle w:val="Body"/>
        <w:ind w:left="-2760"/>
        <w:sectPr w:rsidR="002E61D7" w:rsidSect="0098477B">
          <w:pgSz w:w="15840" w:h="12240" w:orient="landscape" w:code="1"/>
          <w:pgMar w:top="1800" w:right="1138" w:bottom="936" w:left="4248" w:header="936" w:footer="576" w:gutter="0"/>
          <w:cols w:space="720"/>
          <w:formProt w:val="0"/>
          <w:docGrid w:linePitch="360"/>
        </w:sectPr>
      </w:pPr>
    </w:p>
    <w:p w:rsidR="002E61D7" w:rsidRDefault="002E61D7" w:rsidP="002E61D7">
      <w:pPr>
        <w:pStyle w:val="Body"/>
        <w:ind w:left="-2760"/>
      </w:pPr>
      <w:bookmarkStart w:id="14" w:name="_Toc368470401"/>
      <w:r w:rsidRPr="00D039F9">
        <w:rPr>
          <w:rStyle w:val="Heading1Char"/>
        </w:rPr>
        <w:lastRenderedPageBreak/>
        <w:t xml:space="preserve">Family Summary – </w:t>
      </w:r>
      <w:r>
        <w:rPr>
          <w:rStyle w:val="Heading1Char"/>
        </w:rPr>
        <w:t>MSCI Australia</w:t>
      </w:r>
      <w:bookmarkEnd w:id="14"/>
      <w:r>
        <w:t xml:space="preserve"> </w:t>
      </w:r>
    </w:p>
    <w:p w:rsidR="002E61D7" w:rsidRDefault="00721C6E" w:rsidP="002E61D7">
      <w:pPr>
        <w:pStyle w:val="Body"/>
        <w:ind w:left="-2736"/>
      </w:pPr>
      <w:bookmarkStart w:id="15" w:name="PrintArea9"/>
      <w:bookmarkEnd w:id="15"/>
      <w:r w:rsidRPr="00721C6E">
        <w:rPr>
          <w:noProof/>
        </w:rPr>
        <w:drawing>
          <wp:inline distT="0" distB="0" distL="0" distR="0">
            <wp:extent cx="6638290" cy="490203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6638290" cy="4902032"/>
                    </a:xfrm>
                    <a:prstGeom prst="rect">
                      <a:avLst/>
                    </a:prstGeom>
                    <a:noFill/>
                    <a:ln w="9525">
                      <a:noFill/>
                      <a:miter lim="800000"/>
                      <a:headEnd/>
                      <a:tailEnd/>
                    </a:ln>
                  </pic:spPr>
                </pic:pic>
              </a:graphicData>
            </a:graphic>
          </wp:inline>
        </w:drawing>
      </w:r>
    </w:p>
    <w:p w:rsidR="002E61D7" w:rsidRDefault="002E61D7" w:rsidP="002E61D7">
      <w:pPr>
        <w:pStyle w:val="Body"/>
        <w:ind w:left="-2760"/>
      </w:pPr>
    </w:p>
    <w:p w:rsidR="002E61D7" w:rsidRDefault="002E61D7" w:rsidP="002E61D7">
      <w:pPr>
        <w:pStyle w:val="Body"/>
        <w:ind w:left="-2760"/>
        <w:sectPr w:rsidR="002E61D7" w:rsidSect="0098477B">
          <w:pgSz w:w="15840" w:h="12240" w:orient="landscape" w:code="1"/>
          <w:pgMar w:top="1800" w:right="1138" w:bottom="936" w:left="4248" w:header="936" w:footer="576" w:gutter="0"/>
          <w:cols w:space="720"/>
          <w:formProt w:val="0"/>
          <w:docGrid w:linePitch="360"/>
        </w:sectPr>
      </w:pPr>
    </w:p>
    <w:p w:rsidR="002E61D7" w:rsidRDefault="002E61D7" w:rsidP="002E61D7">
      <w:pPr>
        <w:pStyle w:val="Body"/>
        <w:ind w:left="-2760"/>
        <w:rPr>
          <w:rStyle w:val="Heading1Char"/>
        </w:rPr>
      </w:pPr>
      <w:bookmarkStart w:id="16" w:name="_Toc368470402"/>
      <w:r w:rsidRPr="003C4433">
        <w:rPr>
          <w:rStyle w:val="Heading1Char"/>
        </w:rPr>
        <w:lastRenderedPageBreak/>
        <w:t xml:space="preserve">Factor Summary – </w:t>
      </w:r>
      <w:r>
        <w:rPr>
          <w:rStyle w:val="Heading1Char"/>
        </w:rPr>
        <w:t>MSCI Australia</w:t>
      </w:r>
      <w:bookmarkEnd w:id="16"/>
    </w:p>
    <w:p w:rsidR="002E61D7" w:rsidRPr="009670C9" w:rsidRDefault="00721C6E" w:rsidP="002E61D7">
      <w:pPr>
        <w:pStyle w:val="Body"/>
        <w:ind w:left="-2736"/>
      </w:pPr>
      <w:bookmarkStart w:id="17" w:name="PrintArea10"/>
      <w:bookmarkEnd w:id="17"/>
      <w:r w:rsidRPr="00721C6E">
        <w:rPr>
          <w:noProof/>
        </w:rPr>
        <w:drawing>
          <wp:inline distT="0" distB="0" distL="0" distR="0">
            <wp:extent cx="6638290" cy="445814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6638290" cy="4458142"/>
                    </a:xfrm>
                    <a:prstGeom prst="rect">
                      <a:avLst/>
                    </a:prstGeom>
                    <a:noFill/>
                    <a:ln w="9525">
                      <a:noFill/>
                      <a:miter lim="800000"/>
                      <a:headEnd/>
                      <a:tailEnd/>
                    </a:ln>
                  </pic:spPr>
                </pic:pic>
              </a:graphicData>
            </a:graphic>
          </wp:inline>
        </w:drawing>
      </w:r>
    </w:p>
    <w:p w:rsidR="002E61D7" w:rsidRDefault="002E61D7" w:rsidP="002E61D7">
      <w:pPr>
        <w:pStyle w:val="Body"/>
        <w:ind w:left="-2760"/>
      </w:pPr>
    </w:p>
    <w:p w:rsidR="002E61D7" w:rsidRDefault="002E61D7" w:rsidP="002E61D7">
      <w:pPr>
        <w:pStyle w:val="Body"/>
        <w:ind w:left="-2760"/>
        <w:sectPr w:rsidR="002E61D7" w:rsidSect="0098477B">
          <w:pgSz w:w="15840" w:h="12240" w:orient="landscape" w:code="1"/>
          <w:pgMar w:top="1800" w:right="1138" w:bottom="936" w:left="4248" w:header="936" w:footer="576" w:gutter="0"/>
          <w:cols w:space="720"/>
          <w:formProt w:val="0"/>
          <w:docGrid w:linePitch="360"/>
        </w:sectPr>
      </w:pPr>
    </w:p>
    <w:p w:rsidR="002E61D7" w:rsidRDefault="002E61D7" w:rsidP="002E61D7">
      <w:pPr>
        <w:pStyle w:val="Body"/>
        <w:ind w:left="-2760"/>
      </w:pPr>
      <w:bookmarkStart w:id="18" w:name="_Toc368470403"/>
      <w:r w:rsidRPr="00D039F9">
        <w:rPr>
          <w:rStyle w:val="Heading1Char"/>
        </w:rPr>
        <w:lastRenderedPageBreak/>
        <w:t xml:space="preserve">Family Summary – </w:t>
      </w:r>
      <w:r>
        <w:rPr>
          <w:rStyle w:val="Heading1Char"/>
        </w:rPr>
        <w:t>MSCI Europe</w:t>
      </w:r>
      <w:bookmarkEnd w:id="18"/>
      <w:r>
        <w:t xml:space="preserve"> </w:t>
      </w:r>
    </w:p>
    <w:p w:rsidR="002E61D7" w:rsidRDefault="00721C6E" w:rsidP="002E61D7">
      <w:pPr>
        <w:pStyle w:val="Body"/>
        <w:ind w:left="-2736"/>
      </w:pPr>
      <w:bookmarkStart w:id="19" w:name="PrintArea11"/>
      <w:bookmarkEnd w:id="19"/>
      <w:r w:rsidRPr="00721C6E">
        <w:rPr>
          <w:noProof/>
        </w:rPr>
        <w:drawing>
          <wp:inline distT="0" distB="0" distL="0" distR="0">
            <wp:extent cx="6638290" cy="490203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a:stretch>
                      <a:fillRect/>
                    </a:stretch>
                  </pic:blipFill>
                  <pic:spPr bwMode="auto">
                    <a:xfrm>
                      <a:off x="0" y="0"/>
                      <a:ext cx="6638290" cy="4902032"/>
                    </a:xfrm>
                    <a:prstGeom prst="rect">
                      <a:avLst/>
                    </a:prstGeom>
                    <a:noFill/>
                    <a:ln w="9525">
                      <a:noFill/>
                      <a:miter lim="800000"/>
                      <a:headEnd/>
                      <a:tailEnd/>
                    </a:ln>
                  </pic:spPr>
                </pic:pic>
              </a:graphicData>
            </a:graphic>
          </wp:inline>
        </w:drawing>
      </w:r>
    </w:p>
    <w:p w:rsidR="002E61D7" w:rsidRDefault="002E61D7" w:rsidP="002E61D7">
      <w:pPr>
        <w:pStyle w:val="Body"/>
        <w:ind w:left="-2760"/>
      </w:pPr>
    </w:p>
    <w:p w:rsidR="002E61D7" w:rsidRDefault="002E61D7" w:rsidP="002E61D7">
      <w:pPr>
        <w:pStyle w:val="Body"/>
        <w:ind w:left="-2760"/>
        <w:sectPr w:rsidR="002E61D7" w:rsidSect="0098477B">
          <w:pgSz w:w="15840" w:h="12240" w:orient="landscape" w:code="1"/>
          <w:pgMar w:top="1800" w:right="1138" w:bottom="936" w:left="4248" w:header="936" w:footer="576" w:gutter="0"/>
          <w:cols w:space="720"/>
          <w:formProt w:val="0"/>
          <w:docGrid w:linePitch="360"/>
        </w:sectPr>
      </w:pPr>
    </w:p>
    <w:p w:rsidR="002E61D7" w:rsidRPr="003C4433" w:rsidRDefault="002E61D7" w:rsidP="002E61D7">
      <w:pPr>
        <w:pStyle w:val="Body"/>
        <w:ind w:left="-2760"/>
        <w:rPr>
          <w:rStyle w:val="Heading1Char"/>
        </w:rPr>
      </w:pPr>
      <w:bookmarkStart w:id="20" w:name="_Toc368470404"/>
      <w:r w:rsidRPr="003C4433">
        <w:rPr>
          <w:rStyle w:val="Heading1Char"/>
        </w:rPr>
        <w:lastRenderedPageBreak/>
        <w:t xml:space="preserve">Factor Summary – MSCI </w:t>
      </w:r>
      <w:r>
        <w:rPr>
          <w:rStyle w:val="Heading1Char"/>
        </w:rPr>
        <w:t>Europe</w:t>
      </w:r>
      <w:bookmarkEnd w:id="20"/>
    </w:p>
    <w:p w:rsidR="002E61D7" w:rsidRDefault="00721C6E" w:rsidP="002E61D7">
      <w:pPr>
        <w:pStyle w:val="Body"/>
        <w:ind w:left="-2736"/>
      </w:pPr>
      <w:bookmarkStart w:id="21" w:name="PrintArea12"/>
      <w:bookmarkEnd w:id="21"/>
      <w:r w:rsidRPr="00721C6E">
        <w:rPr>
          <w:noProof/>
        </w:rPr>
        <w:drawing>
          <wp:inline distT="0" distB="0" distL="0" distR="0">
            <wp:extent cx="6638290" cy="445814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srcRect/>
                    <a:stretch>
                      <a:fillRect/>
                    </a:stretch>
                  </pic:blipFill>
                  <pic:spPr bwMode="auto">
                    <a:xfrm>
                      <a:off x="0" y="0"/>
                      <a:ext cx="6638290" cy="4458142"/>
                    </a:xfrm>
                    <a:prstGeom prst="rect">
                      <a:avLst/>
                    </a:prstGeom>
                    <a:noFill/>
                    <a:ln w="9525">
                      <a:noFill/>
                      <a:miter lim="800000"/>
                      <a:headEnd/>
                      <a:tailEnd/>
                    </a:ln>
                  </pic:spPr>
                </pic:pic>
              </a:graphicData>
            </a:graphic>
          </wp:inline>
        </w:drawing>
      </w:r>
    </w:p>
    <w:p w:rsidR="002E61D7" w:rsidRPr="006365BB" w:rsidRDefault="002E61D7" w:rsidP="002E61D7">
      <w:pPr>
        <w:pStyle w:val="Body"/>
        <w:ind w:left="-2760"/>
      </w:pPr>
    </w:p>
    <w:p w:rsidR="002E61D7" w:rsidRDefault="002E61D7" w:rsidP="002E61D7">
      <w:pPr>
        <w:pStyle w:val="Body"/>
        <w:ind w:left="-2760"/>
        <w:sectPr w:rsidR="002E61D7" w:rsidSect="0098477B">
          <w:pgSz w:w="15840" w:h="12240" w:orient="landscape" w:code="1"/>
          <w:pgMar w:top="1800" w:right="1138" w:bottom="936" w:left="4248" w:header="936" w:footer="576" w:gutter="0"/>
          <w:cols w:space="720"/>
          <w:formProt w:val="0"/>
          <w:docGrid w:linePitch="360"/>
        </w:sectPr>
      </w:pPr>
    </w:p>
    <w:p w:rsidR="002E61D7" w:rsidRDefault="002E61D7" w:rsidP="002E61D7">
      <w:pPr>
        <w:pStyle w:val="Body"/>
        <w:ind w:left="-2760"/>
      </w:pPr>
      <w:bookmarkStart w:id="22" w:name="_Toc368470405"/>
      <w:r>
        <w:rPr>
          <w:rStyle w:val="Heading1Char"/>
        </w:rPr>
        <w:lastRenderedPageBreak/>
        <w:t>F</w:t>
      </w:r>
      <w:r w:rsidRPr="00D039F9">
        <w:rPr>
          <w:rStyle w:val="Heading1Char"/>
        </w:rPr>
        <w:t xml:space="preserve">amily Summary – </w:t>
      </w:r>
      <w:r>
        <w:rPr>
          <w:rStyle w:val="Heading1Char"/>
        </w:rPr>
        <w:t>MSCI US</w:t>
      </w:r>
      <w:bookmarkEnd w:id="22"/>
      <w:r>
        <w:t xml:space="preserve"> </w:t>
      </w:r>
    </w:p>
    <w:p w:rsidR="002E61D7" w:rsidRDefault="00721C6E" w:rsidP="002E61D7">
      <w:pPr>
        <w:pStyle w:val="Body"/>
        <w:ind w:left="-2736"/>
      </w:pPr>
      <w:bookmarkStart w:id="23" w:name="PrintArea13"/>
      <w:bookmarkEnd w:id="23"/>
      <w:r w:rsidRPr="00721C6E">
        <w:rPr>
          <w:noProof/>
        </w:rPr>
        <w:drawing>
          <wp:inline distT="0" distB="0" distL="0" distR="0">
            <wp:extent cx="6638290" cy="470395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6638290" cy="4703959"/>
                    </a:xfrm>
                    <a:prstGeom prst="rect">
                      <a:avLst/>
                    </a:prstGeom>
                    <a:noFill/>
                    <a:ln w="9525">
                      <a:noFill/>
                      <a:miter lim="800000"/>
                      <a:headEnd/>
                      <a:tailEnd/>
                    </a:ln>
                  </pic:spPr>
                </pic:pic>
              </a:graphicData>
            </a:graphic>
          </wp:inline>
        </w:drawing>
      </w:r>
    </w:p>
    <w:p w:rsidR="002E61D7" w:rsidRDefault="002E61D7" w:rsidP="002E61D7">
      <w:pPr>
        <w:pStyle w:val="Body"/>
        <w:ind w:left="-2760"/>
      </w:pPr>
    </w:p>
    <w:p w:rsidR="002E61D7" w:rsidRDefault="002E61D7" w:rsidP="002E61D7">
      <w:pPr>
        <w:pStyle w:val="Body"/>
        <w:ind w:left="-2760"/>
        <w:sectPr w:rsidR="002E61D7" w:rsidSect="0098477B">
          <w:pgSz w:w="15840" w:h="12240" w:orient="landscape" w:code="1"/>
          <w:pgMar w:top="1800" w:right="1138" w:bottom="936" w:left="4248" w:header="936" w:footer="576" w:gutter="0"/>
          <w:cols w:space="720"/>
          <w:formProt w:val="0"/>
          <w:docGrid w:linePitch="360"/>
        </w:sectPr>
      </w:pPr>
    </w:p>
    <w:p w:rsidR="002E61D7" w:rsidRPr="003C4433" w:rsidRDefault="002E61D7" w:rsidP="002E61D7">
      <w:pPr>
        <w:pStyle w:val="Body"/>
        <w:ind w:left="-2760"/>
        <w:rPr>
          <w:rStyle w:val="Heading1Char"/>
        </w:rPr>
      </w:pPr>
      <w:bookmarkStart w:id="24" w:name="_Toc368470406"/>
      <w:r w:rsidRPr="003C4433">
        <w:rPr>
          <w:rStyle w:val="Heading1Char"/>
        </w:rPr>
        <w:lastRenderedPageBreak/>
        <w:t>Factor Summary – MSCI US</w:t>
      </w:r>
      <w:bookmarkEnd w:id="24"/>
    </w:p>
    <w:p w:rsidR="002E61D7" w:rsidRDefault="00721C6E" w:rsidP="002E61D7">
      <w:pPr>
        <w:pStyle w:val="Body"/>
        <w:ind w:left="-2736"/>
      </w:pPr>
      <w:bookmarkStart w:id="25" w:name="PrintArea14"/>
      <w:bookmarkEnd w:id="25"/>
      <w:r w:rsidRPr="00721C6E">
        <w:rPr>
          <w:noProof/>
        </w:rPr>
        <w:drawing>
          <wp:inline distT="0" distB="0" distL="0" distR="0">
            <wp:extent cx="6638290" cy="4458142"/>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6638290" cy="4458142"/>
                    </a:xfrm>
                    <a:prstGeom prst="rect">
                      <a:avLst/>
                    </a:prstGeom>
                    <a:noFill/>
                    <a:ln w="9525">
                      <a:noFill/>
                      <a:miter lim="800000"/>
                      <a:headEnd/>
                      <a:tailEnd/>
                    </a:ln>
                  </pic:spPr>
                </pic:pic>
              </a:graphicData>
            </a:graphic>
          </wp:inline>
        </w:drawing>
      </w:r>
    </w:p>
    <w:p w:rsidR="002E61D7" w:rsidRPr="006365BB" w:rsidRDefault="002E61D7" w:rsidP="002E61D7">
      <w:pPr>
        <w:pStyle w:val="Body"/>
        <w:ind w:left="-2760"/>
      </w:pPr>
    </w:p>
    <w:p w:rsidR="002E61D7" w:rsidRDefault="002E61D7" w:rsidP="002E61D7">
      <w:pPr>
        <w:pStyle w:val="Body"/>
        <w:ind w:left="-2760"/>
        <w:sectPr w:rsidR="002E61D7" w:rsidSect="0098477B">
          <w:pgSz w:w="15840" w:h="12240" w:orient="landscape" w:code="1"/>
          <w:pgMar w:top="1800" w:right="1138" w:bottom="936" w:left="4248" w:header="936" w:footer="576" w:gutter="0"/>
          <w:cols w:space="720"/>
          <w:formProt w:val="0"/>
          <w:docGrid w:linePitch="360"/>
        </w:sectPr>
      </w:pPr>
    </w:p>
    <w:p w:rsidR="002E61D7" w:rsidRDefault="002E61D7" w:rsidP="002E61D7">
      <w:pPr>
        <w:pStyle w:val="Body"/>
        <w:ind w:left="-2760"/>
      </w:pPr>
      <w:bookmarkStart w:id="26" w:name="_Toc368470407"/>
      <w:r w:rsidRPr="00D039F9">
        <w:rPr>
          <w:rStyle w:val="Heading1Char"/>
        </w:rPr>
        <w:lastRenderedPageBreak/>
        <w:t xml:space="preserve">Family Summary – </w:t>
      </w:r>
      <w:r>
        <w:rPr>
          <w:rStyle w:val="Heading1Char"/>
        </w:rPr>
        <w:t>MSCI GEM</w:t>
      </w:r>
      <w:bookmarkEnd w:id="26"/>
      <w:r>
        <w:t xml:space="preserve"> </w:t>
      </w:r>
    </w:p>
    <w:p w:rsidR="002E61D7" w:rsidRDefault="00721C6E" w:rsidP="002E61D7">
      <w:pPr>
        <w:pStyle w:val="Body"/>
        <w:ind w:left="-2736"/>
      </w:pPr>
      <w:bookmarkStart w:id="27" w:name="PrintArea15"/>
      <w:bookmarkEnd w:id="27"/>
      <w:r w:rsidRPr="00721C6E">
        <w:rPr>
          <w:noProof/>
        </w:rPr>
        <w:drawing>
          <wp:inline distT="0" distB="0" distL="0" distR="0">
            <wp:extent cx="6638290" cy="4902032"/>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srcRect/>
                    <a:stretch>
                      <a:fillRect/>
                    </a:stretch>
                  </pic:blipFill>
                  <pic:spPr bwMode="auto">
                    <a:xfrm>
                      <a:off x="0" y="0"/>
                      <a:ext cx="6638290" cy="4902032"/>
                    </a:xfrm>
                    <a:prstGeom prst="rect">
                      <a:avLst/>
                    </a:prstGeom>
                    <a:noFill/>
                    <a:ln w="9525">
                      <a:noFill/>
                      <a:miter lim="800000"/>
                      <a:headEnd/>
                      <a:tailEnd/>
                    </a:ln>
                  </pic:spPr>
                </pic:pic>
              </a:graphicData>
            </a:graphic>
          </wp:inline>
        </w:drawing>
      </w:r>
    </w:p>
    <w:p w:rsidR="002E61D7" w:rsidRDefault="002E61D7" w:rsidP="002E61D7">
      <w:pPr>
        <w:pStyle w:val="Body"/>
        <w:ind w:left="-2760"/>
      </w:pPr>
    </w:p>
    <w:p w:rsidR="002E61D7" w:rsidRDefault="002E61D7" w:rsidP="002E61D7">
      <w:pPr>
        <w:pStyle w:val="Body"/>
        <w:ind w:left="-2760"/>
        <w:sectPr w:rsidR="002E61D7" w:rsidSect="0098477B">
          <w:pgSz w:w="15840" w:h="12240" w:orient="landscape" w:code="1"/>
          <w:pgMar w:top="1800" w:right="1138" w:bottom="936" w:left="4248" w:header="936" w:footer="576" w:gutter="0"/>
          <w:cols w:space="720"/>
          <w:formProt w:val="0"/>
          <w:docGrid w:linePitch="360"/>
        </w:sectPr>
      </w:pPr>
    </w:p>
    <w:p w:rsidR="002E61D7" w:rsidRPr="003C4433" w:rsidRDefault="002E61D7" w:rsidP="002E61D7">
      <w:pPr>
        <w:pStyle w:val="Body"/>
        <w:ind w:left="-2760"/>
        <w:rPr>
          <w:rStyle w:val="Heading1Char"/>
        </w:rPr>
      </w:pPr>
      <w:bookmarkStart w:id="28" w:name="_Toc368470408"/>
      <w:r w:rsidRPr="003C4433">
        <w:rPr>
          <w:rStyle w:val="Heading1Char"/>
        </w:rPr>
        <w:lastRenderedPageBreak/>
        <w:t>Factor Summary – MSCI GEM</w:t>
      </w:r>
      <w:bookmarkEnd w:id="28"/>
    </w:p>
    <w:p w:rsidR="002E61D7" w:rsidRDefault="00721C6E" w:rsidP="002E61D7">
      <w:pPr>
        <w:pStyle w:val="Body"/>
        <w:ind w:left="-2736"/>
      </w:pPr>
      <w:bookmarkStart w:id="29" w:name="PrintArea16"/>
      <w:bookmarkEnd w:id="29"/>
      <w:r w:rsidRPr="00721C6E">
        <w:rPr>
          <w:noProof/>
        </w:rPr>
        <w:drawing>
          <wp:inline distT="0" distB="0" distL="0" distR="0">
            <wp:extent cx="6638290" cy="445814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6638290" cy="4458142"/>
                    </a:xfrm>
                    <a:prstGeom prst="rect">
                      <a:avLst/>
                    </a:prstGeom>
                    <a:noFill/>
                    <a:ln w="9525">
                      <a:noFill/>
                      <a:miter lim="800000"/>
                      <a:headEnd/>
                      <a:tailEnd/>
                    </a:ln>
                  </pic:spPr>
                </pic:pic>
              </a:graphicData>
            </a:graphic>
          </wp:inline>
        </w:drawing>
      </w:r>
    </w:p>
    <w:p w:rsidR="002E61D7" w:rsidRPr="006365BB" w:rsidRDefault="002E61D7" w:rsidP="002E61D7">
      <w:pPr>
        <w:pStyle w:val="Body"/>
        <w:ind w:left="-2760"/>
      </w:pPr>
    </w:p>
    <w:p w:rsidR="002E61D7" w:rsidRDefault="002E61D7" w:rsidP="002E61D7">
      <w:pPr>
        <w:pStyle w:val="Body"/>
        <w:ind w:left="-2760"/>
        <w:sectPr w:rsidR="002E61D7" w:rsidSect="0098477B">
          <w:pgSz w:w="15840" w:h="12240" w:orient="landscape" w:code="1"/>
          <w:pgMar w:top="1800" w:right="1138" w:bottom="936" w:left="4248" w:header="936" w:footer="576" w:gutter="0"/>
          <w:cols w:space="720"/>
          <w:formProt w:val="0"/>
          <w:docGrid w:linePitch="360"/>
        </w:sectPr>
      </w:pPr>
    </w:p>
    <w:p w:rsidR="002E61D7" w:rsidRPr="003C4433" w:rsidRDefault="002E61D7" w:rsidP="002E61D7">
      <w:pPr>
        <w:pStyle w:val="Body"/>
        <w:ind w:left="-2760"/>
        <w:rPr>
          <w:rStyle w:val="Heading1Char"/>
        </w:rPr>
      </w:pPr>
      <w:bookmarkStart w:id="30" w:name="_Toc368470409"/>
      <w:r w:rsidRPr="00D039F9">
        <w:rPr>
          <w:rStyle w:val="Heading1Char"/>
        </w:rPr>
        <w:lastRenderedPageBreak/>
        <w:t xml:space="preserve">Family Summary – </w:t>
      </w:r>
      <w:r>
        <w:rPr>
          <w:rStyle w:val="Heading1Char"/>
        </w:rPr>
        <w:t>MSCI EM ex Asia</w:t>
      </w:r>
      <w:bookmarkEnd w:id="30"/>
      <w:r w:rsidRPr="003C4433">
        <w:rPr>
          <w:rStyle w:val="Heading1Char"/>
        </w:rPr>
        <w:t xml:space="preserve"> </w:t>
      </w:r>
    </w:p>
    <w:p w:rsidR="002E61D7" w:rsidRDefault="00721C6E" w:rsidP="002E61D7">
      <w:pPr>
        <w:pStyle w:val="Body"/>
        <w:ind w:left="-2736"/>
      </w:pPr>
      <w:bookmarkStart w:id="31" w:name="PrintArea17"/>
      <w:bookmarkEnd w:id="31"/>
      <w:r w:rsidRPr="00721C6E">
        <w:rPr>
          <w:noProof/>
        </w:rPr>
        <w:drawing>
          <wp:inline distT="0" distB="0" distL="0" distR="0">
            <wp:extent cx="6638290" cy="4902032"/>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srcRect/>
                    <a:stretch>
                      <a:fillRect/>
                    </a:stretch>
                  </pic:blipFill>
                  <pic:spPr bwMode="auto">
                    <a:xfrm>
                      <a:off x="0" y="0"/>
                      <a:ext cx="6638290" cy="4902032"/>
                    </a:xfrm>
                    <a:prstGeom prst="rect">
                      <a:avLst/>
                    </a:prstGeom>
                    <a:noFill/>
                    <a:ln w="9525">
                      <a:noFill/>
                      <a:miter lim="800000"/>
                      <a:headEnd/>
                      <a:tailEnd/>
                    </a:ln>
                  </pic:spPr>
                </pic:pic>
              </a:graphicData>
            </a:graphic>
          </wp:inline>
        </w:drawing>
      </w:r>
    </w:p>
    <w:p w:rsidR="002E61D7" w:rsidRDefault="002E61D7" w:rsidP="002E61D7">
      <w:pPr>
        <w:pStyle w:val="Body"/>
        <w:ind w:left="-2760"/>
      </w:pPr>
    </w:p>
    <w:p w:rsidR="002E61D7" w:rsidRDefault="002E61D7" w:rsidP="002E61D7">
      <w:pPr>
        <w:pStyle w:val="Body"/>
        <w:ind w:left="-2760"/>
        <w:sectPr w:rsidR="002E61D7" w:rsidSect="0098477B">
          <w:pgSz w:w="15840" w:h="12240" w:orient="landscape" w:code="1"/>
          <w:pgMar w:top="1800" w:right="1138" w:bottom="936" w:left="4248" w:header="936" w:footer="576" w:gutter="0"/>
          <w:cols w:space="720"/>
          <w:formProt w:val="0"/>
          <w:docGrid w:linePitch="360"/>
        </w:sectPr>
      </w:pPr>
    </w:p>
    <w:p w:rsidR="002E61D7" w:rsidRPr="003C4433" w:rsidRDefault="002E61D7" w:rsidP="002E61D7">
      <w:pPr>
        <w:pStyle w:val="Body"/>
        <w:ind w:left="-2760"/>
        <w:rPr>
          <w:rStyle w:val="Heading1Char"/>
        </w:rPr>
      </w:pPr>
      <w:bookmarkStart w:id="32" w:name="_Toc368470410"/>
      <w:r w:rsidRPr="003C4433">
        <w:rPr>
          <w:rStyle w:val="Heading1Char"/>
        </w:rPr>
        <w:lastRenderedPageBreak/>
        <w:t>Factor Summary – MSCI EM ex Asia</w:t>
      </w:r>
      <w:bookmarkEnd w:id="32"/>
    </w:p>
    <w:p w:rsidR="002E61D7" w:rsidRPr="006365BB" w:rsidRDefault="00721C6E" w:rsidP="002E61D7">
      <w:pPr>
        <w:pStyle w:val="Body"/>
        <w:ind w:left="-2736"/>
      </w:pPr>
      <w:bookmarkStart w:id="33" w:name="PrintArea18"/>
      <w:bookmarkEnd w:id="33"/>
      <w:r w:rsidRPr="00721C6E">
        <w:rPr>
          <w:noProof/>
        </w:rPr>
        <w:drawing>
          <wp:inline distT="0" distB="0" distL="0" distR="0">
            <wp:extent cx="6638290" cy="4458142"/>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srcRect/>
                    <a:stretch>
                      <a:fillRect/>
                    </a:stretch>
                  </pic:blipFill>
                  <pic:spPr bwMode="auto">
                    <a:xfrm>
                      <a:off x="0" y="0"/>
                      <a:ext cx="6638290" cy="4458142"/>
                    </a:xfrm>
                    <a:prstGeom prst="rect">
                      <a:avLst/>
                    </a:prstGeom>
                    <a:noFill/>
                    <a:ln w="9525">
                      <a:noFill/>
                      <a:miter lim="800000"/>
                      <a:headEnd/>
                      <a:tailEnd/>
                    </a:ln>
                  </pic:spPr>
                </pic:pic>
              </a:graphicData>
            </a:graphic>
          </wp:inline>
        </w:drawing>
      </w:r>
    </w:p>
    <w:p w:rsidR="002E61D7" w:rsidRDefault="002E61D7" w:rsidP="002E61D7">
      <w:pPr>
        <w:pStyle w:val="Body"/>
        <w:ind w:left="-2760"/>
      </w:pPr>
    </w:p>
    <w:p w:rsidR="002E61D7" w:rsidRDefault="002E61D7" w:rsidP="002E61D7">
      <w:pPr>
        <w:pStyle w:val="Body"/>
        <w:ind w:left="-2760"/>
        <w:sectPr w:rsidR="002E61D7" w:rsidSect="0098477B">
          <w:pgSz w:w="15840" w:h="12240" w:orient="landscape" w:code="1"/>
          <w:pgMar w:top="1800" w:right="1138" w:bottom="936" w:left="4248" w:header="936" w:footer="576" w:gutter="0"/>
          <w:cols w:space="720"/>
          <w:formProt w:val="0"/>
          <w:docGrid w:linePitch="360"/>
        </w:sectPr>
      </w:pPr>
    </w:p>
    <w:p w:rsidR="002E61D7" w:rsidRPr="003C4433" w:rsidRDefault="002E61D7" w:rsidP="002E61D7">
      <w:pPr>
        <w:pStyle w:val="Body"/>
        <w:ind w:left="-2760"/>
        <w:rPr>
          <w:rStyle w:val="Heading1Char"/>
        </w:rPr>
      </w:pPr>
      <w:bookmarkStart w:id="34" w:name="_Toc368470411"/>
      <w:r w:rsidRPr="00D039F9">
        <w:rPr>
          <w:rStyle w:val="Heading1Char"/>
        </w:rPr>
        <w:lastRenderedPageBreak/>
        <w:t xml:space="preserve">Family Summary – </w:t>
      </w:r>
      <w:r>
        <w:rPr>
          <w:rStyle w:val="Heading1Char"/>
        </w:rPr>
        <w:t>MSCI Global Developed</w:t>
      </w:r>
      <w:bookmarkEnd w:id="34"/>
      <w:r w:rsidRPr="003C4433">
        <w:rPr>
          <w:rStyle w:val="Heading1Char"/>
        </w:rPr>
        <w:t xml:space="preserve"> </w:t>
      </w:r>
    </w:p>
    <w:p w:rsidR="002E61D7" w:rsidRDefault="00721C6E" w:rsidP="002E61D7">
      <w:pPr>
        <w:pStyle w:val="Body"/>
        <w:ind w:left="-2736"/>
      </w:pPr>
      <w:bookmarkStart w:id="35" w:name="PrintArea19"/>
      <w:bookmarkEnd w:id="35"/>
      <w:r w:rsidRPr="00721C6E">
        <w:rPr>
          <w:noProof/>
        </w:rPr>
        <w:drawing>
          <wp:inline distT="0" distB="0" distL="0" distR="0">
            <wp:extent cx="6638290" cy="490203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6638290" cy="4902032"/>
                    </a:xfrm>
                    <a:prstGeom prst="rect">
                      <a:avLst/>
                    </a:prstGeom>
                    <a:noFill/>
                    <a:ln w="9525">
                      <a:noFill/>
                      <a:miter lim="800000"/>
                      <a:headEnd/>
                      <a:tailEnd/>
                    </a:ln>
                  </pic:spPr>
                </pic:pic>
              </a:graphicData>
            </a:graphic>
          </wp:inline>
        </w:drawing>
      </w:r>
    </w:p>
    <w:p w:rsidR="002E61D7" w:rsidRDefault="002E61D7" w:rsidP="002E61D7">
      <w:pPr>
        <w:pStyle w:val="Body"/>
        <w:ind w:left="-2760"/>
      </w:pPr>
    </w:p>
    <w:p w:rsidR="002E61D7" w:rsidRDefault="002E61D7" w:rsidP="002E61D7">
      <w:pPr>
        <w:pStyle w:val="Body"/>
        <w:ind w:left="-2760"/>
        <w:sectPr w:rsidR="002E61D7" w:rsidSect="0098477B">
          <w:pgSz w:w="15840" w:h="12240" w:orient="landscape" w:code="1"/>
          <w:pgMar w:top="1800" w:right="1138" w:bottom="936" w:left="4248" w:header="936" w:footer="576" w:gutter="0"/>
          <w:cols w:space="720"/>
          <w:formProt w:val="0"/>
          <w:docGrid w:linePitch="360"/>
        </w:sectPr>
      </w:pPr>
    </w:p>
    <w:p w:rsidR="002E61D7" w:rsidRPr="003C4433" w:rsidRDefault="002E61D7" w:rsidP="002E61D7">
      <w:pPr>
        <w:pStyle w:val="Body"/>
        <w:ind w:left="-2760"/>
        <w:rPr>
          <w:rStyle w:val="Heading1Char"/>
        </w:rPr>
      </w:pPr>
      <w:bookmarkStart w:id="36" w:name="_Toc368470412"/>
      <w:r w:rsidRPr="003C4433">
        <w:rPr>
          <w:rStyle w:val="Heading1Char"/>
        </w:rPr>
        <w:lastRenderedPageBreak/>
        <w:t>Factor Summary – MSCI Global Developed</w:t>
      </w:r>
      <w:bookmarkEnd w:id="36"/>
    </w:p>
    <w:p w:rsidR="002E61D7" w:rsidRDefault="00721C6E" w:rsidP="002E61D7">
      <w:pPr>
        <w:pStyle w:val="Body"/>
        <w:ind w:left="-2736"/>
      </w:pPr>
      <w:bookmarkStart w:id="37" w:name="PrintArea20"/>
      <w:bookmarkEnd w:id="37"/>
      <w:r w:rsidRPr="00721C6E">
        <w:rPr>
          <w:noProof/>
        </w:rPr>
        <w:drawing>
          <wp:inline distT="0" distB="0" distL="0" distR="0">
            <wp:extent cx="6638290" cy="4458142"/>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6638290" cy="4458142"/>
                    </a:xfrm>
                    <a:prstGeom prst="rect">
                      <a:avLst/>
                    </a:prstGeom>
                    <a:noFill/>
                    <a:ln w="9525">
                      <a:noFill/>
                      <a:miter lim="800000"/>
                      <a:headEnd/>
                      <a:tailEnd/>
                    </a:ln>
                  </pic:spPr>
                </pic:pic>
              </a:graphicData>
            </a:graphic>
          </wp:inline>
        </w:drawing>
      </w:r>
    </w:p>
    <w:p w:rsidR="002E61D7" w:rsidRDefault="002E61D7" w:rsidP="002E61D7">
      <w:pPr>
        <w:pStyle w:val="Body"/>
        <w:ind w:left="-2760"/>
      </w:pPr>
    </w:p>
    <w:p w:rsidR="002E61D7" w:rsidRDefault="002E61D7" w:rsidP="002E61D7">
      <w:pPr>
        <w:pStyle w:val="Body"/>
        <w:ind w:left="-2760"/>
        <w:sectPr w:rsidR="002E61D7" w:rsidSect="0098477B">
          <w:pgSz w:w="15840" w:h="12240" w:orient="landscape" w:code="1"/>
          <w:pgMar w:top="1800" w:right="1138" w:bottom="936" w:left="4248" w:header="936" w:footer="576" w:gutter="0"/>
          <w:cols w:space="720"/>
          <w:formProt w:val="0"/>
          <w:docGrid w:linePitch="360"/>
        </w:sectPr>
      </w:pPr>
    </w:p>
    <w:p w:rsidR="002E61D7" w:rsidRPr="003C4433" w:rsidRDefault="002E61D7" w:rsidP="002E61D7">
      <w:pPr>
        <w:pStyle w:val="Body"/>
        <w:ind w:left="-2760"/>
        <w:rPr>
          <w:rStyle w:val="Heading1Char"/>
        </w:rPr>
      </w:pPr>
      <w:bookmarkStart w:id="38" w:name="_Toc368470413"/>
      <w:r w:rsidRPr="003C4433">
        <w:rPr>
          <w:rStyle w:val="Heading1Char"/>
        </w:rPr>
        <w:lastRenderedPageBreak/>
        <w:t>F</w:t>
      </w:r>
      <w:r>
        <w:rPr>
          <w:rStyle w:val="Heading1Char"/>
        </w:rPr>
        <w:t>amily</w:t>
      </w:r>
      <w:r w:rsidRPr="003C4433">
        <w:rPr>
          <w:rStyle w:val="Heading1Char"/>
        </w:rPr>
        <w:t xml:space="preserve"> Summary – MSCI </w:t>
      </w:r>
      <w:r>
        <w:rPr>
          <w:rStyle w:val="Heading1Char"/>
        </w:rPr>
        <w:t>All World</w:t>
      </w:r>
      <w:bookmarkEnd w:id="38"/>
    </w:p>
    <w:p w:rsidR="002E61D7" w:rsidRDefault="00721C6E" w:rsidP="002E61D7">
      <w:pPr>
        <w:pStyle w:val="Body"/>
        <w:ind w:left="-2736"/>
      </w:pPr>
      <w:bookmarkStart w:id="39" w:name="PrintArea29"/>
      <w:bookmarkEnd w:id="39"/>
      <w:r>
        <w:rPr>
          <w:noProof/>
        </w:rPr>
        <w:drawing>
          <wp:inline distT="0" distB="0" distL="0" distR="0">
            <wp:extent cx="6638290" cy="4902032"/>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rcRect/>
                    <a:stretch>
                      <a:fillRect/>
                    </a:stretch>
                  </pic:blipFill>
                  <pic:spPr bwMode="auto">
                    <a:xfrm>
                      <a:off x="0" y="0"/>
                      <a:ext cx="6638290" cy="4902032"/>
                    </a:xfrm>
                    <a:prstGeom prst="rect">
                      <a:avLst/>
                    </a:prstGeom>
                    <a:noFill/>
                    <a:ln w="9525">
                      <a:noFill/>
                      <a:miter lim="800000"/>
                      <a:headEnd/>
                      <a:tailEnd/>
                    </a:ln>
                  </pic:spPr>
                </pic:pic>
              </a:graphicData>
            </a:graphic>
          </wp:inline>
        </w:drawing>
      </w:r>
    </w:p>
    <w:p w:rsidR="002E61D7" w:rsidRDefault="002E61D7" w:rsidP="002E61D7">
      <w:pPr>
        <w:pStyle w:val="Body"/>
        <w:ind w:left="-2760"/>
      </w:pPr>
    </w:p>
    <w:p w:rsidR="002E61D7" w:rsidRDefault="002E61D7" w:rsidP="002E61D7">
      <w:pPr>
        <w:pStyle w:val="Body"/>
        <w:ind w:left="-2760"/>
        <w:sectPr w:rsidR="002E61D7" w:rsidSect="0098477B">
          <w:pgSz w:w="15840" w:h="12240" w:orient="landscape" w:code="1"/>
          <w:pgMar w:top="1800" w:right="1138" w:bottom="936" w:left="4248" w:header="936" w:footer="576" w:gutter="0"/>
          <w:cols w:space="720"/>
          <w:formProt w:val="0"/>
          <w:docGrid w:linePitch="360"/>
        </w:sectPr>
      </w:pPr>
    </w:p>
    <w:p w:rsidR="002E61D7" w:rsidRPr="003C4433" w:rsidRDefault="002E61D7" w:rsidP="002E61D7">
      <w:pPr>
        <w:pStyle w:val="Body"/>
        <w:ind w:left="-2760"/>
        <w:rPr>
          <w:rStyle w:val="Heading1Char"/>
        </w:rPr>
      </w:pPr>
      <w:bookmarkStart w:id="40" w:name="_Toc368470414"/>
      <w:r w:rsidRPr="003C4433">
        <w:rPr>
          <w:rStyle w:val="Heading1Char"/>
        </w:rPr>
        <w:lastRenderedPageBreak/>
        <w:t>F</w:t>
      </w:r>
      <w:r>
        <w:rPr>
          <w:rStyle w:val="Heading1Char"/>
        </w:rPr>
        <w:t>actor</w:t>
      </w:r>
      <w:r w:rsidRPr="003C4433">
        <w:rPr>
          <w:rStyle w:val="Heading1Char"/>
        </w:rPr>
        <w:t xml:space="preserve"> Summary – MSCI </w:t>
      </w:r>
      <w:r>
        <w:rPr>
          <w:rStyle w:val="Heading1Char"/>
        </w:rPr>
        <w:t>All World</w:t>
      </w:r>
      <w:bookmarkEnd w:id="40"/>
    </w:p>
    <w:p w:rsidR="002E61D7" w:rsidRDefault="00721C6E" w:rsidP="002E61D7">
      <w:pPr>
        <w:pStyle w:val="Body"/>
        <w:ind w:left="-2736"/>
      </w:pPr>
      <w:bookmarkStart w:id="41" w:name="PrintArea30"/>
      <w:bookmarkEnd w:id="41"/>
      <w:r>
        <w:rPr>
          <w:noProof/>
        </w:rPr>
        <w:drawing>
          <wp:inline distT="0" distB="0" distL="0" distR="0">
            <wp:extent cx="6638290" cy="4458142"/>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srcRect/>
                    <a:stretch>
                      <a:fillRect/>
                    </a:stretch>
                  </pic:blipFill>
                  <pic:spPr bwMode="auto">
                    <a:xfrm>
                      <a:off x="0" y="0"/>
                      <a:ext cx="6638290" cy="4458142"/>
                    </a:xfrm>
                    <a:prstGeom prst="rect">
                      <a:avLst/>
                    </a:prstGeom>
                    <a:noFill/>
                    <a:ln w="9525">
                      <a:noFill/>
                      <a:miter lim="800000"/>
                      <a:headEnd/>
                      <a:tailEnd/>
                    </a:ln>
                  </pic:spPr>
                </pic:pic>
              </a:graphicData>
            </a:graphic>
          </wp:inline>
        </w:drawing>
      </w:r>
    </w:p>
    <w:p w:rsidR="002E61D7" w:rsidRDefault="002E61D7" w:rsidP="002E61D7">
      <w:pPr>
        <w:pStyle w:val="Body"/>
        <w:ind w:left="-2760"/>
      </w:pPr>
    </w:p>
    <w:p w:rsidR="002E61D7" w:rsidRDefault="002E61D7" w:rsidP="002E61D7">
      <w:pPr>
        <w:pStyle w:val="Body"/>
        <w:ind w:left="-2760"/>
        <w:sectPr w:rsidR="002E61D7" w:rsidSect="0098477B">
          <w:pgSz w:w="15840" w:h="12240" w:orient="landscape" w:code="1"/>
          <w:pgMar w:top="1800" w:right="1138" w:bottom="936" w:left="4248" w:header="936" w:footer="576" w:gutter="0"/>
          <w:cols w:space="720"/>
          <w:formProt w:val="0"/>
          <w:docGrid w:linePitch="360"/>
        </w:sectPr>
      </w:pPr>
    </w:p>
    <w:p w:rsidR="002E61D7" w:rsidRPr="00D47FAC" w:rsidRDefault="002E61D7" w:rsidP="002E61D7">
      <w:pPr>
        <w:pStyle w:val="Body"/>
        <w:ind w:left="-1560"/>
        <w:jc w:val="both"/>
        <w:rPr>
          <w:rStyle w:val="Heading1CharCharCharCharChar"/>
        </w:rPr>
      </w:pPr>
      <w:r w:rsidRPr="00D47FAC">
        <w:rPr>
          <w:rStyle w:val="Heading1CharCharCharCharChar"/>
        </w:rPr>
        <w:lastRenderedPageBreak/>
        <w:t>Factor Summary Chart – MSCI Asia ex Japan</w:t>
      </w:r>
    </w:p>
    <w:p w:rsidR="002E61D7" w:rsidRDefault="00721C6E" w:rsidP="002E61D7">
      <w:pPr>
        <w:pStyle w:val="Body"/>
        <w:ind w:left="-1728"/>
      </w:pPr>
      <w:bookmarkStart w:id="42" w:name="PrintArea21"/>
      <w:bookmarkEnd w:id="42"/>
      <w:r>
        <w:rPr>
          <w:noProof/>
        </w:rPr>
        <w:drawing>
          <wp:inline distT="0" distB="0" distL="0" distR="0">
            <wp:extent cx="4352290" cy="6755829"/>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srcRect/>
                    <a:stretch>
                      <a:fillRect/>
                    </a:stretch>
                  </pic:blipFill>
                  <pic:spPr bwMode="auto">
                    <a:xfrm>
                      <a:off x="0" y="0"/>
                      <a:ext cx="4352290" cy="6755829"/>
                    </a:xfrm>
                    <a:prstGeom prst="rect">
                      <a:avLst/>
                    </a:prstGeom>
                    <a:noFill/>
                    <a:ln w="9525">
                      <a:noFill/>
                      <a:miter lim="800000"/>
                      <a:headEnd/>
                      <a:tailEnd/>
                    </a:ln>
                  </pic:spPr>
                </pic:pic>
              </a:graphicData>
            </a:graphic>
          </wp:inline>
        </w:drawing>
      </w:r>
    </w:p>
    <w:p w:rsidR="002E61D7" w:rsidRDefault="002E61D7" w:rsidP="002E61D7">
      <w:pPr>
        <w:pStyle w:val="Body"/>
        <w:ind w:left="-1560"/>
        <w:sectPr w:rsidR="002E61D7" w:rsidSect="0098477B">
          <w:pgSz w:w="12240" w:h="15840" w:code="1"/>
          <w:pgMar w:top="1800" w:right="1138" w:bottom="936" w:left="4248" w:header="936" w:footer="576" w:gutter="0"/>
          <w:cols w:space="720"/>
          <w:formProt w:val="0"/>
          <w:docGrid w:linePitch="360"/>
        </w:sectPr>
      </w:pPr>
    </w:p>
    <w:p w:rsidR="002E61D7" w:rsidRPr="00D47FAC" w:rsidRDefault="002E61D7" w:rsidP="002E61D7">
      <w:pPr>
        <w:pStyle w:val="Body"/>
        <w:ind w:left="-1560"/>
        <w:jc w:val="both"/>
        <w:rPr>
          <w:rStyle w:val="Heading1CharCharCharCharChar"/>
        </w:rPr>
      </w:pPr>
      <w:r w:rsidRPr="00D47FAC">
        <w:rPr>
          <w:rStyle w:val="Heading1CharCharCharCharChar"/>
        </w:rPr>
        <w:lastRenderedPageBreak/>
        <w:t>Factor Summary Chart – Japan</w:t>
      </w:r>
    </w:p>
    <w:p w:rsidR="002E61D7" w:rsidRDefault="00721C6E" w:rsidP="002E61D7">
      <w:pPr>
        <w:pStyle w:val="Body"/>
        <w:ind w:left="-1872"/>
      </w:pPr>
      <w:bookmarkStart w:id="43" w:name="PrintArea22"/>
      <w:bookmarkEnd w:id="43"/>
      <w:r>
        <w:rPr>
          <w:noProof/>
        </w:rPr>
        <w:drawing>
          <wp:inline distT="0" distB="0" distL="0" distR="0">
            <wp:extent cx="4352290" cy="675582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4352290" cy="6755829"/>
                    </a:xfrm>
                    <a:prstGeom prst="rect">
                      <a:avLst/>
                    </a:prstGeom>
                    <a:noFill/>
                    <a:ln w="9525">
                      <a:noFill/>
                      <a:miter lim="800000"/>
                      <a:headEnd/>
                      <a:tailEnd/>
                    </a:ln>
                  </pic:spPr>
                </pic:pic>
              </a:graphicData>
            </a:graphic>
          </wp:inline>
        </w:drawing>
      </w:r>
    </w:p>
    <w:p w:rsidR="002E61D7" w:rsidRDefault="002E61D7" w:rsidP="002E61D7">
      <w:pPr>
        <w:pStyle w:val="Body"/>
        <w:ind w:left="-1560"/>
        <w:sectPr w:rsidR="002E61D7" w:rsidSect="0098477B">
          <w:pgSz w:w="12240" w:h="15840" w:code="1"/>
          <w:pgMar w:top="1800" w:right="1138" w:bottom="936" w:left="4248" w:header="936" w:footer="576" w:gutter="0"/>
          <w:cols w:space="720"/>
          <w:formProt w:val="0"/>
          <w:docGrid w:linePitch="360"/>
        </w:sectPr>
      </w:pPr>
    </w:p>
    <w:p w:rsidR="002E61D7" w:rsidRPr="00D47FAC" w:rsidRDefault="002E61D7" w:rsidP="002E61D7">
      <w:pPr>
        <w:pStyle w:val="Body"/>
        <w:ind w:left="-1560"/>
        <w:jc w:val="both"/>
        <w:rPr>
          <w:rStyle w:val="Heading1CharCharCharCharChar"/>
        </w:rPr>
      </w:pPr>
      <w:r w:rsidRPr="00D47FAC">
        <w:rPr>
          <w:rStyle w:val="Heading1CharCharCharCharChar"/>
        </w:rPr>
        <w:lastRenderedPageBreak/>
        <w:t>Factor Summary Chart – MSCI Australia</w:t>
      </w:r>
    </w:p>
    <w:p w:rsidR="002E61D7" w:rsidRDefault="00721C6E" w:rsidP="002E61D7">
      <w:pPr>
        <w:pStyle w:val="Body"/>
        <w:ind w:left="-1872"/>
      </w:pPr>
      <w:bookmarkStart w:id="44" w:name="PrintArea23"/>
      <w:bookmarkEnd w:id="44"/>
      <w:r>
        <w:rPr>
          <w:noProof/>
        </w:rPr>
        <w:drawing>
          <wp:inline distT="0" distB="0" distL="0" distR="0">
            <wp:extent cx="4352290" cy="6755829"/>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srcRect/>
                    <a:stretch>
                      <a:fillRect/>
                    </a:stretch>
                  </pic:blipFill>
                  <pic:spPr bwMode="auto">
                    <a:xfrm>
                      <a:off x="0" y="0"/>
                      <a:ext cx="4352290" cy="6755829"/>
                    </a:xfrm>
                    <a:prstGeom prst="rect">
                      <a:avLst/>
                    </a:prstGeom>
                    <a:noFill/>
                    <a:ln w="9525">
                      <a:noFill/>
                      <a:miter lim="800000"/>
                      <a:headEnd/>
                      <a:tailEnd/>
                    </a:ln>
                  </pic:spPr>
                </pic:pic>
              </a:graphicData>
            </a:graphic>
          </wp:inline>
        </w:drawing>
      </w:r>
    </w:p>
    <w:p w:rsidR="002E61D7" w:rsidRDefault="002E61D7" w:rsidP="002E61D7">
      <w:pPr>
        <w:pStyle w:val="Body"/>
        <w:ind w:left="-1560"/>
        <w:sectPr w:rsidR="002E61D7" w:rsidSect="0098477B">
          <w:pgSz w:w="12240" w:h="15840" w:code="1"/>
          <w:pgMar w:top="1800" w:right="1138" w:bottom="936" w:left="4248" w:header="936" w:footer="576" w:gutter="0"/>
          <w:cols w:space="720"/>
          <w:formProt w:val="0"/>
          <w:docGrid w:linePitch="360"/>
        </w:sectPr>
      </w:pPr>
    </w:p>
    <w:p w:rsidR="002E61D7" w:rsidRPr="00D47FAC" w:rsidRDefault="002E61D7" w:rsidP="002E61D7">
      <w:pPr>
        <w:pStyle w:val="Body"/>
        <w:ind w:left="-1560"/>
        <w:jc w:val="both"/>
        <w:rPr>
          <w:rStyle w:val="Heading1CharCharCharCharChar"/>
        </w:rPr>
      </w:pPr>
      <w:r w:rsidRPr="00D47FAC">
        <w:rPr>
          <w:rStyle w:val="Heading1CharCharCharCharChar"/>
        </w:rPr>
        <w:lastRenderedPageBreak/>
        <w:t>Factor Summary Chart – MSCI Europe</w:t>
      </w:r>
    </w:p>
    <w:p w:rsidR="002E61D7" w:rsidRDefault="00721C6E" w:rsidP="002E61D7">
      <w:pPr>
        <w:pStyle w:val="Body"/>
        <w:ind w:left="-1872"/>
      </w:pPr>
      <w:bookmarkStart w:id="45" w:name="PrintArea24"/>
      <w:bookmarkEnd w:id="45"/>
      <w:r>
        <w:rPr>
          <w:noProof/>
        </w:rPr>
        <w:drawing>
          <wp:inline distT="0" distB="0" distL="0" distR="0">
            <wp:extent cx="4352290" cy="6755829"/>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srcRect/>
                    <a:stretch>
                      <a:fillRect/>
                    </a:stretch>
                  </pic:blipFill>
                  <pic:spPr bwMode="auto">
                    <a:xfrm>
                      <a:off x="0" y="0"/>
                      <a:ext cx="4352290" cy="6755829"/>
                    </a:xfrm>
                    <a:prstGeom prst="rect">
                      <a:avLst/>
                    </a:prstGeom>
                    <a:noFill/>
                    <a:ln w="9525">
                      <a:noFill/>
                      <a:miter lim="800000"/>
                      <a:headEnd/>
                      <a:tailEnd/>
                    </a:ln>
                  </pic:spPr>
                </pic:pic>
              </a:graphicData>
            </a:graphic>
          </wp:inline>
        </w:drawing>
      </w:r>
    </w:p>
    <w:p w:rsidR="002E61D7" w:rsidRDefault="002E61D7" w:rsidP="002E61D7">
      <w:pPr>
        <w:pStyle w:val="Body"/>
        <w:ind w:left="-1560"/>
        <w:sectPr w:rsidR="002E61D7" w:rsidSect="0098477B">
          <w:pgSz w:w="12240" w:h="15840" w:code="1"/>
          <w:pgMar w:top="1800" w:right="1138" w:bottom="936" w:left="4248" w:header="936" w:footer="576" w:gutter="0"/>
          <w:cols w:space="720"/>
          <w:formProt w:val="0"/>
          <w:docGrid w:linePitch="360"/>
        </w:sectPr>
      </w:pPr>
    </w:p>
    <w:p w:rsidR="002E61D7" w:rsidRPr="00D47FAC" w:rsidRDefault="002E61D7" w:rsidP="002E61D7">
      <w:pPr>
        <w:pStyle w:val="Body"/>
        <w:ind w:left="-1560"/>
        <w:jc w:val="both"/>
        <w:rPr>
          <w:rStyle w:val="Heading1CharCharCharCharChar"/>
        </w:rPr>
      </w:pPr>
      <w:r w:rsidRPr="00D47FAC">
        <w:rPr>
          <w:rStyle w:val="Heading1CharCharCharCharChar"/>
        </w:rPr>
        <w:lastRenderedPageBreak/>
        <w:t>Factor Summary Chart – MSCI US</w:t>
      </w:r>
    </w:p>
    <w:p w:rsidR="002E61D7" w:rsidRDefault="00721C6E" w:rsidP="002E61D7">
      <w:pPr>
        <w:pStyle w:val="Body"/>
        <w:ind w:left="-1728"/>
      </w:pPr>
      <w:bookmarkStart w:id="46" w:name="PrintArea25"/>
      <w:bookmarkEnd w:id="46"/>
      <w:r>
        <w:rPr>
          <w:noProof/>
        </w:rPr>
        <w:drawing>
          <wp:inline distT="0" distB="0" distL="0" distR="0">
            <wp:extent cx="4352290" cy="675582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a:stretch>
                      <a:fillRect/>
                    </a:stretch>
                  </pic:blipFill>
                  <pic:spPr bwMode="auto">
                    <a:xfrm>
                      <a:off x="0" y="0"/>
                      <a:ext cx="4352290" cy="6755829"/>
                    </a:xfrm>
                    <a:prstGeom prst="rect">
                      <a:avLst/>
                    </a:prstGeom>
                    <a:noFill/>
                    <a:ln w="9525">
                      <a:noFill/>
                      <a:miter lim="800000"/>
                      <a:headEnd/>
                      <a:tailEnd/>
                    </a:ln>
                  </pic:spPr>
                </pic:pic>
              </a:graphicData>
            </a:graphic>
          </wp:inline>
        </w:drawing>
      </w:r>
    </w:p>
    <w:p w:rsidR="002E61D7" w:rsidRDefault="002E61D7" w:rsidP="002E61D7">
      <w:pPr>
        <w:pStyle w:val="Body"/>
        <w:ind w:left="-1560"/>
        <w:sectPr w:rsidR="002E61D7" w:rsidSect="0098477B">
          <w:pgSz w:w="12240" w:h="15840" w:code="1"/>
          <w:pgMar w:top="1800" w:right="1138" w:bottom="936" w:left="4248" w:header="936" w:footer="576" w:gutter="0"/>
          <w:cols w:space="720"/>
          <w:formProt w:val="0"/>
          <w:docGrid w:linePitch="360"/>
        </w:sectPr>
      </w:pPr>
    </w:p>
    <w:p w:rsidR="002E61D7" w:rsidRPr="00D47FAC" w:rsidRDefault="002E61D7" w:rsidP="002E61D7">
      <w:pPr>
        <w:pStyle w:val="Body"/>
        <w:ind w:left="-1560"/>
        <w:jc w:val="both"/>
        <w:rPr>
          <w:rStyle w:val="Heading1CharCharCharCharChar"/>
        </w:rPr>
      </w:pPr>
      <w:r w:rsidRPr="00D47FAC">
        <w:rPr>
          <w:rStyle w:val="Heading1CharCharCharCharChar"/>
        </w:rPr>
        <w:lastRenderedPageBreak/>
        <w:t>Factor Summary Chart – MSCI GEM</w:t>
      </w:r>
    </w:p>
    <w:p w:rsidR="002E61D7" w:rsidRDefault="00721C6E" w:rsidP="002E61D7">
      <w:pPr>
        <w:pStyle w:val="Body"/>
        <w:ind w:left="-1728"/>
      </w:pPr>
      <w:bookmarkStart w:id="47" w:name="PrintArea26"/>
      <w:bookmarkEnd w:id="47"/>
      <w:r>
        <w:rPr>
          <w:noProof/>
        </w:rPr>
        <w:drawing>
          <wp:inline distT="0" distB="0" distL="0" distR="0">
            <wp:extent cx="4352290" cy="6755829"/>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srcRect/>
                    <a:stretch>
                      <a:fillRect/>
                    </a:stretch>
                  </pic:blipFill>
                  <pic:spPr bwMode="auto">
                    <a:xfrm>
                      <a:off x="0" y="0"/>
                      <a:ext cx="4352290" cy="6755829"/>
                    </a:xfrm>
                    <a:prstGeom prst="rect">
                      <a:avLst/>
                    </a:prstGeom>
                    <a:noFill/>
                    <a:ln w="9525">
                      <a:noFill/>
                      <a:miter lim="800000"/>
                      <a:headEnd/>
                      <a:tailEnd/>
                    </a:ln>
                  </pic:spPr>
                </pic:pic>
              </a:graphicData>
            </a:graphic>
          </wp:inline>
        </w:drawing>
      </w:r>
    </w:p>
    <w:p w:rsidR="002E61D7" w:rsidRDefault="002E61D7" w:rsidP="002E61D7">
      <w:pPr>
        <w:pStyle w:val="Body"/>
        <w:ind w:left="-1560"/>
        <w:sectPr w:rsidR="002E61D7" w:rsidSect="0098477B">
          <w:pgSz w:w="12240" w:h="15840" w:code="1"/>
          <w:pgMar w:top="1800" w:right="1138" w:bottom="936" w:left="4248" w:header="936" w:footer="576" w:gutter="0"/>
          <w:cols w:space="720"/>
          <w:formProt w:val="0"/>
          <w:docGrid w:linePitch="360"/>
        </w:sectPr>
      </w:pPr>
    </w:p>
    <w:p w:rsidR="002E61D7" w:rsidRPr="00D47FAC" w:rsidRDefault="002E61D7" w:rsidP="002E61D7">
      <w:pPr>
        <w:pStyle w:val="Body"/>
        <w:ind w:left="-1560"/>
        <w:jc w:val="both"/>
        <w:rPr>
          <w:rStyle w:val="Heading1CharCharCharCharChar"/>
        </w:rPr>
      </w:pPr>
      <w:r w:rsidRPr="00D47FAC">
        <w:rPr>
          <w:rStyle w:val="Heading1CharCharCharCharChar"/>
        </w:rPr>
        <w:lastRenderedPageBreak/>
        <w:t>Factor Summary Chart – MSCI EM ex Asia</w:t>
      </w:r>
    </w:p>
    <w:p w:rsidR="002E61D7" w:rsidRDefault="00721C6E" w:rsidP="002E61D7">
      <w:pPr>
        <w:pStyle w:val="Body"/>
        <w:ind w:left="-1584"/>
      </w:pPr>
      <w:bookmarkStart w:id="48" w:name="PrintArea27"/>
      <w:bookmarkEnd w:id="48"/>
      <w:r>
        <w:rPr>
          <w:noProof/>
        </w:rPr>
        <w:drawing>
          <wp:inline distT="0" distB="0" distL="0" distR="0">
            <wp:extent cx="4352290" cy="6755829"/>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srcRect/>
                    <a:stretch>
                      <a:fillRect/>
                    </a:stretch>
                  </pic:blipFill>
                  <pic:spPr bwMode="auto">
                    <a:xfrm>
                      <a:off x="0" y="0"/>
                      <a:ext cx="4352290" cy="6755829"/>
                    </a:xfrm>
                    <a:prstGeom prst="rect">
                      <a:avLst/>
                    </a:prstGeom>
                    <a:noFill/>
                    <a:ln w="9525">
                      <a:noFill/>
                      <a:miter lim="800000"/>
                      <a:headEnd/>
                      <a:tailEnd/>
                    </a:ln>
                  </pic:spPr>
                </pic:pic>
              </a:graphicData>
            </a:graphic>
          </wp:inline>
        </w:drawing>
      </w:r>
    </w:p>
    <w:p w:rsidR="002E61D7" w:rsidRDefault="002E61D7" w:rsidP="002E61D7">
      <w:pPr>
        <w:pStyle w:val="Body"/>
        <w:ind w:left="-1560"/>
        <w:sectPr w:rsidR="002E61D7" w:rsidSect="0098477B">
          <w:pgSz w:w="12240" w:h="15840" w:code="1"/>
          <w:pgMar w:top="1800" w:right="1138" w:bottom="936" w:left="4248" w:header="936" w:footer="576" w:gutter="0"/>
          <w:cols w:space="720"/>
          <w:formProt w:val="0"/>
          <w:docGrid w:linePitch="360"/>
        </w:sectPr>
      </w:pPr>
    </w:p>
    <w:p w:rsidR="002E61D7" w:rsidRPr="00D47FAC" w:rsidRDefault="002E61D7" w:rsidP="002E61D7">
      <w:pPr>
        <w:pStyle w:val="Body"/>
        <w:ind w:left="-1560"/>
        <w:jc w:val="both"/>
        <w:rPr>
          <w:rStyle w:val="Heading1CharCharCharCharChar"/>
        </w:rPr>
      </w:pPr>
      <w:r w:rsidRPr="00D47FAC">
        <w:rPr>
          <w:rStyle w:val="Heading1CharCharCharCharChar"/>
        </w:rPr>
        <w:lastRenderedPageBreak/>
        <w:t>Factor Summary Chart – MSCI Global Developed</w:t>
      </w:r>
    </w:p>
    <w:p w:rsidR="002E61D7" w:rsidRDefault="00721C6E" w:rsidP="002E61D7">
      <w:pPr>
        <w:pStyle w:val="Body"/>
        <w:ind w:left="-1296"/>
      </w:pPr>
      <w:bookmarkStart w:id="49" w:name="PrintArea28"/>
      <w:bookmarkEnd w:id="49"/>
      <w:r>
        <w:rPr>
          <w:noProof/>
        </w:rPr>
        <w:drawing>
          <wp:inline distT="0" distB="0" distL="0" distR="0">
            <wp:extent cx="4352290" cy="675582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srcRect/>
                    <a:stretch>
                      <a:fillRect/>
                    </a:stretch>
                  </pic:blipFill>
                  <pic:spPr bwMode="auto">
                    <a:xfrm>
                      <a:off x="0" y="0"/>
                      <a:ext cx="4352290" cy="6755829"/>
                    </a:xfrm>
                    <a:prstGeom prst="rect">
                      <a:avLst/>
                    </a:prstGeom>
                    <a:noFill/>
                    <a:ln w="9525">
                      <a:noFill/>
                      <a:miter lim="800000"/>
                      <a:headEnd/>
                      <a:tailEnd/>
                    </a:ln>
                  </pic:spPr>
                </pic:pic>
              </a:graphicData>
            </a:graphic>
          </wp:inline>
        </w:drawing>
      </w:r>
    </w:p>
    <w:p w:rsidR="002E61D7" w:rsidRDefault="002E61D7" w:rsidP="002E61D7">
      <w:pPr>
        <w:pStyle w:val="Body"/>
        <w:ind w:left="-1560"/>
        <w:sectPr w:rsidR="002E61D7" w:rsidSect="0098477B">
          <w:pgSz w:w="12240" w:h="15840" w:code="1"/>
          <w:pgMar w:top="1800" w:right="1138" w:bottom="936" w:left="4248" w:header="936" w:footer="576" w:gutter="0"/>
          <w:cols w:space="720"/>
          <w:formProt w:val="0"/>
          <w:docGrid w:linePitch="360"/>
        </w:sectPr>
      </w:pPr>
    </w:p>
    <w:p w:rsidR="002E61D7" w:rsidRPr="007E2020" w:rsidRDefault="002E61D7" w:rsidP="002E61D7">
      <w:pPr>
        <w:pStyle w:val="Body"/>
        <w:ind w:left="-1560"/>
        <w:jc w:val="both"/>
        <w:rPr>
          <w:rFonts w:ascii="Arial" w:hAnsi="Arial" w:cs="Arial"/>
          <w:bCs/>
          <w:color w:val="4E8ABE"/>
          <w:kern w:val="32"/>
          <w:sz w:val="36"/>
          <w:szCs w:val="36"/>
        </w:rPr>
      </w:pPr>
      <w:r w:rsidRPr="00D47FAC">
        <w:rPr>
          <w:rStyle w:val="Heading1CharCharCharCharChar"/>
        </w:rPr>
        <w:lastRenderedPageBreak/>
        <w:t xml:space="preserve">Factor Summary Chart – MSCI </w:t>
      </w:r>
      <w:r>
        <w:rPr>
          <w:rStyle w:val="Heading1CharCharCharCharChar"/>
        </w:rPr>
        <w:t>All world</w:t>
      </w:r>
    </w:p>
    <w:p w:rsidR="002E61D7" w:rsidRDefault="00721C6E" w:rsidP="002E61D7">
      <w:pPr>
        <w:pStyle w:val="Body"/>
        <w:ind w:left="-1296" w:hanging="480"/>
      </w:pPr>
      <w:bookmarkStart w:id="50" w:name="PrintArea31"/>
      <w:bookmarkEnd w:id="50"/>
      <w:r>
        <w:rPr>
          <w:noProof/>
        </w:rPr>
        <w:drawing>
          <wp:inline distT="0" distB="0" distL="0" distR="0">
            <wp:extent cx="4352290" cy="675582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srcRect/>
                    <a:stretch>
                      <a:fillRect/>
                    </a:stretch>
                  </pic:blipFill>
                  <pic:spPr bwMode="auto">
                    <a:xfrm>
                      <a:off x="0" y="0"/>
                      <a:ext cx="4352290" cy="6755829"/>
                    </a:xfrm>
                    <a:prstGeom prst="rect">
                      <a:avLst/>
                    </a:prstGeom>
                    <a:noFill/>
                    <a:ln w="9525">
                      <a:noFill/>
                      <a:miter lim="800000"/>
                      <a:headEnd/>
                      <a:tailEnd/>
                    </a:ln>
                  </pic:spPr>
                </pic:pic>
              </a:graphicData>
            </a:graphic>
          </wp:inline>
        </w:drawing>
      </w:r>
    </w:p>
    <w:p w:rsidR="002E61D7" w:rsidRDefault="002E61D7" w:rsidP="002E61D7">
      <w:pPr>
        <w:pStyle w:val="Body"/>
        <w:ind w:left="-1560"/>
        <w:sectPr w:rsidR="002E61D7" w:rsidSect="0098477B">
          <w:pgSz w:w="12240" w:h="15840" w:code="1"/>
          <w:pgMar w:top="1800" w:right="1138" w:bottom="936" w:left="4248" w:header="936" w:footer="576" w:gutter="0"/>
          <w:cols w:space="720"/>
          <w:formProt w:val="0"/>
          <w:docGrid w:linePitch="360"/>
        </w:sectPr>
      </w:pPr>
    </w:p>
    <w:p w:rsidR="002E61D7" w:rsidRDefault="002E61D7" w:rsidP="00A04A44">
      <w:pPr>
        <w:pStyle w:val="Body"/>
        <w:ind w:left="-2550" w:firstLine="990"/>
        <w:rPr>
          <w:rStyle w:val="Heading1Char"/>
        </w:rPr>
      </w:pPr>
      <w:bookmarkStart w:id="51" w:name="_Toc368470415"/>
      <w:r>
        <w:rPr>
          <w:rStyle w:val="Heading1Char"/>
        </w:rPr>
        <w:lastRenderedPageBreak/>
        <w:t xml:space="preserve">Information </w:t>
      </w:r>
      <w:r w:rsidR="00E57ECC">
        <w:rPr>
          <w:rStyle w:val="Heading1Char"/>
        </w:rPr>
        <w:t>Coefficient</w:t>
      </w:r>
      <w:r>
        <w:rPr>
          <w:rStyle w:val="Heading1Char"/>
        </w:rPr>
        <w:t xml:space="preserve"> Matrix – Valuation</w:t>
      </w:r>
      <w:bookmarkEnd w:id="51"/>
    </w:p>
    <w:p w:rsidR="002E61D7" w:rsidRDefault="00A04A44" w:rsidP="00A04A44">
      <w:pPr>
        <w:pStyle w:val="Body"/>
        <w:ind w:left="-1584"/>
        <w:sectPr w:rsidR="002E61D7" w:rsidSect="0098477B">
          <w:pgSz w:w="12240" w:h="15840" w:code="1"/>
          <w:pgMar w:top="1800" w:right="1138" w:bottom="936" w:left="4248" w:header="936" w:footer="576" w:gutter="0"/>
          <w:cols w:space="720"/>
          <w:formProt w:val="0"/>
          <w:docGrid w:linePitch="360"/>
        </w:sectPr>
      </w:pPr>
      <w:r w:rsidRPr="00A04A44">
        <w:rPr>
          <w:noProof/>
        </w:rPr>
        <w:drawing>
          <wp:inline distT="0" distB="0" distL="0" distR="0">
            <wp:extent cx="5264487" cy="68580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srcRect/>
                    <a:stretch>
                      <a:fillRect/>
                    </a:stretch>
                  </pic:blipFill>
                  <pic:spPr bwMode="auto">
                    <a:xfrm>
                      <a:off x="0" y="0"/>
                      <a:ext cx="5264487" cy="6858000"/>
                    </a:xfrm>
                    <a:prstGeom prst="rect">
                      <a:avLst/>
                    </a:prstGeom>
                    <a:noFill/>
                    <a:ln w="9525">
                      <a:noFill/>
                      <a:miter lim="800000"/>
                      <a:headEnd/>
                      <a:tailEnd/>
                    </a:ln>
                  </pic:spPr>
                </pic:pic>
              </a:graphicData>
            </a:graphic>
          </wp:inline>
        </w:drawing>
      </w:r>
    </w:p>
    <w:p w:rsidR="002E61D7" w:rsidRDefault="002E61D7" w:rsidP="002E61D7">
      <w:pPr>
        <w:pStyle w:val="Body"/>
        <w:ind w:left="-3150" w:firstLine="1590"/>
        <w:rPr>
          <w:rStyle w:val="Heading1Char"/>
        </w:rPr>
      </w:pPr>
      <w:bookmarkStart w:id="52" w:name="_Toc368470416"/>
      <w:r>
        <w:rPr>
          <w:rStyle w:val="Heading1Char"/>
        </w:rPr>
        <w:lastRenderedPageBreak/>
        <w:t xml:space="preserve">Information </w:t>
      </w:r>
      <w:r w:rsidR="00E57ECC">
        <w:rPr>
          <w:rStyle w:val="Heading1Char"/>
        </w:rPr>
        <w:t>Coefficient</w:t>
      </w:r>
      <w:r>
        <w:rPr>
          <w:rStyle w:val="Heading1Char"/>
        </w:rPr>
        <w:t xml:space="preserve"> Matrix – Earnings</w:t>
      </w:r>
      <w:bookmarkEnd w:id="52"/>
    </w:p>
    <w:p w:rsidR="002E61D7" w:rsidRDefault="00A04A44" w:rsidP="00A04A44">
      <w:pPr>
        <w:pStyle w:val="Body"/>
        <w:ind w:left="-3125" w:firstLine="1590"/>
        <w:rPr>
          <w:rStyle w:val="Heading1Char"/>
        </w:rPr>
      </w:pPr>
      <w:r w:rsidRPr="00A04A44">
        <w:rPr>
          <w:noProof/>
          <w:szCs w:val="36"/>
        </w:rPr>
        <w:drawing>
          <wp:inline distT="0" distB="0" distL="0" distR="0">
            <wp:extent cx="5264487" cy="68580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srcRect/>
                    <a:stretch>
                      <a:fillRect/>
                    </a:stretch>
                  </pic:blipFill>
                  <pic:spPr bwMode="auto">
                    <a:xfrm>
                      <a:off x="0" y="0"/>
                      <a:ext cx="5264487" cy="6858000"/>
                    </a:xfrm>
                    <a:prstGeom prst="rect">
                      <a:avLst/>
                    </a:prstGeom>
                    <a:noFill/>
                    <a:ln w="9525">
                      <a:noFill/>
                      <a:miter lim="800000"/>
                      <a:headEnd/>
                      <a:tailEnd/>
                    </a:ln>
                  </pic:spPr>
                </pic:pic>
              </a:graphicData>
            </a:graphic>
          </wp:inline>
        </w:drawing>
      </w:r>
    </w:p>
    <w:p w:rsidR="002E61D7" w:rsidRDefault="002E61D7" w:rsidP="002E61D7">
      <w:pPr>
        <w:pStyle w:val="Body"/>
        <w:ind w:left="-3312" w:firstLine="1590"/>
        <w:rPr>
          <w:rStyle w:val="Heading1Char"/>
        </w:rPr>
      </w:pPr>
    </w:p>
    <w:p w:rsidR="002E61D7" w:rsidRDefault="002E61D7" w:rsidP="002E61D7">
      <w:pPr>
        <w:pStyle w:val="Body"/>
        <w:ind w:left="-2304"/>
      </w:pPr>
    </w:p>
    <w:p w:rsidR="002E61D7" w:rsidRDefault="002E61D7" w:rsidP="002E61D7">
      <w:pPr>
        <w:pStyle w:val="Body"/>
        <w:ind w:left="-1560"/>
      </w:pPr>
    </w:p>
    <w:p w:rsidR="002E61D7" w:rsidRDefault="002E61D7" w:rsidP="002E61D7">
      <w:pPr>
        <w:pStyle w:val="Body"/>
        <w:ind w:left="-1560"/>
        <w:sectPr w:rsidR="002E61D7" w:rsidSect="0098477B">
          <w:pgSz w:w="12240" w:h="15840" w:code="1"/>
          <w:pgMar w:top="1800" w:right="1138" w:bottom="936" w:left="4248" w:header="936" w:footer="576" w:gutter="0"/>
          <w:cols w:space="720"/>
          <w:formProt w:val="0"/>
          <w:docGrid w:linePitch="360"/>
        </w:sectPr>
      </w:pPr>
    </w:p>
    <w:p w:rsidR="002E61D7" w:rsidRDefault="002E61D7" w:rsidP="002E61D7">
      <w:pPr>
        <w:pStyle w:val="Body"/>
        <w:ind w:left="-2550" w:firstLine="990"/>
        <w:rPr>
          <w:rStyle w:val="Heading1Char"/>
        </w:rPr>
      </w:pPr>
      <w:bookmarkStart w:id="53" w:name="_Toc368470417"/>
      <w:r>
        <w:rPr>
          <w:rStyle w:val="Heading1Char"/>
        </w:rPr>
        <w:lastRenderedPageBreak/>
        <w:t xml:space="preserve">Information </w:t>
      </w:r>
      <w:r w:rsidR="00E57ECC">
        <w:rPr>
          <w:rStyle w:val="Heading1Char"/>
        </w:rPr>
        <w:t>Coefficient</w:t>
      </w:r>
      <w:r>
        <w:rPr>
          <w:rStyle w:val="Heading1Char"/>
        </w:rPr>
        <w:t xml:space="preserve"> Matrix – Price</w:t>
      </w:r>
      <w:bookmarkEnd w:id="53"/>
    </w:p>
    <w:p w:rsidR="002E61D7" w:rsidRDefault="00A04A44" w:rsidP="00A04A44">
      <w:pPr>
        <w:pStyle w:val="Body"/>
        <w:ind w:left="-2592" w:firstLine="990"/>
        <w:rPr>
          <w:rStyle w:val="Heading1Char"/>
        </w:rPr>
      </w:pPr>
      <w:r w:rsidRPr="00A04A44">
        <w:rPr>
          <w:noProof/>
          <w:szCs w:val="36"/>
        </w:rPr>
        <w:drawing>
          <wp:inline distT="0" distB="0" distL="0" distR="0">
            <wp:extent cx="5264487" cy="68580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srcRect/>
                    <a:stretch>
                      <a:fillRect/>
                    </a:stretch>
                  </pic:blipFill>
                  <pic:spPr bwMode="auto">
                    <a:xfrm>
                      <a:off x="0" y="0"/>
                      <a:ext cx="5264487" cy="6858000"/>
                    </a:xfrm>
                    <a:prstGeom prst="rect">
                      <a:avLst/>
                    </a:prstGeom>
                    <a:noFill/>
                    <a:ln w="9525">
                      <a:noFill/>
                      <a:miter lim="800000"/>
                      <a:headEnd/>
                      <a:tailEnd/>
                    </a:ln>
                  </pic:spPr>
                </pic:pic>
              </a:graphicData>
            </a:graphic>
          </wp:inline>
        </w:drawing>
      </w:r>
    </w:p>
    <w:p w:rsidR="002E61D7" w:rsidRDefault="002E61D7" w:rsidP="007C1AEA">
      <w:pPr>
        <w:pStyle w:val="Body"/>
        <w:ind w:left="-1728"/>
      </w:pPr>
    </w:p>
    <w:p w:rsidR="002E61D7" w:rsidRDefault="002E61D7" w:rsidP="002E61D7">
      <w:pPr>
        <w:pStyle w:val="Body"/>
        <w:ind w:left="-1560"/>
      </w:pPr>
    </w:p>
    <w:p w:rsidR="002E61D7" w:rsidRDefault="002E61D7" w:rsidP="002E61D7">
      <w:pPr>
        <w:pStyle w:val="Body"/>
        <w:ind w:left="-1560"/>
        <w:sectPr w:rsidR="002E61D7" w:rsidSect="0098477B">
          <w:pgSz w:w="12240" w:h="15840" w:code="1"/>
          <w:pgMar w:top="1800" w:right="1138" w:bottom="936" w:left="4248" w:header="936" w:footer="576" w:gutter="0"/>
          <w:cols w:space="720"/>
          <w:formProt w:val="0"/>
          <w:docGrid w:linePitch="360"/>
        </w:sectPr>
      </w:pPr>
    </w:p>
    <w:p w:rsidR="002E61D7" w:rsidRDefault="002E61D7" w:rsidP="002E61D7">
      <w:pPr>
        <w:pStyle w:val="Body"/>
        <w:ind w:left="-3150" w:firstLine="1590"/>
        <w:rPr>
          <w:rStyle w:val="Heading1Char"/>
        </w:rPr>
      </w:pPr>
      <w:bookmarkStart w:id="54" w:name="_Toc368470418"/>
      <w:r>
        <w:rPr>
          <w:rStyle w:val="Heading1Char"/>
        </w:rPr>
        <w:lastRenderedPageBreak/>
        <w:t xml:space="preserve">Information </w:t>
      </w:r>
      <w:r w:rsidR="00E57ECC">
        <w:rPr>
          <w:rStyle w:val="Heading1Char"/>
        </w:rPr>
        <w:t>Coefficient</w:t>
      </w:r>
      <w:r>
        <w:rPr>
          <w:rStyle w:val="Heading1Char"/>
        </w:rPr>
        <w:t xml:space="preserve"> Matrix – Quality</w:t>
      </w:r>
      <w:bookmarkEnd w:id="54"/>
    </w:p>
    <w:p w:rsidR="002E61D7" w:rsidRDefault="00A04A44" w:rsidP="00A04A44">
      <w:pPr>
        <w:pStyle w:val="Body"/>
        <w:ind w:left="-3168" w:firstLine="1590"/>
        <w:rPr>
          <w:rStyle w:val="Heading1Char"/>
        </w:rPr>
      </w:pPr>
      <w:r w:rsidRPr="00A04A44">
        <w:rPr>
          <w:noProof/>
          <w:szCs w:val="36"/>
        </w:rPr>
        <w:drawing>
          <wp:inline distT="0" distB="0" distL="0" distR="0">
            <wp:extent cx="5264487" cy="68580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srcRect/>
                    <a:stretch>
                      <a:fillRect/>
                    </a:stretch>
                  </pic:blipFill>
                  <pic:spPr bwMode="auto">
                    <a:xfrm>
                      <a:off x="0" y="0"/>
                      <a:ext cx="5264487" cy="6858000"/>
                    </a:xfrm>
                    <a:prstGeom prst="rect">
                      <a:avLst/>
                    </a:prstGeom>
                    <a:noFill/>
                    <a:ln w="9525">
                      <a:noFill/>
                      <a:miter lim="800000"/>
                      <a:headEnd/>
                      <a:tailEnd/>
                    </a:ln>
                  </pic:spPr>
                </pic:pic>
              </a:graphicData>
            </a:graphic>
          </wp:inline>
        </w:drawing>
      </w:r>
    </w:p>
    <w:p w:rsidR="002E61D7" w:rsidRDefault="002E61D7" w:rsidP="002E61D7">
      <w:pPr>
        <w:pStyle w:val="Body"/>
        <w:ind w:left="-2304"/>
      </w:pPr>
    </w:p>
    <w:p w:rsidR="002E61D7" w:rsidRDefault="002E61D7" w:rsidP="002E61D7">
      <w:pPr>
        <w:pStyle w:val="Body"/>
        <w:ind w:left="-1560"/>
      </w:pPr>
    </w:p>
    <w:p w:rsidR="002E61D7" w:rsidRDefault="002E61D7" w:rsidP="002E61D7">
      <w:pPr>
        <w:pStyle w:val="Body"/>
        <w:ind w:left="-1560"/>
        <w:sectPr w:rsidR="002E61D7" w:rsidSect="0098477B">
          <w:pgSz w:w="12240" w:h="15840" w:code="1"/>
          <w:pgMar w:top="1800" w:right="1138" w:bottom="936" w:left="4248" w:header="936" w:footer="576" w:gutter="0"/>
          <w:cols w:space="720"/>
          <w:formProt w:val="0"/>
          <w:docGrid w:linePitch="360"/>
        </w:sectPr>
      </w:pPr>
    </w:p>
    <w:p w:rsidR="002E61D7" w:rsidRDefault="002E61D7" w:rsidP="002E61D7">
      <w:pPr>
        <w:pStyle w:val="Body"/>
        <w:ind w:left="-2550" w:firstLine="990"/>
        <w:rPr>
          <w:rStyle w:val="Heading1Char"/>
        </w:rPr>
      </w:pPr>
      <w:bookmarkStart w:id="55" w:name="_Toc368470419"/>
      <w:r>
        <w:rPr>
          <w:rStyle w:val="Heading1Char"/>
        </w:rPr>
        <w:lastRenderedPageBreak/>
        <w:t xml:space="preserve">Information </w:t>
      </w:r>
      <w:r w:rsidR="00E57ECC">
        <w:rPr>
          <w:rStyle w:val="Heading1Char"/>
        </w:rPr>
        <w:t>Coefficient</w:t>
      </w:r>
      <w:r>
        <w:rPr>
          <w:rStyle w:val="Heading1Char"/>
        </w:rPr>
        <w:t xml:space="preserve"> Matrix – Model</w:t>
      </w:r>
      <w:bookmarkEnd w:id="55"/>
    </w:p>
    <w:p w:rsidR="002E61D7" w:rsidRDefault="00A04A44" w:rsidP="00A04A44">
      <w:pPr>
        <w:pStyle w:val="Body"/>
        <w:ind w:left="-2592" w:firstLine="990"/>
        <w:rPr>
          <w:rStyle w:val="Heading1Char"/>
        </w:rPr>
      </w:pPr>
      <w:r w:rsidRPr="00A04A44">
        <w:rPr>
          <w:noProof/>
          <w:szCs w:val="36"/>
        </w:rPr>
        <w:drawing>
          <wp:inline distT="0" distB="0" distL="0" distR="0">
            <wp:extent cx="5264487" cy="68580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srcRect/>
                    <a:stretch>
                      <a:fillRect/>
                    </a:stretch>
                  </pic:blipFill>
                  <pic:spPr bwMode="auto">
                    <a:xfrm>
                      <a:off x="0" y="0"/>
                      <a:ext cx="5264487" cy="6858000"/>
                    </a:xfrm>
                    <a:prstGeom prst="rect">
                      <a:avLst/>
                    </a:prstGeom>
                    <a:noFill/>
                    <a:ln w="9525">
                      <a:noFill/>
                      <a:miter lim="800000"/>
                      <a:headEnd/>
                      <a:tailEnd/>
                    </a:ln>
                  </pic:spPr>
                </pic:pic>
              </a:graphicData>
            </a:graphic>
          </wp:inline>
        </w:drawing>
      </w:r>
    </w:p>
    <w:p w:rsidR="002E61D7" w:rsidRDefault="002E61D7" w:rsidP="002E61D7">
      <w:pPr>
        <w:pStyle w:val="Body"/>
        <w:ind w:left="-2304"/>
      </w:pPr>
    </w:p>
    <w:p w:rsidR="002E61D7" w:rsidRDefault="002E61D7" w:rsidP="002E61D7">
      <w:pPr>
        <w:pStyle w:val="Body"/>
        <w:ind w:left="-1560"/>
      </w:pPr>
    </w:p>
    <w:p w:rsidR="002E61D7" w:rsidRDefault="002E61D7" w:rsidP="002E61D7">
      <w:pPr>
        <w:pStyle w:val="Body"/>
        <w:ind w:left="-1560"/>
        <w:sectPr w:rsidR="002E61D7" w:rsidSect="0098477B">
          <w:pgSz w:w="12240" w:h="15840" w:code="1"/>
          <w:pgMar w:top="1800" w:right="1138" w:bottom="936" w:left="4248" w:header="936" w:footer="576" w:gutter="0"/>
          <w:cols w:space="720"/>
          <w:formProt w:val="0"/>
          <w:docGrid w:linePitch="360"/>
        </w:sectPr>
      </w:pPr>
    </w:p>
    <w:p w:rsidR="002E61D7" w:rsidRDefault="002E61D7" w:rsidP="002E61D7">
      <w:pPr>
        <w:pStyle w:val="Heading1"/>
        <w:spacing w:before="0"/>
        <w:ind w:left="-3125"/>
      </w:pPr>
      <w:bookmarkStart w:id="56" w:name="_Toc248666206"/>
      <w:bookmarkStart w:id="57" w:name="_Toc368470420"/>
      <w:r>
        <w:lastRenderedPageBreak/>
        <w:t>Factor Definitions</w:t>
      </w:r>
      <w:bookmarkEnd w:id="56"/>
      <w:bookmarkEnd w:id="57"/>
    </w:p>
    <w:tbl>
      <w:tblPr>
        <w:tblW w:w="7161" w:type="pct"/>
        <w:tblInd w:w="-3000" w:type="dxa"/>
        <w:tblCellMar>
          <w:left w:w="7" w:type="dxa"/>
          <w:right w:w="7" w:type="dxa"/>
        </w:tblCellMar>
        <w:tblLook w:val="0000"/>
      </w:tblPr>
      <w:tblGrid>
        <w:gridCol w:w="2617"/>
        <w:gridCol w:w="7612"/>
      </w:tblGrid>
      <w:tr w:rsidR="002E61D7" w:rsidRPr="00840069" w:rsidTr="00117EB5">
        <w:tc>
          <w:tcPr>
            <w:tcW w:w="1279" w:type="pct"/>
            <w:tcBorders>
              <w:top w:val="single" w:sz="4" w:space="0" w:color="auto"/>
              <w:left w:val="single" w:sz="4" w:space="0" w:color="auto"/>
              <w:bottom w:val="single" w:sz="4" w:space="0" w:color="auto"/>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b/>
                <w:sz w:val="16"/>
                <w:szCs w:val="16"/>
              </w:rPr>
            </w:pPr>
            <w:r w:rsidRPr="00840069">
              <w:rPr>
                <w:rFonts w:ascii="Arial" w:hAnsi="Arial" w:cs="Arial"/>
                <w:b/>
                <w:sz w:val="16"/>
                <w:szCs w:val="16"/>
              </w:rPr>
              <w:t>VALUATION FACTORS</w:t>
            </w:r>
          </w:p>
        </w:tc>
        <w:tc>
          <w:tcPr>
            <w:tcW w:w="3721" w:type="pct"/>
            <w:tcBorders>
              <w:top w:val="single" w:sz="4" w:space="0" w:color="auto"/>
              <w:left w:val="nil"/>
              <w:bottom w:val="single" w:sz="4" w:space="0" w:color="auto"/>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p>
        </w:tc>
      </w:tr>
      <w:tr w:rsidR="002E61D7" w:rsidRPr="00840069" w:rsidTr="00117EB5">
        <w:tc>
          <w:tcPr>
            <w:tcW w:w="1279" w:type="pct"/>
            <w:tcBorders>
              <w:top w:val="single" w:sz="4" w:space="0" w:color="auto"/>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Historical Book</w:t>
            </w:r>
            <w:r>
              <w:rPr>
                <w:rFonts w:ascii="Arial" w:hAnsi="Arial" w:cs="Arial"/>
                <w:sz w:val="16"/>
                <w:szCs w:val="16"/>
              </w:rPr>
              <w:t xml:space="preserve">/Market </w:t>
            </w:r>
            <w:r w:rsidRPr="00840069">
              <w:rPr>
                <w:rFonts w:ascii="Arial" w:hAnsi="Arial" w:cs="Arial"/>
                <w:sz w:val="16"/>
                <w:szCs w:val="16"/>
              </w:rPr>
              <w:t>Ratio</w:t>
            </w:r>
          </w:p>
        </w:tc>
        <w:tc>
          <w:tcPr>
            <w:tcW w:w="3721" w:type="pct"/>
            <w:tcBorders>
              <w:top w:val="single" w:sz="4" w:space="0" w:color="auto"/>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 xml:space="preserve">This factor ranks stocks based on month end </w:t>
            </w:r>
            <w:r>
              <w:rPr>
                <w:rFonts w:ascii="Arial" w:hAnsi="Arial" w:cs="Arial"/>
                <w:sz w:val="16"/>
                <w:szCs w:val="16"/>
              </w:rPr>
              <w:t xml:space="preserve">market cap </w:t>
            </w:r>
            <w:r w:rsidRPr="00840069">
              <w:rPr>
                <w:rFonts w:ascii="Arial" w:hAnsi="Arial" w:cs="Arial"/>
                <w:sz w:val="16"/>
                <w:szCs w:val="16"/>
              </w:rPr>
              <w:t xml:space="preserve">and most recent published </w:t>
            </w:r>
            <w:r>
              <w:rPr>
                <w:rFonts w:ascii="Arial" w:hAnsi="Arial" w:cs="Arial"/>
                <w:sz w:val="16"/>
                <w:szCs w:val="16"/>
              </w:rPr>
              <w:t xml:space="preserve">12 month trailing </w:t>
            </w:r>
            <w:r w:rsidRPr="00840069">
              <w:rPr>
                <w:rFonts w:ascii="Arial" w:hAnsi="Arial" w:cs="Arial"/>
                <w:sz w:val="16"/>
                <w:szCs w:val="16"/>
              </w:rPr>
              <w:t>Historical Book Value.</w:t>
            </w:r>
            <w:r>
              <w:rPr>
                <w:rFonts w:ascii="Arial" w:hAnsi="Arial" w:cs="Arial"/>
                <w:sz w:val="16"/>
                <w:szCs w:val="16"/>
              </w:rPr>
              <w:t xml:space="preserve"> Source: MSCI</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Historical P/Cash Earnings Ratio</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Stocks are ranked by their P/Cash Earnings Ratio. The difference between earnings and cash earnings is that depreciation on fixed assets is added to earnings to arrive at cash earnings. Cash earnings also include amortization when it is not separately reported on the accounts.</w:t>
            </w:r>
            <w:r>
              <w:rPr>
                <w:rFonts w:ascii="Arial" w:hAnsi="Arial" w:cs="Arial"/>
                <w:sz w:val="16"/>
                <w:szCs w:val="16"/>
              </w:rPr>
              <w:t xml:space="preserve"> Source: MSCI</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 xml:space="preserve">Cash Flow </w:t>
            </w:r>
            <w:r>
              <w:rPr>
                <w:rFonts w:ascii="Arial" w:hAnsi="Arial" w:cs="Arial"/>
                <w:sz w:val="16"/>
                <w:szCs w:val="16"/>
              </w:rPr>
              <w:t>Yield</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Forecast Cash Flow for both FY1 and FY2 is combined and then stocks are ranked such that those stocks with the highest Cash Flow yield are allocated to quintile 1.</w:t>
            </w:r>
            <w:r>
              <w:rPr>
                <w:rFonts w:ascii="Arial" w:hAnsi="Arial" w:cs="Arial"/>
                <w:sz w:val="16"/>
                <w:szCs w:val="16"/>
              </w:rPr>
              <w:t xml:space="preserve"> Source: Thomson</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Historical Earnings Yield</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Stocks are ranked by their P/Historical Earnings Ratio. Those stocks with the lowest ratio are allocated to quintile 1 and those with the highest to quintile 5. Historical earnings are updated quarterly, semi annually or annually depending on the country.</w:t>
            </w:r>
            <w:r>
              <w:rPr>
                <w:rFonts w:ascii="Arial" w:hAnsi="Arial" w:cs="Arial"/>
                <w:sz w:val="16"/>
                <w:szCs w:val="16"/>
              </w:rPr>
              <w:t xml:space="preserve"> Source: MSCI</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1 year forward PE</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A pro-rata of consensus analyst FY1 and FY2 forecasts is used to create a 12 month forward earnings estimate number. Stocks are ranked such that those with the lowest ratio are allocated to quintile 1 and those with the highest to quintile 5.</w:t>
            </w:r>
            <w:r>
              <w:rPr>
                <w:rFonts w:ascii="Arial" w:hAnsi="Arial" w:cs="Arial"/>
                <w:sz w:val="16"/>
                <w:szCs w:val="16"/>
              </w:rPr>
              <w:t xml:space="preserve"> Source: Thomson</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1 year forward PE Relative To History</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 xml:space="preserve">Stocks are ranked by their current forecast P/E ratio relative to their historical 3 year average P/E1 year forward forecast PE Relative To History. Those stocks that are 'cheapest' relative to their history are allocated to quintile 1 and those that are most </w:t>
            </w:r>
            <w:r>
              <w:rPr>
                <w:rFonts w:ascii="Arial" w:hAnsi="Arial" w:cs="Arial"/>
                <w:sz w:val="16"/>
                <w:szCs w:val="16"/>
              </w:rPr>
              <w:t>ex</w:t>
            </w:r>
            <w:r w:rsidRPr="00840069">
              <w:rPr>
                <w:rFonts w:ascii="Arial" w:hAnsi="Arial" w:cs="Arial"/>
                <w:sz w:val="16"/>
                <w:szCs w:val="16"/>
              </w:rPr>
              <w:t>pensive to quintile 5.</w:t>
            </w:r>
            <w:r>
              <w:rPr>
                <w:rFonts w:ascii="Arial" w:hAnsi="Arial" w:cs="Arial"/>
                <w:sz w:val="16"/>
                <w:szCs w:val="16"/>
              </w:rPr>
              <w:t xml:space="preserve"> Source: Thomson</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1 year forward PE Relative To Sector</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Stocks are ranked based on their own forecast P/E relative to the P/E of their sector. This alleviates the inherent sector bias from the factor with those stocks that are cheapest relative to their sector being allocated to quintile 1 and those which are most expensive to quintile 5.</w:t>
            </w:r>
            <w:r>
              <w:rPr>
                <w:rFonts w:ascii="Arial" w:hAnsi="Arial" w:cs="Arial"/>
                <w:sz w:val="16"/>
                <w:szCs w:val="16"/>
              </w:rPr>
              <w:t xml:space="preserve"> Source: Thomson</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Historical P/Sales Ratio</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Stocks are ranked by their P/Historical Sales Ratio such that those stocks generating the largest amount of sales per share are allocated to quintile 1.</w:t>
            </w:r>
            <w:r>
              <w:rPr>
                <w:rFonts w:ascii="Arial" w:hAnsi="Arial" w:cs="Arial"/>
                <w:sz w:val="16"/>
                <w:szCs w:val="16"/>
              </w:rPr>
              <w:t xml:space="preserve"> Source: MSCI</w:t>
            </w:r>
          </w:p>
        </w:tc>
      </w:tr>
      <w:tr w:rsidR="002E61D7" w:rsidRPr="00840069" w:rsidTr="00117EB5">
        <w:tc>
          <w:tcPr>
            <w:tcW w:w="1279" w:type="pct"/>
            <w:tcBorders>
              <w:top w:val="nil"/>
              <w:left w:val="single" w:sz="4" w:space="0" w:color="auto"/>
              <w:bottom w:val="single" w:sz="4" w:space="0" w:color="auto"/>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 xml:space="preserve">Historical </w:t>
            </w:r>
            <w:r>
              <w:rPr>
                <w:rFonts w:ascii="Arial" w:hAnsi="Arial" w:cs="Arial"/>
                <w:sz w:val="16"/>
                <w:szCs w:val="16"/>
              </w:rPr>
              <w:t xml:space="preserve">Dividend </w:t>
            </w:r>
            <w:r w:rsidRPr="00840069">
              <w:rPr>
                <w:rFonts w:ascii="Arial" w:hAnsi="Arial" w:cs="Arial"/>
                <w:sz w:val="16"/>
                <w:szCs w:val="16"/>
              </w:rPr>
              <w:t>Yield</w:t>
            </w:r>
          </w:p>
        </w:tc>
        <w:tc>
          <w:tcPr>
            <w:tcW w:w="3721" w:type="pct"/>
            <w:tcBorders>
              <w:top w:val="nil"/>
              <w:left w:val="nil"/>
              <w:bottom w:val="single" w:sz="4" w:space="0" w:color="auto"/>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 xml:space="preserve">Stocks are ranked by their current </w:t>
            </w:r>
            <w:r>
              <w:rPr>
                <w:rFonts w:ascii="Arial" w:hAnsi="Arial" w:cs="Arial"/>
                <w:sz w:val="16"/>
                <w:szCs w:val="16"/>
              </w:rPr>
              <w:t xml:space="preserve">12mth trailing </w:t>
            </w:r>
            <w:r w:rsidRPr="00840069">
              <w:rPr>
                <w:rFonts w:ascii="Arial" w:hAnsi="Arial" w:cs="Arial"/>
                <w:sz w:val="16"/>
                <w:szCs w:val="16"/>
              </w:rPr>
              <w:t>divided yield such that the biggest dividend payers are allocated to quintile 1 and the smallest dividend payers to quintile 5.</w:t>
            </w:r>
            <w:r>
              <w:rPr>
                <w:rFonts w:ascii="Arial" w:hAnsi="Arial" w:cs="Arial"/>
                <w:sz w:val="16"/>
                <w:szCs w:val="16"/>
              </w:rPr>
              <w:t xml:space="preserve"> Source: MSCI</w:t>
            </w:r>
          </w:p>
        </w:tc>
      </w:tr>
      <w:tr w:rsidR="002E61D7" w:rsidRPr="00840069" w:rsidTr="00117EB5">
        <w:tc>
          <w:tcPr>
            <w:tcW w:w="1279" w:type="pct"/>
            <w:tcBorders>
              <w:top w:val="single" w:sz="4" w:space="0" w:color="auto"/>
              <w:left w:val="single" w:sz="4" w:space="0" w:color="auto"/>
              <w:bottom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b/>
                <w:sz w:val="16"/>
                <w:szCs w:val="16"/>
              </w:rPr>
            </w:pPr>
            <w:r>
              <w:br w:type="page"/>
            </w:r>
            <w:r w:rsidRPr="00840069">
              <w:rPr>
                <w:rFonts w:ascii="Arial" w:hAnsi="Arial" w:cs="Arial"/>
                <w:b/>
                <w:sz w:val="16"/>
                <w:szCs w:val="16"/>
              </w:rPr>
              <w:t>SENTIMENT FACTORS</w:t>
            </w:r>
          </w:p>
        </w:tc>
        <w:tc>
          <w:tcPr>
            <w:tcW w:w="3721" w:type="pct"/>
            <w:tcBorders>
              <w:top w:val="single" w:sz="4" w:space="0" w:color="auto"/>
              <w:bottom w:val="single" w:sz="4" w:space="0" w:color="auto"/>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p>
        </w:tc>
      </w:tr>
      <w:tr w:rsidR="002E61D7" w:rsidRPr="00840069" w:rsidTr="00117EB5">
        <w:tc>
          <w:tcPr>
            <w:tcW w:w="1279" w:type="pct"/>
            <w:tcBorders>
              <w:top w:val="single" w:sz="4" w:space="0" w:color="auto"/>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Recommendation</w:t>
            </w:r>
          </w:p>
        </w:tc>
        <w:tc>
          <w:tcPr>
            <w:tcW w:w="3721" w:type="pct"/>
            <w:tcBorders>
              <w:top w:val="single" w:sz="4" w:space="0" w:color="auto"/>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The consensus recommendations for all stocks are ranked from strong buy to strong sell. Those stocks with the best recommendations are allocated to quintile 1 and those with the worst recommendation to quintile 5. Previous work by JPMQuant suggests that this factor is more potent in developing markets and tends to be a poor performer in developed markets such as Australia the US and Japan.</w:t>
            </w:r>
            <w:r>
              <w:rPr>
                <w:rFonts w:ascii="Arial" w:hAnsi="Arial" w:cs="Arial"/>
                <w:sz w:val="16"/>
                <w:szCs w:val="16"/>
              </w:rPr>
              <w:t xml:space="preserve"> Source: Thomson.</w:t>
            </w:r>
          </w:p>
        </w:tc>
      </w:tr>
      <w:tr w:rsidR="002E61D7" w:rsidRPr="00840069" w:rsidTr="00117EB5">
        <w:tc>
          <w:tcPr>
            <w:tcW w:w="1279" w:type="pct"/>
            <w:tcBorders>
              <w:top w:val="nil"/>
              <w:lef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1 Mth Change in Recom</w:t>
            </w:r>
          </w:p>
        </w:tc>
        <w:tc>
          <w:tcPr>
            <w:tcW w:w="3721" w:type="pct"/>
            <w:tcBorders>
              <w:top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Stocks are ranked by their change in consensus recommendation over the last month. Those with the biggest improvement are allocated to quintile 1 (regardless of whether they have moved from Strong Sell to Sell or Buy to Strong Buy etc) and those with the biggest decline are allocated to quintile 5. Change in recommendation appears to be more useful than absolute level in many of the developed markets analysed but suffers from significantly larger tur</w:t>
            </w:r>
            <w:r>
              <w:rPr>
                <w:rFonts w:ascii="Arial" w:hAnsi="Arial" w:cs="Arial"/>
                <w:sz w:val="16"/>
                <w:szCs w:val="16"/>
              </w:rPr>
              <w:t>nove</w:t>
            </w:r>
            <w:r w:rsidRPr="00840069">
              <w:rPr>
                <w:rFonts w:ascii="Arial" w:hAnsi="Arial" w:cs="Arial"/>
                <w:sz w:val="16"/>
                <w:szCs w:val="16"/>
              </w:rPr>
              <w:t>r.</w:t>
            </w:r>
            <w:r>
              <w:rPr>
                <w:rFonts w:ascii="Arial" w:hAnsi="Arial" w:cs="Arial"/>
                <w:sz w:val="16"/>
                <w:szCs w:val="16"/>
              </w:rPr>
              <w:t xml:space="preserve"> Source: Thomson</w:t>
            </w:r>
          </w:p>
        </w:tc>
      </w:tr>
      <w:tr w:rsidR="002E61D7" w:rsidRPr="00840069" w:rsidTr="00117EB5">
        <w:tc>
          <w:tcPr>
            <w:tcW w:w="1279" w:type="pct"/>
            <w:tcBorders>
              <w:top w:val="nil"/>
              <w:left w:val="single" w:sz="4" w:space="0" w:color="auto"/>
              <w:bottom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3 Mth Change in Recom</w:t>
            </w:r>
          </w:p>
        </w:tc>
        <w:tc>
          <w:tcPr>
            <w:tcW w:w="3721" w:type="pct"/>
            <w:tcBorders>
              <w:top w:val="nil"/>
              <w:bottom w:val="single" w:sz="4" w:space="0" w:color="auto"/>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Stocks are ranked by their change in consensus recommendation over the last 3 months. Those with the biggest improvement are allocated to quintile 1 (regardless of whether they have moved from Strong Sell to Sell or Buy to Strong Buy etc) and those with the biggest decline are allocated to quintile 5. Change in recommendation appears to be more useful than absolute level in many of the developed markets analysed but suffers from significantly larger tur</w:t>
            </w:r>
            <w:r>
              <w:rPr>
                <w:rFonts w:ascii="Arial" w:hAnsi="Arial" w:cs="Arial"/>
                <w:sz w:val="16"/>
                <w:szCs w:val="16"/>
              </w:rPr>
              <w:t>nov</w:t>
            </w:r>
            <w:r w:rsidRPr="00840069">
              <w:rPr>
                <w:rFonts w:ascii="Arial" w:hAnsi="Arial" w:cs="Arial"/>
                <w:sz w:val="16"/>
                <w:szCs w:val="16"/>
              </w:rPr>
              <w:t>er.</w:t>
            </w:r>
            <w:r>
              <w:rPr>
                <w:rFonts w:ascii="Arial" w:hAnsi="Arial" w:cs="Arial"/>
                <w:sz w:val="16"/>
                <w:szCs w:val="16"/>
              </w:rPr>
              <w:t xml:space="preserve"> Source: Thomson</w:t>
            </w:r>
          </w:p>
        </w:tc>
      </w:tr>
      <w:tr w:rsidR="002E61D7" w:rsidRPr="00840069" w:rsidTr="00117EB5">
        <w:tc>
          <w:tcPr>
            <w:tcW w:w="1279" w:type="pct"/>
            <w:tcBorders>
              <w:top w:val="single" w:sz="4" w:space="0" w:color="auto"/>
              <w:left w:val="single" w:sz="4" w:space="0" w:color="auto"/>
              <w:bottom w:val="single" w:sz="4" w:space="0" w:color="auto"/>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b/>
                <w:sz w:val="16"/>
                <w:szCs w:val="16"/>
              </w:rPr>
            </w:pPr>
            <w:r w:rsidRPr="00840069">
              <w:rPr>
                <w:rFonts w:ascii="Arial" w:hAnsi="Arial" w:cs="Arial"/>
                <w:b/>
                <w:sz w:val="16"/>
                <w:szCs w:val="16"/>
              </w:rPr>
              <w:lastRenderedPageBreak/>
              <w:t>PRICE FACTORS</w:t>
            </w:r>
          </w:p>
        </w:tc>
        <w:tc>
          <w:tcPr>
            <w:tcW w:w="3721" w:type="pct"/>
            <w:tcBorders>
              <w:top w:val="single" w:sz="4" w:space="0" w:color="auto"/>
              <w:left w:val="nil"/>
              <w:bottom w:val="single" w:sz="4" w:space="0" w:color="auto"/>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p>
        </w:tc>
      </w:tr>
      <w:tr w:rsidR="002E61D7" w:rsidRPr="00840069" w:rsidTr="00117EB5">
        <w:tc>
          <w:tcPr>
            <w:tcW w:w="1279" w:type="pct"/>
            <w:tcBorders>
              <w:top w:val="single" w:sz="4" w:space="0" w:color="auto"/>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12 Mth Price Momentum</w:t>
            </w:r>
          </w:p>
        </w:tc>
        <w:tc>
          <w:tcPr>
            <w:tcW w:w="3721" w:type="pct"/>
            <w:tcBorders>
              <w:top w:val="single" w:sz="4" w:space="0" w:color="auto"/>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The 12 Mth Price Momentum factor is calculated by ranking stocks by their total return over the previous 12 months. Momentum is a powerful factor observable in many markets.</w:t>
            </w:r>
            <w:r>
              <w:rPr>
                <w:rFonts w:ascii="Arial" w:hAnsi="Arial" w:cs="Arial"/>
                <w:sz w:val="16"/>
                <w:szCs w:val="16"/>
              </w:rPr>
              <w:t xml:space="preserve"> Source: MSCI</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Volatility Adjusted Price Momentum</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12 month price momentum divided by the volatility of monthly returns over the prior 12 months. This factor looks to reward stocks delivering consistent momentum.</w:t>
            </w:r>
            <w:r>
              <w:rPr>
                <w:rFonts w:ascii="Arial" w:hAnsi="Arial" w:cs="Arial"/>
                <w:sz w:val="16"/>
                <w:szCs w:val="16"/>
              </w:rPr>
              <w:t xml:space="preserve"> Source: MSCI</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Pr>
                <w:rFonts w:ascii="Arial" w:hAnsi="Arial" w:cs="Arial"/>
                <w:sz w:val="16"/>
                <w:szCs w:val="16"/>
              </w:rPr>
              <w:t>1</w:t>
            </w:r>
            <w:r w:rsidRPr="00840069">
              <w:rPr>
                <w:rFonts w:ascii="Arial" w:hAnsi="Arial" w:cs="Arial"/>
                <w:sz w:val="16"/>
                <w:szCs w:val="16"/>
              </w:rPr>
              <w:t xml:space="preserve"> Mth Price Momentum</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The 1 Mth Price Momentum factor is calculated by ranking stocks by their total return over the previous month. It is often employed 'in reverse' on account of the reversion that is observable in many markets and sectors. (Last months winners become this months losers and vice-versa.)</w:t>
            </w:r>
            <w:r>
              <w:rPr>
                <w:rFonts w:ascii="Arial" w:hAnsi="Arial" w:cs="Arial"/>
                <w:sz w:val="16"/>
                <w:szCs w:val="16"/>
              </w:rPr>
              <w:t xml:space="preserve"> Source: MSCI</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3 Mth Price Momentum</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The 3 Mth Price Momentum factor is calculated by ranking stocks by their total return over the previous 3 months. Momentum is a powerful factor observable in many markets.</w:t>
            </w:r>
            <w:r>
              <w:rPr>
                <w:rFonts w:ascii="Arial" w:hAnsi="Arial" w:cs="Arial"/>
                <w:sz w:val="16"/>
                <w:szCs w:val="16"/>
              </w:rPr>
              <w:t xml:space="preserve"> Source: MSCI</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6 Mth Price Momentum</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The 6 Mth Price Momentum factor is calculated by ranking stocks by their total return over the previous 6 months. Momentum is a powerful factor observable in many markets.</w:t>
            </w:r>
            <w:r>
              <w:rPr>
                <w:rFonts w:ascii="Arial" w:hAnsi="Arial" w:cs="Arial"/>
                <w:sz w:val="16"/>
                <w:szCs w:val="16"/>
              </w:rPr>
              <w:t xml:space="preserve"> Source: MSCI</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Percent Off 52 Week High</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This factor ranks stocks by their Percent Off 52 Week High descending such that those stocks at or close to their highs are allocated to quintile 1 and those stocks furthest from their highs are allocated to quintile 5. This factor has a strong correlation with momentum.</w:t>
            </w:r>
            <w:r>
              <w:rPr>
                <w:rFonts w:ascii="Arial" w:hAnsi="Arial" w:cs="Arial"/>
                <w:sz w:val="16"/>
                <w:szCs w:val="16"/>
              </w:rPr>
              <w:t xml:space="preserve"> Source: ExShare</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6 Mth Price Acceleration</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To calculate the 6 Mth Price Acceleration we perform a regression on a year of daily prices to calculate the gradient of the trend (adjusted for volatility). We do the same thing "as of" 6 months ago and look at the change in the gradient to provide us with a measure of price acceleration. Stocks are ranked such that those stocks that have accelerated the most are awarded the highest scores.</w:t>
            </w:r>
            <w:r>
              <w:rPr>
                <w:rFonts w:ascii="Arial" w:hAnsi="Arial" w:cs="Arial"/>
                <w:sz w:val="16"/>
                <w:szCs w:val="16"/>
              </w:rPr>
              <w:t xml:space="preserve"> Source: ExShare</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Pr>
                <w:rFonts w:ascii="Arial" w:hAnsi="Arial" w:cs="Arial"/>
                <w:sz w:val="16"/>
                <w:szCs w:val="16"/>
              </w:rPr>
              <w:t>3</w:t>
            </w:r>
            <w:r w:rsidRPr="00840069">
              <w:rPr>
                <w:rFonts w:ascii="Arial" w:hAnsi="Arial" w:cs="Arial"/>
                <w:sz w:val="16"/>
                <w:szCs w:val="16"/>
              </w:rPr>
              <w:t xml:space="preserve"> Mth Price Acceleration</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 xml:space="preserve">To calculate the </w:t>
            </w:r>
            <w:r>
              <w:rPr>
                <w:rFonts w:ascii="Arial" w:hAnsi="Arial" w:cs="Arial"/>
                <w:sz w:val="16"/>
                <w:szCs w:val="16"/>
              </w:rPr>
              <w:t>3</w:t>
            </w:r>
            <w:r w:rsidRPr="00840069">
              <w:rPr>
                <w:rFonts w:ascii="Arial" w:hAnsi="Arial" w:cs="Arial"/>
                <w:sz w:val="16"/>
                <w:szCs w:val="16"/>
              </w:rPr>
              <w:t xml:space="preserve"> Mth Price Acceleration we perform a regression on a year of daily prices to calculate the gradient of the trend (adjusted for volatility). We do the same thing "as of" </w:t>
            </w:r>
            <w:r>
              <w:rPr>
                <w:rFonts w:ascii="Arial" w:hAnsi="Arial" w:cs="Arial"/>
                <w:sz w:val="16"/>
                <w:szCs w:val="16"/>
              </w:rPr>
              <w:t>3</w:t>
            </w:r>
            <w:r w:rsidRPr="00840069">
              <w:rPr>
                <w:rFonts w:ascii="Arial" w:hAnsi="Arial" w:cs="Arial"/>
                <w:sz w:val="16"/>
                <w:szCs w:val="16"/>
              </w:rPr>
              <w:t xml:space="preserve"> months ago and look at the change in the gradient to provide us with a measure of price acceleration. Stocks are ranked such that those stocks that have accelerated the most are awarded the highest scores.</w:t>
            </w:r>
            <w:r>
              <w:rPr>
                <w:rFonts w:ascii="Arial" w:hAnsi="Arial" w:cs="Arial"/>
                <w:sz w:val="16"/>
                <w:szCs w:val="16"/>
              </w:rPr>
              <w:t xml:space="preserve"> Source: ExShare</w:t>
            </w:r>
          </w:p>
        </w:tc>
      </w:tr>
      <w:tr w:rsidR="002E61D7" w:rsidRPr="00840069" w:rsidTr="00117EB5">
        <w:tc>
          <w:tcPr>
            <w:tcW w:w="1279" w:type="pct"/>
            <w:tcBorders>
              <w:top w:val="nil"/>
              <w:left w:val="single" w:sz="4" w:space="0" w:color="auto"/>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10 Day Relative Strength</w:t>
            </w:r>
          </w:p>
        </w:tc>
        <w:tc>
          <w:tcPr>
            <w:tcW w:w="3721" w:type="pct"/>
            <w:tcBorders>
              <w:top w:val="nil"/>
              <w:left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A popular traders tool the Relative Strength Indicator is used to highlight stocks as overbought or oversold. Generally an RSI of 80 or higher indicates and overbought stock and an RSI of sub 20 indicates an oversold stock. We calculate the RSI over both 2 weeks (10 trading days) and also over one month.</w:t>
            </w:r>
            <w:r>
              <w:rPr>
                <w:rFonts w:ascii="Arial" w:hAnsi="Arial" w:cs="Arial"/>
                <w:sz w:val="16"/>
                <w:szCs w:val="16"/>
              </w:rPr>
              <w:t xml:space="preserve"> Source: ExShare</w:t>
            </w:r>
          </w:p>
        </w:tc>
      </w:tr>
      <w:tr w:rsidR="002E61D7" w:rsidRPr="00840069" w:rsidTr="00117EB5">
        <w:tc>
          <w:tcPr>
            <w:tcW w:w="1279" w:type="pct"/>
            <w:tcBorders>
              <w:top w:val="nil"/>
              <w:left w:val="single" w:sz="4" w:space="0" w:color="auto"/>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Pr>
                <w:rFonts w:ascii="Arial" w:hAnsi="Arial" w:cs="Arial"/>
                <w:sz w:val="16"/>
                <w:szCs w:val="16"/>
              </w:rPr>
              <w:t>3</w:t>
            </w:r>
            <w:r w:rsidRPr="00840069">
              <w:rPr>
                <w:rFonts w:ascii="Arial" w:hAnsi="Arial" w:cs="Arial"/>
                <w:sz w:val="16"/>
                <w:szCs w:val="16"/>
              </w:rPr>
              <w:t>0 Day Relative Strength</w:t>
            </w:r>
          </w:p>
        </w:tc>
        <w:tc>
          <w:tcPr>
            <w:tcW w:w="3721" w:type="pct"/>
            <w:tcBorders>
              <w:top w:val="nil"/>
              <w:left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Pr>
                <w:rFonts w:ascii="Arial" w:hAnsi="Arial" w:cs="Arial"/>
                <w:sz w:val="16"/>
                <w:szCs w:val="16"/>
              </w:rPr>
              <w:t>As above but based on a 30 day window</w:t>
            </w:r>
          </w:p>
        </w:tc>
      </w:tr>
      <w:tr w:rsidR="002E61D7" w:rsidRPr="00840069" w:rsidTr="00117EB5">
        <w:tc>
          <w:tcPr>
            <w:tcW w:w="1279" w:type="pct"/>
            <w:tcBorders>
              <w:top w:val="nil"/>
              <w:left w:val="single" w:sz="4" w:space="0" w:color="auto"/>
              <w:bottom w:val="single" w:sz="4" w:space="0" w:color="auto"/>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Pr>
                <w:rFonts w:ascii="Arial" w:hAnsi="Arial" w:cs="Arial"/>
                <w:sz w:val="16"/>
                <w:szCs w:val="16"/>
              </w:rPr>
              <w:t>6</w:t>
            </w:r>
            <w:r w:rsidRPr="00840069">
              <w:rPr>
                <w:rFonts w:ascii="Arial" w:hAnsi="Arial" w:cs="Arial"/>
                <w:sz w:val="16"/>
                <w:szCs w:val="16"/>
              </w:rPr>
              <w:t xml:space="preserve">0 Day </w:t>
            </w:r>
            <w:r>
              <w:rPr>
                <w:rFonts w:ascii="Arial" w:hAnsi="Arial" w:cs="Arial"/>
                <w:sz w:val="16"/>
                <w:szCs w:val="16"/>
              </w:rPr>
              <w:t>Volatility</w:t>
            </w:r>
          </w:p>
        </w:tc>
        <w:tc>
          <w:tcPr>
            <w:tcW w:w="3721" w:type="pct"/>
            <w:tcBorders>
              <w:top w:val="nil"/>
              <w:left w:val="nil"/>
              <w:bottom w:val="single" w:sz="4" w:space="0" w:color="auto"/>
              <w:right w:val="single" w:sz="4" w:space="0" w:color="auto"/>
            </w:tcBorders>
            <w:shd w:val="clear" w:color="auto" w:fill="auto"/>
            <w:tcMar>
              <w:top w:w="144" w:type="dxa"/>
              <w:left w:w="144" w:type="dxa"/>
              <w:bottom w:w="144" w:type="dxa"/>
              <w:right w:w="144" w:type="dxa"/>
            </w:tcMar>
          </w:tcPr>
          <w:p w:rsidR="002E61D7" w:rsidRPr="00911A2F" w:rsidRDefault="002E61D7" w:rsidP="0098477B">
            <w:pPr>
              <w:rPr>
                <w:rFonts w:ascii="Arial" w:hAnsi="Arial" w:cs="Arial"/>
                <w:sz w:val="16"/>
                <w:szCs w:val="16"/>
              </w:rPr>
            </w:pPr>
            <w:r w:rsidRPr="00911A2F">
              <w:rPr>
                <w:rFonts w:ascii="Arial" w:hAnsi="Arial" w:cs="Arial"/>
                <w:sz w:val="16"/>
                <w:szCs w:val="16"/>
              </w:rPr>
              <w:t>We rank stocks according to their 60 days Volatility. The most volatile stocks are added to the long portfolio.</w:t>
            </w:r>
            <w:r>
              <w:rPr>
                <w:rFonts w:ascii="Arial" w:hAnsi="Arial" w:cs="Arial"/>
                <w:sz w:val="16"/>
                <w:szCs w:val="16"/>
              </w:rPr>
              <w:t xml:space="preserve"> Source: Thomson</w:t>
            </w:r>
          </w:p>
        </w:tc>
      </w:tr>
      <w:tr w:rsidR="002E61D7" w:rsidRPr="00840069" w:rsidTr="00117EB5">
        <w:tc>
          <w:tcPr>
            <w:tcW w:w="1279" w:type="pct"/>
            <w:tcBorders>
              <w:top w:val="single" w:sz="4" w:space="0" w:color="auto"/>
              <w:left w:val="single" w:sz="4" w:space="0" w:color="auto"/>
              <w:bottom w:val="single" w:sz="4" w:space="0" w:color="auto"/>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b/>
                <w:sz w:val="16"/>
                <w:szCs w:val="16"/>
              </w:rPr>
            </w:pPr>
            <w:r>
              <w:rPr>
                <w:rFonts w:ascii="Arial" w:hAnsi="Arial" w:cs="Arial"/>
                <w:b/>
                <w:sz w:val="16"/>
                <w:szCs w:val="16"/>
              </w:rPr>
              <w:t>EARNINGS</w:t>
            </w:r>
            <w:r w:rsidRPr="00840069">
              <w:rPr>
                <w:rFonts w:ascii="Arial" w:hAnsi="Arial" w:cs="Arial"/>
                <w:b/>
                <w:sz w:val="16"/>
                <w:szCs w:val="16"/>
              </w:rPr>
              <w:t xml:space="preserve"> FACTORS</w:t>
            </w:r>
          </w:p>
        </w:tc>
        <w:tc>
          <w:tcPr>
            <w:tcW w:w="3721" w:type="pct"/>
            <w:tcBorders>
              <w:top w:val="single" w:sz="4" w:space="0" w:color="auto"/>
              <w:left w:val="nil"/>
              <w:bottom w:val="single" w:sz="4" w:space="0" w:color="auto"/>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p>
        </w:tc>
      </w:tr>
      <w:tr w:rsidR="002E61D7" w:rsidRPr="00840069" w:rsidTr="00117EB5">
        <w:tc>
          <w:tcPr>
            <w:tcW w:w="1279" w:type="pct"/>
            <w:tcBorders>
              <w:top w:val="single" w:sz="4" w:space="0" w:color="auto"/>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Risk-Adjusted Earnings Momentum</w:t>
            </w:r>
          </w:p>
        </w:tc>
        <w:tc>
          <w:tcPr>
            <w:tcW w:w="3721" w:type="pct"/>
            <w:tcBorders>
              <w:top w:val="single" w:sz="4" w:space="0" w:color="auto"/>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 xml:space="preserve">To adjust for any risk associated with a stock's earnings revisions the earnings revision number is normalized by the </w:t>
            </w:r>
            <w:r w:rsidR="00E57ECC">
              <w:rPr>
                <w:rFonts w:ascii="Arial" w:hAnsi="Arial" w:cs="Arial"/>
                <w:sz w:val="16"/>
                <w:szCs w:val="16"/>
              </w:rPr>
              <w:t>coefficient</w:t>
            </w:r>
            <w:r w:rsidRPr="00840069">
              <w:rPr>
                <w:rFonts w:ascii="Arial" w:hAnsi="Arial" w:cs="Arial"/>
                <w:sz w:val="16"/>
                <w:szCs w:val="16"/>
              </w:rPr>
              <w:t xml:space="preserve"> of variation. This serves to penalise stocks with high earnings risk and reward stocks with high earnings certainty. This is arguably a cleaner measurement of earnings revisions.</w:t>
            </w:r>
            <w:r>
              <w:rPr>
                <w:rFonts w:ascii="Arial" w:hAnsi="Arial" w:cs="Arial"/>
                <w:sz w:val="16"/>
                <w:szCs w:val="16"/>
              </w:rPr>
              <w:t xml:space="preserve"> Source: Thomson</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Forecast Earnings Growth</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Using consensus forecasts for FY1 and FY2 we calculate the forecast growth and we then use this to rank our universe. Analysts are notoriously over optimistic with growth forecasts and this is reflected in the poor performance of this factor in most test universes.</w:t>
            </w:r>
            <w:r>
              <w:rPr>
                <w:rFonts w:ascii="Arial" w:hAnsi="Arial" w:cs="Arial"/>
                <w:sz w:val="16"/>
                <w:szCs w:val="16"/>
              </w:rPr>
              <w:t xml:space="preserve"> Source: Thomson</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Earnings Momentum (1Mth Change)</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This factor ranks stocks by their 1 month forward earnings momentum. For each stock we calculate the change in FY1 earnings over the last month and the change in FY2 earnings over the last month. We calculate the one month revision number by taking the average of the change in FY1 and FY2.</w:t>
            </w:r>
            <w:r>
              <w:rPr>
                <w:rFonts w:ascii="Arial" w:hAnsi="Arial" w:cs="Arial"/>
                <w:sz w:val="16"/>
                <w:szCs w:val="16"/>
              </w:rPr>
              <w:t xml:space="preserve"> Source: Thomson</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lastRenderedPageBreak/>
              <w:t>Earnings Momentum (3Mth Change)</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This factor ranks stocks by their 3 month forward earnings momentum. For each stock we calculate the change in FY1 earnings over the last 3 months and the change in FY2 earnings over the last 3 months We calculate the 3 month revision number by taking the average of the change in FY1 and FY2.</w:t>
            </w:r>
            <w:r>
              <w:rPr>
                <w:rFonts w:ascii="Arial" w:hAnsi="Arial" w:cs="Arial"/>
                <w:sz w:val="16"/>
                <w:szCs w:val="16"/>
              </w:rPr>
              <w:t xml:space="preserve"> Source: Thomson</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 xml:space="preserve">Earnings Momentum </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This factor ranks stocks by their composite forward earnings momentum (1Mth + 3 Mth). For each stock we calculate the change in FY1 earnings over the last month and the last 3 months and the change in FY2 earnings over the last month and the last 3 months. We calculate both a 3 month revision number and a one month revision number by taking the average of the change in FY1 and FY2 and then finally we calculate a composite value as the average of the 1 month and 3 month values.</w:t>
            </w:r>
            <w:r>
              <w:rPr>
                <w:rFonts w:ascii="Arial" w:hAnsi="Arial" w:cs="Arial"/>
                <w:sz w:val="16"/>
                <w:szCs w:val="16"/>
              </w:rPr>
              <w:t xml:space="preserve"> Source: Thomson</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Pr>
                <w:rFonts w:ascii="Arial" w:hAnsi="Arial" w:cs="Arial"/>
                <w:sz w:val="16"/>
                <w:szCs w:val="16"/>
              </w:rPr>
              <w:t xml:space="preserve">5 yrs </w:t>
            </w:r>
            <w:r w:rsidRPr="00840069">
              <w:rPr>
                <w:rFonts w:ascii="Arial" w:hAnsi="Arial" w:cs="Arial"/>
                <w:sz w:val="16"/>
                <w:szCs w:val="16"/>
              </w:rPr>
              <w:t>Historical Earnings Growth</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Companies are ranked by their average annualised EPS growth over the past 5 years. Those companies with the highest average growth are allocated to quintile 1 and those with the lowest average growth are allocated to quintile 5.</w:t>
            </w:r>
            <w:r>
              <w:rPr>
                <w:rFonts w:ascii="Arial" w:hAnsi="Arial" w:cs="Arial"/>
                <w:sz w:val="16"/>
                <w:szCs w:val="16"/>
              </w:rPr>
              <w:t xml:space="preserve"> Source: Thomson</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Net Revisions to FY1</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A broad brush approach to earnings revisions that is arguably more suited to markets with questionable data quality. We calculate a FY1 Net Revision by looking at all analyst revisions in the last 4 weeks and calculating the number of upward revisions less the number of downward revisions expressed as a percentage of the total number of revisions made.</w:t>
            </w:r>
            <w:r>
              <w:rPr>
                <w:rFonts w:ascii="Arial" w:hAnsi="Arial" w:cs="Arial"/>
                <w:sz w:val="16"/>
                <w:szCs w:val="16"/>
              </w:rPr>
              <w:t xml:space="preserve"> Source: Thomson</w:t>
            </w:r>
          </w:p>
        </w:tc>
      </w:tr>
      <w:tr w:rsidR="002E61D7" w:rsidRPr="00840069" w:rsidTr="00117EB5">
        <w:tc>
          <w:tcPr>
            <w:tcW w:w="1279" w:type="pct"/>
            <w:tcBorders>
              <w:top w:val="nil"/>
              <w:left w:val="single" w:sz="4" w:space="0" w:color="auto"/>
              <w:bottom w:val="single" w:sz="4" w:space="0" w:color="auto"/>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Net Revisions to FY2</w:t>
            </w:r>
          </w:p>
        </w:tc>
        <w:tc>
          <w:tcPr>
            <w:tcW w:w="3721" w:type="pct"/>
            <w:tcBorders>
              <w:top w:val="nil"/>
              <w:left w:val="nil"/>
              <w:bottom w:val="single" w:sz="4" w:space="0" w:color="auto"/>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A broad brush approach to earnings revisions that is arguably more suited to markets with questionable data quality. We calculate a FY2 Net Revision by looking at all analyst revisions in the last 4 weeks and calculating the number of upward revisions less the number of downward revisions expressed as a percentage of the total number of revisions made.</w:t>
            </w:r>
            <w:r>
              <w:rPr>
                <w:rFonts w:ascii="Arial" w:hAnsi="Arial" w:cs="Arial"/>
                <w:sz w:val="16"/>
                <w:szCs w:val="16"/>
              </w:rPr>
              <w:t xml:space="preserve"> Source: Thomson</w:t>
            </w:r>
          </w:p>
        </w:tc>
      </w:tr>
      <w:tr w:rsidR="002E61D7" w:rsidRPr="00840069" w:rsidTr="00117EB5">
        <w:tc>
          <w:tcPr>
            <w:tcW w:w="1279" w:type="pct"/>
            <w:tcBorders>
              <w:top w:val="single" w:sz="4" w:space="0" w:color="auto"/>
              <w:left w:val="single" w:sz="4" w:space="0" w:color="auto"/>
              <w:bottom w:val="single" w:sz="4" w:space="0" w:color="auto"/>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b/>
                <w:sz w:val="16"/>
                <w:szCs w:val="16"/>
              </w:rPr>
            </w:pPr>
            <w:r w:rsidRPr="00840069">
              <w:rPr>
                <w:rFonts w:ascii="Arial" w:hAnsi="Arial" w:cs="Arial"/>
                <w:b/>
                <w:sz w:val="16"/>
                <w:szCs w:val="16"/>
              </w:rPr>
              <w:t>QUALITY FACTORS</w:t>
            </w:r>
          </w:p>
        </w:tc>
        <w:tc>
          <w:tcPr>
            <w:tcW w:w="3721" w:type="pct"/>
            <w:tcBorders>
              <w:top w:val="single" w:sz="4" w:space="0" w:color="auto"/>
              <w:left w:val="nil"/>
              <w:bottom w:val="single" w:sz="4" w:space="0" w:color="auto"/>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p>
        </w:tc>
      </w:tr>
      <w:tr w:rsidR="002E61D7" w:rsidRPr="00840069" w:rsidTr="00117EB5">
        <w:tc>
          <w:tcPr>
            <w:tcW w:w="1279" w:type="pct"/>
            <w:tcBorders>
              <w:top w:val="single" w:sz="4" w:space="0" w:color="auto"/>
              <w:left w:val="single" w:sz="4" w:space="0" w:color="auto"/>
              <w:bottom w:val="nil"/>
              <w:right w:val="nil"/>
            </w:tcBorders>
            <w:shd w:val="clear" w:color="auto" w:fill="auto"/>
            <w:tcMar>
              <w:top w:w="144" w:type="dxa"/>
              <w:left w:w="144" w:type="dxa"/>
              <w:bottom w:w="144" w:type="dxa"/>
              <w:right w:w="144" w:type="dxa"/>
            </w:tcMar>
          </w:tcPr>
          <w:p w:rsidR="002E61D7" w:rsidRPr="00E3492D" w:rsidRDefault="002E61D7" w:rsidP="0098477B">
            <w:pPr>
              <w:rPr>
                <w:rFonts w:ascii="Arial" w:hAnsi="Arial" w:cs="Arial"/>
                <w:sz w:val="16"/>
                <w:szCs w:val="16"/>
              </w:rPr>
            </w:pPr>
            <w:r w:rsidRPr="00840069">
              <w:rPr>
                <w:rFonts w:ascii="Arial" w:hAnsi="Arial" w:cs="Arial"/>
                <w:sz w:val="16"/>
                <w:szCs w:val="16"/>
              </w:rPr>
              <w:t>Earnings Risk</w:t>
            </w:r>
            <w:r>
              <w:rPr>
                <w:rFonts w:ascii="Arial" w:hAnsi="Arial" w:cs="Arial"/>
                <w:sz w:val="16"/>
                <w:szCs w:val="16"/>
              </w:rPr>
              <w:t xml:space="preserve"> (also known as </w:t>
            </w:r>
            <w:r w:rsidRPr="00E3492D">
              <w:rPr>
                <w:rFonts w:ascii="Arial" w:hAnsi="Arial" w:cs="Arial"/>
                <w:sz w:val="16"/>
                <w:szCs w:val="16"/>
              </w:rPr>
              <w:t>EPS Co-Eff of Variation</w:t>
            </w:r>
            <w:r>
              <w:rPr>
                <w:rFonts w:ascii="Arial" w:hAnsi="Arial" w:cs="Arial"/>
                <w:sz w:val="16"/>
                <w:szCs w:val="16"/>
              </w:rPr>
              <w:t>)</w:t>
            </w:r>
          </w:p>
        </w:tc>
        <w:tc>
          <w:tcPr>
            <w:tcW w:w="3721" w:type="pct"/>
            <w:tcBorders>
              <w:top w:val="single" w:sz="4" w:space="0" w:color="auto"/>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 xml:space="preserve">We rank stocks by the average of FY1 and FY2 </w:t>
            </w:r>
            <w:r w:rsidR="00E57ECC">
              <w:rPr>
                <w:rFonts w:ascii="Arial" w:hAnsi="Arial" w:cs="Arial"/>
                <w:sz w:val="16"/>
                <w:szCs w:val="16"/>
              </w:rPr>
              <w:t>Coefficient</w:t>
            </w:r>
            <w:r w:rsidRPr="00840069">
              <w:rPr>
                <w:rFonts w:ascii="Arial" w:hAnsi="Arial" w:cs="Arial"/>
                <w:sz w:val="16"/>
                <w:szCs w:val="16"/>
              </w:rPr>
              <w:t xml:space="preserve"> of Variation. We use </w:t>
            </w:r>
            <w:r w:rsidR="00E57ECC">
              <w:rPr>
                <w:rFonts w:ascii="Arial" w:hAnsi="Arial" w:cs="Arial"/>
                <w:sz w:val="16"/>
                <w:szCs w:val="16"/>
              </w:rPr>
              <w:t>coefficient</w:t>
            </w:r>
            <w:r w:rsidRPr="00840069">
              <w:rPr>
                <w:rFonts w:ascii="Arial" w:hAnsi="Arial" w:cs="Arial"/>
                <w:sz w:val="16"/>
                <w:szCs w:val="16"/>
              </w:rPr>
              <w:t xml:space="preserve"> of variation as a proxy for earnings risk with those stocks with the largest spread in earnings being considered most 'risky'. We find that the stocks with the smaller </w:t>
            </w:r>
            <w:r w:rsidR="00E57ECC">
              <w:rPr>
                <w:rFonts w:ascii="Arial" w:hAnsi="Arial" w:cs="Arial"/>
                <w:sz w:val="16"/>
                <w:szCs w:val="16"/>
              </w:rPr>
              <w:t>coefficient</w:t>
            </w:r>
            <w:r w:rsidRPr="00840069">
              <w:rPr>
                <w:rFonts w:ascii="Arial" w:hAnsi="Arial" w:cs="Arial"/>
                <w:sz w:val="16"/>
                <w:szCs w:val="16"/>
              </w:rPr>
              <w:t xml:space="preserve"> of variation (and hence the most earnings certainty) tend to outperform their riskier peers.</w:t>
            </w:r>
            <w:r>
              <w:rPr>
                <w:rFonts w:ascii="Arial" w:hAnsi="Arial" w:cs="Arial"/>
                <w:sz w:val="16"/>
                <w:szCs w:val="16"/>
              </w:rPr>
              <w:t xml:space="preserve"> Source: Thomson</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Coverage</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 xml:space="preserve">We rank stocks by Number of Consensus Estimates (FY1) which we use to indicate the number of covering analysts. Quintile 1 is formed from the most readily covered stocks and Quintile 5 is formed from the least covered stocks. This factor is often regarded as a proxy for information uncertainty rather than an Alpha or Risk Factor and previous research by JPMQuant in </w:t>
            </w:r>
            <w:r>
              <w:rPr>
                <w:rFonts w:ascii="Arial" w:hAnsi="Arial" w:cs="Arial"/>
                <w:sz w:val="16"/>
                <w:szCs w:val="16"/>
              </w:rPr>
              <w:t>t</w:t>
            </w:r>
            <w:r w:rsidRPr="00840069">
              <w:rPr>
                <w:rFonts w:ascii="Arial" w:hAnsi="Arial" w:cs="Arial"/>
                <w:sz w:val="16"/>
                <w:szCs w:val="16"/>
              </w:rPr>
              <w:t>he Australian market supports this thesis.</w:t>
            </w:r>
            <w:r>
              <w:rPr>
                <w:rFonts w:ascii="Arial" w:hAnsi="Arial" w:cs="Arial"/>
                <w:sz w:val="16"/>
                <w:szCs w:val="16"/>
              </w:rPr>
              <w:t xml:space="preserve"> Source: Thomson</w:t>
            </w:r>
          </w:p>
        </w:tc>
      </w:tr>
      <w:tr w:rsidR="002E61D7" w:rsidRPr="00840069" w:rsidTr="00117EB5">
        <w:tc>
          <w:tcPr>
            <w:tcW w:w="1279" w:type="pct"/>
            <w:tcBorders>
              <w:top w:val="nil"/>
              <w:left w:val="single" w:sz="4" w:space="0" w:color="auto"/>
              <w:bottom w:val="nil"/>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Historical Return On Equity</w:t>
            </w:r>
          </w:p>
        </w:tc>
        <w:tc>
          <w:tcPr>
            <w:tcW w:w="3721" w:type="pct"/>
            <w:tcBorders>
              <w:top w:val="nil"/>
              <w:left w:val="nil"/>
              <w:bottom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Stocks are ranked on their historical return on equity (ROE) with those stocks with the largest ROE being allocated to quintile 1 and those with the poorest ROE being allocated to quintile 5. To eliminate any forward looking bias, the ROE figure is only updated on the date that the numbers became available to the market.</w:t>
            </w:r>
            <w:r>
              <w:rPr>
                <w:rFonts w:ascii="Arial" w:hAnsi="Arial" w:cs="Arial"/>
                <w:sz w:val="16"/>
                <w:szCs w:val="16"/>
              </w:rPr>
              <w:t xml:space="preserve"> Source: MSCI</w:t>
            </w:r>
          </w:p>
        </w:tc>
      </w:tr>
      <w:tr w:rsidR="002E61D7" w:rsidRPr="00840069" w:rsidTr="00117EB5">
        <w:tc>
          <w:tcPr>
            <w:tcW w:w="1279" w:type="pct"/>
            <w:tcBorders>
              <w:top w:val="nil"/>
              <w:left w:val="single" w:sz="4" w:space="0" w:color="auto"/>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ROE Growth</w:t>
            </w:r>
          </w:p>
        </w:tc>
        <w:tc>
          <w:tcPr>
            <w:tcW w:w="3721" w:type="pct"/>
            <w:tcBorders>
              <w:top w:val="nil"/>
              <w:left w:val="nil"/>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To calculate the change In ROE we look compare a stocks ROE with it's ROE 12 months prior at each point in time. Those stocks that have seen the biggest increase in ROE are allocated to quintile 1 and those that have seen the biggest decline in ROE are allocated to quintile 5.</w:t>
            </w:r>
            <w:r>
              <w:rPr>
                <w:rFonts w:ascii="Arial" w:hAnsi="Arial" w:cs="Arial"/>
                <w:sz w:val="16"/>
                <w:szCs w:val="16"/>
              </w:rPr>
              <w:t xml:space="preserve"> Source: MSCI</w:t>
            </w:r>
          </w:p>
        </w:tc>
      </w:tr>
      <w:tr w:rsidR="002E61D7" w:rsidRPr="00840069" w:rsidTr="00117EB5">
        <w:tc>
          <w:tcPr>
            <w:tcW w:w="1279" w:type="pct"/>
            <w:tcBorders>
              <w:top w:val="nil"/>
              <w:left w:val="single" w:sz="4" w:space="0" w:color="auto"/>
              <w:bottom w:val="single" w:sz="4" w:space="0" w:color="auto"/>
              <w:right w:val="nil"/>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Pr>
                <w:rFonts w:ascii="Arial" w:hAnsi="Arial" w:cs="Arial"/>
                <w:sz w:val="16"/>
                <w:szCs w:val="16"/>
              </w:rPr>
              <w:t>Return On Assets</w:t>
            </w:r>
          </w:p>
        </w:tc>
        <w:tc>
          <w:tcPr>
            <w:tcW w:w="3721" w:type="pct"/>
            <w:tcBorders>
              <w:top w:val="nil"/>
              <w:left w:val="nil"/>
              <w:bottom w:val="single" w:sz="4" w:space="0" w:color="auto"/>
              <w:right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r w:rsidRPr="00840069">
              <w:rPr>
                <w:rFonts w:ascii="Arial" w:hAnsi="Arial" w:cs="Arial"/>
                <w:sz w:val="16"/>
                <w:szCs w:val="16"/>
              </w:rPr>
              <w:t xml:space="preserve">Stocks are ranked on their return on </w:t>
            </w:r>
            <w:r>
              <w:rPr>
                <w:rFonts w:ascii="Arial" w:hAnsi="Arial" w:cs="Arial"/>
                <w:sz w:val="16"/>
                <w:szCs w:val="16"/>
              </w:rPr>
              <w:t>Assets</w:t>
            </w:r>
            <w:r w:rsidRPr="00840069">
              <w:rPr>
                <w:rFonts w:ascii="Arial" w:hAnsi="Arial" w:cs="Arial"/>
                <w:sz w:val="16"/>
                <w:szCs w:val="16"/>
              </w:rPr>
              <w:t xml:space="preserve"> (RO</w:t>
            </w:r>
            <w:r>
              <w:rPr>
                <w:rFonts w:ascii="Arial" w:hAnsi="Arial" w:cs="Arial"/>
                <w:sz w:val="16"/>
                <w:szCs w:val="16"/>
              </w:rPr>
              <w:t>A</w:t>
            </w:r>
            <w:r w:rsidRPr="00840069">
              <w:rPr>
                <w:rFonts w:ascii="Arial" w:hAnsi="Arial" w:cs="Arial"/>
                <w:sz w:val="16"/>
                <w:szCs w:val="16"/>
              </w:rPr>
              <w:t>) with those stocks with the largest RO</w:t>
            </w:r>
            <w:r>
              <w:rPr>
                <w:rFonts w:ascii="Arial" w:hAnsi="Arial" w:cs="Arial"/>
                <w:sz w:val="16"/>
                <w:szCs w:val="16"/>
              </w:rPr>
              <w:t>A</w:t>
            </w:r>
            <w:r w:rsidRPr="00840069">
              <w:rPr>
                <w:rFonts w:ascii="Arial" w:hAnsi="Arial" w:cs="Arial"/>
                <w:sz w:val="16"/>
                <w:szCs w:val="16"/>
              </w:rPr>
              <w:t xml:space="preserve"> being allocated to quintile 1 and those with the poorest RO</w:t>
            </w:r>
            <w:r>
              <w:rPr>
                <w:rFonts w:ascii="Arial" w:hAnsi="Arial" w:cs="Arial"/>
                <w:sz w:val="16"/>
                <w:szCs w:val="16"/>
              </w:rPr>
              <w:t>A</w:t>
            </w:r>
            <w:r w:rsidRPr="00840069">
              <w:rPr>
                <w:rFonts w:ascii="Arial" w:hAnsi="Arial" w:cs="Arial"/>
                <w:sz w:val="16"/>
                <w:szCs w:val="16"/>
              </w:rPr>
              <w:t xml:space="preserve"> being allocated to quintile 5.</w:t>
            </w:r>
            <w:r>
              <w:rPr>
                <w:rFonts w:ascii="Arial" w:hAnsi="Arial" w:cs="Arial"/>
                <w:sz w:val="16"/>
                <w:szCs w:val="16"/>
              </w:rPr>
              <w:t xml:space="preserve"> Source: MSCI</w:t>
            </w:r>
          </w:p>
        </w:tc>
      </w:tr>
      <w:tr w:rsidR="002E61D7" w:rsidRPr="00840069" w:rsidTr="00117EB5">
        <w:tblPrEx>
          <w:tblBorders>
            <w:top w:val="single" w:sz="4" w:space="0" w:color="auto"/>
            <w:left w:val="single" w:sz="4" w:space="0" w:color="auto"/>
            <w:bottom w:val="single" w:sz="4" w:space="0" w:color="auto"/>
            <w:right w:val="single" w:sz="4" w:space="0" w:color="auto"/>
          </w:tblBorders>
        </w:tblPrEx>
        <w:tc>
          <w:tcPr>
            <w:tcW w:w="1279" w:type="pct"/>
            <w:tcBorders>
              <w:top w:val="single" w:sz="4" w:space="0" w:color="auto"/>
              <w:bottom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b/>
                <w:sz w:val="16"/>
                <w:szCs w:val="16"/>
              </w:rPr>
            </w:pPr>
            <w:r w:rsidRPr="00840069">
              <w:rPr>
                <w:rFonts w:ascii="Arial" w:hAnsi="Arial" w:cs="Arial"/>
                <w:b/>
                <w:sz w:val="16"/>
                <w:szCs w:val="16"/>
              </w:rPr>
              <w:t>RISK FACTORS</w:t>
            </w:r>
          </w:p>
        </w:tc>
        <w:tc>
          <w:tcPr>
            <w:tcW w:w="3721" w:type="pct"/>
            <w:tcBorders>
              <w:top w:val="single" w:sz="4" w:space="0" w:color="auto"/>
              <w:bottom w:val="single" w:sz="4" w:space="0" w:color="auto"/>
            </w:tcBorders>
            <w:shd w:val="clear" w:color="auto" w:fill="auto"/>
            <w:tcMar>
              <w:top w:w="144" w:type="dxa"/>
              <w:left w:w="144" w:type="dxa"/>
              <w:bottom w:w="144" w:type="dxa"/>
              <w:right w:w="144" w:type="dxa"/>
            </w:tcMar>
          </w:tcPr>
          <w:p w:rsidR="002E61D7" w:rsidRPr="00840069" w:rsidRDefault="002E61D7" w:rsidP="0098477B">
            <w:pPr>
              <w:rPr>
                <w:rFonts w:ascii="Arial" w:hAnsi="Arial" w:cs="Arial"/>
                <w:sz w:val="16"/>
                <w:szCs w:val="16"/>
              </w:rPr>
            </w:pPr>
          </w:p>
        </w:tc>
      </w:tr>
      <w:tr w:rsidR="00117EB5" w:rsidRPr="00840069" w:rsidTr="00117EB5">
        <w:tblPrEx>
          <w:tblBorders>
            <w:top w:val="single" w:sz="4" w:space="0" w:color="auto"/>
            <w:left w:val="single" w:sz="4" w:space="0" w:color="auto"/>
            <w:bottom w:val="single" w:sz="4" w:space="0" w:color="auto"/>
            <w:right w:val="single" w:sz="4" w:space="0" w:color="auto"/>
          </w:tblBorders>
        </w:tblPrEx>
        <w:tc>
          <w:tcPr>
            <w:tcW w:w="1279" w:type="pct"/>
            <w:tcBorders>
              <w:top w:val="single" w:sz="4" w:space="0" w:color="auto"/>
            </w:tcBorders>
            <w:shd w:val="clear" w:color="auto" w:fill="auto"/>
            <w:tcMar>
              <w:top w:w="144" w:type="dxa"/>
              <w:left w:w="144" w:type="dxa"/>
              <w:bottom w:w="144" w:type="dxa"/>
              <w:right w:w="144" w:type="dxa"/>
            </w:tcMar>
          </w:tcPr>
          <w:p w:rsidR="00117EB5" w:rsidRPr="00840069" w:rsidRDefault="00117EB5" w:rsidP="00D31909">
            <w:pPr>
              <w:rPr>
                <w:rFonts w:ascii="Arial" w:hAnsi="Arial" w:cs="Arial"/>
                <w:sz w:val="16"/>
                <w:szCs w:val="16"/>
              </w:rPr>
            </w:pPr>
            <w:r>
              <w:rPr>
                <w:rFonts w:ascii="Arial" w:hAnsi="Arial" w:cs="Arial"/>
                <w:sz w:val="16"/>
                <w:szCs w:val="16"/>
              </w:rPr>
              <w:t xml:space="preserve">MSCI BETA </w:t>
            </w:r>
          </w:p>
        </w:tc>
        <w:tc>
          <w:tcPr>
            <w:tcW w:w="3721" w:type="pct"/>
            <w:tcBorders>
              <w:top w:val="single" w:sz="4" w:space="0" w:color="auto"/>
            </w:tcBorders>
            <w:shd w:val="clear" w:color="auto" w:fill="auto"/>
            <w:tcMar>
              <w:top w:w="144" w:type="dxa"/>
              <w:left w:w="144" w:type="dxa"/>
              <w:bottom w:w="144" w:type="dxa"/>
              <w:right w:w="144" w:type="dxa"/>
            </w:tcMar>
          </w:tcPr>
          <w:p w:rsidR="00117EB5" w:rsidRDefault="00117EB5" w:rsidP="00D31909">
            <w:pPr>
              <w:rPr>
                <w:rFonts w:ascii="Arial" w:hAnsi="Arial" w:cs="Arial"/>
                <w:sz w:val="16"/>
                <w:szCs w:val="16"/>
              </w:rPr>
            </w:pPr>
            <w:r>
              <w:rPr>
                <w:rFonts w:ascii="Arial" w:hAnsi="Arial" w:cs="Arial"/>
                <w:sz w:val="16"/>
                <w:szCs w:val="16"/>
              </w:rPr>
              <w:t xml:space="preserve">Beta for the stock relative to its local benchmark index. </w:t>
            </w:r>
          </w:p>
          <w:p w:rsidR="00117EB5" w:rsidRDefault="00117EB5" w:rsidP="00D31909">
            <w:pPr>
              <w:rPr>
                <w:rFonts w:ascii="Arial" w:hAnsi="Arial" w:cs="Arial"/>
                <w:sz w:val="16"/>
                <w:szCs w:val="16"/>
              </w:rPr>
            </w:pPr>
          </w:p>
          <w:p w:rsidR="00117EB5" w:rsidRDefault="00117EB5" w:rsidP="00D31909">
            <w:pPr>
              <w:rPr>
                <w:rFonts w:ascii="Arial" w:hAnsi="Arial" w:cs="Arial"/>
                <w:sz w:val="16"/>
                <w:szCs w:val="16"/>
              </w:rPr>
            </w:pPr>
          </w:p>
          <w:p w:rsidR="00117EB5" w:rsidRPr="00840069" w:rsidRDefault="00117EB5" w:rsidP="00D31909">
            <w:pPr>
              <w:rPr>
                <w:rFonts w:ascii="Arial" w:hAnsi="Arial" w:cs="Arial"/>
                <w:sz w:val="16"/>
                <w:szCs w:val="16"/>
              </w:rPr>
            </w:pPr>
          </w:p>
        </w:tc>
      </w:tr>
      <w:tr w:rsidR="00117EB5" w:rsidRPr="00840069" w:rsidTr="00117EB5">
        <w:tblPrEx>
          <w:tblBorders>
            <w:top w:val="single" w:sz="4" w:space="0" w:color="auto"/>
            <w:left w:val="single" w:sz="4" w:space="0" w:color="auto"/>
            <w:bottom w:val="single" w:sz="4" w:space="0" w:color="auto"/>
            <w:right w:val="single" w:sz="4" w:space="0" w:color="auto"/>
          </w:tblBorders>
        </w:tblPrEx>
        <w:tc>
          <w:tcPr>
            <w:tcW w:w="1279" w:type="pct"/>
            <w:tcBorders>
              <w:top w:val="single" w:sz="4" w:space="0" w:color="auto"/>
              <w:bottom w:val="single" w:sz="4" w:space="0" w:color="auto"/>
            </w:tcBorders>
            <w:shd w:val="clear" w:color="auto" w:fill="auto"/>
            <w:tcMar>
              <w:top w:w="144" w:type="dxa"/>
              <w:left w:w="144" w:type="dxa"/>
              <w:bottom w:w="144" w:type="dxa"/>
              <w:right w:w="144" w:type="dxa"/>
            </w:tcMar>
          </w:tcPr>
          <w:p w:rsidR="00117EB5" w:rsidRPr="00840069" w:rsidRDefault="00117EB5" w:rsidP="0098477B">
            <w:pPr>
              <w:rPr>
                <w:rFonts w:ascii="Arial" w:hAnsi="Arial" w:cs="Arial"/>
                <w:b/>
                <w:sz w:val="16"/>
                <w:szCs w:val="16"/>
              </w:rPr>
            </w:pPr>
            <w:r w:rsidRPr="00840069">
              <w:rPr>
                <w:rFonts w:ascii="Arial" w:hAnsi="Arial" w:cs="Arial"/>
                <w:b/>
                <w:sz w:val="16"/>
                <w:szCs w:val="16"/>
              </w:rPr>
              <w:lastRenderedPageBreak/>
              <w:t xml:space="preserve">COMPOSITE </w:t>
            </w:r>
            <w:r>
              <w:rPr>
                <w:rFonts w:ascii="Arial" w:hAnsi="Arial" w:cs="Arial"/>
                <w:b/>
                <w:sz w:val="16"/>
                <w:szCs w:val="16"/>
              </w:rPr>
              <w:t xml:space="preserve">FAMILY </w:t>
            </w:r>
            <w:r w:rsidRPr="00840069">
              <w:rPr>
                <w:rFonts w:ascii="Arial" w:hAnsi="Arial" w:cs="Arial"/>
                <w:b/>
                <w:sz w:val="16"/>
                <w:szCs w:val="16"/>
              </w:rPr>
              <w:t>FACTORS</w:t>
            </w:r>
          </w:p>
        </w:tc>
        <w:tc>
          <w:tcPr>
            <w:tcW w:w="3721" w:type="pct"/>
            <w:tcBorders>
              <w:top w:val="single" w:sz="4" w:space="0" w:color="auto"/>
              <w:bottom w:val="single" w:sz="4" w:space="0" w:color="auto"/>
            </w:tcBorders>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p>
        </w:tc>
      </w:tr>
      <w:tr w:rsidR="00117EB5" w:rsidRPr="00840069" w:rsidTr="00117EB5">
        <w:tblPrEx>
          <w:tblBorders>
            <w:top w:val="single" w:sz="4" w:space="0" w:color="auto"/>
            <w:left w:val="single" w:sz="4" w:space="0" w:color="auto"/>
            <w:bottom w:val="single" w:sz="4" w:space="0" w:color="auto"/>
            <w:right w:val="single" w:sz="4" w:space="0" w:color="auto"/>
          </w:tblBorders>
        </w:tblPrEx>
        <w:tc>
          <w:tcPr>
            <w:tcW w:w="1279" w:type="pct"/>
            <w:tcBorders>
              <w:top w:val="single" w:sz="4" w:space="0" w:color="auto"/>
            </w:tcBorders>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r w:rsidRPr="00840069">
              <w:rPr>
                <w:rFonts w:ascii="Arial" w:hAnsi="Arial" w:cs="Arial"/>
                <w:sz w:val="16"/>
                <w:szCs w:val="16"/>
              </w:rPr>
              <w:t>Earnings</w:t>
            </w:r>
            <w:r>
              <w:rPr>
                <w:rFonts w:ascii="Arial" w:hAnsi="Arial" w:cs="Arial"/>
                <w:sz w:val="16"/>
                <w:szCs w:val="16"/>
              </w:rPr>
              <w:t xml:space="preserve"> &amp; Sentiment</w:t>
            </w:r>
          </w:p>
        </w:tc>
        <w:tc>
          <w:tcPr>
            <w:tcW w:w="3721" w:type="pct"/>
            <w:tcBorders>
              <w:top w:val="single" w:sz="4" w:space="0" w:color="auto"/>
            </w:tcBorders>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r>
              <w:rPr>
                <w:rFonts w:ascii="Arial" w:hAnsi="Arial" w:cs="Arial"/>
                <w:sz w:val="16"/>
                <w:szCs w:val="16"/>
              </w:rPr>
              <w:t>C</w:t>
            </w:r>
            <w:r w:rsidRPr="00840069">
              <w:rPr>
                <w:rFonts w:ascii="Arial" w:hAnsi="Arial" w:cs="Arial"/>
                <w:sz w:val="16"/>
                <w:szCs w:val="16"/>
              </w:rPr>
              <w:t>ombines three flavours of momentum measure. Risk adjusted 3 mth EPS momentum, FY2 Net revisions and Recommendation one month change are all normalised and combined equally to form the composite.</w:t>
            </w:r>
          </w:p>
        </w:tc>
      </w:tr>
      <w:tr w:rsidR="00117EB5" w:rsidRPr="00840069" w:rsidTr="00117EB5">
        <w:tblPrEx>
          <w:tblBorders>
            <w:top w:val="single" w:sz="4" w:space="0" w:color="auto"/>
            <w:left w:val="single" w:sz="4" w:space="0" w:color="auto"/>
            <w:bottom w:val="single" w:sz="4" w:space="0" w:color="auto"/>
            <w:right w:val="single" w:sz="4" w:space="0" w:color="auto"/>
          </w:tblBorders>
        </w:tblPrEx>
        <w:tc>
          <w:tcPr>
            <w:tcW w:w="1279" w:type="pct"/>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r>
              <w:rPr>
                <w:rFonts w:ascii="Arial" w:hAnsi="Arial" w:cs="Arial"/>
                <w:sz w:val="16"/>
                <w:szCs w:val="16"/>
              </w:rPr>
              <w:t>Valuation</w:t>
            </w:r>
          </w:p>
        </w:tc>
        <w:tc>
          <w:tcPr>
            <w:tcW w:w="3721" w:type="pct"/>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r w:rsidRPr="00840069">
              <w:rPr>
                <w:rFonts w:ascii="Arial" w:hAnsi="Arial" w:cs="Arial"/>
                <w:sz w:val="16"/>
                <w:szCs w:val="16"/>
              </w:rPr>
              <w:t>PE + PE rel</w:t>
            </w:r>
            <w:r>
              <w:rPr>
                <w:rFonts w:ascii="Arial" w:hAnsi="Arial" w:cs="Arial"/>
                <w:sz w:val="16"/>
                <w:szCs w:val="16"/>
              </w:rPr>
              <w:t>ative</w:t>
            </w:r>
            <w:r w:rsidRPr="00840069">
              <w:rPr>
                <w:rFonts w:ascii="Arial" w:hAnsi="Arial" w:cs="Arial"/>
                <w:sz w:val="16"/>
                <w:szCs w:val="16"/>
              </w:rPr>
              <w:t xml:space="preserve"> to sector + forecast Growth</w:t>
            </w:r>
          </w:p>
        </w:tc>
      </w:tr>
      <w:tr w:rsidR="00117EB5" w:rsidRPr="00840069" w:rsidTr="00117EB5">
        <w:tblPrEx>
          <w:tblBorders>
            <w:top w:val="single" w:sz="4" w:space="0" w:color="auto"/>
            <w:left w:val="single" w:sz="4" w:space="0" w:color="auto"/>
            <w:bottom w:val="single" w:sz="4" w:space="0" w:color="auto"/>
            <w:right w:val="single" w:sz="4" w:space="0" w:color="auto"/>
          </w:tblBorders>
        </w:tblPrEx>
        <w:tc>
          <w:tcPr>
            <w:tcW w:w="1279" w:type="pct"/>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r w:rsidRPr="00840069">
              <w:rPr>
                <w:rFonts w:ascii="Arial" w:hAnsi="Arial" w:cs="Arial"/>
                <w:sz w:val="16"/>
                <w:szCs w:val="16"/>
              </w:rPr>
              <w:t>Price</w:t>
            </w:r>
          </w:p>
        </w:tc>
        <w:tc>
          <w:tcPr>
            <w:tcW w:w="3721" w:type="pct"/>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r>
              <w:rPr>
                <w:rFonts w:ascii="Arial" w:hAnsi="Arial" w:cs="Arial"/>
                <w:sz w:val="16"/>
                <w:szCs w:val="16"/>
              </w:rPr>
              <w:t>E</w:t>
            </w:r>
            <w:r w:rsidRPr="00840069">
              <w:rPr>
                <w:rFonts w:ascii="Arial" w:hAnsi="Arial" w:cs="Arial"/>
                <w:sz w:val="16"/>
                <w:szCs w:val="16"/>
              </w:rPr>
              <w:t>qually combines a normalised 12 month price momentum factor (75%) with a 1 month price reversion factor (25%).</w:t>
            </w:r>
          </w:p>
        </w:tc>
      </w:tr>
      <w:tr w:rsidR="00117EB5" w:rsidRPr="00840069" w:rsidTr="00117EB5">
        <w:tblPrEx>
          <w:tblBorders>
            <w:top w:val="single" w:sz="4" w:space="0" w:color="auto"/>
            <w:left w:val="single" w:sz="4" w:space="0" w:color="auto"/>
            <w:bottom w:val="single" w:sz="4" w:space="0" w:color="auto"/>
            <w:right w:val="single" w:sz="4" w:space="0" w:color="auto"/>
          </w:tblBorders>
        </w:tblPrEx>
        <w:tc>
          <w:tcPr>
            <w:tcW w:w="1279" w:type="pct"/>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r w:rsidRPr="00840069">
              <w:rPr>
                <w:rFonts w:ascii="Arial" w:hAnsi="Arial" w:cs="Arial"/>
                <w:sz w:val="16"/>
                <w:szCs w:val="16"/>
              </w:rPr>
              <w:t>Quality</w:t>
            </w:r>
          </w:p>
        </w:tc>
        <w:tc>
          <w:tcPr>
            <w:tcW w:w="3721" w:type="pct"/>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r>
              <w:rPr>
                <w:rFonts w:ascii="Arial" w:hAnsi="Arial" w:cs="Arial"/>
                <w:sz w:val="16"/>
                <w:szCs w:val="16"/>
              </w:rPr>
              <w:t>C</w:t>
            </w:r>
            <w:r w:rsidRPr="00840069">
              <w:rPr>
                <w:rFonts w:ascii="Arial" w:hAnsi="Arial" w:cs="Arial"/>
                <w:sz w:val="16"/>
                <w:szCs w:val="16"/>
              </w:rPr>
              <w:t>ombines ROE and Earnings Risk (</w:t>
            </w:r>
            <w:r>
              <w:rPr>
                <w:rFonts w:ascii="Arial" w:hAnsi="Arial" w:cs="Arial"/>
                <w:sz w:val="16"/>
                <w:szCs w:val="16"/>
              </w:rPr>
              <w:t>inverted such that stocks with tightest forecasts are rewarded with a higher score</w:t>
            </w:r>
            <w:r w:rsidRPr="00840069">
              <w:rPr>
                <w:rFonts w:ascii="Arial" w:hAnsi="Arial" w:cs="Arial"/>
                <w:sz w:val="16"/>
                <w:szCs w:val="16"/>
              </w:rPr>
              <w:t>)</w:t>
            </w:r>
          </w:p>
        </w:tc>
      </w:tr>
      <w:tr w:rsidR="00117EB5" w:rsidRPr="00840069" w:rsidTr="00117EB5">
        <w:tblPrEx>
          <w:tblBorders>
            <w:top w:val="single" w:sz="4" w:space="0" w:color="auto"/>
            <w:left w:val="single" w:sz="4" w:space="0" w:color="auto"/>
            <w:bottom w:val="single" w:sz="4" w:space="0" w:color="auto"/>
            <w:right w:val="single" w:sz="4" w:space="0" w:color="auto"/>
          </w:tblBorders>
        </w:tblPrEx>
        <w:tc>
          <w:tcPr>
            <w:tcW w:w="1279" w:type="pct"/>
            <w:tcBorders>
              <w:top w:val="nil"/>
            </w:tcBorders>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r w:rsidRPr="00840069">
              <w:rPr>
                <w:rFonts w:ascii="Arial" w:hAnsi="Arial" w:cs="Arial"/>
                <w:sz w:val="16"/>
                <w:szCs w:val="16"/>
              </w:rPr>
              <w:t>Composite Q-Score Model</w:t>
            </w:r>
          </w:p>
        </w:tc>
        <w:tc>
          <w:tcPr>
            <w:tcW w:w="3721" w:type="pct"/>
            <w:tcBorders>
              <w:top w:val="nil"/>
            </w:tcBorders>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r w:rsidRPr="00840069">
              <w:rPr>
                <w:rFonts w:ascii="Arial" w:hAnsi="Arial" w:cs="Arial"/>
                <w:sz w:val="16"/>
                <w:szCs w:val="16"/>
              </w:rPr>
              <w:t>A multi fac</w:t>
            </w:r>
            <w:r>
              <w:rPr>
                <w:rFonts w:ascii="Arial" w:hAnsi="Arial" w:cs="Arial"/>
                <w:sz w:val="16"/>
                <w:szCs w:val="16"/>
              </w:rPr>
              <w:t>tor combination of Valuation</w:t>
            </w:r>
            <w:r w:rsidRPr="00840069">
              <w:rPr>
                <w:rFonts w:ascii="Arial" w:hAnsi="Arial" w:cs="Arial"/>
                <w:sz w:val="16"/>
                <w:szCs w:val="16"/>
              </w:rPr>
              <w:t>, Earnings</w:t>
            </w:r>
            <w:r>
              <w:rPr>
                <w:rFonts w:ascii="Arial" w:hAnsi="Arial" w:cs="Arial"/>
                <w:sz w:val="16"/>
                <w:szCs w:val="16"/>
              </w:rPr>
              <w:t>&amp;</w:t>
            </w:r>
            <w:r w:rsidRPr="00840069">
              <w:rPr>
                <w:rFonts w:ascii="Arial" w:hAnsi="Arial" w:cs="Arial"/>
                <w:sz w:val="16"/>
                <w:szCs w:val="16"/>
              </w:rPr>
              <w:t xml:space="preserve"> Sentiment, Quality and Price composite factors.</w:t>
            </w:r>
          </w:p>
        </w:tc>
      </w:tr>
      <w:tr w:rsidR="00117EB5" w:rsidRPr="00840069" w:rsidTr="00117EB5">
        <w:tblPrEx>
          <w:tblBorders>
            <w:top w:val="single" w:sz="4" w:space="0" w:color="auto"/>
            <w:left w:val="single" w:sz="4" w:space="0" w:color="auto"/>
            <w:bottom w:val="single" w:sz="4" w:space="0" w:color="auto"/>
            <w:right w:val="single" w:sz="4" w:space="0" w:color="auto"/>
          </w:tblBorders>
        </w:tblPrEx>
        <w:tc>
          <w:tcPr>
            <w:tcW w:w="1279" w:type="pct"/>
            <w:tcBorders>
              <w:top w:val="single" w:sz="4" w:space="0" w:color="auto"/>
            </w:tcBorders>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p>
        </w:tc>
        <w:tc>
          <w:tcPr>
            <w:tcW w:w="3721" w:type="pct"/>
            <w:tcBorders>
              <w:top w:val="single" w:sz="4" w:space="0" w:color="auto"/>
            </w:tcBorders>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p>
        </w:tc>
      </w:tr>
      <w:tr w:rsidR="00117EB5" w:rsidRPr="00840069" w:rsidTr="00117EB5">
        <w:tblPrEx>
          <w:tblBorders>
            <w:top w:val="single" w:sz="4" w:space="0" w:color="auto"/>
            <w:left w:val="single" w:sz="4" w:space="0" w:color="auto"/>
            <w:bottom w:val="single" w:sz="4" w:space="0" w:color="auto"/>
            <w:right w:val="single" w:sz="4" w:space="0" w:color="auto"/>
          </w:tblBorders>
        </w:tblPrEx>
        <w:tc>
          <w:tcPr>
            <w:tcW w:w="1279" w:type="pct"/>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p>
        </w:tc>
        <w:tc>
          <w:tcPr>
            <w:tcW w:w="3721" w:type="pct"/>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p>
        </w:tc>
      </w:tr>
      <w:tr w:rsidR="00117EB5" w:rsidRPr="00840069" w:rsidTr="00117EB5">
        <w:tblPrEx>
          <w:tblBorders>
            <w:top w:val="single" w:sz="4" w:space="0" w:color="auto"/>
            <w:left w:val="single" w:sz="4" w:space="0" w:color="auto"/>
            <w:bottom w:val="single" w:sz="4" w:space="0" w:color="auto"/>
            <w:right w:val="single" w:sz="4" w:space="0" w:color="auto"/>
          </w:tblBorders>
        </w:tblPrEx>
        <w:tc>
          <w:tcPr>
            <w:tcW w:w="1279" w:type="pct"/>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p>
        </w:tc>
        <w:tc>
          <w:tcPr>
            <w:tcW w:w="3721" w:type="pct"/>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p>
        </w:tc>
      </w:tr>
      <w:tr w:rsidR="00117EB5" w:rsidRPr="00840069" w:rsidTr="00117EB5">
        <w:tblPrEx>
          <w:tblBorders>
            <w:top w:val="single" w:sz="4" w:space="0" w:color="auto"/>
            <w:left w:val="single" w:sz="4" w:space="0" w:color="auto"/>
            <w:bottom w:val="single" w:sz="4" w:space="0" w:color="auto"/>
            <w:right w:val="single" w:sz="4" w:space="0" w:color="auto"/>
          </w:tblBorders>
        </w:tblPrEx>
        <w:tc>
          <w:tcPr>
            <w:tcW w:w="1279" w:type="pct"/>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p>
        </w:tc>
        <w:tc>
          <w:tcPr>
            <w:tcW w:w="3721" w:type="pct"/>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p>
        </w:tc>
      </w:tr>
      <w:tr w:rsidR="00117EB5" w:rsidRPr="00840069" w:rsidTr="00117EB5">
        <w:tblPrEx>
          <w:tblBorders>
            <w:top w:val="single" w:sz="4" w:space="0" w:color="auto"/>
            <w:left w:val="single" w:sz="4" w:space="0" w:color="auto"/>
            <w:bottom w:val="single" w:sz="4" w:space="0" w:color="auto"/>
            <w:right w:val="single" w:sz="4" w:space="0" w:color="auto"/>
          </w:tblBorders>
        </w:tblPrEx>
        <w:tc>
          <w:tcPr>
            <w:tcW w:w="1279" w:type="pct"/>
            <w:tcBorders>
              <w:top w:val="nil"/>
            </w:tcBorders>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p>
        </w:tc>
        <w:tc>
          <w:tcPr>
            <w:tcW w:w="3721" w:type="pct"/>
            <w:tcBorders>
              <w:top w:val="nil"/>
            </w:tcBorders>
            <w:shd w:val="clear" w:color="auto" w:fill="auto"/>
            <w:tcMar>
              <w:top w:w="144" w:type="dxa"/>
              <w:left w:w="144" w:type="dxa"/>
              <w:bottom w:w="144" w:type="dxa"/>
              <w:right w:w="144" w:type="dxa"/>
            </w:tcMar>
          </w:tcPr>
          <w:p w:rsidR="00117EB5" w:rsidRPr="00840069" w:rsidRDefault="00117EB5" w:rsidP="0098477B">
            <w:pPr>
              <w:rPr>
                <w:rFonts w:ascii="Arial" w:hAnsi="Arial" w:cs="Arial"/>
                <w:sz w:val="16"/>
                <w:szCs w:val="16"/>
              </w:rPr>
            </w:pPr>
          </w:p>
        </w:tc>
      </w:tr>
    </w:tbl>
    <w:p w:rsidR="002E61D7" w:rsidRDefault="002E61D7" w:rsidP="002E61D7">
      <w:pPr>
        <w:pStyle w:val="Body"/>
      </w:pPr>
    </w:p>
    <w:p w:rsidR="002E61D7" w:rsidRDefault="002E61D7" w:rsidP="002E61D7">
      <w:pPr>
        <w:pStyle w:val="Heading1"/>
      </w:pPr>
      <w:bookmarkStart w:id="58" w:name="_Toc235327683"/>
      <w:r>
        <w:br w:type="page"/>
      </w:r>
      <w:bookmarkStart w:id="59" w:name="_Toc368470421"/>
      <w:r>
        <w:lastRenderedPageBreak/>
        <w:t>The JPM Q-Score - A Composite Approach</w:t>
      </w:r>
      <w:bookmarkEnd w:id="58"/>
      <w:bookmarkEnd w:id="59"/>
    </w:p>
    <w:p w:rsidR="002E61D7" w:rsidRDefault="002E61D7" w:rsidP="002E61D7">
      <w:pPr>
        <w:pStyle w:val="Body"/>
      </w:pPr>
      <w:r>
        <w:t xml:space="preserve">The JPM Q-Score model is designed to act as a ‘catch all’ generic quant model suitable for use in many markets is. The factors used in our Q-Score have been selected as they are ten of the most popular quant factors ‘in general use’. That said they are popular for a reason having been widely researched by many practitioners (ourselves included) and historically have been found to be some of the strongest and most consistent ‘alpha generators’ in the quant analysts’ stock selection </w:t>
      </w:r>
      <w:r w:rsidRPr="001E0B30">
        <w:rPr>
          <w:lang w:val="en-GB"/>
        </w:rPr>
        <w:t>armoury</w:t>
      </w:r>
      <w:r>
        <w:t>.</w:t>
      </w:r>
    </w:p>
    <w:p w:rsidR="002E61D7" w:rsidRDefault="002E61D7" w:rsidP="002E61D7">
      <w:pPr>
        <w:pStyle w:val="FigureTitle"/>
      </w:pPr>
      <w:r w:rsidRPr="001E0B30">
        <w:t xml:space="preserve">Figure </w:t>
      </w:r>
      <w:fldSimple w:instr=" SEQ Figure \* ARABIC ">
        <w:r>
          <w:rPr>
            <w:noProof/>
          </w:rPr>
          <w:t>2</w:t>
        </w:r>
      </w:fldSimple>
      <w:r w:rsidRPr="001E0B30">
        <w:t xml:space="preserve">: </w:t>
      </w:r>
      <w:r>
        <w:t>The Quant Return Drivers – Ranking process</w:t>
      </w:r>
    </w:p>
    <w:p w:rsidR="002E61D7" w:rsidRPr="00F707D9" w:rsidRDefault="002E61D7" w:rsidP="002E61D7">
      <w:pPr>
        <w:pStyle w:val="Body"/>
      </w:pPr>
    </w:p>
    <w:p w:rsidR="002E61D7" w:rsidRPr="002E523F" w:rsidRDefault="002E61D7" w:rsidP="002E61D7">
      <w:pPr>
        <w:pStyle w:val="Body"/>
      </w:pPr>
      <w:r>
        <w:rPr>
          <w:noProof/>
        </w:rPr>
        <w:drawing>
          <wp:inline distT="0" distB="0" distL="0" distR="0">
            <wp:extent cx="4267200" cy="3581400"/>
            <wp:effectExtent l="1905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4267200" cy="3581400"/>
                    </a:xfrm>
                    <a:prstGeom prst="rect">
                      <a:avLst/>
                    </a:prstGeom>
                    <a:noFill/>
                    <a:ln w="9525">
                      <a:noFill/>
                      <a:miter lim="800000"/>
                      <a:headEnd/>
                      <a:tailEnd/>
                    </a:ln>
                  </pic:spPr>
                </pic:pic>
              </a:graphicData>
            </a:graphic>
          </wp:inline>
        </w:drawing>
      </w:r>
    </w:p>
    <w:p w:rsidR="002E61D7" w:rsidRPr="001E0B30" w:rsidRDefault="002E61D7" w:rsidP="002E61D7">
      <w:pPr>
        <w:pStyle w:val="Source"/>
      </w:pPr>
      <w:r w:rsidRPr="001E0B30">
        <w:t xml:space="preserve">Source: </w:t>
      </w:r>
      <w:r>
        <w:t>J.P. Morgan Quant</w:t>
      </w:r>
    </w:p>
    <w:p w:rsidR="002E61D7" w:rsidRDefault="002E61D7" w:rsidP="002E61D7">
      <w:pPr>
        <w:pStyle w:val="Heading2"/>
      </w:pPr>
      <w:bookmarkStart w:id="60" w:name="_Toc182901311"/>
      <w:r>
        <w:t>What are we capturing with these factors?</w:t>
      </w:r>
      <w:bookmarkEnd w:id="60"/>
    </w:p>
    <w:p w:rsidR="002E61D7" w:rsidRDefault="002E61D7" w:rsidP="002E61D7">
      <w:pPr>
        <w:pStyle w:val="Body"/>
      </w:pPr>
      <w:r>
        <w:t xml:space="preserve">These ten factors can broadly be divided into four key categories (or factor families) to which we believe a portion of the stocks subsequent return can be attributed. </w:t>
      </w:r>
    </w:p>
    <w:p w:rsidR="002E61D7" w:rsidRDefault="002E61D7" w:rsidP="002E61D7">
      <w:pPr>
        <w:pStyle w:val="Body"/>
      </w:pPr>
      <w:r>
        <w:t>There is extensive literature available on each of these categories and we have ourselves explored many of these effects over the last ten or so years. Clearly this is not the correct forum for going into great detail and instead a (very!) brief summary follows:</w:t>
      </w:r>
    </w:p>
    <w:p w:rsidR="002E61D7" w:rsidRDefault="002E61D7" w:rsidP="002E61D7">
      <w:pPr>
        <w:pStyle w:val="Heading3"/>
      </w:pPr>
      <w:r>
        <w:t>VALUATION</w:t>
      </w:r>
    </w:p>
    <w:p w:rsidR="002E61D7" w:rsidRDefault="002E61D7" w:rsidP="002E61D7">
      <w:pPr>
        <w:pStyle w:val="Body"/>
      </w:pPr>
      <w:r>
        <w:t xml:space="preserve">Many quant researchers have explored the ‘Value Anomaly’ and it is widely recognised that low PE stocks outperform high PE stocks over the long term. Similar </w:t>
      </w:r>
      <w:r>
        <w:lastRenderedPageBreak/>
        <w:t>analysis has shown consistent results using P/Sales, P/Dividend and P/Book ratios. Our studies have also shown that Earnings Growth can complement straight Value factors in many markets.</w:t>
      </w:r>
    </w:p>
    <w:p w:rsidR="002E61D7" w:rsidRPr="00FF0FCB" w:rsidRDefault="002E61D7" w:rsidP="002E61D7">
      <w:pPr>
        <w:pStyle w:val="Heading3"/>
      </w:pPr>
      <w:r>
        <w:t>MOMENTUM</w:t>
      </w:r>
    </w:p>
    <w:p w:rsidR="002E61D7" w:rsidRPr="00FF0FCB" w:rsidRDefault="002E61D7" w:rsidP="002E61D7">
      <w:pPr>
        <w:pStyle w:val="Body"/>
      </w:pPr>
      <w:r w:rsidRPr="00FF0FCB">
        <w:t xml:space="preserve">Momentum theory for stock prices suggests that companies that do well in one (long term) investment period will continue to do well in the subsequent investment horizon. Over short time frames (&lt;1month) studies have also highlighted the tendency of stocks to overreact leading to short term reversion. We have </w:t>
      </w:r>
      <w:r>
        <w:t>widely observed these phenomena</w:t>
      </w:r>
      <w:r w:rsidRPr="00FF0FCB">
        <w:t xml:space="preserve"> in our own testing</w:t>
      </w:r>
      <w:r>
        <w:t>.</w:t>
      </w:r>
    </w:p>
    <w:p w:rsidR="002E61D7" w:rsidRDefault="002E61D7" w:rsidP="002E61D7">
      <w:pPr>
        <w:pStyle w:val="Heading3"/>
        <w:rPr>
          <w:sz w:val="36"/>
          <w:szCs w:val="36"/>
        </w:rPr>
      </w:pPr>
      <w:r>
        <w:t xml:space="preserve">EARNINGS &amp; SENTIMENT </w:t>
      </w:r>
    </w:p>
    <w:p w:rsidR="002E61D7" w:rsidRDefault="002E61D7" w:rsidP="002E61D7">
      <w:pPr>
        <w:pStyle w:val="Body"/>
      </w:pPr>
      <w:r w:rsidRPr="00FF0FCB">
        <w:t>We believe that the market is not efficient at incorporating new information and a window of opportunity exists to exploit recent analyst revisions in earnings and recommendations. Similarly analyst behavioural biases lead to subsequent changes suggesting an exploitable serial correlation in earnings upgrades/downgrades.</w:t>
      </w:r>
    </w:p>
    <w:p w:rsidR="002E61D7" w:rsidRDefault="002E61D7" w:rsidP="002E61D7">
      <w:pPr>
        <w:pStyle w:val="Heading3"/>
        <w:rPr>
          <w:sz w:val="36"/>
          <w:szCs w:val="36"/>
        </w:rPr>
      </w:pPr>
      <w:r>
        <w:t>QUALITY</w:t>
      </w:r>
    </w:p>
    <w:p w:rsidR="002E61D7" w:rsidRDefault="002E61D7" w:rsidP="002E61D7">
      <w:pPr>
        <w:pStyle w:val="Body"/>
      </w:pPr>
      <w:r w:rsidRPr="00FF0FCB">
        <w:t>Whilst arguably less readily observable than some other factors</w:t>
      </w:r>
      <w:r>
        <w:t xml:space="preserve"> (especially in more emerging markets)</w:t>
      </w:r>
      <w:r w:rsidRPr="00FF0FCB">
        <w:t>, it is generally accepted that it is desirable to tilt portfolios towards highly profitable and good quality businesses. Similarly over the long term the market also appears to reward 'earnings certainty' and penalise those stocks that carry a large degree of earnings risk.</w:t>
      </w:r>
    </w:p>
    <w:p w:rsidR="002E61D7" w:rsidRDefault="002E61D7" w:rsidP="002E61D7">
      <w:pPr>
        <w:pStyle w:val="Heading2"/>
      </w:pPr>
      <w:bookmarkStart w:id="61" w:name="_Toc182901312"/>
      <w:r>
        <w:t>Generating the Q-Score</w:t>
      </w:r>
      <w:bookmarkEnd w:id="61"/>
    </w:p>
    <w:p w:rsidR="002E61D7" w:rsidRDefault="002E61D7" w:rsidP="002E61D7">
      <w:pPr>
        <w:pStyle w:val="Body"/>
      </w:pPr>
      <w:r>
        <w:t>Given we have now quantified each stocks exposure to what we believe are four of the key drivers of return the next step is to combine theses scores into an over metric that can be considered indicative of the stocks expected return. We call this the Q-Score and we use a standard quantitative approach to combining the individual factor scores. This involves normalizing our data and establishing the factor premiums (or weights) that we are going to allocate to each of the drivers. We have a number of techniques that we use to help us establish the factor premiums though we would urge ‘budding quant analysts’ not to fall into the trap of thinking that this is by any means an exact science!</w:t>
      </w:r>
    </w:p>
    <w:p w:rsidR="002E61D7" w:rsidRDefault="002E61D7" w:rsidP="002E61D7">
      <w:pPr>
        <w:pStyle w:val="Body"/>
      </w:pPr>
      <w:r>
        <w:t>In the case of our Q-Score we are not trying to build a quant process per se and are instead looking to provide the market with a general indication of likely outperformance on a per stock basis. For that reason we have kept things relatively simple. We have used the same factor premiums across all markets and have not tailored the Q-Score to any particular investment style. Rather we have looked to provide a ‘Generic Alpha score’ that can be used across a global spectrum.</w:t>
      </w:r>
    </w:p>
    <w:p w:rsidR="002E61D7" w:rsidRDefault="002E61D7" w:rsidP="002E61D7">
      <w:pPr>
        <w:pStyle w:val="Body"/>
      </w:pPr>
      <w:r>
        <w:t xml:space="preserve">In the table below we show the factor premiums that have been applied to the ten input factors to generate the overall Q-Score. Note that due to limits in data availability we have applied some additional rules to our process. In particular no Q-Score is allocated to a company that does not have an exposure to our key factor families of Value and Earnings. A stock may be missing either a Quality exposure or a Momentum exposure (but not missing both!) and still be allocated a Q-Score. When considering the individual drivers a minimum of 50% of the drivers must be available for a family score to be calculated with some factors being mandatory members of the family. The mandatory items are shown in the table as </w:t>
      </w:r>
      <w:r w:rsidRPr="00FB7405">
        <w:rPr>
          <w:b/>
        </w:rPr>
        <w:t>bold</w:t>
      </w:r>
      <w:r>
        <w:t>.</w:t>
      </w:r>
    </w:p>
    <w:p w:rsidR="002E61D7" w:rsidRDefault="002E61D7" w:rsidP="002E61D7">
      <w:pPr>
        <w:pStyle w:val="FigureTitle"/>
      </w:pPr>
      <w:r w:rsidRPr="001E0B30">
        <w:lastRenderedPageBreak/>
        <w:t xml:space="preserve">Figure </w:t>
      </w:r>
      <w:fldSimple w:instr=" SEQ Figure \* ARABIC ">
        <w:r>
          <w:rPr>
            <w:noProof/>
          </w:rPr>
          <w:t>3</w:t>
        </w:r>
      </w:fldSimple>
      <w:r w:rsidRPr="001E0B30">
        <w:t xml:space="preserve">: </w:t>
      </w:r>
      <w:r>
        <w:t>Converting the Quant Return Drivers into the Q-Score</w:t>
      </w:r>
    </w:p>
    <w:p w:rsidR="002E61D7" w:rsidRDefault="002E61D7" w:rsidP="002E61D7">
      <w:pPr>
        <w:pStyle w:val="Body"/>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8"/>
        <w:gridCol w:w="3492"/>
      </w:tblGrid>
      <w:tr w:rsidR="002E61D7" w:rsidTr="0098477B">
        <w:tc>
          <w:tcPr>
            <w:tcW w:w="3578" w:type="dxa"/>
          </w:tcPr>
          <w:p w:rsidR="002E61D7" w:rsidRPr="00A0504A" w:rsidRDefault="002E61D7" w:rsidP="0098477B">
            <w:pPr>
              <w:jc w:val="center"/>
              <w:rPr>
                <w:b/>
                <w:bCs/>
                <w:i/>
                <w:iCs/>
                <w:sz w:val="20"/>
                <w:szCs w:val="20"/>
              </w:rPr>
            </w:pPr>
            <w:r w:rsidRPr="00A0504A">
              <w:rPr>
                <w:b/>
                <w:bCs/>
                <w:sz w:val="20"/>
                <w:szCs w:val="20"/>
              </w:rPr>
              <w:t xml:space="preserve">VALUATION </w:t>
            </w:r>
            <w:r w:rsidRPr="00A0504A">
              <w:rPr>
                <w:b/>
                <w:bCs/>
                <w:i/>
                <w:iCs/>
                <w:sz w:val="20"/>
                <w:szCs w:val="20"/>
              </w:rPr>
              <w:t>[30%]</w:t>
            </w:r>
          </w:p>
          <w:p w:rsidR="002E61D7" w:rsidRPr="00A0504A" w:rsidRDefault="002E61D7" w:rsidP="0098477B">
            <w:pPr>
              <w:jc w:val="center"/>
              <w:rPr>
                <w:sz w:val="16"/>
                <w:szCs w:val="16"/>
              </w:rPr>
            </w:pPr>
          </w:p>
          <w:p w:rsidR="002E61D7" w:rsidRPr="00A0504A" w:rsidRDefault="002E61D7" w:rsidP="0098477B">
            <w:pPr>
              <w:jc w:val="center"/>
              <w:rPr>
                <w:sz w:val="16"/>
                <w:szCs w:val="16"/>
              </w:rPr>
            </w:pPr>
          </w:p>
          <w:p w:rsidR="002E61D7" w:rsidRPr="00A0504A" w:rsidRDefault="002E61D7" w:rsidP="0098477B">
            <w:pPr>
              <w:jc w:val="center"/>
              <w:rPr>
                <w:b/>
                <w:bCs/>
                <w:sz w:val="16"/>
                <w:szCs w:val="16"/>
              </w:rPr>
            </w:pPr>
            <w:r w:rsidRPr="00A0504A">
              <w:rPr>
                <w:b/>
                <w:bCs/>
                <w:sz w:val="16"/>
                <w:szCs w:val="16"/>
              </w:rPr>
              <w:t>COMPONENT FACTORS</w:t>
            </w:r>
          </w:p>
          <w:p w:rsidR="002E61D7" w:rsidRPr="00A0504A" w:rsidRDefault="002E61D7" w:rsidP="0098477B">
            <w:pPr>
              <w:jc w:val="center"/>
              <w:rPr>
                <w:b/>
                <w:i/>
                <w:iCs/>
                <w:sz w:val="16"/>
                <w:szCs w:val="16"/>
              </w:rPr>
            </w:pPr>
            <w:r w:rsidRPr="00A0504A">
              <w:rPr>
                <w:b/>
                <w:sz w:val="16"/>
                <w:szCs w:val="16"/>
              </w:rPr>
              <w:t xml:space="preserve">P/E Vs Market (12mth fwd EPS) </w:t>
            </w:r>
            <w:r w:rsidRPr="00A0504A">
              <w:rPr>
                <w:b/>
                <w:i/>
                <w:iCs/>
                <w:sz w:val="16"/>
                <w:szCs w:val="16"/>
              </w:rPr>
              <w:t>[34%]</w:t>
            </w:r>
          </w:p>
          <w:p w:rsidR="002E61D7" w:rsidRPr="00A0504A" w:rsidRDefault="002E61D7" w:rsidP="0098477B">
            <w:pPr>
              <w:jc w:val="center"/>
              <w:rPr>
                <w:b/>
                <w:sz w:val="16"/>
                <w:szCs w:val="16"/>
              </w:rPr>
            </w:pPr>
            <w:r w:rsidRPr="00A0504A">
              <w:rPr>
                <w:b/>
                <w:sz w:val="16"/>
                <w:szCs w:val="16"/>
              </w:rPr>
              <w:t xml:space="preserve">P/E Vs Country Sector (12mth fwd EPS) </w:t>
            </w:r>
            <w:r w:rsidRPr="00A0504A">
              <w:rPr>
                <w:b/>
                <w:i/>
                <w:iCs/>
                <w:sz w:val="16"/>
                <w:szCs w:val="16"/>
              </w:rPr>
              <w:t>[33%]</w:t>
            </w:r>
          </w:p>
          <w:p w:rsidR="002E61D7" w:rsidRPr="00A0504A" w:rsidRDefault="002E61D7" w:rsidP="0098477B">
            <w:pPr>
              <w:jc w:val="center"/>
              <w:rPr>
                <w:sz w:val="16"/>
                <w:szCs w:val="16"/>
              </w:rPr>
            </w:pPr>
            <w:r w:rsidRPr="00A0504A">
              <w:rPr>
                <w:sz w:val="16"/>
                <w:szCs w:val="16"/>
              </w:rPr>
              <w:t xml:space="preserve">EPS Growth (FY1 mean to FY2 mean) </w:t>
            </w:r>
            <w:r w:rsidRPr="00A0504A">
              <w:rPr>
                <w:i/>
                <w:iCs/>
                <w:sz w:val="16"/>
                <w:szCs w:val="16"/>
              </w:rPr>
              <w:t>[33%]</w:t>
            </w:r>
          </w:p>
          <w:p w:rsidR="002E61D7" w:rsidRDefault="002E61D7" w:rsidP="0098477B">
            <w:pPr>
              <w:pStyle w:val="Body"/>
            </w:pPr>
          </w:p>
        </w:tc>
        <w:tc>
          <w:tcPr>
            <w:tcW w:w="3492" w:type="dxa"/>
          </w:tcPr>
          <w:p w:rsidR="002E61D7" w:rsidRPr="00A0504A" w:rsidRDefault="002E61D7" w:rsidP="0098477B">
            <w:pPr>
              <w:jc w:val="center"/>
              <w:rPr>
                <w:b/>
                <w:bCs/>
                <w:i/>
                <w:iCs/>
                <w:sz w:val="20"/>
                <w:szCs w:val="20"/>
              </w:rPr>
            </w:pPr>
            <w:r w:rsidRPr="00A0504A">
              <w:rPr>
                <w:b/>
                <w:bCs/>
                <w:sz w:val="20"/>
                <w:szCs w:val="20"/>
              </w:rPr>
              <w:t xml:space="preserve">EARNINGS &amp; SENTIMENT </w:t>
            </w:r>
            <w:r w:rsidRPr="00A0504A">
              <w:rPr>
                <w:b/>
                <w:bCs/>
                <w:i/>
                <w:iCs/>
                <w:sz w:val="20"/>
                <w:szCs w:val="20"/>
              </w:rPr>
              <w:t>[30%]</w:t>
            </w:r>
          </w:p>
          <w:p w:rsidR="002E61D7" w:rsidRPr="00A0504A" w:rsidRDefault="002E61D7" w:rsidP="0098477B">
            <w:pPr>
              <w:jc w:val="center"/>
              <w:rPr>
                <w:sz w:val="16"/>
                <w:szCs w:val="16"/>
              </w:rPr>
            </w:pPr>
          </w:p>
          <w:p w:rsidR="002E61D7" w:rsidRPr="00A0504A" w:rsidRDefault="002E61D7" w:rsidP="0098477B">
            <w:pPr>
              <w:jc w:val="center"/>
              <w:rPr>
                <w:b/>
                <w:bCs/>
                <w:sz w:val="16"/>
                <w:szCs w:val="16"/>
              </w:rPr>
            </w:pPr>
            <w:r w:rsidRPr="00A0504A">
              <w:rPr>
                <w:b/>
                <w:bCs/>
                <w:sz w:val="16"/>
                <w:szCs w:val="16"/>
              </w:rPr>
              <w:t>COMPONENT FACTORS</w:t>
            </w:r>
          </w:p>
          <w:p w:rsidR="002E61D7" w:rsidRPr="00A0504A" w:rsidRDefault="002E61D7" w:rsidP="0098477B">
            <w:pPr>
              <w:jc w:val="center"/>
              <w:rPr>
                <w:b/>
                <w:sz w:val="16"/>
                <w:szCs w:val="16"/>
              </w:rPr>
            </w:pPr>
            <w:r w:rsidRPr="00A0504A">
              <w:rPr>
                <w:b/>
                <w:sz w:val="16"/>
                <w:szCs w:val="16"/>
              </w:rPr>
              <w:t xml:space="preserve">Earnings Momentum 3mth (Risk Adj.) </w:t>
            </w:r>
            <w:r w:rsidRPr="00A0504A">
              <w:rPr>
                <w:b/>
                <w:i/>
                <w:iCs/>
                <w:sz w:val="16"/>
                <w:szCs w:val="16"/>
              </w:rPr>
              <w:t>[34%]</w:t>
            </w:r>
          </w:p>
          <w:p w:rsidR="002E61D7" w:rsidRPr="00A0504A" w:rsidRDefault="002E61D7" w:rsidP="0098477B">
            <w:pPr>
              <w:jc w:val="center"/>
              <w:rPr>
                <w:sz w:val="16"/>
                <w:szCs w:val="16"/>
              </w:rPr>
            </w:pPr>
            <w:r w:rsidRPr="00A0504A">
              <w:rPr>
                <w:sz w:val="16"/>
                <w:szCs w:val="16"/>
              </w:rPr>
              <w:t>1Mth change in consensus recomms</w:t>
            </w:r>
            <w:r w:rsidRPr="00A0504A">
              <w:rPr>
                <w:i/>
                <w:iCs/>
                <w:sz w:val="16"/>
                <w:szCs w:val="16"/>
              </w:rPr>
              <w:t>[33%]</w:t>
            </w:r>
          </w:p>
          <w:p w:rsidR="002E61D7" w:rsidRPr="00A0504A" w:rsidRDefault="002E61D7" w:rsidP="0098477B">
            <w:pPr>
              <w:jc w:val="center"/>
              <w:rPr>
                <w:sz w:val="16"/>
                <w:szCs w:val="16"/>
              </w:rPr>
            </w:pPr>
            <w:r w:rsidRPr="00A0504A">
              <w:rPr>
                <w:sz w:val="16"/>
                <w:szCs w:val="16"/>
              </w:rPr>
              <w:t xml:space="preserve">Net Revisions  to mean FY2 EPS </w:t>
            </w:r>
            <w:r w:rsidRPr="00A0504A">
              <w:rPr>
                <w:i/>
                <w:iCs/>
                <w:sz w:val="16"/>
                <w:szCs w:val="16"/>
              </w:rPr>
              <w:t>[33%]</w:t>
            </w:r>
          </w:p>
          <w:p w:rsidR="002E61D7" w:rsidRDefault="002E61D7" w:rsidP="0098477B">
            <w:pPr>
              <w:pStyle w:val="Body"/>
            </w:pPr>
          </w:p>
        </w:tc>
      </w:tr>
      <w:tr w:rsidR="002E61D7" w:rsidTr="0098477B">
        <w:tc>
          <w:tcPr>
            <w:tcW w:w="3578" w:type="dxa"/>
          </w:tcPr>
          <w:p w:rsidR="002E61D7" w:rsidRPr="00A0504A" w:rsidRDefault="002E61D7" w:rsidP="0098477B">
            <w:pPr>
              <w:jc w:val="center"/>
              <w:rPr>
                <w:b/>
                <w:bCs/>
                <w:i/>
                <w:iCs/>
                <w:sz w:val="20"/>
                <w:szCs w:val="20"/>
              </w:rPr>
            </w:pPr>
            <w:r w:rsidRPr="00A0504A">
              <w:rPr>
                <w:b/>
                <w:bCs/>
                <w:sz w:val="20"/>
                <w:szCs w:val="20"/>
              </w:rPr>
              <w:t xml:space="preserve">MOMENTUM </w:t>
            </w:r>
            <w:r w:rsidRPr="00A0504A">
              <w:rPr>
                <w:b/>
                <w:bCs/>
                <w:i/>
                <w:iCs/>
                <w:sz w:val="20"/>
                <w:szCs w:val="20"/>
              </w:rPr>
              <w:t>[20%]</w:t>
            </w:r>
          </w:p>
          <w:p w:rsidR="002E61D7" w:rsidRPr="00A0504A" w:rsidRDefault="002E61D7" w:rsidP="0098477B">
            <w:pPr>
              <w:jc w:val="center"/>
              <w:rPr>
                <w:sz w:val="16"/>
                <w:szCs w:val="16"/>
              </w:rPr>
            </w:pPr>
          </w:p>
          <w:p w:rsidR="002E61D7" w:rsidRPr="00A0504A" w:rsidRDefault="002E61D7" w:rsidP="0098477B">
            <w:pPr>
              <w:jc w:val="center"/>
              <w:rPr>
                <w:b/>
                <w:bCs/>
                <w:sz w:val="16"/>
                <w:szCs w:val="16"/>
              </w:rPr>
            </w:pPr>
            <w:r w:rsidRPr="00A0504A">
              <w:rPr>
                <w:b/>
                <w:bCs/>
                <w:sz w:val="16"/>
                <w:szCs w:val="16"/>
              </w:rPr>
              <w:t>COMPONENT FACTORS</w:t>
            </w:r>
          </w:p>
          <w:p w:rsidR="002E61D7" w:rsidRPr="00A0504A" w:rsidRDefault="002E61D7" w:rsidP="0098477B">
            <w:pPr>
              <w:jc w:val="center"/>
              <w:rPr>
                <w:b/>
                <w:i/>
                <w:iCs/>
                <w:sz w:val="16"/>
                <w:szCs w:val="16"/>
              </w:rPr>
            </w:pPr>
            <w:r w:rsidRPr="00A0504A">
              <w:rPr>
                <w:b/>
                <w:sz w:val="16"/>
                <w:szCs w:val="16"/>
              </w:rPr>
              <w:t xml:space="preserve">12Mth Price Momentum </w:t>
            </w:r>
            <w:r w:rsidRPr="00A0504A">
              <w:rPr>
                <w:b/>
                <w:i/>
                <w:iCs/>
                <w:sz w:val="16"/>
                <w:szCs w:val="16"/>
              </w:rPr>
              <w:t>[75%]</w:t>
            </w:r>
          </w:p>
          <w:p w:rsidR="002E61D7" w:rsidRPr="00A0504A" w:rsidRDefault="002E61D7" w:rsidP="0098477B">
            <w:pPr>
              <w:jc w:val="center"/>
              <w:rPr>
                <w:b/>
                <w:sz w:val="36"/>
                <w:szCs w:val="36"/>
              </w:rPr>
            </w:pPr>
            <w:r w:rsidRPr="00A0504A">
              <w:rPr>
                <w:b/>
                <w:sz w:val="16"/>
                <w:szCs w:val="16"/>
              </w:rPr>
              <w:t xml:space="preserve">1Mth Price Reversion </w:t>
            </w:r>
            <w:r w:rsidRPr="00A0504A">
              <w:rPr>
                <w:b/>
                <w:i/>
                <w:iCs/>
                <w:sz w:val="16"/>
                <w:szCs w:val="16"/>
              </w:rPr>
              <w:t>[25%]</w:t>
            </w:r>
          </w:p>
          <w:p w:rsidR="002E61D7" w:rsidRDefault="002E61D7" w:rsidP="0098477B">
            <w:pPr>
              <w:pStyle w:val="Body"/>
            </w:pPr>
          </w:p>
        </w:tc>
        <w:tc>
          <w:tcPr>
            <w:tcW w:w="3492" w:type="dxa"/>
          </w:tcPr>
          <w:p w:rsidR="002E61D7" w:rsidRPr="00A0504A" w:rsidRDefault="002E61D7" w:rsidP="0098477B">
            <w:pPr>
              <w:jc w:val="center"/>
              <w:rPr>
                <w:b/>
                <w:bCs/>
                <w:i/>
                <w:iCs/>
                <w:sz w:val="20"/>
                <w:szCs w:val="20"/>
              </w:rPr>
            </w:pPr>
            <w:r w:rsidRPr="00A0504A">
              <w:rPr>
                <w:b/>
                <w:bCs/>
                <w:sz w:val="20"/>
                <w:szCs w:val="20"/>
              </w:rPr>
              <w:t xml:space="preserve">QUALITY </w:t>
            </w:r>
            <w:r w:rsidRPr="00A0504A">
              <w:rPr>
                <w:b/>
                <w:bCs/>
                <w:i/>
                <w:iCs/>
                <w:sz w:val="20"/>
                <w:szCs w:val="20"/>
              </w:rPr>
              <w:t>[20%]</w:t>
            </w:r>
          </w:p>
          <w:p w:rsidR="002E61D7" w:rsidRPr="00A0504A" w:rsidRDefault="002E61D7" w:rsidP="0098477B">
            <w:pPr>
              <w:jc w:val="center"/>
              <w:rPr>
                <w:sz w:val="16"/>
                <w:szCs w:val="16"/>
              </w:rPr>
            </w:pPr>
          </w:p>
          <w:p w:rsidR="002E61D7" w:rsidRPr="00A0504A" w:rsidRDefault="002E61D7" w:rsidP="0098477B">
            <w:pPr>
              <w:jc w:val="center"/>
              <w:rPr>
                <w:b/>
                <w:bCs/>
                <w:sz w:val="16"/>
                <w:szCs w:val="16"/>
              </w:rPr>
            </w:pPr>
            <w:r w:rsidRPr="00A0504A">
              <w:rPr>
                <w:b/>
                <w:bCs/>
                <w:sz w:val="16"/>
                <w:szCs w:val="16"/>
              </w:rPr>
              <w:t>COMPONENT FACTORS</w:t>
            </w:r>
          </w:p>
          <w:p w:rsidR="002E61D7" w:rsidRPr="00A0504A" w:rsidRDefault="002E61D7" w:rsidP="0098477B">
            <w:pPr>
              <w:jc w:val="center"/>
              <w:rPr>
                <w:i/>
                <w:iCs/>
                <w:sz w:val="16"/>
                <w:szCs w:val="16"/>
              </w:rPr>
            </w:pPr>
            <w:r w:rsidRPr="00A0504A">
              <w:rPr>
                <w:sz w:val="16"/>
                <w:szCs w:val="16"/>
              </w:rPr>
              <w:t xml:space="preserve">ROE (average of FY1 &amp;FY2 forecast) </w:t>
            </w:r>
            <w:r w:rsidRPr="00A0504A">
              <w:rPr>
                <w:i/>
                <w:iCs/>
                <w:sz w:val="16"/>
                <w:szCs w:val="16"/>
              </w:rPr>
              <w:t>[50%]</w:t>
            </w:r>
          </w:p>
          <w:p w:rsidR="002E61D7" w:rsidRPr="00A0504A" w:rsidRDefault="002E61D7" w:rsidP="0098477B">
            <w:pPr>
              <w:jc w:val="center"/>
              <w:rPr>
                <w:sz w:val="36"/>
                <w:szCs w:val="36"/>
              </w:rPr>
            </w:pPr>
            <w:r w:rsidRPr="00A0504A">
              <w:rPr>
                <w:sz w:val="16"/>
                <w:szCs w:val="16"/>
              </w:rPr>
              <w:t xml:space="preserve">Earnings Risk (Variation in forecast EPS) </w:t>
            </w:r>
            <w:r w:rsidRPr="00A0504A">
              <w:rPr>
                <w:i/>
                <w:iCs/>
                <w:sz w:val="16"/>
                <w:szCs w:val="16"/>
              </w:rPr>
              <w:t>[50%]</w:t>
            </w:r>
          </w:p>
          <w:p w:rsidR="002E61D7" w:rsidRDefault="002E61D7" w:rsidP="0098477B">
            <w:pPr>
              <w:pStyle w:val="Body"/>
            </w:pPr>
          </w:p>
        </w:tc>
      </w:tr>
    </w:tbl>
    <w:p w:rsidR="002E61D7" w:rsidRPr="001E0B30" w:rsidRDefault="002E61D7" w:rsidP="002E61D7">
      <w:pPr>
        <w:pStyle w:val="Source"/>
      </w:pPr>
      <w:r w:rsidRPr="001E0B30">
        <w:t xml:space="preserve">Source: </w:t>
      </w:r>
      <w:r>
        <w:t>J.P.Morgan Quant</w:t>
      </w:r>
    </w:p>
    <w:p w:rsidR="002E61D7" w:rsidRDefault="002E61D7" w:rsidP="002E61D7">
      <w:pPr>
        <w:pStyle w:val="Body"/>
        <w:rPr>
          <w:lang w:val="en-AU"/>
        </w:rPr>
      </w:pPr>
      <w:r>
        <w:rPr>
          <w:lang w:val="en-AU"/>
        </w:rPr>
        <w:t>The J.P. Morgan Q-Score composite quant factor is generally the starting point we use in most of our research and the benchmark that we look to ‘beat’ through the introduction of new ideas.</w:t>
      </w:r>
    </w:p>
    <w:p w:rsidR="002E61D7" w:rsidRDefault="002E61D7" w:rsidP="002E61D7">
      <w:pPr>
        <w:pStyle w:val="Body"/>
        <w:rPr>
          <w:lang w:val="en-AU"/>
        </w:rPr>
      </w:pPr>
    </w:p>
    <w:p w:rsidR="002E61D7" w:rsidRDefault="002E61D7" w:rsidP="002E61D7">
      <w:pPr>
        <w:pStyle w:val="Body"/>
        <w:rPr>
          <w:lang w:val="en-AU"/>
        </w:rPr>
      </w:pPr>
    </w:p>
    <w:p w:rsidR="002E61D7" w:rsidRDefault="002E61D7" w:rsidP="002E61D7">
      <w:pPr>
        <w:pStyle w:val="Body"/>
        <w:rPr>
          <w:lang w:val="en-AU"/>
        </w:rPr>
      </w:pPr>
    </w:p>
    <w:p w:rsidR="002E61D7" w:rsidRDefault="002E61D7" w:rsidP="002E61D7">
      <w:pPr>
        <w:pStyle w:val="Body"/>
        <w:rPr>
          <w:lang w:val="en-AU"/>
        </w:rPr>
      </w:pPr>
    </w:p>
    <w:p w:rsidR="002E61D7" w:rsidRDefault="002E61D7" w:rsidP="002E61D7">
      <w:pPr>
        <w:pStyle w:val="Body"/>
        <w:sectPr w:rsidR="002E61D7" w:rsidSect="0098477B">
          <w:pgSz w:w="12240" w:h="15840" w:code="1"/>
          <w:pgMar w:top="2376" w:right="1138" w:bottom="936" w:left="4248" w:header="936" w:footer="576" w:gutter="0"/>
          <w:cols w:space="720"/>
          <w:formProt w:val="0"/>
          <w:docGrid w:linePitch="360"/>
        </w:sectPr>
      </w:pPr>
    </w:p>
    <w:p w:rsidR="002E61D7" w:rsidRPr="00FF4A00" w:rsidRDefault="002E61D7" w:rsidP="002E61D7">
      <w:pPr>
        <w:pStyle w:val="Heading1"/>
        <w:ind w:left="-3125"/>
      </w:pPr>
      <w:bookmarkStart w:id="62" w:name="Contacts"/>
      <w:bookmarkStart w:id="63" w:name="_Toc351370631"/>
      <w:bookmarkStart w:id="64" w:name="_Ref355699965"/>
      <w:bookmarkStart w:id="65" w:name="_Toc355713951"/>
      <w:bookmarkStart w:id="66" w:name="_Toc368470422"/>
      <w:bookmarkEnd w:id="62"/>
      <w:r w:rsidRPr="00FF4A00">
        <w:lastRenderedPageBreak/>
        <w:t>Contacts</w:t>
      </w:r>
      <w:bookmarkEnd w:id="63"/>
      <w:bookmarkEnd w:id="64"/>
      <w:bookmarkEnd w:id="65"/>
      <w:bookmarkEnd w:id="66"/>
    </w:p>
    <w:p w:rsidR="002E61D7" w:rsidRPr="00336111" w:rsidRDefault="002E61D7" w:rsidP="002E61D7">
      <w:pPr>
        <w:ind w:left="-2880"/>
        <w:rPr>
          <w:b/>
          <w:bCs/>
        </w:rPr>
      </w:pPr>
      <w:r>
        <w:rPr>
          <w:b/>
          <w:bCs/>
        </w:rPr>
        <w:t xml:space="preserve">Global Quantitative and Derivatives Strategy </w:t>
      </w:r>
    </w:p>
    <w:p w:rsidR="002E61D7" w:rsidRPr="00FF4A00" w:rsidRDefault="002E61D7" w:rsidP="002E61D7">
      <w:pPr>
        <w:ind w:left="-2880"/>
        <w:rPr>
          <w:sz w:val="20"/>
          <w:szCs w:val="20"/>
        </w:rPr>
      </w:pPr>
      <w:r w:rsidRPr="00FF4A00">
        <w:rPr>
          <w:sz w:val="20"/>
          <w:szCs w:val="20"/>
        </w:rPr>
        <w:t>Marko Kolanovic</w:t>
      </w:r>
      <w:r>
        <w:rPr>
          <w:sz w:val="20"/>
          <w:szCs w:val="20"/>
        </w:rPr>
        <w:t xml:space="preserve"> </w:t>
      </w:r>
      <w:bookmarkStart w:id="67" w:name="_Toc351370632"/>
      <w:r w:rsidRPr="00321A95">
        <w:rPr>
          <w:sz w:val="20"/>
          <w:szCs w:val="20"/>
        </w:rPr>
        <w:t>(Global Head</w:t>
      </w:r>
      <w:bookmarkEnd w:id="67"/>
      <w:r w:rsidRPr="00321A95">
        <w:rPr>
          <w:sz w:val="20"/>
          <w:szCs w:val="20"/>
        </w:rPr>
        <w:t>)</w:t>
      </w:r>
    </w:p>
    <w:p w:rsidR="002E61D7" w:rsidRDefault="002E61D7" w:rsidP="002E61D7">
      <w:pPr>
        <w:ind w:left="-2880"/>
        <w:rPr>
          <w:sz w:val="20"/>
          <w:szCs w:val="20"/>
        </w:rPr>
      </w:pPr>
    </w:p>
    <w:p w:rsidR="002E61D7" w:rsidRPr="00FF4A00" w:rsidRDefault="002E61D7" w:rsidP="002E61D7">
      <w:pPr>
        <w:ind w:left="-2880"/>
        <w:rPr>
          <w:sz w:val="20"/>
          <w:szCs w:val="20"/>
        </w:rPr>
      </w:pPr>
      <w:r w:rsidRPr="00336111">
        <w:rPr>
          <w:b/>
          <w:bCs/>
        </w:rPr>
        <w:t>Equity Derivatives</w:t>
      </w:r>
      <w:r>
        <w:rPr>
          <w:b/>
          <w:bCs/>
        </w:rPr>
        <w:t xml:space="preserve"> &amp; Delta One </w:t>
      </w:r>
      <w:r w:rsidRPr="00336111">
        <w:rPr>
          <w:b/>
          <w:bCs/>
        </w:rPr>
        <w:t>Strategy</w:t>
      </w:r>
    </w:p>
    <w:p w:rsidR="002E61D7" w:rsidRPr="00FF4A00" w:rsidRDefault="002E61D7" w:rsidP="002E61D7">
      <w:pPr>
        <w:ind w:left="-2880"/>
        <w:rPr>
          <w:sz w:val="20"/>
          <w:szCs w:val="20"/>
          <w:lang w:val="de-DE"/>
        </w:rPr>
      </w:pPr>
      <w:r w:rsidRPr="00FF4A00">
        <w:rPr>
          <w:sz w:val="20"/>
          <w:szCs w:val="20"/>
          <w:lang w:val="de-DE"/>
        </w:rPr>
        <w:t>Marko Kolanovic</w:t>
      </w:r>
      <w:r w:rsidRPr="00FF4A00">
        <w:rPr>
          <w:sz w:val="20"/>
          <w:szCs w:val="20"/>
          <w:lang w:val="de-DE"/>
        </w:rPr>
        <w:tab/>
      </w:r>
      <w:r>
        <w:rPr>
          <w:sz w:val="20"/>
          <w:szCs w:val="20"/>
          <w:lang w:val="de-DE"/>
        </w:rPr>
        <w:t>(Global/Americas)</w:t>
      </w:r>
      <w:r w:rsidRPr="00FF4A00">
        <w:rPr>
          <w:sz w:val="20"/>
          <w:szCs w:val="20"/>
          <w:lang w:val="de-DE"/>
        </w:rPr>
        <w:tab/>
      </w:r>
      <w:hyperlink r:id="rId62" w:history="1">
        <w:r w:rsidRPr="00FF4A00">
          <w:rPr>
            <w:rStyle w:val="Hyperlink"/>
            <w:sz w:val="20"/>
            <w:szCs w:val="20"/>
            <w:lang w:val="de-DE"/>
          </w:rPr>
          <w:t>mkolanovic@jpmorgan.com</w:t>
        </w:r>
      </w:hyperlink>
      <w:r w:rsidRPr="00FF4A00">
        <w:rPr>
          <w:sz w:val="20"/>
          <w:szCs w:val="20"/>
          <w:lang w:val="de-DE"/>
        </w:rPr>
        <w:tab/>
      </w:r>
      <w:r w:rsidRPr="00FF4A00">
        <w:rPr>
          <w:sz w:val="20"/>
          <w:szCs w:val="20"/>
          <w:lang w:val="de-DE"/>
        </w:rPr>
        <w:tab/>
      </w:r>
      <w:r w:rsidRPr="00FF4A00">
        <w:rPr>
          <w:sz w:val="20"/>
          <w:szCs w:val="20"/>
          <w:lang w:val="de-DE"/>
        </w:rPr>
        <w:tab/>
        <w:t>+ 1 (212) 272-1438</w:t>
      </w:r>
    </w:p>
    <w:p w:rsidR="002E61D7" w:rsidRDefault="002E61D7" w:rsidP="002E61D7">
      <w:pPr>
        <w:ind w:left="-2880"/>
        <w:rPr>
          <w:sz w:val="20"/>
          <w:szCs w:val="20"/>
          <w:lang w:val="pt-BR"/>
        </w:rPr>
      </w:pPr>
      <w:r w:rsidRPr="008837A6">
        <w:rPr>
          <w:sz w:val="20"/>
          <w:szCs w:val="20"/>
          <w:lang w:val="pt-BR"/>
        </w:rPr>
        <w:t>Bram Kaplan</w:t>
      </w:r>
      <w:r>
        <w:rPr>
          <w:sz w:val="20"/>
          <w:szCs w:val="20"/>
          <w:lang w:val="pt-BR"/>
        </w:rPr>
        <w:t xml:space="preserve"> (</w:t>
      </w:r>
      <w:r>
        <w:rPr>
          <w:sz w:val="20"/>
          <w:szCs w:val="20"/>
          <w:lang w:val="de-DE"/>
        </w:rPr>
        <w:t>Americas</w:t>
      </w:r>
      <w:r>
        <w:rPr>
          <w:sz w:val="20"/>
          <w:szCs w:val="20"/>
          <w:lang w:val="pt-BR"/>
        </w:rPr>
        <w:t>)</w:t>
      </w:r>
      <w:r>
        <w:rPr>
          <w:sz w:val="20"/>
          <w:szCs w:val="20"/>
          <w:lang w:val="pt-BR"/>
        </w:rPr>
        <w:tab/>
      </w:r>
      <w:r w:rsidRPr="00FF4A00">
        <w:rPr>
          <w:sz w:val="20"/>
          <w:szCs w:val="20"/>
          <w:lang w:val="pt-BR"/>
        </w:rPr>
        <w:tab/>
      </w:r>
      <w:r w:rsidRPr="00FF4A00">
        <w:rPr>
          <w:sz w:val="20"/>
          <w:szCs w:val="20"/>
          <w:lang w:val="pt-BR"/>
        </w:rPr>
        <w:tab/>
      </w:r>
      <w:hyperlink r:id="rId63" w:history="1">
        <w:r w:rsidRPr="00A86B27">
          <w:rPr>
            <w:rStyle w:val="Hyperlink"/>
            <w:sz w:val="20"/>
            <w:szCs w:val="20"/>
          </w:rPr>
          <w:t>bram.kaplan@jpmorgan.com</w:t>
        </w:r>
      </w:hyperlink>
      <w:r w:rsidRPr="00FF4A00">
        <w:rPr>
          <w:sz w:val="20"/>
          <w:szCs w:val="20"/>
          <w:lang w:val="pt-BR"/>
        </w:rPr>
        <w:tab/>
      </w:r>
      <w:r w:rsidRPr="00FF4A00">
        <w:rPr>
          <w:sz w:val="20"/>
          <w:szCs w:val="20"/>
          <w:lang w:val="pt-BR"/>
        </w:rPr>
        <w:tab/>
      </w:r>
      <w:r w:rsidRPr="00FF4A00">
        <w:rPr>
          <w:sz w:val="20"/>
          <w:szCs w:val="20"/>
          <w:lang w:val="pt-BR"/>
        </w:rPr>
        <w:tab/>
      </w:r>
      <w:r w:rsidRPr="006E0909">
        <w:rPr>
          <w:sz w:val="20"/>
          <w:szCs w:val="20"/>
          <w:lang w:val="pt-BR"/>
        </w:rPr>
        <w:t xml:space="preserve">+ </w:t>
      </w:r>
      <w:r>
        <w:rPr>
          <w:sz w:val="20"/>
          <w:szCs w:val="20"/>
          <w:lang w:val="pt-BR"/>
        </w:rPr>
        <w:t>1</w:t>
      </w:r>
      <w:r w:rsidRPr="006E0909">
        <w:rPr>
          <w:sz w:val="20"/>
          <w:szCs w:val="20"/>
          <w:lang w:val="pt-BR"/>
        </w:rPr>
        <w:t xml:space="preserve"> (2</w:t>
      </w:r>
      <w:r>
        <w:rPr>
          <w:sz w:val="20"/>
          <w:szCs w:val="20"/>
          <w:lang w:val="pt-BR"/>
        </w:rPr>
        <w:t>12</w:t>
      </w:r>
      <w:r w:rsidRPr="006E0909">
        <w:rPr>
          <w:sz w:val="20"/>
          <w:szCs w:val="20"/>
          <w:lang w:val="pt-BR"/>
        </w:rPr>
        <w:t xml:space="preserve">) </w:t>
      </w:r>
      <w:r>
        <w:rPr>
          <w:sz w:val="20"/>
          <w:szCs w:val="20"/>
          <w:lang w:val="pt-BR"/>
        </w:rPr>
        <w:t>272</w:t>
      </w:r>
      <w:r w:rsidRPr="006E0909">
        <w:rPr>
          <w:sz w:val="20"/>
          <w:szCs w:val="20"/>
          <w:lang w:val="pt-BR"/>
        </w:rPr>
        <w:t>-</w:t>
      </w:r>
      <w:r>
        <w:rPr>
          <w:sz w:val="20"/>
          <w:szCs w:val="20"/>
          <w:lang w:val="pt-BR"/>
        </w:rPr>
        <w:t>1215</w:t>
      </w:r>
    </w:p>
    <w:p w:rsidR="002E61D7" w:rsidRPr="006E0909" w:rsidRDefault="002E61D7" w:rsidP="002E61D7">
      <w:pPr>
        <w:ind w:left="-2880"/>
        <w:rPr>
          <w:sz w:val="20"/>
          <w:szCs w:val="20"/>
          <w:lang w:val="pt-BR"/>
        </w:rPr>
      </w:pPr>
      <w:r>
        <w:rPr>
          <w:sz w:val="20"/>
          <w:szCs w:val="20"/>
          <w:lang w:val="pt-BR"/>
        </w:rPr>
        <w:t>AJ Mehra (</w:t>
      </w:r>
      <w:r>
        <w:rPr>
          <w:sz w:val="20"/>
          <w:szCs w:val="20"/>
          <w:lang w:val="de-DE"/>
        </w:rPr>
        <w:t>Americas</w:t>
      </w:r>
      <w:r>
        <w:rPr>
          <w:sz w:val="20"/>
          <w:szCs w:val="20"/>
          <w:lang w:val="pt-BR"/>
        </w:rPr>
        <w:t>)</w:t>
      </w:r>
      <w:r>
        <w:rPr>
          <w:sz w:val="20"/>
          <w:szCs w:val="20"/>
          <w:lang w:val="pt-BR"/>
        </w:rPr>
        <w:tab/>
      </w:r>
      <w:r>
        <w:rPr>
          <w:sz w:val="20"/>
          <w:szCs w:val="20"/>
          <w:lang w:val="pt-BR"/>
        </w:rPr>
        <w:tab/>
      </w:r>
      <w:r>
        <w:rPr>
          <w:sz w:val="20"/>
          <w:szCs w:val="20"/>
          <w:lang w:val="pt-BR"/>
        </w:rPr>
        <w:tab/>
      </w:r>
      <w:hyperlink r:id="rId64" w:history="1">
        <w:r w:rsidRPr="00A40476">
          <w:rPr>
            <w:rStyle w:val="Hyperlink"/>
            <w:sz w:val="20"/>
            <w:szCs w:val="20"/>
            <w:lang w:val="pt-BR"/>
          </w:rPr>
          <w:t>arjun.mehra@jpmorgan.com</w:t>
        </w:r>
      </w:hyperlink>
      <w:r>
        <w:rPr>
          <w:sz w:val="20"/>
          <w:szCs w:val="20"/>
          <w:lang w:val="pt-BR"/>
        </w:rPr>
        <w:t xml:space="preserve"> </w:t>
      </w:r>
      <w:r>
        <w:rPr>
          <w:sz w:val="20"/>
          <w:szCs w:val="20"/>
          <w:lang w:val="pt-BR"/>
        </w:rPr>
        <w:tab/>
      </w:r>
      <w:r>
        <w:rPr>
          <w:sz w:val="20"/>
          <w:szCs w:val="20"/>
          <w:lang w:val="pt-BR"/>
        </w:rPr>
        <w:tab/>
      </w:r>
      <w:r>
        <w:rPr>
          <w:sz w:val="20"/>
          <w:szCs w:val="20"/>
          <w:lang w:val="pt-BR"/>
        </w:rPr>
        <w:tab/>
      </w:r>
      <w:r w:rsidRPr="006E0909">
        <w:rPr>
          <w:sz w:val="20"/>
          <w:szCs w:val="20"/>
          <w:lang w:val="pt-BR"/>
        </w:rPr>
        <w:t xml:space="preserve">+ </w:t>
      </w:r>
      <w:r>
        <w:rPr>
          <w:sz w:val="20"/>
          <w:szCs w:val="20"/>
          <w:lang w:val="pt-BR"/>
        </w:rPr>
        <w:t>1</w:t>
      </w:r>
      <w:r w:rsidRPr="006E0909">
        <w:rPr>
          <w:sz w:val="20"/>
          <w:szCs w:val="20"/>
          <w:lang w:val="pt-BR"/>
        </w:rPr>
        <w:t xml:space="preserve"> (2</w:t>
      </w:r>
      <w:r>
        <w:rPr>
          <w:sz w:val="20"/>
          <w:szCs w:val="20"/>
          <w:lang w:val="pt-BR"/>
        </w:rPr>
        <w:t>12</w:t>
      </w:r>
      <w:r w:rsidRPr="006E0909">
        <w:rPr>
          <w:sz w:val="20"/>
          <w:szCs w:val="20"/>
          <w:lang w:val="pt-BR"/>
        </w:rPr>
        <w:t xml:space="preserve">) </w:t>
      </w:r>
      <w:r>
        <w:rPr>
          <w:sz w:val="20"/>
          <w:szCs w:val="20"/>
          <w:lang w:val="pt-BR"/>
        </w:rPr>
        <w:t>622</w:t>
      </w:r>
      <w:r w:rsidRPr="006E0909">
        <w:rPr>
          <w:sz w:val="20"/>
          <w:szCs w:val="20"/>
          <w:lang w:val="pt-BR"/>
        </w:rPr>
        <w:t>-</w:t>
      </w:r>
      <w:r>
        <w:rPr>
          <w:sz w:val="20"/>
          <w:szCs w:val="20"/>
          <w:lang w:val="pt-BR"/>
        </w:rPr>
        <w:t>8030</w:t>
      </w:r>
    </w:p>
    <w:p w:rsidR="002E61D7" w:rsidRPr="00FF4A00" w:rsidRDefault="002E61D7" w:rsidP="002E61D7">
      <w:pPr>
        <w:ind w:left="-2880"/>
        <w:rPr>
          <w:sz w:val="20"/>
          <w:szCs w:val="20"/>
          <w:lang w:val="de-DE"/>
        </w:rPr>
      </w:pPr>
    </w:p>
    <w:p w:rsidR="002E61D7" w:rsidRPr="003B414E" w:rsidRDefault="002E61D7" w:rsidP="002E61D7">
      <w:pPr>
        <w:ind w:left="-2880"/>
        <w:rPr>
          <w:sz w:val="20"/>
          <w:szCs w:val="20"/>
          <w:lang w:val="pt-BR"/>
        </w:rPr>
      </w:pPr>
      <w:r>
        <w:rPr>
          <w:sz w:val="20"/>
          <w:szCs w:val="20"/>
        </w:rPr>
        <w:t>Davide Silvestrini (EMEA)</w:t>
      </w:r>
      <w:r w:rsidRPr="00FF4A00">
        <w:rPr>
          <w:sz w:val="20"/>
          <w:szCs w:val="20"/>
        </w:rPr>
        <w:tab/>
      </w:r>
      <w:r w:rsidRPr="00FF4A00">
        <w:rPr>
          <w:sz w:val="20"/>
          <w:szCs w:val="20"/>
        </w:rPr>
        <w:tab/>
      </w:r>
      <w:hyperlink r:id="rId65" w:history="1">
        <w:r w:rsidRPr="00A86B27">
          <w:rPr>
            <w:rStyle w:val="Hyperlink"/>
            <w:sz w:val="20"/>
            <w:szCs w:val="20"/>
          </w:rPr>
          <w:t>davide.silvestrini@jpmorgan.com</w:t>
        </w:r>
      </w:hyperlink>
      <w:r w:rsidRPr="00FF4A00">
        <w:rPr>
          <w:sz w:val="20"/>
          <w:szCs w:val="20"/>
        </w:rPr>
        <w:tab/>
      </w:r>
      <w:r>
        <w:rPr>
          <w:sz w:val="20"/>
          <w:szCs w:val="20"/>
        </w:rPr>
        <w:tab/>
      </w:r>
      <w:r>
        <w:rPr>
          <w:sz w:val="20"/>
          <w:szCs w:val="20"/>
        </w:rPr>
        <w:tab/>
      </w:r>
      <w:r w:rsidRPr="003B414E">
        <w:rPr>
          <w:sz w:val="20"/>
          <w:szCs w:val="20"/>
          <w:lang w:val="pt-BR"/>
        </w:rPr>
        <w:t>+ 44 (20) 7</w:t>
      </w:r>
      <w:r>
        <w:rPr>
          <w:sz w:val="20"/>
          <w:szCs w:val="20"/>
          <w:lang w:val="pt-BR"/>
        </w:rPr>
        <w:t>134</w:t>
      </w:r>
      <w:r w:rsidRPr="003B414E">
        <w:rPr>
          <w:sz w:val="20"/>
          <w:szCs w:val="20"/>
          <w:lang w:val="pt-BR"/>
        </w:rPr>
        <w:t>-</w:t>
      </w:r>
      <w:r>
        <w:rPr>
          <w:sz w:val="20"/>
          <w:szCs w:val="20"/>
          <w:lang w:val="pt-BR"/>
        </w:rPr>
        <w:t>4082</w:t>
      </w:r>
    </w:p>
    <w:p w:rsidR="002E61D7" w:rsidRPr="00FF4A00" w:rsidRDefault="002E61D7" w:rsidP="002E61D7">
      <w:pPr>
        <w:ind w:left="-2880"/>
        <w:rPr>
          <w:sz w:val="20"/>
          <w:szCs w:val="20"/>
        </w:rPr>
      </w:pPr>
      <w:r>
        <w:rPr>
          <w:sz w:val="20"/>
          <w:szCs w:val="20"/>
        </w:rPr>
        <w:t>Peng Cheng (EMEA)</w:t>
      </w:r>
      <w:r w:rsidRPr="00FF4A00">
        <w:rPr>
          <w:sz w:val="20"/>
          <w:szCs w:val="20"/>
        </w:rPr>
        <w:tab/>
      </w:r>
      <w:r w:rsidRPr="00FF4A00">
        <w:rPr>
          <w:sz w:val="20"/>
          <w:szCs w:val="20"/>
        </w:rPr>
        <w:tab/>
      </w:r>
      <w:r w:rsidRPr="00FF4A00">
        <w:rPr>
          <w:sz w:val="20"/>
          <w:szCs w:val="20"/>
        </w:rPr>
        <w:tab/>
      </w:r>
      <w:hyperlink r:id="rId66" w:history="1">
        <w:r w:rsidRPr="003C4745">
          <w:rPr>
            <w:rStyle w:val="Hyperlink"/>
            <w:sz w:val="20"/>
            <w:szCs w:val="20"/>
          </w:rPr>
          <w:t>peng.cheng@jpmorgan.com</w:t>
        </w:r>
      </w:hyperlink>
      <w:r w:rsidRPr="00FF4A00">
        <w:rPr>
          <w:sz w:val="20"/>
          <w:szCs w:val="20"/>
        </w:rPr>
        <w:tab/>
      </w:r>
      <w:r w:rsidRPr="00FF4A00">
        <w:rPr>
          <w:sz w:val="20"/>
          <w:szCs w:val="20"/>
        </w:rPr>
        <w:tab/>
      </w:r>
      <w:r w:rsidRPr="00FF4A00">
        <w:rPr>
          <w:sz w:val="20"/>
          <w:szCs w:val="20"/>
        </w:rPr>
        <w:tab/>
        <w:t xml:space="preserve">+ </w:t>
      </w:r>
      <w:r>
        <w:rPr>
          <w:sz w:val="20"/>
          <w:szCs w:val="20"/>
        </w:rPr>
        <w:t>44</w:t>
      </w:r>
      <w:r w:rsidRPr="00FF4A00">
        <w:rPr>
          <w:sz w:val="20"/>
          <w:szCs w:val="20"/>
        </w:rPr>
        <w:t xml:space="preserve"> (</w:t>
      </w:r>
      <w:r>
        <w:rPr>
          <w:sz w:val="20"/>
          <w:szCs w:val="20"/>
        </w:rPr>
        <w:t>20</w:t>
      </w:r>
      <w:r w:rsidRPr="00FF4A00">
        <w:rPr>
          <w:sz w:val="20"/>
          <w:szCs w:val="20"/>
        </w:rPr>
        <w:t xml:space="preserve">) </w:t>
      </w:r>
      <w:r>
        <w:rPr>
          <w:sz w:val="20"/>
          <w:szCs w:val="20"/>
        </w:rPr>
        <w:t>7134</w:t>
      </w:r>
      <w:r w:rsidRPr="00FF4A00">
        <w:rPr>
          <w:sz w:val="20"/>
          <w:szCs w:val="20"/>
        </w:rPr>
        <w:t>-</w:t>
      </w:r>
      <w:r>
        <w:rPr>
          <w:sz w:val="20"/>
          <w:szCs w:val="20"/>
        </w:rPr>
        <w:t>4129</w:t>
      </w:r>
    </w:p>
    <w:p w:rsidR="002E61D7" w:rsidRPr="00FF4A00" w:rsidRDefault="002E61D7" w:rsidP="002E61D7">
      <w:pPr>
        <w:ind w:left="-2880"/>
        <w:rPr>
          <w:sz w:val="20"/>
          <w:szCs w:val="20"/>
        </w:rPr>
      </w:pPr>
      <w:smartTag w:uri="urn:schemas-microsoft-com:office:smarttags" w:element="PersonName">
        <w:r>
          <w:rPr>
            <w:sz w:val="20"/>
            <w:szCs w:val="20"/>
          </w:rPr>
          <w:t>Sahil Manocha</w:t>
        </w:r>
      </w:smartTag>
      <w:r>
        <w:rPr>
          <w:sz w:val="20"/>
          <w:szCs w:val="20"/>
        </w:rPr>
        <w:t xml:space="preserve"> (EMEA)</w:t>
      </w:r>
      <w:r w:rsidRPr="00FF4A00">
        <w:rPr>
          <w:sz w:val="20"/>
          <w:szCs w:val="20"/>
        </w:rPr>
        <w:tab/>
      </w:r>
      <w:r w:rsidRPr="00FF4A00">
        <w:rPr>
          <w:sz w:val="20"/>
          <w:szCs w:val="20"/>
        </w:rPr>
        <w:tab/>
      </w:r>
      <w:r w:rsidRPr="00FF4A00">
        <w:rPr>
          <w:sz w:val="20"/>
          <w:szCs w:val="20"/>
        </w:rPr>
        <w:tab/>
      </w:r>
      <w:hyperlink r:id="rId67" w:history="1">
        <w:r w:rsidRPr="00DB2268">
          <w:rPr>
            <w:rStyle w:val="Hyperlink"/>
            <w:sz w:val="20"/>
            <w:szCs w:val="20"/>
          </w:rPr>
          <w:t>sahil.manocha@jpmorgan.com</w:t>
        </w:r>
      </w:hyperlink>
      <w:r w:rsidRPr="00FF4A00">
        <w:rPr>
          <w:sz w:val="20"/>
          <w:szCs w:val="20"/>
        </w:rPr>
        <w:t xml:space="preserve"> </w:t>
      </w:r>
      <w:r w:rsidRPr="00FF4A00">
        <w:rPr>
          <w:sz w:val="20"/>
          <w:szCs w:val="20"/>
        </w:rPr>
        <w:tab/>
      </w:r>
      <w:r w:rsidRPr="00FF4A00">
        <w:rPr>
          <w:sz w:val="20"/>
          <w:szCs w:val="20"/>
        </w:rPr>
        <w:tab/>
      </w:r>
      <w:r w:rsidRPr="00FF4A00">
        <w:rPr>
          <w:sz w:val="20"/>
          <w:szCs w:val="20"/>
        </w:rPr>
        <w:tab/>
        <w:t xml:space="preserve">+ </w:t>
      </w:r>
      <w:r>
        <w:rPr>
          <w:sz w:val="20"/>
          <w:szCs w:val="20"/>
        </w:rPr>
        <w:t>44</w:t>
      </w:r>
      <w:r w:rsidRPr="00FF4A00">
        <w:rPr>
          <w:sz w:val="20"/>
          <w:szCs w:val="20"/>
        </w:rPr>
        <w:t xml:space="preserve"> (</w:t>
      </w:r>
      <w:r>
        <w:rPr>
          <w:sz w:val="20"/>
          <w:szCs w:val="20"/>
        </w:rPr>
        <w:t>20</w:t>
      </w:r>
      <w:r w:rsidRPr="00FF4A00">
        <w:rPr>
          <w:sz w:val="20"/>
          <w:szCs w:val="20"/>
        </w:rPr>
        <w:t xml:space="preserve">) </w:t>
      </w:r>
      <w:r>
        <w:rPr>
          <w:sz w:val="20"/>
          <w:szCs w:val="20"/>
        </w:rPr>
        <w:t>7742</w:t>
      </w:r>
      <w:r w:rsidRPr="00FF4A00">
        <w:rPr>
          <w:sz w:val="20"/>
          <w:szCs w:val="20"/>
        </w:rPr>
        <w:t>-</w:t>
      </w:r>
      <w:r>
        <w:rPr>
          <w:sz w:val="20"/>
          <w:szCs w:val="20"/>
        </w:rPr>
        <w:t>3369</w:t>
      </w:r>
    </w:p>
    <w:p w:rsidR="002E61D7" w:rsidRPr="00FF4A00" w:rsidRDefault="002E61D7" w:rsidP="002E61D7">
      <w:pPr>
        <w:ind w:left="-2880"/>
        <w:rPr>
          <w:sz w:val="20"/>
          <w:szCs w:val="20"/>
          <w:lang w:val="pt-BR"/>
        </w:rPr>
      </w:pPr>
    </w:p>
    <w:p w:rsidR="002E61D7" w:rsidRPr="00FF4A00" w:rsidRDefault="002E61D7" w:rsidP="002E61D7">
      <w:pPr>
        <w:ind w:left="-2880"/>
        <w:rPr>
          <w:sz w:val="20"/>
          <w:szCs w:val="20"/>
        </w:rPr>
      </w:pPr>
      <w:r w:rsidRPr="00FF4A00">
        <w:rPr>
          <w:sz w:val="20"/>
          <w:szCs w:val="20"/>
        </w:rPr>
        <w:t>Tony Lee</w:t>
      </w:r>
      <w:r>
        <w:rPr>
          <w:sz w:val="20"/>
          <w:szCs w:val="20"/>
        </w:rPr>
        <w:t xml:space="preserve"> (Asia Pacific)</w:t>
      </w:r>
      <w:r w:rsidRPr="00FF4A00">
        <w:rPr>
          <w:sz w:val="20"/>
          <w:szCs w:val="20"/>
        </w:rPr>
        <w:tab/>
      </w:r>
      <w:r w:rsidRPr="00FF4A00">
        <w:rPr>
          <w:sz w:val="20"/>
          <w:szCs w:val="20"/>
        </w:rPr>
        <w:tab/>
      </w:r>
      <w:r w:rsidRPr="00FF4A00">
        <w:rPr>
          <w:sz w:val="20"/>
          <w:szCs w:val="20"/>
        </w:rPr>
        <w:tab/>
      </w:r>
      <w:hyperlink r:id="rId68" w:history="1">
        <w:r w:rsidRPr="003C4745">
          <w:rPr>
            <w:rStyle w:val="Hyperlink"/>
            <w:sz w:val="20"/>
            <w:szCs w:val="20"/>
          </w:rPr>
          <w:t>tony.sk.lee@jpmorgan.com</w:t>
        </w:r>
      </w:hyperlink>
      <w:r w:rsidRPr="00FF4A00">
        <w:rPr>
          <w:sz w:val="20"/>
          <w:szCs w:val="20"/>
        </w:rPr>
        <w:t xml:space="preserve"> </w:t>
      </w:r>
      <w:r w:rsidRPr="00FF4A00">
        <w:rPr>
          <w:sz w:val="20"/>
          <w:szCs w:val="20"/>
        </w:rPr>
        <w:tab/>
      </w:r>
      <w:r w:rsidRPr="00FF4A00">
        <w:rPr>
          <w:sz w:val="20"/>
          <w:szCs w:val="20"/>
        </w:rPr>
        <w:tab/>
      </w:r>
      <w:r w:rsidRPr="00FF4A00">
        <w:rPr>
          <w:sz w:val="20"/>
          <w:szCs w:val="20"/>
        </w:rPr>
        <w:tab/>
        <w:t>+ (852) 2800-8857</w:t>
      </w:r>
    </w:p>
    <w:p w:rsidR="002E61D7" w:rsidRDefault="002E61D7" w:rsidP="002E61D7">
      <w:pPr>
        <w:ind w:left="-2880"/>
        <w:rPr>
          <w:sz w:val="20"/>
          <w:szCs w:val="20"/>
          <w:lang w:val="fr-FR"/>
        </w:rPr>
      </w:pPr>
      <w:r w:rsidRPr="00FF4A00">
        <w:rPr>
          <w:sz w:val="20"/>
          <w:szCs w:val="20"/>
          <w:lang w:val="fr-FR"/>
        </w:rPr>
        <w:t>Michiro Naito</w:t>
      </w:r>
      <w:r>
        <w:rPr>
          <w:sz w:val="20"/>
          <w:szCs w:val="20"/>
          <w:lang w:val="fr-FR"/>
        </w:rPr>
        <w:t xml:space="preserve"> </w:t>
      </w:r>
      <w:r>
        <w:rPr>
          <w:sz w:val="20"/>
          <w:szCs w:val="20"/>
        </w:rPr>
        <w:t>(Asia Pacific)</w:t>
      </w:r>
      <w:r w:rsidRPr="00FF4A00">
        <w:rPr>
          <w:sz w:val="20"/>
          <w:szCs w:val="20"/>
          <w:lang w:val="fr-FR"/>
        </w:rPr>
        <w:tab/>
      </w:r>
      <w:r w:rsidRPr="00FF4A00">
        <w:rPr>
          <w:sz w:val="20"/>
          <w:szCs w:val="20"/>
          <w:lang w:val="fr-FR"/>
        </w:rPr>
        <w:tab/>
      </w:r>
      <w:hyperlink r:id="rId69" w:history="1">
        <w:r w:rsidRPr="00FF4A00">
          <w:rPr>
            <w:rStyle w:val="Hyperlink"/>
            <w:sz w:val="20"/>
            <w:szCs w:val="20"/>
            <w:lang w:val="fr-FR"/>
          </w:rPr>
          <w:t>michiro.naito@jpmorgan.com</w:t>
        </w:r>
      </w:hyperlink>
      <w:r w:rsidRPr="00FF4A00">
        <w:rPr>
          <w:sz w:val="20"/>
          <w:szCs w:val="20"/>
          <w:lang w:val="fr-FR"/>
        </w:rPr>
        <w:t xml:space="preserve"> </w:t>
      </w:r>
      <w:r w:rsidRPr="00FF4A00">
        <w:rPr>
          <w:sz w:val="20"/>
          <w:szCs w:val="20"/>
          <w:lang w:val="fr-FR"/>
        </w:rPr>
        <w:tab/>
      </w:r>
      <w:r w:rsidRPr="00FF4A00">
        <w:rPr>
          <w:sz w:val="20"/>
          <w:szCs w:val="20"/>
          <w:lang w:val="fr-FR"/>
        </w:rPr>
        <w:tab/>
      </w:r>
      <w:r w:rsidRPr="00FF4A00">
        <w:rPr>
          <w:sz w:val="20"/>
          <w:szCs w:val="20"/>
          <w:lang w:val="fr-FR"/>
        </w:rPr>
        <w:tab/>
        <w:t>+ (813) 6736-1352</w:t>
      </w:r>
    </w:p>
    <w:p w:rsidR="002E61D7" w:rsidRDefault="002E61D7" w:rsidP="002E61D7">
      <w:pPr>
        <w:ind w:left="-2880"/>
        <w:rPr>
          <w:sz w:val="20"/>
          <w:szCs w:val="20"/>
          <w:lang w:val="de-DE"/>
        </w:rPr>
      </w:pPr>
      <w:r>
        <w:rPr>
          <w:sz w:val="20"/>
          <w:szCs w:val="20"/>
          <w:lang w:val="de-DE"/>
        </w:rPr>
        <w:t xml:space="preserve">Sue Lee </w:t>
      </w:r>
      <w:r>
        <w:rPr>
          <w:sz w:val="20"/>
          <w:szCs w:val="20"/>
        </w:rPr>
        <w:t>(Asia Pacific)</w:t>
      </w:r>
      <w:r w:rsidRPr="00FF4A00">
        <w:rPr>
          <w:sz w:val="20"/>
          <w:szCs w:val="20"/>
          <w:lang w:val="de-DE"/>
        </w:rPr>
        <w:tab/>
      </w:r>
      <w:r w:rsidRPr="00FF4A00">
        <w:rPr>
          <w:sz w:val="20"/>
          <w:szCs w:val="20"/>
          <w:lang w:val="de-DE"/>
        </w:rPr>
        <w:tab/>
      </w:r>
      <w:r w:rsidRPr="00FF4A00">
        <w:rPr>
          <w:sz w:val="20"/>
          <w:szCs w:val="20"/>
          <w:lang w:val="de-DE"/>
        </w:rPr>
        <w:tab/>
      </w:r>
      <w:hyperlink r:id="rId70" w:history="1">
        <w:r>
          <w:rPr>
            <w:rStyle w:val="Hyperlink"/>
            <w:sz w:val="20"/>
            <w:szCs w:val="20"/>
            <w:lang w:val="de-DE"/>
          </w:rPr>
          <w:t>sue.sj.lee</w:t>
        </w:r>
        <w:r w:rsidRPr="00FF4A00">
          <w:rPr>
            <w:rStyle w:val="Hyperlink"/>
            <w:sz w:val="20"/>
            <w:szCs w:val="20"/>
            <w:lang w:val="de-DE"/>
          </w:rPr>
          <w:t>@jpmorgan.com</w:t>
        </w:r>
      </w:hyperlink>
      <w:r w:rsidRPr="00FF4A00">
        <w:rPr>
          <w:sz w:val="20"/>
          <w:szCs w:val="20"/>
          <w:lang w:val="de-DE"/>
        </w:rPr>
        <w:t xml:space="preserve"> </w:t>
      </w:r>
      <w:r>
        <w:rPr>
          <w:sz w:val="20"/>
          <w:szCs w:val="20"/>
          <w:lang w:val="de-DE"/>
        </w:rPr>
        <w:t xml:space="preserve"> </w:t>
      </w:r>
      <w:r w:rsidRPr="00FF4A00">
        <w:rPr>
          <w:sz w:val="20"/>
          <w:szCs w:val="20"/>
          <w:lang w:val="de-DE"/>
        </w:rPr>
        <w:tab/>
      </w:r>
      <w:r>
        <w:rPr>
          <w:sz w:val="20"/>
          <w:szCs w:val="20"/>
          <w:lang w:val="de-DE"/>
        </w:rPr>
        <w:t xml:space="preserve"> </w:t>
      </w:r>
      <w:r>
        <w:rPr>
          <w:sz w:val="20"/>
          <w:szCs w:val="20"/>
          <w:lang w:val="de-DE"/>
        </w:rPr>
        <w:tab/>
      </w:r>
      <w:r w:rsidRPr="00FF4A00">
        <w:rPr>
          <w:sz w:val="20"/>
          <w:szCs w:val="20"/>
          <w:lang w:val="de-DE"/>
        </w:rPr>
        <w:tab/>
        <w:t>+ (852) 2800-7898</w:t>
      </w:r>
    </w:p>
    <w:p w:rsidR="002E61D7" w:rsidRDefault="002E61D7" w:rsidP="002E61D7">
      <w:pPr>
        <w:ind w:left="-2880"/>
        <w:rPr>
          <w:sz w:val="20"/>
          <w:szCs w:val="20"/>
          <w:lang w:val="de-DE"/>
        </w:rPr>
      </w:pPr>
      <w:r>
        <w:rPr>
          <w:sz w:val="20"/>
          <w:szCs w:val="20"/>
          <w:lang w:val="de-DE"/>
        </w:rPr>
        <w:t xml:space="preserve">Haoshun Liu </w:t>
      </w:r>
      <w:r>
        <w:rPr>
          <w:sz w:val="20"/>
          <w:szCs w:val="20"/>
        </w:rPr>
        <w:t>(Asia Pacific)</w:t>
      </w:r>
      <w:r w:rsidRPr="00FF4A00">
        <w:rPr>
          <w:sz w:val="20"/>
          <w:szCs w:val="20"/>
          <w:lang w:val="de-DE"/>
        </w:rPr>
        <w:tab/>
      </w:r>
      <w:r w:rsidRPr="00FF4A00">
        <w:rPr>
          <w:sz w:val="20"/>
          <w:szCs w:val="20"/>
          <w:lang w:val="de-DE"/>
        </w:rPr>
        <w:tab/>
      </w:r>
      <w:hyperlink r:id="rId71" w:history="1">
        <w:r w:rsidRPr="00A40476">
          <w:rPr>
            <w:rStyle w:val="Hyperlink"/>
            <w:sz w:val="20"/>
            <w:szCs w:val="20"/>
            <w:lang w:val="de-DE"/>
          </w:rPr>
          <w:t>haoshun.liu@jpmorgan.com</w:t>
        </w:r>
      </w:hyperlink>
      <w:r w:rsidRPr="00FF4A00">
        <w:rPr>
          <w:sz w:val="20"/>
          <w:szCs w:val="20"/>
          <w:lang w:val="de-DE"/>
        </w:rPr>
        <w:t xml:space="preserve"> </w:t>
      </w:r>
      <w:r>
        <w:rPr>
          <w:sz w:val="20"/>
          <w:szCs w:val="20"/>
          <w:lang w:val="de-DE"/>
        </w:rPr>
        <w:t xml:space="preserve"> </w:t>
      </w:r>
      <w:r w:rsidRPr="00FF4A00">
        <w:rPr>
          <w:sz w:val="20"/>
          <w:szCs w:val="20"/>
          <w:lang w:val="de-DE"/>
        </w:rPr>
        <w:tab/>
      </w:r>
      <w:r>
        <w:rPr>
          <w:sz w:val="20"/>
          <w:szCs w:val="20"/>
          <w:lang w:val="de-DE"/>
        </w:rPr>
        <w:t xml:space="preserve"> </w:t>
      </w:r>
      <w:r>
        <w:rPr>
          <w:sz w:val="20"/>
          <w:szCs w:val="20"/>
          <w:lang w:val="de-DE"/>
        </w:rPr>
        <w:tab/>
      </w:r>
      <w:r w:rsidRPr="00FF4A00">
        <w:rPr>
          <w:sz w:val="20"/>
          <w:szCs w:val="20"/>
          <w:lang w:val="de-DE"/>
        </w:rPr>
        <w:tab/>
        <w:t>+ (852) 2800-7</w:t>
      </w:r>
      <w:r>
        <w:rPr>
          <w:sz w:val="20"/>
          <w:szCs w:val="20"/>
          <w:lang w:val="de-DE"/>
        </w:rPr>
        <w:t>736</w:t>
      </w:r>
    </w:p>
    <w:p w:rsidR="002E61D7" w:rsidRPr="00FF4A00" w:rsidRDefault="002E61D7" w:rsidP="002E61D7">
      <w:pPr>
        <w:ind w:left="-2880"/>
        <w:rPr>
          <w:sz w:val="20"/>
          <w:szCs w:val="20"/>
          <w:lang w:val="de-DE"/>
        </w:rPr>
      </w:pPr>
    </w:p>
    <w:p w:rsidR="002E61D7" w:rsidRPr="00336111" w:rsidRDefault="002E61D7" w:rsidP="002E61D7">
      <w:pPr>
        <w:ind w:left="-2880"/>
        <w:rPr>
          <w:b/>
          <w:bCs/>
        </w:rPr>
      </w:pPr>
      <w:r>
        <w:rPr>
          <w:b/>
          <w:bCs/>
        </w:rPr>
        <w:t>Quantitative</w:t>
      </w:r>
      <w:r w:rsidRPr="00336111">
        <w:rPr>
          <w:b/>
          <w:bCs/>
        </w:rPr>
        <w:t xml:space="preserve"> Strategy</w:t>
      </w:r>
    </w:p>
    <w:p w:rsidR="002E61D7" w:rsidRPr="00FF4A00" w:rsidRDefault="002E61D7" w:rsidP="002E61D7">
      <w:pPr>
        <w:ind w:left="-2880"/>
        <w:rPr>
          <w:sz w:val="20"/>
          <w:szCs w:val="20"/>
        </w:rPr>
      </w:pPr>
      <w:r>
        <w:rPr>
          <w:sz w:val="20"/>
          <w:szCs w:val="20"/>
        </w:rPr>
        <w:t>Viquar Shaikh (EMEA)</w:t>
      </w:r>
      <w:r w:rsidRPr="00FF4A00">
        <w:rPr>
          <w:sz w:val="20"/>
          <w:szCs w:val="20"/>
        </w:rPr>
        <w:tab/>
      </w:r>
      <w:r w:rsidRPr="00FF4A00">
        <w:rPr>
          <w:sz w:val="20"/>
          <w:szCs w:val="20"/>
        </w:rPr>
        <w:tab/>
      </w:r>
      <w:r w:rsidRPr="00FF4A00">
        <w:rPr>
          <w:sz w:val="20"/>
          <w:szCs w:val="20"/>
        </w:rPr>
        <w:tab/>
      </w:r>
      <w:hyperlink r:id="rId72" w:history="1">
        <w:r w:rsidRPr="00C4008B">
          <w:rPr>
            <w:rStyle w:val="Hyperlink"/>
            <w:sz w:val="20"/>
            <w:szCs w:val="20"/>
          </w:rPr>
          <w:t>viquar.x.shaikh@jpmorgan.com</w:t>
        </w:r>
      </w:hyperlink>
      <w:r w:rsidRPr="00FF4A00">
        <w:rPr>
          <w:sz w:val="20"/>
          <w:szCs w:val="20"/>
        </w:rPr>
        <w:tab/>
      </w:r>
      <w:r w:rsidRPr="00FF4A00">
        <w:rPr>
          <w:sz w:val="20"/>
          <w:szCs w:val="20"/>
        </w:rPr>
        <w:tab/>
      </w:r>
      <w:r w:rsidRPr="00FF4A00">
        <w:rPr>
          <w:sz w:val="20"/>
          <w:szCs w:val="20"/>
        </w:rPr>
        <w:tab/>
        <w:t xml:space="preserve">+ </w:t>
      </w:r>
      <w:r>
        <w:rPr>
          <w:sz w:val="20"/>
          <w:szCs w:val="20"/>
        </w:rPr>
        <w:t>44</w:t>
      </w:r>
      <w:r w:rsidRPr="00FF4A00">
        <w:rPr>
          <w:sz w:val="20"/>
          <w:szCs w:val="20"/>
        </w:rPr>
        <w:t xml:space="preserve"> (</w:t>
      </w:r>
      <w:r>
        <w:rPr>
          <w:sz w:val="20"/>
          <w:szCs w:val="20"/>
        </w:rPr>
        <w:t>20</w:t>
      </w:r>
      <w:r w:rsidRPr="00FF4A00">
        <w:rPr>
          <w:sz w:val="20"/>
          <w:szCs w:val="20"/>
        </w:rPr>
        <w:t xml:space="preserve">) </w:t>
      </w:r>
      <w:r>
        <w:rPr>
          <w:sz w:val="20"/>
          <w:szCs w:val="20"/>
        </w:rPr>
        <w:t>7134</w:t>
      </w:r>
      <w:r w:rsidRPr="00FF4A00">
        <w:rPr>
          <w:sz w:val="20"/>
          <w:szCs w:val="20"/>
        </w:rPr>
        <w:t>-</w:t>
      </w:r>
      <w:r>
        <w:rPr>
          <w:sz w:val="20"/>
          <w:szCs w:val="20"/>
        </w:rPr>
        <w:t>5908</w:t>
      </w:r>
    </w:p>
    <w:p w:rsidR="002E61D7" w:rsidRPr="00FF4A00" w:rsidRDefault="002E61D7" w:rsidP="002E61D7">
      <w:pPr>
        <w:ind w:left="-2880"/>
        <w:rPr>
          <w:sz w:val="20"/>
          <w:szCs w:val="20"/>
        </w:rPr>
      </w:pPr>
      <w:r>
        <w:rPr>
          <w:sz w:val="20"/>
          <w:szCs w:val="20"/>
        </w:rPr>
        <w:t>Angelo Pessaris (EMEA)</w:t>
      </w:r>
      <w:r w:rsidRPr="00FF4A00">
        <w:rPr>
          <w:sz w:val="20"/>
          <w:szCs w:val="20"/>
        </w:rPr>
        <w:tab/>
      </w:r>
      <w:r w:rsidRPr="00FF4A00">
        <w:rPr>
          <w:sz w:val="20"/>
          <w:szCs w:val="20"/>
        </w:rPr>
        <w:tab/>
      </w:r>
      <w:r w:rsidRPr="00FF4A00">
        <w:rPr>
          <w:sz w:val="20"/>
          <w:szCs w:val="20"/>
        </w:rPr>
        <w:tab/>
      </w:r>
      <w:hyperlink r:id="rId73" w:history="1">
        <w:r w:rsidRPr="00C4008B">
          <w:rPr>
            <w:rStyle w:val="Hyperlink"/>
            <w:sz w:val="20"/>
            <w:szCs w:val="20"/>
          </w:rPr>
          <w:t>angelo.pessaris@jpmorgan.com</w:t>
        </w:r>
      </w:hyperlink>
      <w:r w:rsidRPr="00FF4A00">
        <w:rPr>
          <w:sz w:val="20"/>
          <w:szCs w:val="20"/>
        </w:rPr>
        <w:t xml:space="preserve"> </w:t>
      </w:r>
      <w:r w:rsidRPr="00FF4A00">
        <w:rPr>
          <w:sz w:val="20"/>
          <w:szCs w:val="20"/>
        </w:rPr>
        <w:tab/>
      </w:r>
      <w:r w:rsidRPr="00FF4A00">
        <w:rPr>
          <w:sz w:val="20"/>
          <w:szCs w:val="20"/>
        </w:rPr>
        <w:tab/>
      </w:r>
      <w:r w:rsidRPr="00FF4A00">
        <w:rPr>
          <w:sz w:val="20"/>
          <w:szCs w:val="20"/>
        </w:rPr>
        <w:tab/>
        <w:t xml:space="preserve">+ </w:t>
      </w:r>
      <w:r>
        <w:rPr>
          <w:sz w:val="20"/>
          <w:szCs w:val="20"/>
        </w:rPr>
        <w:t>44</w:t>
      </w:r>
      <w:r w:rsidRPr="00FF4A00">
        <w:rPr>
          <w:sz w:val="20"/>
          <w:szCs w:val="20"/>
        </w:rPr>
        <w:t xml:space="preserve"> (</w:t>
      </w:r>
      <w:r>
        <w:rPr>
          <w:sz w:val="20"/>
          <w:szCs w:val="20"/>
        </w:rPr>
        <w:t>20</w:t>
      </w:r>
      <w:r w:rsidRPr="00FF4A00">
        <w:rPr>
          <w:sz w:val="20"/>
          <w:szCs w:val="20"/>
        </w:rPr>
        <w:t xml:space="preserve">) </w:t>
      </w:r>
      <w:r>
        <w:rPr>
          <w:sz w:val="20"/>
          <w:szCs w:val="20"/>
        </w:rPr>
        <w:t>7134</w:t>
      </w:r>
      <w:r w:rsidRPr="00FF4A00">
        <w:rPr>
          <w:sz w:val="20"/>
          <w:szCs w:val="20"/>
        </w:rPr>
        <w:t>-</w:t>
      </w:r>
      <w:r>
        <w:rPr>
          <w:sz w:val="20"/>
          <w:szCs w:val="20"/>
        </w:rPr>
        <w:t>5907</w:t>
      </w:r>
    </w:p>
    <w:p w:rsidR="002E61D7" w:rsidRDefault="002E61D7" w:rsidP="002E61D7">
      <w:pPr>
        <w:ind w:left="-2880"/>
        <w:rPr>
          <w:sz w:val="20"/>
          <w:szCs w:val="20"/>
          <w:lang w:val="de-DE"/>
        </w:rPr>
      </w:pPr>
    </w:p>
    <w:p w:rsidR="002E61D7" w:rsidRPr="00FF4A00" w:rsidRDefault="002E61D7" w:rsidP="002E61D7">
      <w:pPr>
        <w:ind w:left="-2880"/>
        <w:rPr>
          <w:sz w:val="20"/>
          <w:szCs w:val="20"/>
          <w:lang w:val="de-DE"/>
        </w:rPr>
      </w:pPr>
      <w:r>
        <w:rPr>
          <w:sz w:val="20"/>
          <w:szCs w:val="20"/>
          <w:lang w:val="de-DE"/>
        </w:rPr>
        <w:t>Dubravko Lakos-Bujas (Americas)</w:t>
      </w:r>
      <w:r w:rsidRPr="00FF4A00">
        <w:rPr>
          <w:sz w:val="20"/>
          <w:szCs w:val="20"/>
          <w:lang w:val="de-DE"/>
        </w:rPr>
        <w:tab/>
      </w:r>
      <w:r w:rsidRPr="00FF4A00">
        <w:rPr>
          <w:sz w:val="20"/>
          <w:szCs w:val="20"/>
          <w:lang w:val="de-DE"/>
        </w:rPr>
        <w:tab/>
      </w:r>
      <w:hyperlink r:id="rId74" w:history="1">
        <w:r w:rsidRPr="00C4008B">
          <w:rPr>
            <w:rStyle w:val="Hyperlink"/>
            <w:sz w:val="20"/>
            <w:szCs w:val="20"/>
            <w:lang w:val="de-DE"/>
          </w:rPr>
          <w:t>dubravko.lakos-bujas@jpmorgan.com</w:t>
        </w:r>
      </w:hyperlink>
      <w:r w:rsidRPr="00FF4A00">
        <w:rPr>
          <w:sz w:val="20"/>
          <w:szCs w:val="20"/>
          <w:lang w:val="de-DE"/>
        </w:rPr>
        <w:tab/>
      </w:r>
      <w:r w:rsidRPr="00FF4A00">
        <w:rPr>
          <w:sz w:val="20"/>
          <w:szCs w:val="20"/>
          <w:lang w:val="de-DE"/>
        </w:rPr>
        <w:tab/>
        <w:t xml:space="preserve">+ 1 (212) </w:t>
      </w:r>
      <w:r>
        <w:rPr>
          <w:sz w:val="20"/>
          <w:szCs w:val="20"/>
          <w:lang w:val="de-DE"/>
        </w:rPr>
        <w:t>6</w:t>
      </w:r>
      <w:r w:rsidRPr="00FF4A00">
        <w:rPr>
          <w:sz w:val="20"/>
          <w:szCs w:val="20"/>
          <w:lang w:val="de-DE"/>
        </w:rPr>
        <w:t>22-</w:t>
      </w:r>
      <w:r>
        <w:rPr>
          <w:sz w:val="20"/>
          <w:szCs w:val="20"/>
          <w:lang w:val="de-DE"/>
        </w:rPr>
        <w:t>3601</w:t>
      </w:r>
    </w:p>
    <w:p w:rsidR="002E61D7" w:rsidRPr="006E0909" w:rsidRDefault="002E61D7" w:rsidP="002E61D7">
      <w:pPr>
        <w:ind w:left="-2880"/>
        <w:rPr>
          <w:sz w:val="20"/>
          <w:szCs w:val="20"/>
          <w:lang w:val="pt-BR"/>
        </w:rPr>
      </w:pPr>
      <w:r>
        <w:rPr>
          <w:sz w:val="20"/>
          <w:szCs w:val="20"/>
          <w:lang w:val="pt-BR"/>
        </w:rPr>
        <w:t>David (Sang) Han (Americas)</w:t>
      </w:r>
      <w:r w:rsidRPr="00FF4A00">
        <w:rPr>
          <w:sz w:val="20"/>
          <w:szCs w:val="20"/>
          <w:lang w:val="pt-BR"/>
        </w:rPr>
        <w:tab/>
      </w:r>
      <w:r w:rsidRPr="00FF4A00">
        <w:rPr>
          <w:sz w:val="20"/>
          <w:szCs w:val="20"/>
          <w:lang w:val="pt-BR"/>
        </w:rPr>
        <w:tab/>
      </w:r>
      <w:hyperlink r:id="rId75" w:history="1">
        <w:r w:rsidRPr="00C4008B">
          <w:rPr>
            <w:rStyle w:val="Hyperlink"/>
            <w:sz w:val="20"/>
            <w:szCs w:val="20"/>
          </w:rPr>
          <w:t>sang.h.han@jpmorgan.com</w:t>
        </w:r>
      </w:hyperlink>
      <w:r w:rsidRPr="00FF4A00">
        <w:rPr>
          <w:sz w:val="20"/>
          <w:szCs w:val="20"/>
          <w:lang w:val="pt-BR"/>
        </w:rPr>
        <w:tab/>
      </w:r>
      <w:r w:rsidRPr="00FF4A00">
        <w:rPr>
          <w:sz w:val="20"/>
          <w:szCs w:val="20"/>
          <w:lang w:val="pt-BR"/>
        </w:rPr>
        <w:tab/>
      </w:r>
      <w:r w:rsidRPr="00FF4A00">
        <w:rPr>
          <w:sz w:val="20"/>
          <w:szCs w:val="20"/>
          <w:lang w:val="pt-BR"/>
        </w:rPr>
        <w:tab/>
      </w:r>
      <w:r w:rsidRPr="006E0909">
        <w:rPr>
          <w:sz w:val="20"/>
          <w:szCs w:val="20"/>
          <w:lang w:val="pt-BR"/>
        </w:rPr>
        <w:t xml:space="preserve">+ </w:t>
      </w:r>
      <w:r>
        <w:rPr>
          <w:sz w:val="20"/>
          <w:szCs w:val="20"/>
          <w:lang w:val="pt-BR"/>
        </w:rPr>
        <w:t>1</w:t>
      </w:r>
      <w:r w:rsidRPr="006E0909">
        <w:rPr>
          <w:sz w:val="20"/>
          <w:szCs w:val="20"/>
          <w:lang w:val="pt-BR"/>
        </w:rPr>
        <w:t xml:space="preserve"> (2</w:t>
      </w:r>
      <w:r>
        <w:rPr>
          <w:sz w:val="20"/>
          <w:szCs w:val="20"/>
          <w:lang w:val="pt-BR"/>
        </w:rPr>
        <w:t>12</w:t>
      </w:r>
      <w:r w:rsidRPr="006E0909">
        <w:rPr>
          <w:sz w:val="20"/>
          <w:szCs w:val="20"/>
          <w:lang w:val="pt-BR"/>
        </w:rPr>
        <w:t xml:space="preserve">) </w:t>
      </w:r>
      <w:r>
        <w:rPr>
          <w:sz w:val="20"/>
          <w:szCs w:val="20"/>
          <w:lang w:val="pt-BR"/>
        </w:rPr>
        <w:t>622</w:t>
      </w:r>
      <w:r w:rsidRPr="006E0909">
        <w:rPr>
          <w:sz w:val="20"/>
          <w:szCs w:val="20"/>
          <w:lang w:val="pt-BR"/>
        </w:rPr>
        <w:t>-</w:t>
      </w:r>
      <w:r>
        <w:rPr>
          <w:sz w:val="20"/>
          <w:szCs w:val="20"/>
          <w:lang w:val="pt-BR"/>
        </w:rPr>
        <w:t>6424</w:t>
      </w:r>
    </w:p>
    <w:p w:rsidR="002E61D7" w:rsidRPr="00FF4A00" w:rsidRDefault="002E61D7" w:rsidP="002E61D7">
      <w:pPr>
        <w:ind w:left="-2880"/>
        <w:rPr>
          <w:sz w:val="20"/>
          <w:szCs w:val="20"/>
          <w:lang w:val="de-DE"/>
        </w:rPr>
      </w:pPr>
    </w:p>
    <w:p w:rsidR="002E61D7" w:rsidRPr="00FF4A00" w:rsidRDefault="002E61D7" w:rsidP="002E61D7">
      <w:pPr>
        <w:ind w:left="-2880"/>
        <w:rPr>
          <w:sz w:val="20"/>
          <w:szCs w:val="20"/>
        </w:rPr>
      </w:pPr>
      <w:r>
        <w:rPr>
          <w:sz w:val="20"/>
          <w:szCs w:val="20"/>
        </w:rPr>
        <w:t>Robert Smith (Asia Pacific)</w:t>
      </w:r>
      <w:r w:rsidRPr="00FF4A00">
        <w:rPr>
          <w:sz w:val="20"/>
          <w:szCs w:val="20"/>
        </w:rPr>
        <w:tab/>
      </w:r>
      <w:r w:rsidRPr="00FF4A00">
        <w:rPr>
          <w:sz w:val="20"/>
          <w:szCs w:val="20"/>
        </w:rPr>
        <w:tab/>
      </w:r>
      <w:hyperlink r:id="rId76" w:history="1">
        <w:r w:rsidRPr="00C4008B">
          <w:rPr>
            <w:rStyle w:val="Hyperlink"/>
            <w:sz w:val="20"/>
            <w:szCs w:val="20"/>
          </w:rPr>
          <w:t>robert.z.smith@jpmorgan.com</w:t>
        </w:r>
      </w:hyperlink>
      <w:r w:rsidRPr="00FF4A00">
        <w:rPr>
          <w:sz w:val="20"/>
          <w:szCs w:val="20"/>
        </w:rPr>
        <w:t xml:space="preserve"> </w:t>
      </w:r>
      <w:r w:rsidRPr="00FF4A00">
        <w:rPr>
          <w:sz w:val="20"/>
          <w:szCs w:val="20"/>
        </w:rPr>
        <w:tab/>
      </w:r>
      <w:r w:rsidRPr="00FF4A00">
        <w:rPr>
          <w:sz w:val="20"/>
          <w:szCs w:val="20"/>
        </w:rPr>
        <w:tab/>
      </w:r>
      <w:r w:rsidRPr="00FF4A00">
        <w:rPr>
          <w:sz w:val="20"/>
          <w:szCs w:val="20"/>
        </w:rPr>
        <w:tab/>
        <w:t xml:space="preserve">+ (852) </w:t>
      </w:r>
      <w:r>
        <w:rPr>
          <w:sz w:val="20"/>
          <w:szCs w:val="20"/>
        </w:rPr>
        <w:t>2800</w:t>
      </w:r>
      <w:r w:rsidRPr="00FF4A00">
        <w:rPr>
          <w:sz w:val="20"/>
          <w:szCs w:val="20"/>
        </w:rPr>
        <w:t>-</w:t>
      </w:r>
      <w:r>
        <w:rPr>
          <w:sz w:val="20"/>
          <w:szCs w:val="20"/>
        </w:rPr>
        <w:t>8569</w:t>
      </w:r>
    </w:p>
    <w:p w:rsidR="002E61D7" w:rsidRDefault="002E61D7" w:rsidP="002E61D7">
      <w:pPr>
        <w:ind w:left="-2880"/>
        <w:rPr>
          <w:sz w:val="20"/>
          <w:szCs w:val="20"/>
          <w:lang w:val="de-DE"/>
        </w:rPr>
      </w:pPr>
      <w:r>
        <w:rPr>
          <w:sz w:val="20"/>
          <w:szCs w:val="20"/>
          <w:lang w:val="de-DE"/>
        </w:rPr>
        <w:t xml:space="preserve">Christopher Ma </w:t>
      </w:r>
      <w:r>
        <w:rPr>
          <w:sz w:val="20"/>
          <w:szCs w:val="20"/>
        </w:rPr>
        <w:t>(Asia Pacific)</w:t>
      </w:r>
      <w:r>
        <w:rPr>
          <w:sz w:val="20"/>
          <w:szCs w:val="20"/>
          <w:lang w:val="de-DE"/>
        </w:rPr>
        <w:tab/>
      </w:r>
      <w:r>
        <w:rPr>
          <w:sz w:val="20"/>
          <w:szCs w:val="20"/>
          <w:lang w:val="de-DE"/>
        </w:rPr>
        <w:tab/>
      </w:r>
      <w:hyperlink r:id="rId77" w:history="1">
        <w:r w:rsidRPr="00C4008B">
          <w:rPr>
            <w:rStyle w:val="Hyperlink"/>
            <w:sz w:val="20"/>
            <w:szCs w:val="20"/>
          </w:rPr>
          <w:t>christopher.x.ma@jpmorgan.com</w:t>
        </w:r>
      </w:hyperlink>
      <w:r w:rsidRPr="00FF4A00">
        <w:rPr>
          <w:sz w:val="20"/>
          <w:szCs w:val="20"/>
        </w:rPr>
        <w:t xml:space="preserve"> </w:t>
      </w:r>
      <w:r w:rsidRPr="00FF4A00">
        <w:rPr>
          <w:sz w:val="20"/>
          <w:szCs w:val="20"/>
        </w:rPr>
        <w:tab/>
      </w:r>
      <w:r w:rsidRPr="00FF4A00">
        <w:rPr>
          <w:sz w:val="20"/>
          <w:szCs w:val="20"/>
        </w:rPr>
        <w:tab/>
      </w:r>
      <w:r w:rsidRPr="00FF4A00">
        <w:rPr>
          <w:sz w:val="20"/>
          <w:szCs w:val="20"/>
        </w:rPr>
        <w:tab/>
        <w:t xml:space="preserve">+ (852) </w:t>
      </w:r>
      <w:r>
        <w:rPr>
          <w:sz w:val="20"/>
          <w:szCs w:val="20"/>
        </w:rPr>
        <w:t>2800</w:t>
      </w:r>
      <w:r w:rsidRPr="00FF4A00">
        <w:rPr>
          <w:sz w:val="20"/>
          <w:szCs w:val="20"/>
        </w:rPr>
        <w:t>-</w:t>
      </w:r>
      <w:r>
        <w:rPr>
          <w:sz w:val="20"/>
          <w:szCs w:val="20"/>
        </w:rPr>
        <w:t>8530</w:t>
      </w:r>
    </w:p>
    <w:p w:rsidR="002E61D7" w:rsidRPr="00FF4A00" w:rsidRDefault="002E61D7" w:rsidP="002E61D7">
      <w:pPr>
        <w:ind w:left="-2880"/>
        <w:rPr>
          <w:sz w:val="20"/>
          <w:szCs w:val="20"/>
          <w:lang w:val="de-DE"/>
        </w:rPr>
      </w:pPr>
      <w:r>
        <w:rPr>
          <w:sz w:val="20"/>
          <w:szCs w:val="20"/>
          <w:lang w:val="de-DE"/>
        </w:rPr>
        <w:t>Berowne Hlavaty</w:t>
      </w:r>
      <w:r w:rsidRPr="00FF4A00">
        <w:rPr>
          <w:sz w:val="20"/>
          <w:szCs w:val="20"/>
          <w:lang w:val="de-DE"/>
        </w:rPr>
        <w:tab/>
      </w:r>
      <w:r>
        <w:rPr>
          <w:sz w:val="20"/>
          <w:szCs w:val="20"/>
          <w:lang w:val="de-DE"/>
        </w:rPr>
        <w:t xml:space="preserve"> </w:t>
      </w:r>
      <w:r>
        <w:rPr>
          <w:sz w:val="20"/>
          <w:szCs w:val="20"/>
        </w:rPr>
        <w:t>(Asia Pacific)</w:t>
      </w:r>
      <w:r w:rsidRPr="00FF4A00">
        <w:rPr>
          <w:sz w:val="20"/>
          <w:szCs w:val="20"/>
          <w:lang w:val="de-DE"/>
        </w:rPr>
        <w:tab/>
      </w:r>
      <w:r w:rsidRPr="00FF4A00">
        <w:rPr>
          <w:sz w:val="20"/>
          <w:szCs w:val="20"/>
          <w:lang w:val="de-DE"/>
        </w:rPr>
        <w:tab/>
      </w:r>
      <w:hyperlink r:id="rId78" w:history="1">
        <w:r w:rsidRPr="00C4008B">
          <w:rPr>
            <w:rStyle w:val="Hyperlink"/>
            <w:sz w:val="20"/>
            <w:szCs w:val="20"/>
            <w:lang w:val="de-DE"/>
          </w:rPr>
          <w:t>berowne.d.hlavaty@jpmorgan.com</w:t>
        </w:r>
      </w:hyperlink>
      <w:r w:rsidRPr="00FF4A00">
        <w:rPr>
          <w:sz w:val="20"/>
          <w:szCs w:val="20"/>
          <w:lang w:val="de-DE"/>
        </w:rPr>
        <w:t xml:space="preserve"> </w:t>
      </w:r>
      <w:r>
        <w:rPr>
          <w:sz w:val="20"/>
          <w:szCs w:val="20"/>
          <w:lang w:val="de-DE"/>
        </w:rPr>
        <w:t xml:space="preserve"> </w:t>
      </w:r>
      <w:r w:rsidRPr="00FF4A00">
        <w:rPr>
          <w:sz w:val="20"/>
          <w:szCs w:val="20"/>
          <w:lang w:val="de-DE"/>
        </w:rPr>
        <w:tab/>
      </w:r>
      <w:r w:rsidRPr="00FF4A00">
        <w:rPr>
          <w:sz w:val="20"/>
          <w:szCs w:val="20"/>
          <w:lang w:val="de-DE"/>
        </w:rPr>
        <w:tab/>
        <w:t>+ (</w:t>
      </w:r>
      <w:r>
        <w:rPr>
          <w:sz w:val="20"/>
          <w:szCs w:val="20"/>
          <w:lang w:val="de-DE"/>
        </w:rPr>
        <w:t>612</w:t>
      </w:r>
      <w:r w:rsidRPr="00FF4A00">
        <w:rPr>
          <w:sz w:val="20"/>
          <w:szCs w:val="20"/>
          <w:lang w:val="de-DE"/>
        </w:rPr>
        <w:t xml:space="preserve">) </w:t>
      </w:r>
      <w:r>
        <w:rPr>
          <w:sz w:val="20"/>
          <w:szCs w:val="20"/>
          <w:lang w:val="de-DE"/>
        </w:rPr>
        <w:t>9003</w:t>
      </w:r>
      <w:r w:rsidRPr="00FF4A00">
        <w:rPr>
          <w:sz w:val="20"/>
          <w:szCs w:val="20"/>
          <w:lang w:val="de-DE"/>
        </w:rPr>
        <w:t>-</w:t>
      </w:r>
      <w:r>
        <w:rPr>
          <w:sz w:val="20"/>
          <w:szCs w:val="20"/>
          <w:lang w:val="de-DE"/>
        </w:rPr>
        <w:t>8602</w:t>
      </w:r>
    </w:p>
    <w:p w:rsidR="002E61D7" w:rsidRDefault="00413927" w:rsidP="002E61D7">
      <w:pPr>
        <w:ind w:left="-2880"/>
        <w:rPr>
          <w:sz w:val="20"/>
          <w:szCs w:val="20"/>
          <w:lang w:val="fr-FR"/>
        </w:rPr>
      </w:pPr>
      <w:r>
        <w:rPr>
          <w:sz w:val="20"/>
          <w:szCs w:val="20"/>
          <w:lang w:val="fr-FR"/>
        </w:rPr>
        <w:softHyphen/>
      </w:r>
      <w:r w:rsidR="002E61D7" w:rsidRPr="00FF4A00">
        <w:rPr>
          <w:sz w:val="20"/>
          <w:szCs w:val="20"/>
          <w:lang w:val="fr-FR"/>
        </w:rPr>
        <w:t>Michiro Naito</w:t>
      </w:r>
      <w:r w:rsidR="002E61D7">
        <w:rPr>
          <w:sz w:val="20"/>
          <w:szCs w:val="20"/>
          <w:lang w:val="fr-FR"/>
        </w:rPr>
        <w:t xml:space="preserve"> </w:t>
      </w:r>
      <w:r w:rsidR="002E61D7">
        <w:rPr>
          <w:sz w:val="20"/>
          <w:szCs w:val="20"/>
        </w:rPr>
        <w:t>(Asia Pacific)</w:t>
      </w:r>
      <w:r w:rsidR="002E61D7" w:rsidRPr="00FF4A00">
        <w:rPr>
          <w:sz w:val="20"/>
          <w:szCs w:val="20"/>
          <w:lang w:val="fr-FR"/>
        </w:rPr>
        <w:tab/>
      </w:r>
      <w:r w:rsidR="002E61D7" w:rsidRPr="00FF4A00">
        <w:rPr>
          <w:sz w:val="20"/>
          <w:szCs w:val="20"/>
          <w:lang w:val="fr-FR"/>
        </w:rPr>
        <w:tab/>
      </w:r>
      <w:hyperlink r:id="rId79" w:history="1">
        <w:r w:rsidR="002E61D7" w:rsidRPr="00FF4A00">
          <w:rPr>
            <w:rStyle w:val="Hyperlink"/>
            <w:sz w:val="20"/>
            <w:szCs w:val="20"/>
            <w:lang w:val="fr-FR"/>
          </w:rPr>
          <w:t>michiro.naito@jpmorgan.com</w:t>
        </w:r>
      </w:hyperlink>
      <w:r w:rsidR="002E61D7" w:rsidRPr="00FF4A00">
        <w:rPr>
          <w:sz w:val="20"/>
          <w:szCs w:val="20"/>
          <w:lang w:val="fr-FR"/>
        </w:rPr>
        <w:t xml:space="preserve"> </w:t>
      </w:r>
      <w:r w:rsidR="002E61D7" w:rsidRPr="00FF4A00">
        <w:rPr>
          <w:sz w:val="20"/>
          <w:szCs w:val="20"/>
          <w:lang w:val="fr-FR"/>
        </w:rPr>
        <w:tab/>
      </w:r>
      <w:r w:rsidR="002E61D7" w:rsidRPr="00FF4A00">
        <w:rPr>
          <w:sz w:val="20"/>
          <w:szCs w:val="20"/>
          <w:lang w:val="fr-FR"/>
        </w:rPr>
        <w:tab/>
      </w:r>
      <w:r w:rsidR="002E61D7" w:rsidRPr="00FF4A00">
        <w:rPr>
          <w:sz w:val="20"/>
          <w:szCs w:val="20"/>
          <w:lang w:val="fr-FR"/>
        </w:rPr>
        <w:tab/>
        <w:t>+ (813) 6736-1352</w:t>
      </w:r>
    </w:p>
    <w:p w:rsidR="002E61D7" w:rsidRPr="00FF4A00" w:rsidRDefault="002E61D7" w:rsidP="002E61D7">
      <w:pPr>
        <w:ind w:left="-2880"/>
        <w:rPr>
          <w:sz w:val="20"/>
          <w:szCs w:val="20"/>
          <w:lang w:val="de-DE"/>
        </w:rPr>
      </w:pPr>
    </w:p>
    <w:p w:rsidR="002E61D7" w:rsidRPr="00336111" w:rsidRDefault="002E61D7" w:rsidP="002E61D7">
      <w:pPr>
        <w:ind w:left="-2880"/>
        <w:rPr>
          <w:b/>
          <w:bCs/>
        </w:rPr>
      </w:pPr>
      <w:r>
        <w:rPr>
          <w:b/>
          <w:bCs/>
        </w:rPr>
        <w:t>Index and Program Trading</w:t>
      </w:r>
      <w:r w:rsidRPr="00336111">
        <w:rPr>
          <w:b/>
          <w:bCs/>
        </w:rPr>
        <w:t xml:space="preserve"> </w:t>
      </w:r>
      <w:r>
        <w:rPr>
          <w:b/>
          <w:bCs/>
        </w:rPr>
        <w:t>Research</w:t>
      </w:r>
    </w:p>
    <w:p w:rsidR="002E61D7" w:rsidRPr="00FF4A00" w:rsidRDefault="002E61D7" w:rsidP="002E61D7">
      <w:pPr>
        <w:ind w:left="-2880"/>
        <w:rPr>
          <w:sz w:val="20"/>
          <w:szCs w:val="20"/>
          <w:lang w:val="de-DE"/>
        </w:rPr>
      </w:pPr>
      <w:r w:rsidRPr="00FF4A00">
        <w:rPr>
          <w:sz w:val="20"/>
          <w:szCs w:val="20"/>
          <w:lang w:val="de-DE"/>
        </w:rPr>
        <w:t>Min Moon</w:t>
      </w:r>
      <w:r>
        <w:rPr>
          <w:sz w:val="20"/>
          <w:szCs w:val="20"/>
          <w:lang w:val="de-DE"/>
        </w:rPr>
        <w:t xml:space="preserve"> (Americas)</w:t>
      </w:r>
      <w:r w:rsidRPr="00FF4A00">
        <w:rPr>
          <w:sz w:val="20"/>
          <w:szCs w:val="20"/>
          <w:lang w:val="de-DE"/>
        </w:rPr>
        <w:tab/>
      </w:r>
      <w:r w:rsidRPr="00FF4A00">
        <w:rPr>
          <w:sz w:val="20"/>
          <w:szCs w:val="20"/>
          <w:lang w:val="de-DE"/>
        </w:rPr>
        <w:tab/>
      </w:r>
      <w:r w:rsidRPr="00FF4A00">
        <w:rPr>
          <w:sz w:val="20"/>
          <w:szCs w:val="20"/>
          <w:lang w:val="de-DE"/>
        </w:rPr>
        <w:tab/>
      </w:r>
      <w:hyperlink r:id="rId80" w:history="1">
        <w:r w:rsidRPr="00FF4A00">
          <w:rPr>
            <w:rStyle w:val="Hyperlink"/>
            <w:sz w:val="20"/>
            <w:szCs w:val="20"/>
            <w:lang w:val="de-DE"/>
          </w:rPr>
          <w:t>min.k.moon@jpmorgan.com</w:t>
        </w:r>
      </w:hyperlink>
      <w:r w:rsidRPr="00FF4A00">
        <w:rPr>
          <w:sz w:val="20"/>
          <w:szCs w:val="20"/>
          <w:lang w:val="de-DE"/>
        </w:rPr>
        <w:tab/>
      </w:r>
      <w:r w:rsidRPr="00FF4A00">
        <w:rPr>
          <w:sz w:val="20"/>
          <w:szCs w:val="20"/>
          <w:lang w:val="de-DE"/>
        </w:rPr>
        <w:tab/>
      </w:r>
      <w:r w:rsidRPr="00FF4A00">
        <w:rPr>
          <w:sz w:val="20"/>
          <w:szCs w:val="20"/>
          <w:lang w:val="de-DE"/>
        </w:rPr>
        <w:tab/>
        <w:t>+ 1 (212) 272-8456</w:t>
      </w:r>
    </w:p>
    <w:p w:rsidR="002E61D7" w:rsidRPr="00FF4A00" w:rsidRDefault="002E61D7" w:rsidP="002E61D7">
      <w:pPr>
        <w:ind w:left="-2880"/>
        <w:rPr>
          <w:sz w:val="20"/>
          <w:szCs w:val="20"/>
        </w:rPr>
      </w:pPr>
      <w:r>
        <w:rPr>
          <w:sz w:val="20"/>
          <w:szCs w:val="20"/>
        </w:rPr>
        <w:t>Rahil Iqbal (EMEA)</w:t>
      </w:r>
      <w:r w:rsidRPr="00FF4A00">
        <w:rPr>
          <w:sz w:val="20"/>
          <w:szCs w:val="20"/>
        </w:rPr>
        <w:tab/>
      </w:r>
      <w:r w:rsidRPr="00FF4A00">
        <w:rPr>
          <w:sz w:val="20"/>
          <w:szCs w:val="20"/>
        </w:rPr>
        <w:tab/>
      </w:r>
      <w:r w:rsidRPr="00FF4A00">
        <w:rPr>
          <w:sz w:val="20"/>
          <w:szCs w:val="20"/>
        </w:rPr>
        <w:tab/>
      </w:r>
      <w:hyperlink r:id="rId81" w:history="1">
        <w:r w:rsidRPr="00DB2268">
          <w:rPr>
            <w:rStyle w:val="Hyperlink"/>
            <w:sz w:val="20"/>
            <w:szCs w:val="20"/>
          </w:rPr>
          <w:t>rahil.iqbal@jpmorgan.com</w:t>
        </w:r>
      </w:hyperlink>
      <w:r w:rsidRPr="00FF4A00">
        <w:rPr>
          <w:sz w:val="20"/>
          <w:szCs w:val="20"/>
        </w:rPr>
        <w:t xml:space="preserve"> </w:t>
      </w:r>
      <w:r w:rsidRPr="00FF4A00">
        <w:rPr>
          <w:sz w:val="20"/>
          <w:szCs w:val="20"/>
        </w:rPr>
        <w:tab/>
      </w:r>
      <w:r w:rsidRPr="00FF4A00">
        <w:rPr>
          <w:sz w:val="20"/>
          <w:szCs w:val="20"/>
        </w:rPr>
        <w:tab/>
      </w:r>
      <w:r w:rsidRPr="00FF4A00">
        <w:rPr>
          <w:sz w:val="20"/>
          <w:szCs w:val="20"/>
        </w:rPr>
        <w:tab/>
        <w:t xml:space="preserve">+ </w:t>
      </w:r>
      <w:r>
        <w:rPr>
          <w:sz w:val="20"/>
          <w:szCs w:val="20"/>
        </w:rPr>
        <w:t>44</w:t>
      </w:r>
      <w:r w:rsidRPr="00FF4A00">
        <w:rPr>
          <w:sz w:val="20"/>
          <w:szCs w:val="20"/>
        </w:rPr>
        <w:t xml:space="preserve"> (</w:t>
      </w:r>
      <w:r>
        <w:rPr>
          <w:sz w:val="20"/>
          <w:szCs w:val="20"/>
        </w:rPr>
        <w:t>20</w:t>
      </w:r>
      <w:r w:rsidRPr="00FF4A00">
        <w:rPr>
          <w:sz w:val="20"/>
          <w:szCs w:val="20"/>
        </w:rPr>
        <w:t xml:space="preserve">) </w:t>
      </w:r>
      <w:r>
        <w:rPr>
          <w:sz w:val="20"/>
          <w:szCs w:val="20"/>
        </w:rPr>
        <w:t>7742</w:t>
      </w:r>
      <w:r w:rsidRPr="00FF4A00">
        <w:rPr>
          <w:sz w:val="20"/>
          <w:szCs w:val="20"/>
        </w:rPr>
        <w:t>-</w:t>
      </w:r>
      <w:r>
        <w:rPr>
          <w:sz w:val="20"/>
          <w:szCs w:val="20"/>
        </w:rPr>
        <w:t>4233</w:t>
      </w:r>
    </w:p>
    <w:p w:rsidR="002E61D7" w:rsidRPr="00FF4A00" w:rsidRDefault="002E61D7" w:rsidP="002E61D7">
      <w:pPr>
        <w:ind w:left="-2880"/>
        <w:rPr>
          <w:sz w:val="20"/>
          <w:szCs w:val="20"/>
        </w:rPr>
      </w:pPr>
      <w:smartTag w:uri="urn:schemas-microsoft-com:office:smarttags" w:element="PersonName">
        <w:r>
          <w:rPr>
            <w:sz w:val="20"/>
            <w:szCs w:val="20"/>
          </w:rPr>
          <w:t>Sahil Manocha</w:t>
        </w:r>
      </w:smartTag>
      <w:r>
        <w:rPr>
          <w:sz w:val="20"/>
          <w:szCs w:val="20"/>
        </w:rPr>
        <w:t xml:space="preserve"> (EMEA)</w:t>
      </w:r>
      <w:r w:rsidRPr="00FF4A00">
        <w:rPr>
          <w:sz w:val="20"/>
          <w:szCs w:val="20"/>
        </w:rPr>
        <w:tab/>
      </w:r>
      <w:r w:rsidRPr="00FF4A00">
        <w:rPr>
          <w:sz w:val="20"/>
          <w:szCs w:val="20"/>
        </w:rPr>
        <w:tab/>
      </w:r>
      <w:r w:rsidRPr="00FF4A00">
        <w:rPr>
          <w:sz w:val="20"/>
          <w:szCs w:val="20"/>
        </w:rPr>
        <w:tab/>
      </w:r>
      <w:hyperlink r:id="rId82" w:history="1">
        <w:r w:rsidRPr="00DB2268">
          <w:rPr>
            <w:rStyle w:val="Hyperlink"/>
            <w:sz w:val="20"/>
            <w:szCs w:val="20"/>
          </w:rPr>
          <w:t>sahil.manocha@jpmorgan.com</w:t>
        </w:r>
      </w:hyperlink>
      <w:r w:rsidRPr="00FF4A00">
        <w:rPr>
          <w:sz w:val="20"/>
          <w:szCs w:val="20"/>
        </w:rPr>
        <w:t xml:space="preserve"> </w:t>
      </w:r>
      <w:r w:rsidRPr="00FF4A00">
        <w:rPr>
          <w:sz w:val="20"/>
          <w:szCs w:val="20"/>
        </w:rPr>
        <w:tab/>
      </w:r>
      <w:r w:rsidRPr="00FF4A00">
        <w:rPr>
          <w:sz w:val="20"/>
          <w:szCs w:val="20"/>
        </w:rPr>
        <w:tab/>
      </w:r>
      <w:r w:rsidRPr="00FF4A00">
        <w:rPr>
          <w:sz w:val="20"/>
          <w:szCs w:val="20"/>
        </w:rPr>
        <w:tab/>
        <w:t xml:space="preserve">+ </w:t>
      </w:r>
      <w:r>
        <w:rPr>
          <w:sz w:val="20"/>
          <w:szCs w:val="20"/>
        </w:rPr>
        <w:t>44</w:t>
      </w:r>
      <w:r w:rsidRPr="00FF4A00">
        <w:rPr>
          <w:sz w:val="20"/>
          <w:szCs w:val="20"/>
        </w:rPr>
        <w:t xml:space="preserve"> (</w:t>
      </w:r>
      <w:r>
        <w:rPr>
          <w:sz w:val="20"/>
          <w:szCs w:val="20"/>
        </w:rPr>
        <w:t>20</w:t>
      </w:r>
      <w:r w:rsidRPr="00FF4A00">
        <w:rPr>
          <w:sz w:val="20"/>
          <w:szCs w:val="20"/>
        </w:rPr>
        <w:t xml:space="preserve">) </w:t>
      </w:r>
      <w:r>
        <w:rPr>
          <w:sz w:val="20"/>
          <w:szCs w:val="20"/>
        </w:rPr>
        <w:t>7742</w:t>
      </w:r>
      <w:r w:rsidRPr="00FF4A00">
        <w:rPr>
          <w:sz w:val="20"/>
          <w:szCs w:val="20"/>
        </w:rPr>
        <w:t>-</w:t>
      </w:r>
      <w:r>
        <w:rPr>
          <w:sz w:val="20"/>
          <w:szCs w:val="20"/>
        </w:rPr>
        <w:t>3369</w:t>
      </w:r>
    </w:p>
    <w:p w:rsidR="002E61D7" w:rsidRPr="00FF4A00" w:rsidRDefault="002E61D7" w:rsidP="002E61D7">
      <w:pPr>
        <w:ind w:left="-2880"/>
        <w:rPr>
          <w:sz w:val="20"/>
          <w:szCs w:val="20"/>
          <w:lang w:val="de-DE"/>
        </w:rPr>
      </w:pPr>
      <w:r>
        <w:rPr>
          <w:sz w:val="20"/>
          <w:szCs w:val="20"/>
          <w:lang w:val="de-DE"/>
        </w:rPr>
        <w:t>Sue Lee</w:t>
      </w:r>
      <w:r>
        <w:rPr>
          <w:sz w:val="20"/>
          <w:szCs w:val="20"/>
          <w:lang w:val="de-DE"/>
        </w:rPr>
        <w:tab/>
      </w:r>
      <w:r>
        <w:rPr>
          <w:sz w:val="20"/>
          <w:szCs w:val="20"/>
        </w:rPr>
        <w:t>(Asia Pacific)</w:t>
      </w:r>
      <w:r w:rsidRPr="00FF4A00">
        <w:rPr>
          <w:sz w:val="20"/>
          <w:szCs w:val="20"/>
          <w:lang w:val="de-DE"/>
        </w:rPr>
        <w:tab/>
      </w:r>
      <w:r w:rsidRPr="00FF4A00">
        <w:rPr>
          <w:sz w:val="20"/>
          <w:szCs w:val="20"/>
          <w:lang w:val="de-DE"/>
        </w:rPr>
        <w:tab/>
      </w:r>
      <w:r w:rsidRPr="00FF4A00">
        <w:rPr>
          <w:sz w:val="20"/>
          <w:szCs w:val="20"/>
          <w:lang w:val="de-DE"/>
        </w:rPr>
        <w:tab/>
      </w:r>
      <w:hyperlink r:id="rId83" w:history="1">
        <w:r>
          <w:rPr>
            <w:rStyle w:val="Hyperlink"/>
            <w:sz w:val="20"/>
            <w:szCs w:val="20"/>
            <w:lang w:val="de-DE"/>
          </w:rPr>
          <w:t>sue.sj.lee</w:t>
        </w:r>
        <w:r w:rsidRPr="00FF4A00">
          <w:rPr>
            <w:rStyle w:val="Hyperlink"/>
            <w:sz w:val="20"/>
            <w:szCs w:val="20"/>
            <w:lang w:val="de-DE"/>
          </w:rPr>
          <w:t>@jpmorgan.com</w:t>
        </w:r>
      </w:hyperlink>
      <w:r w:rsidRPr="00FF4A00">
        <w:rPr>
          <w:sz w:val="20"/>
          <w:szCs w:val="20"/>
          <w:lang w:val="de-DE"/>
        </w:rPr>
        <w:t xml:space="preserve"> </w:t>
      </w:r>
      <w:r>
        <w:rPr>
          <w:sz w:val="20"/>
          <w:szCs w:val="20"/>
          <w:lang w:val="de-DE"/>
        </w:rPr>
        <w:t xml:space="preserve"> </w:t>
      </w:r>
      <w:r w:rsidRPr="00FF4A00">
        <w:rPr>
          <w:sz w:val="20"/>
          <w:szCs w:val="20"/>
          <w:lang w:val="de-DE"/>
        </w:rPr>
        <w:tab/>
      </w:r>
      <w:r>
        <w:rPr>
          <w:sz w:val="20"/>
          <w:szCs w:val="20"/>
          <w:lang w:val="de-DE"/>
        </w:rPr>
        <w:t xml:space="preserve"> </w:t>
      </w:r>
      <w:r>
        <w:rPr>
          <w:sz w:val="20"/>
          <w:szCs w:val="20"/>
          <w:lang w:val="de-DE"/>
        </w:rPr>
        <w:tab/>
      </w:r>
      <w:r w:rsidRPr="00FF4A00">
        <w:rPr>
          <w:sz w:val="20"/>
          <w:szCs w:val="20"/>
          <w:lang w:val="de-DE"/>
        </w:rPr>
        <w:tab/>
        <w:t>+ (852) 2800-7898</w:t>
      </w:r>
    </w:p>
    <w:p w:rsidR="002E61D7" w:rsidRDefault="002E61D7" w:rsidP="002E61D7">
      <w:pPr>
        <w:ind w:left="-2880"/>
        <w:rPr>
          <w:sz w:val="20"/>
          <w:szCs w:val="20"/>
          <w:lang w:val="de-DE"/>
        </w:rPr>
      </w:pPr>
      <w:r>
        <w:rPr>
          <w:sz w:val="20"/>
          <w:szCs w:val="20"/>
          <w:lang w:val="fr-FR"/>
        </w:rPr>
        <w:t>Berowne Hlavaty</w:t>
      </w:r>
      <w:r w:rsidRPr="00FF4A00">
        <w:rPr>
          <w:sz w:val="20"/>
          <w:szCs w:val="20"/>
          <w:lang w:val="fr-FR"/>
        </w:rPr>
        <w:tab/>
      </w:r>
      <w:r>
        <w:rPr>
          <w:sz w:val="20"/>
          <w:szCs w:val="20"/>
        </w:rPr>
        <w:t>(Asia Pacific)</w:t>
      </w:r>
      <w:r w:rsidRPr="00FF4A00">
        <w:rPr>
          <w:sz w:val="20"/>
          <w:szCs w:val="20"/>
          <w:lang w:val="fr-FR"/>
        </w:rPr>
        <w:tab/>
      </w:r>
      <w:r w:rsidRPr="00FF4A00">
        <w:rPr>
          <w:sz w:val="20"/>
          <w:szCs w:val="20"/>
          <w:lang w:val="fr-FR"/>
        </w:rPr>
        <w:tab/>
      </w:r>
      <w:hyperlink r:id="rId84" w:history="1">
        <w:r w:rsidRPr="00704143">
          <w:rPr>
            <w:rStyle w:val="Hyperlink"/>
            <w:sz w:val="20"/>
            <w:szCs w:val="20"/>
            <w:lang w:val="fr-FR"/>
          </w:rPr>
          <w:t>berowne.d.hlavaty@jpmorgan.com</w:t>
        </w:r>
      </w:hyperlink>
      <w:r w:rsidRPr="00FF4A00">
        <w:rPr>
          <w:sz w:val="20"/>
          <w:szCs w:val="20"/>
          <w:lang w:val="fr-FR"/>
        </w:rPr>
        <w:t xml:space="preserve"> </w:t>
      </w:r>
      <w:r w:rsidRPr="00FF4A00">
        <w:rPr>
          <w:sz w:val="20"/>
          <w:szCs w:val="20"/>
          <w:lang w:val="fr-FR"/>
        </w:rPr>
        <w:tab/>
      </w:r>
      <w:r w:rsidRPr="00FF4A00">
        <w:rPr>
          <w:sz w:val="20"/>
          <w:szCs w:val="20"/>
          <w:lang w:val="fr-FR"/>
        </w:rPr>
        <w:tab/>
      </w:r>
      <w:r w:rsidRPr="00FF4A00">
        <w:rPr>
          <w:sz w:val="20"/>
          <w:szCs w:val="20"/>
          <w:lang w:val="fr-FR"/>
        </w:rPr>
        <w:tab/>
      </w:r>
      <w:r w:rsidRPr="00FF4A00">
        <w:rPr>
          <w:sz w:val="20"/>
          <w:szCs w:val="20"/>
          <w:lang w:val="de-DE"/>
        </w:rPr>
        <w:t>+ (</w:t>
      </w:r>
      <w:r>
        <w:rPr>
          <w:sz w:val="20"/>
          <w:szCs w:val="20"/>
          <w:lang w:val="de-DE"/>
        </w:rPr>
        <w:t>612</w:t>
      </w:r>
      <w:r w:rsidRPr="00FF4A00">
        <w:rPr>
          <w:sz w:val="20"/>
          <w:szCs w:val="20"/>
          <w:lang w:val="de-DE"/>
        </w:rPr>
        <w:t xml:space="preserve">) </w:t>
      </w:r>
      <w:r>
        <w:rPr>
          <w:sz w:val="20"/>
          <w:szCs w:val="20"/>
          <w:lang w:val="de-DE"/>
        </w:rPr>
        <w:t>9003</w:t>
      </w:r>
      <w:r w:rsidRPr="00FF4A00">
        <w:rPr>
          <w:sz w:val="20"/>
          <w:szCs w:val="20"/>
          <w:lang w:val="de-DE"/>
        </w:rPr>
        <w:t>-</w:t>
      </w:r>
      <w:r>
        <w:rPr>
          <w:sz w:val="20"/>
          <w:szCs w:val="20"/>
          <w:lang w:val="de-DE"/>
        </w:rPr>
        <w:t>8602</w:t>
      </w:r>
    </w:p>
    <w:p w:rsidR="002E61D7" w:rsidRDefault="002E61D7" w:rsidP="002E61D7">
      <w:pPr>
        <w:ind w:left="-2880"/>
        <w:rPr>
          <w:sz w:val="20"/>
          <w:szCs w:val="20"/>
          <w:lang w:val="de-DE"/>
        </w:rPr>
      </w:pPr>
      <w:r>
        <w:rPr>
          <w:sz w:val="20"/>
          <w:szCs w:val="20"/>
          <w:lang w:val="de-DE"/>
        </w:rPr>
        <w:t xml:space="preserve">Haoshun Liu </w:t>
      </w:r>
      <w:r>
        <w:rPr>
          <w:sz w:val="20"/>
          <w:szCs w:val="20"/>
        </w:rPr>
        <w:t>(Asia Pacific)</w:t>
      </w:r>
      <w:r w:rsidRPr="00FF4A00">
        <w:rPr>
          <w:sz w:val="20"/>
          <w:szCs w:val="20"/>
          <w:lang w:val="de-DE"/>
        </w:rPr>
        <w:tab/>
      </w:r>
      <w:r w:rsidRPr="00FF4A00">
        <w:rPr>
          <w:sz w:val="20"/>
          <w:szCs w:val="20"/>
          <w:lang w:val="de-DE"/>
        </w:rPr>
        <w:tab/>
      </w:r>
      <w:hyperlink r:id="rId85" w:history="1">
        <w:r w:rsidRPr="00A40476">
          <w:rPr>
            <w:rStyle w:val="Hyperlink"/>
            <w:sz w:val="20"/>
            <w:szCs w:val="20"/>
            <w:lang w:val="de-DE"/>
          </w:rPr>
          <w:t>haoshun.liu@jpmorgan.com</w:t>
        </w:r>
      </w:hyperlink>
      <w:r w:rsidRPr="00FF4A00">
        <w:rPr>
          <w:sz w:val="20"/>
          <w:szCs w:val="20"/>
          <w:lang w:val="de-DE"/>
        </w:rPr>
        <w:t xml:space="preserve"> </w:t>
      </w:r>
      <w:r>
        <w:rPr>
          <w:sz w:val="20"/>
          <w:szCs w:val="20"/>
          <w:lang w:val="de-DE"/>
        </w:rPr>
        <w:t xml:space="preserve"> </w:t>
      </w:r>
      <w:r w:rsidRPr="00FF4A00">
        <w:rPr>
          <w:sz w:val="20"/>
          <w:szCs w:val="20"/>
          <w:lang w:val="de-DE"/>
        </w:rPr>
        <w:tab/>
      </w:r>
      <w:r>
        <w:rPr>
          <w:sz w:val="20"/>
          <w:szCs w:val="20"/>
          <w:lang w:val="de-DE"/>
        </w:rPr>
        <w:t xml:space="preserve"> </w:t>
      </w:r>
      <w:r>
        <w:rPr>
          <w:sz w:val="20"/>
          <w:szCs w:val="20"/>
          <w:lang w:val="de-DE"/>
        </w:rPr>
        <w:tab/>
      </w:r>
      <w:r w:rsidRPr="00FF4A00">
        <w:rPr>
          <w:sz w:val="20"/>
          <w:szCs w:val="20"/>
          <w:lang w:val="de-DE"/>
        </w:rPr>
        <w:tab/>
        <w:t>+ (852) 2800-7</w:t>
      </w:r>
      <w:r>
        <w:rPr>
          <w:sz w:val="20"/>
          <w:szCs w:val="20"/>
          <w:lang w:val="de-DE"/>
        </w:rPr>
        <w:t>736</w:t>
      </w:r>
    </w:p>
    <w:p w:rsidR="002E61D7" w:rsidRDefault="002E61D7" w:rsidP="002E61D7">
      <w:pPr>
        <w:ind w:left="-2880"/>
        <w:rPr>
          <w:sz w:val="20"/>
          <w:szCs w:val="20"/>
          <w:lang w:val="de-DE"/>
        </w:rPr>
      </w:pPr>
    </w:p>
    <w:p w:rsidR="002E61D7" w:rsidRDefault="002E61D7" w:rsidP="002E61D7">
      <w:pPr>
        <w:ind w:left="-2880"/>
        <w:rPr>
          <w:sz w:val="20"/>
          <w:szCs w:val="20"/>
          <w:lang w:val="de-DE"/>
        </w:rPr>
      </w:pPr>
    </w:p>
    <w:p w:rsidR="002E61D7" w:rsidRPr="00336111" w:rsidRDefault="002E61D7" w:rsidP="002E61D7">
      <w:pPr>
        <w:ind w:left="-2880"/>
        <w:rPr>
          <w:b/>
          <w:bCs/>
        </w:rPr>
      </w:pPr>
      <w:r>
        <w:rPr>
          <w:b/>
          <w:bCs/>
        </w:rPr>
        <w:t>Rule-based and Cross-Asset Investment Strategies</w:t>
      </w:r>
    </w:p>
    <w:p w:rsidR="002E61D7" w:rsidRPr="00FF4A00" w:rsidRDefault="002E61D7" w:rsidP="002E61D7">
      <w:pPr>
        <w:ind w:left="-2880"/>
        <w:rPr>
          <w:sz w:val="20"/>
          <w:szCs w:val="20"/>
          <w:lang w:val="de-DE"/>
        </w:rPr>
      </w:pPr>
      <w:r>
        <w:rPr>
          <w:sz w:val="20"/>
          <w:szCs w:val="20"/>
          <w:lang w:val="de-DE"/>
        </w:rPr>
        <w:t>Zhen Wei</w:t>
      </w:r>
      <w:r w:rsidRPr="00FF4A00">
        <w:rPr>
          <w:sz w:val="20"/>
          <w:szCs w:val="20"/>
          <w:lang w:val="de-DE"/>
        </w:rPr>
        <w:tab/>
      </w:r>
      <w:r w:rsidRPr="00FF4A00">
        <w:rPr>
          <w:sz w:val="20"/>
          <w:szCs w:val="20"/>
          <w:lang w:val="de-DE"/>
        </w:rPr>
        <w:tab/>
      </w:r>
      <w:r w:rsidRPr="00FF4A00">
        <w:rPr>
          <w:sz w:val="20"/>
          <w:szCs w:val="20"/>
          <w:lang w:val="de-DE"/>
        </w:rPr>
        <w:tab/>
      </w:r>
      <w:r w:rsidRPr="00FF4A00">
        <w:rPr>
          <w:sz w:val="20"/>
          <w:szCs w:val="20"/>
          <w:lang w:val="de-DE"/>
        </w:rPr>
        <w:tab/>
      </w:r>
      <w:hyperlink r:id="rId86" w:history="1">
        <w:r w:rsidRPr="00F72432">
          <w:rPr>
            <w:rStyle w:val="Hyperlink"/>
            <w:sz w:val="20"/>
            <w:szCs w:val="20"/>
            <w:lang w:val="de-DE"/>
          </w:rPr>
          <w:t>zhen.wei@jpmorgan.com</w:t>
        </w:r>
      </w:hyperlink>
      <w:r w:rsidRPr="00FF4A00">
        <w:rPr>
          <w:sz w:val="20"/>
          <w:szCs w:val="20"/>
          <w:lang w:val="de-DE"/>
        </w:rPr>
        <w:tab/>
      </w:r>
      <w:r w:rsidRPr="00FF4A00">
        <w:rPr>
          <w:sz w:val="20"/>
          <w:szCs w:val="20"/>
          <w:lang w:val="de-DE"/>
        </w:rPr>
        <w:tab/>
      </w:r>
      <w:r w:rsidRPr="00FF4A00">
        <w:rPr>
          <w:sz w:val="20"/>
          <w:szCs w:val="20"/>
          <w:lang w:val="de-DE"/>
        </w:rPr>
        <w:tab/>
      </w:r>
      <w:r>
        <w:rPr>
          <w:sz w:val="20"/>
          <w:szCs w:val="20"/>
          <w:lang w:val="de-DE"/>
        </w:rPr>
        <w:t xml:space="preserve">               </w:t>
      </w:r>
      <w:r w:rsidRPr="00FF4A00">
        <w:rPr>
          <w:sz w:val="20"/>
          <w:szCs w:val="20"/>
          <w:lang w:val="de-DE"/>
        </w:rPr>
        <w:t>+ (852) 2800-7</w:t>
      </w:r>
      <w:r>
        <w:rPr>
          <w:sz w:val="20"/>
          <w:szCs w:val="20"/>
          <w:lang w:val="de-DE"/>
        </w:rPr>
        <w:t>749</w:t>
      </w:r>
    </w:p>
    <w:p w:rsidR="002E61D7" w:rsidRPr="00FF4A00" w:rsidRDefault="002E61D7" w:rsidP="002E61D7">
      <w:pPr>
        <w:ind w:left="-2880"/>
        <w:rPr>
          <w:sz w:val="20"/>
          <w:szCs w:val="20"/>
          <w:lang w:val="de-DE"/>
        </w:rPr>
      </w:pPr>
      <w:r w:rsidRPr="00FF4A00">
        <w:rPr>
          <w:sz w:val="20"/>
          <w:szCs w:val="20"/>
          <w:lang w:val="de-DE"/>
        </w:rPr>
        <w:t>Marko Kolanovic</w:t>
      </w:r>
      <w:r w:rsidRPr="00FF4A00">
        <w:rPr>
          <w:sz w:val="20"/>
          <w:szCs w:val="20"/>
          <w:lang w:val="de-DE"/>
        </w:rPr>
        <w:tab/>
      </w:r>
      <w:r w:rsidRPr="00FF4A00">
        <w:rPr>
          <w:sz w:val="20"/>
          <w:szCs w:val="20"/>
          <w:lang w:val="de-DE"/>
        </w:rPr>
        <w:tab/>
      </w:r>
      <w:r w:rsidRPr="00FF4A00">
        <w:rPr>
          <w:sz w:val="20"/>
          <w:szCs w:val="20"/>
          <w:lang w:val="de-DE"/>
        </w:rPr>
        <w:tab/>
      </w:r>
      <w:r w:rsidRPr="00FF4A00">
        <w:rPr>
          <w:sz w:val="20"/>
          <w:szCs w:val="20"/>
          <w:lang w:val="de-DE"/>
        </w:rPr>
        <w:tab/>
      </w:r>
      <w:hyperlink r:id="rId87" w:history="1">
        <w:r w:rsidRPr="00FF4A00">
          <w:rPr>
            <w:rStyle w:val="Hyperlink"/>
            <w:sz w:val="20"/>
            <w:szCs w:val="20"/>
            <w:lang w:val="de-DE"/>
          </w:rPr>
          <w:t>mkolanovic@jpmorgan.com</w:t>
        </w:r>
      </w:hyperlink>
      <w:r w:rsidRPr="00FF4A00">
        <w:rPr>
          <w:sz w:val="20"/>
          <w:szCs w:val="20"/>
          <w:lang w:val="de-DE"/>
        </w:rPr>
        <w:tab/>
      </w:r>
      <w:r w:rsidRPr="00FF4A00">
        <w:rPr>
          <w:sz w:val="20"/>
          <w:szCs w:val="20"/>
          <w:lang w:val="de-DE"/>
        </w:rPr>
        <w:tab/>
      </w:r>
      <w:r w:rsidRPr="00FF4A00">
        <w:rPr>
          <w:sz w:val="20"/>
          <w:szCs w:val="20"/>
          <w:lang w:val="de-DE"/>
        </w:rPr>
        <w:tab/>
        <w:t>+ 1 (212) 272-1438</w:t>
      </w:r>
    </w:p>
    <w:p w:rsidR="002E61D7" w:rsidRDefault="002E61D7" w:rsidP="002E61D7">
      <w:pPr>
        <w:ind w:left="-2880"/>
        <w:rPr>
          <w:sz w:val="20"/>
          <w:szCs w:val="20"/>
        </w:rPr>
      </w:pPr>
    </w:p>
    <w:p w:rsidR="002E61D7" w:rsidRPr="00321A95" w:rsidRDefault="002E61D7" w:rsidP="002E61D7">
      <w:pPr>
        <w:pStyle w:val="Heading3"/>
        <w:ind w:left="-3125" w:firstLine="245"/>
        <w:rPr>
          <w:rFonts w:cs="Times New Roman"/>
          <w:sz w:val="24"/>
          <w:szCs w:val="24"/>
        </w:rPr>
      </w:pPr>
      <w:r w:rsidRPr="00321A95">
        <w:rPr>
          <w:rFonts w:cs="Times New Roman"/>
          <w:sz w:val="24"/>
          <w:szCs w:val="24"/>
        </w:rPr>
        <w:t xml:space="preserve">India Global Research Center </w:t>
      </w:r>
    </w:p>
    <w:p w:rsidR="002E61D7" w:rsidRPr="00FF4A00" w:rsidRDefault="002E61D7" w:rsidP="002E61D7">
      <w:pPr>
        <w:ind w:left="-2880"/>
        <w:rPr>
          <w:sz w:val="20"/>
          <w:szCs w:val="20"/>
        </w:rPr>
      </w:pPr>
      <w:r w:rsidRPr="00FF4A00">
        <w:rPr>
          <w:sz w:val="20"/>
          <w:szCs w:val="20"/>
        </w:rPr>
        <w:t>Pankaj Gupta</w:t>
      </w:r>
      <w:r w:rsidRPr="00FF4A00">
        <w:rPr>
          <w:sz w:val="20"/>
          <w:szCs w:val="20"/>
        </w:rPr>
        <w:tab/>
      </w:r>
      <w:r>
        <w:rPr>
          <w:sz w:val="20"/>
          <w:szCs w:val="20"/>
        </w:rPr>
        <w:t>Arun Jain</w:t>
      </w:r>
    </w:p>
    <w:p w:rsidR="002E61D7" w:rsidRPr="00FF4A00" w:rsidRDefault="002E61D7" w:rsidP="002E61D7">
      <w:pPr>
        <w:ind w:left="-2880"/>
        <w:rPr>
          <w:sz w:val="20"/>
          <w:szCs w:val="20"/>
        </w:rPr>
      </w:pPr>
      <w:r>
        <w:rPr>
          <w:sz w:val="20"/>
          <w:szCs w:val="20"/>
        </w:rPr>
        <w:t>Arfi Khan</w:t>
      </w:r>
      <w:r w:rsidRPr="00FF4A00">
        <w:rPr>
          <w:sz w:val="20"/>
          <w:szCs w:val="20"/>
        </w:rPr>
        <w:tab/>
      </w:r>
      <w:r>
        <w:rPr>
          <w:sz w:val="20"/>
          <w:szCs w:val="20"/>
        </w:rPr>
        <w:t>Rahul Dalmia</w:t>
      </w:r>
    </w:p>
    <w:p w:rsidR="002E61D7" w:rsidRPr="008E245B" w:rsidRDefault="002E61D7" w:rsidP="002E61D7">
      <w:pPr>
        <w:ind w:left="-2880"/>
        <w:rPr>
          <w:sz w:val="20"/>
          <w:szCs w:val="20"/>
        </w:rPr>
      </w:pPr>
      <w:r>
        <w:rPr>
          <w:sz w:val="20"/>
          <w:szCs w:val="20"/>
        </w:rPr>
        <w:t xml:space="preserve">Vivek Shah         Priyanka Saraf </w:t>
      </w:r>
    </w:p>
    <w:p w:rsidR="002E61D7" w:rsidRDefault="002E61D7" w:rsidP="002E61D7">
      <w:pPr>
        <w:ind w:left="-2880"/>
        <w:sectPr w:rsidR="002E61D7" w:rsidSect="00096996">
          <w:headerReference w:type="first" r:id="rId88"/>
          <w:footerReference w:type="first" r:id="rId89"/>
          <w:pgSz w:w="12240" w:h="15840" w:code="1"/>
          <w:pgMar w:top="2376" w:right="1138" w:bottom="936" w:left="4248" w:header="936" w:footer="576" w:gutter="0"/>
          <w:cols w:space="720"/>
          <w:formProt w:val="0"/>
          <w:docGrid w:linePitch="360"/>
        </w:sectPr>
      </w:pPr>
    </w:p>
    <w:bookmarkStart w:id="68" w:name="_LegalDisclosure" w:displacedByCustomXml="next"/>
    <w:sdt>
      <w:sdtPr>
        <w:rPr>
          <w:sz w:val="20"/>
        </w:rPr>
        <w:alias w:val="DISCLOSURE"/>
        <w:tag w:val="DISCLOSURE"/>
        <w:id w:val="166324026"/>
        <w:lock w:val="sdtContentLocked"/>
        <w:placeholder>
          <w:docPart w:val="4D3363EAD2784C778F0CFDB71451F439"/>
        </w:placeholder>
      </w:sdtPr>
      <w:sdtContent>
        <w:p w:rsidR="009969A0" w:rsidRDefault="009969A0">
          <w:pPr>
            <w:divId w:val="1371611183"/>
            <w:rPr>
              <w:rFonts w:eastAsia="Times New Roman"/>
              <w:sz w:val="12"/>
              <w:szCs w:val="12"/>
            </w:rPr>
          </w:pPr>
        </w:p>
        <w:p w:rsidR="009969A0" w:rsidRDefault="009969A0">
          <w:pPr>
            <w:divId w:val="442651424"/>
            <w:rPr>
              <w:rFonts w:eastAsia="Times New Roman"/>
              <w:sz w:val="20"/>
              <w:szCs w:val="20"/>
            </w:rPr>
          </w:pPr>
          <w:r>
            <w:rPr>
              <w:rFonts w:eastAsia="Times New Roman"/>
              <w:b/>
              <w:bCs/>
              <w:sz w:val="18"/>
              <w:szCs w:val="18"/>
            </w:rPr>
            <w:t xml:space="preserve">Analyst Certification: </w:t>
          </w:r>
          <w:r>
            <w:rPr>
              <w:rFonts w:eastAsia="Times New Roman"/>
              <w:sz w:val="18"/>
              <w:szCs w:val="18"/>
            </w:rPr>
            <w:t>The research analyst(s) denoted by an “AC” on the cover of this report certifies (or, where multiple research analysts are primarily responsible for this report, the research analyst denoted by an “AC” on the cover or within the document individually certifies, with respect to each security or issuer that the research analyst covers in this research) that: (1) all of the views expressed in this report accurately reflect his or her personal views about any and all of the subject securities or issuers; and (2) no part of any of the research analyst's compensation was, is, or will be directly or indirectly related to the specific recommendations or views expressed by the research analyst(s) in this report. For all Korea-based research analysts listed on the front cover, they also certify, as per KOFIA requirements, that their analysis was made in good faith and that the views reflect their own opinion, without undue influence or intervention.</w:t>
          </w:r>
        </w:p>
        <w:p w:rsidR="009969A0" w:rsidRDefault="009969A0">
          <w:pPr>
            <w:divId w:val="1170677857"/>
            <w:rPr>
              <w:rFonts w:eastAsia="Times New Roman"/>
              <w:sz w:val="12"/>
              <w:szCs w:val="12"/>
            </w:rPr>
          </w:pPr>
        </w:p>
        <w:p w:rsidR="009969A0" w:rsidRDefault="009969A0" w:rsidP="009969A0">
          <w:pPr>
            <w:divId w:val="442651424"/>
            <w:rPr>
              <w:rFonts w:eastAsia="Times New Roman"/>
              <w:sz w:val="20"/>
              <w:szCs w:val="20"/>
            </w:rPr>
          </w:pPr>
          <w:r>
            <w:rPr>
              <w:rFonts w:eastAsia="Times New Roman"/>
              <w:b/>
              <w:bCs/>
              <w:sz w:val="20"/>
              <w:szCs w:val="20"/>
            </w:rPr>
            <w:t>Important Disclosures</w:t>
          </w:r>
          <w:r>
            <w:rPr>
              <w:rFonts w:eastAsia="Times New Roman"/>
              <w:sz w:val="20"/>
              <w:szCs w:val="20"/>
            </w:rPr>
            <w:t xml:space="preserve"> </w:t>
          </w:r>
        </w:p>
        <w:p w:rsidR="009969A0" w:rsidRDefault="009969A0" w:rsidP="009969A0">
          <w:pPr>
            <w:spacing w:line="100" w:lineRule="auto"/>
            <w:divId w:val="442651424"/>
            <w:rPr>
              <w:rFonts w:eastAsia="Times New Roman"/>
              <w:sz w:val="20"/>
              <w:szCs w:val="20"/>
            </w:rPr>
          </w:pPr>
          <w:r>
            <w:rPr>
              <w:rFonts w:eastAsia="Times New Roman"/>
              <w:sz w:val="20"/>
              <w:szCs w:val="20"/>
            </w:rPr>
            <w:pict>
              <v:rect id="_x0000_i1031" style="width:0;height:.8pt" o:hralign="center" o:hrstd="t" o:hrnoshade="t" o:hr="t" fillcolor="black" stroked="f"/>
            </w:pict>
          </w:r>
        </w:p>
        <w:p w:rsidR="009969A0" w:rsidRDefault="009969A0" w:rsidP="009969A0">
          <w:pPr>
            <w:divId w:val="303388652"/>
            <w:rPr>
              <w:rFonts w:eastAsia="Times New Roman"/>
              <w:sz w:val="12"/>
              <w:szCs w:val="12"/>
            </w:rPr>
          </w:pPr>
        </w:p>
        <w:p w:rsidR="009969A0" w:rsidRDefault="009969A0">
          <w:pPr>
            <w:divId w:val="452752304"/>
            <w:rPr>
              <w:rFonts w:eastAsia="Times New Roman"/>
              <w:b/>
              <w:bCs/>
              <w:sz w:val="12"/>
              <w:szCs w:val="12"/>
            </w:rPr>
          </w:pPr>
        </w:p>
        <w:p w:rsidR="009969A0" w:rsidRDefault="009969A0">
          <w:pPr>
            <w:divId w:val="442651424"/>
            <w:rPr>
              <w:rFonts w:ascii="Arial" w:eastAsia="Times New Roman" w:hAnsi="Arial" w:cs="Arial"/>
              <w:sz w:val="18"/>
              <w:szCs w:val="18"/>
            </w:rPr>
          </w:pPr>
          <w:r>
            <w:rPr>
              <w:rFonts w:eastAsia="Times New Roman"/>
              <w:b/>
              <w:bCs/>
              <w:sz w:val="18"/>
              <w:szCs w:val="18"/>
            </w:rPr>
            <w:t xml:space="preserve">Company-Specific Disclosures: </w:t>
          </w:r>
          <w:r>
            <w:rPr>
              <w:rFonts w:eastAsia="Times New Roman"/>
              <w:sz w:val="18"/>
              <w:szCs w:val="18"/>
            </w:rPr>
            <w:t>Important disclosures, including price charts, are available for compendium reports and all J.P. Morgan–covered companies by visiting</w:t>
          </w:r>
          <w:r>
            <w:rPr>
              <w:rFonts w:eastAsia="Times New Roman"/>
              <w:b/>
              <w:bCs/>
              <w:sz w:val="18"/>
              <w:szCs w:val="18"/>
            </w:rPr>
            <w:t xml:space="preserve"> </w:t>
          </w:r>
          <w:hyperlink r:id="rId90" w:history="1">
            <w:r>
              <w:rPr>
                <w:rStyle w:val="Hyperlink"/>
                <w:rFonts w:eastAsia="Times New Roman"/>
                <w:sz w:val="18"/>
                <w:szCs w:val="18"/>
              </w:rPr>
              <w:t>https://jpmm.com/research/disclosures</w:t>
            </w:r>
          </w:hyperlink>
          <w:r>
            <w:rPr>
              <w:rFonts w:eastAsia="Times New Roman"/>
              <w:sz w:val="18"/>
              <w:szCs w:val="18"/>
            </w:rPr>
            <w:t xml:space="preserve">, calling 1-800-477-0406, or e-mailing </w:t>
          </w:r>
          <w:hyperlink r:id="rId91" w:history="1">
            <w:r>
              <w:rPr>
                <w:rStyle w:val="Hyperlink"/>
                <w:rFonts w:eastAsia="Times New Roman"/>
                <w:sz w:val="18"/>
                <w:szCs w:val="18"/>
              </w:rPr>
              <w:t>research.disclosure.inquiries@jpmorgan.com</w:t>
            </w:r>
          </w:hyperlink>
          <w:r>
            <w:rPr>
              <w:rFonts w:eastAsia="Times New Roman"/>
              <w:sz w:val="18"/>
              <w:szCs w:val="18"/>
            </w:rPr>
            <w:t xml:space="preserve"> with your request. J.P. Morgan’s Strategy, Technical, and Quantitative Research teams may screen companies not covered by J.P. Morgan. For important disclosures for these companies, please call 1-800-477-0406 or e-mail </w:t>
          </w:r>
          <w:hyperlink r:id="rId92" w:history="1">
            <w:r>
              <w:rPr>
                <w:rStyle w:val="Hyperlink"/>
                <w:rFonts w:eastAsia="Times New Roman"/>
                <w:sz w:val="18"/>
                <w:szCs w:val="18"/>
              </w:rPr>
              <w:t>research.disclosure.inquiries@jpmorgan.com</w:t>
            </w:r>
          </w:hyperlink>
          <w:r>
            <w:rPr>
              <w:rFonts w:eastAsia="Times New Roman"/>
              <w:sz w:val="18"/>
              <w:szCs w:val="18"/>
            </w:rPr>
            <w:t>.</w:t>
          </w:r>
        </w:p>
        <w:p w:rsidR="009969A0" w:rsidRDefault="009969A0">
          <w:pPr>
            <w:divId w:val="1364357324"/>
            <w:rPr>
              <w:rFonts w:eastAsia="Times New Roman"/>
              <w:sz w:val="12"/>
              <w:szCs w:val="12"/>
            </w:rPr>
          </w:pPr>
        </w:p>
        <w:p w:rsidR="009969A0" w:rsidRDefault="009969A0">
          <w:pPr>
            <w:divId w:val="442651424"/>
            <w:rPr>
              <w:rFonts w:eastAsia="Times New Roman"/>
              <w:sz w:val="18"/>
              <w:szCs w:val="18"/>
            </w:rPr>
          </w:pPr>
          <w:r>
            <w:rPr>
              <w:rFonts w:eastAsia="Times New Roman"/>
              <w:b/>
              <w:bCs/>
              <w:sz w:val="18"/>
              <w:szCs w:val="18"/>
            </w:rPr>
            <w:t xml:space="preserve">Explanation of Equity Research Ratings, Designations and Analyst(s) Coverage Universe: </w:t>
          </w:r>
          <w:r>
            <w:rPr>
              <w:rFonts w:eastAsia="Times New Roman"/>
              <w:b/>
              <w:bCs/>
              <w:sz w:val="18"/>
              <w:szCs w:val="18"/>
            </w:rPr>
            <w:br/>
          </w:r>
          <w:r>
            <w:rPr>
              <w:rFonts w:eastAsia="Times New Roman"/>
              <w:sz w:val="18"/>
              <w:szCs w:val="18"/>
            </w:rPr>
            <w:t xml:space="preserve">J.P. Morgan uses the following rating system: Overweight [Over the next six to twelve months, we expect this stock will outperform the average total return of the stocks in the analyst’s (or the analyst’s team’s) coverage universe.] Neutral [Over the next six to twelve months, we expect this stock will perform in line with the average total return of the stocks in the analyst’s (or the analyst’s team’s) coverage universe.] Underweight [Over the next six to twelve months, we expect this stock will underperform the average total return of the stocks in the analyst’s (or the analyst’s team’s) coverage universe.] Not Rated (NR): J.P. Morgan has removed the rating and, if applicable, the price target, for this stock because of either a lack of a sufficient fundamental basis or for legal, regulatory or policy reasons. The previous rating and, if applicable, the price target, no longer should be relied upon. An NR designation is not a recommendation or a rating. In our Asia (ex-Australia) and U.K. small- and mid-cap equity research, each stock’s expected total return is compared to the expected total return of a benchmark country market index, not to those analysts’ coverage universe. If it does not appear in the Important Disclosures section of this report, the certifying analyst’s coverage universe can be found on J.P. Morgan’s research website, www.jpmorganmarkets.com. </w:t>
          </w:r>
        </w:p>
        <w:p w:rsidR="009969A0" w:rsidRDefault="009969A0">
          <w:pPr>
            <w:divId w:val="2086760786"/>
            <w:rPr>
              <w:rFonts w:eastAsia="Times New Roman"/>
              <w:sz w:val="12"/>
              <w:szCs w:val="12"/>
            </w:rPr>
          </w:pPr>
        </w:p>
        <w:p w:rsidR="009969A0" w:rsidRDefault="009969A0" w:rsidP="009969A0">
          <w:pPr>
            <w:keepNext/>
            <w:keepLines/>
            <w:spacing w:before="78" w:after="78"/>
            <w:ind w:left="78" w:right="78"/>
            <w:divId w:val="442651424"/>
            <w:rPr>
              <w:b/>
              <w:bCs/>
              <w:sz w:val="18"/>
              <w:szCs w:val="18"/>
            </w:rPr>
          </w:pPr>
          <w:r>
            <w:rPr>
              <w:b/>
              <w:bCs/>
              <w:sz w:val="18"/>
              <w:szCs w:val="18"/>
            </w:rPr>
            <w:t>J.P. Morgan Equity Research Ratings Distribution, as of June 30, 2014</w:t>
          </w:r>
        </w:p>
        <w:tbl>
          <w:tblPr>
            <w:tblW w:w="3250" w:type="pct"/>
            <w:tblCellMar>
              <w:left w:w="0" w:type="dxa"/>
              <w:right w:w="0" w:type="dxa"/>
            </w:tblCellMar>
            <w:tblLook w:val="04A0"/>
          </w:tblPr>
          <w:tblGrid>
            <w:gridCol w:w="3762"/>
            <w:gridCol w:w="908"/>
            <w:gridCol w:w="908"/>
            <w:gridCol w:w="908"/>
          </w:tblGrid>
          <w:tr w:rsidR="009969A0">
            <w:trPr>
              <w:divId w:val="442651424"/>
            </w:trPr>
            <w:tc>
              <w:tcPr>
                <w:tcW w:w="2900" w:type="pct"/>
                <w:tcBorders>
                  <w:bottom w:val="single" w:sz="4" w:space="0" w:color="000000"/>
                </w:tcBorders>
                <w:hideMark/>
              </w:tcPr>
              <w:p w:rsidR="009969A0" w:rsidRDefault="009969A0" w:rsidP="009969A0">
                <w:pPr>
                  <w:keepNext/>
                  <w:keepLines/>
                  <w:rPr>
                    <w:rFonts w:eastAsia="Times New Roman"/>
                  </w:rPr>
                </w:pPr>
              </w:p>
            </w:tc>
            <w:tc>
              <w:tcPr>
                <w:tcW w:w="700" w:type="pct"/>
                <w:tcBorders>
                  <w:bottom w:val="single" w:sz="4" w:space="0" w:color="000000"/>
                </w:tcBorders>
                <w:hideMark/>
              </w:tcPr>
              <w:p w:rsidR="009969A0" w:rsidRDefault="009969A0" w:rsidP="009969A0">
                <w:pPr>
                  <w:keepNext/>
                  <w:keepLines/>
                  <w:spacing w:before="100" w:beforeAutospacing="1" w:after="100" w:afterAutospacing="1"/>
                  <w:rPr>
                    <w:rFonts w:eastAsiaTheme="minorEastAsia"/>
                    <w:sz w:val="16"/>
                    <w:szCs w:val="16"/>
                  </w:rPr>
                </w:pPr>
                <w:r>
                  <w:rPr>
                    <w:b/>
                    <w:bCs/>
                    <w:sz w:val="16"/>
                    <w:szCs w:val="16"/>
                  </w:rPr>
                  <w:t>Overweight</w:t>
                </w:r>
                <w:r>
                  <w:rPr>
                    <w:sz w:val="16"/>
                    <w:szCs w:val="16"/>
                  </w:rPr>
                  <w:br/>
                  <w:t>(buy)</w:t>
                </w:r>
              </w:p>
            </w:tc>
            <w:tc>
              <w:tcPr>
                <w:tcW w:w="700" w:type="pct"/>
                <w:tcBorders>
                  <w:bottom w:val="single" w:sz="4" w:space="0" w:color="000000"/>
                </w:tcBorders>
                <w:hideMark/>
              </w:tcPr>
              <w:p w:rsidR="009969A0" w:rsidRDefault="009969A0" w:rsidP="009969A0">
                <w:pPr>
                  <w:keepNext/>
                  <w:keepLines/>
                  <w:spacing w:before="100" w:beforeAutospacing="1" w:after="100" w:afterAutospacing="1"/>
                  <w:rPr>
                    <w:rFonts w:eastAsiaTheme="minorEastAsia"/>
                    <w:sz w:val="16"/>
                    <w:szCs w:val="16"/>
                  </w:rPr>
                </w:pPr>
                <w:r>
                  <w:rPr>
                    <w:b/>
                    <w:bCs/>
                    <w:sz w:val="16"/>
                    <w:szCs w:val="16"/>
                  </w:rPr>
                  <w:t>Neutral</w:t>
                </w:r>
                <w:r>
                  <w:rPr>
                    <w:sz w:val="16"/>
                    <w:szCs w:val="16"/>
                  </w:rPr>
                  <w:br/>
                  <w:t>(hold)</w:t>
                </w:r>
              </w:p>
            </w:tc>
            <w:tc>
              <w:tcPr>
                <w:tcW w:w="700" w:type="pct"/>
                <w:tcBorders>
                  <w:bottom w:val="single" w:sz="4" w:space="0" w:color="000000"/>
                </w:tcBorders>
                <w:hideMark/>
              </w:tcPr>
              <w:p w:rsidR="009969A0" w:rsidRDefault="009969A0" w:rsidP="009969A0">
                <w:pPr>
                  <w:keepNext/>
                  <w:keepLines/>
                  <w:spacing w:before="100" w:beforeAutospacing="1" w:after="100" w:afterAutospacing="1"/>
                  <w:rPr>
                    <w:rFonts w:eastAsiaTheme="minorEastAsia"/>
                    <w:sz w:val="16"/>
                    <w:szCs w:val="16"/>
                  </w:rPr>
                </w:pPr>
                <w:r>
                  <w:rPr>
                    <w:b/>
                    <w:bCs/>
                    <w:sz w:val="16"/>
                    <w:szCs w:val="16"/>
                  </w:rPr>
                  <w:t>Underweight</w:t>
                </w:r>
                <w:r>
                  <w:rPr>
                    <w:sz w:val="16"/>
                    <w:szCs w:val="16"/>
                  </w:rPr>
                  <w:br/>
                  <w:t>(sell)</w:t>
                </w:r>
              </w:p>
            </w:tc>
          </w:tr>
          <w:tr w:rsidR="009969A0">
            <w:trPr>
              <w:divId w:val="442651424"/>
            </w:trPr>
            <w:tc>
              <w:tcPr>
                <w:tcW w:w="0" w:type="auto"/>
                <w:tcBorders>
                  <w:top w:val="single" w:sz="4" w:space="0" w:color="000000"/>
                </w:tcBorders>
                <w:hideMark/>
              </w:tcPr>
              <w:p w:rsidR="009969A0" w:rsidRDefault="009969A0" w:rsidP="009969A0">
                <w:pPr>
                  <w:keepNext/>
                  <w:keepLines/>
                  <w:spacing w:before="100" w:beforeAutospacing="1" w:after="100" w:afterAutospacing="1"/>
                  <w:ind w:left="110"/>
                  <w:rPr>
                    <w:rFonts w:eastAsiaTheme="minorEastAsia"/>
                    <w:sz w:val="16"/>
                    <w:szCs w:val="16"/>
                  </w:rPr>
                </w:pPr>
                <w:r>
                  <w:rPr>
                    <w:sz w:val="16"/>
                    <w:szCs w:val="16"/>
                  </w:rPr>
                  <w:t>J.P. Morgan Global Equity Research Coverage</w:t>
                </w:r>
              </w:p>
            </w:tc>
            <w:tc>
              <w:tcPr>
                <w:tcW w:w="0" w:type="auto"/>
                <w:tcBorders>
                  <w:top w:val="single" w:sz="4" w:space="0" w:color="000000"/>
                </w:tcBorders>
                <w:hideMark/>
              </w:tcPr>
              <w:p w:rsidR="009969A0" w:rsidRDefault="009969A0" w:rsidP="009969A0">
                <w:pPr>
                  <w:keepNext/>
                  <w:keepLines/>
                  <w:spacing w:before="100" w:beforeAutospacing="1" w:after="100" w:afterAutospacing="1"/>
                  <w:rPr>
                    <w:rFonts w:eastAsiaTheme="minorEastAsia"/>
                    <w:sz w:val="16"/>
                    <w:szCs w:val="16"/>
                  </w:rPr>
                </w:pPr>
                <w:r>
                  <w:rPr>
                    <w:sz w:val="16"/>
                    <w:szCs w:val="16"/>
                  </w:rPr>
                  <w:t>45%</w:t>
                </w:r>
              </w:p>
            </w:tc>
            <w:tc>
              <w:tcPr>
                <w:tcW w:w="0" w:type="auto"/>
                <w:tcBorders>
                  <w:top w:val="single" w:sz="4" w:space="0" w:color="000000"/>
                </w:tcBorders>
                <w:hideMark/>
              </w:tcPr>
              <w:p w:rsidR="009969A0" w:rsidRDefault="009969A0" w:rsidP="009969A0">
                <w:pPr>
                  <w:keepNext/>
                  <w:keepLines/>
                  <w:spacing w:before="100" w:beforeAutospacing="1" w:after="100" w:afterAutospacing="1"/>
                  <w:rPr>
                    <w:rFonts w:eastAsiaTheme="minorEastAsia"/>
                    <w:sz w:val="16"/>
                    <w:szCs w:val="16"/>
                  </w:rPr>
                </w:pPr>
                <w:r>
                  <w:rPr>
                    <w:sz w:val="16"/>
                    <w:szCs w:val="16"/>
                  </w:rPr>
                  <w:t>43%</w:t>
                </w:r>
              </w:p>
            </w:tc>
            <w:tc>
              <w:tcPr>
                <w:tcW w:w="0" w:type="auto"/>
                <w:tcBorders>
                  <w:top w:val="single" w:sz="4" w:space="0" w:color="000000"/>
                </w:tcBorders>
                <w:hideMark/>
              </w:tcPr>
              <w:p w:rsidR="009969A0" w:rsidRDefault="009969A0" w:rsidP="009969A0">
                <w:pPr>
                  <w:keepNext/>
                  <w:keepLines/>
                  <w:spacing w:before="100" w:beforeAutospacing="1" w:after="100" w:afterAutospacing="1"/>
                  <w:rPr>
                    <w:rFonts w:eastAsiaTheme="minorEastAsia"/>
                    <w:sz w:val="16"/>
                    <w:szCs w:val="16"/>
                  </w:rPr>
                </w:pPr>
                <w:r>
                  <w:rPr>
                    <w:sz w:val="16"/>
                    <w:szCs w:val="16"/>
                  </w:rPr>
                  <w:t>11%</w:t>
                </w:r>
              </w:p>
            </w:tc>
          </w:tr>
          <w:tr w:rsidR="009969A0">
            <w:trPr>
              <w:divId w:val="442651424"/>
            </w:trPr>
            <w:tc>
              <w:tcPr>
                <w:tcW w:w="0" w:type="auto"/>
                <w:tcBorders>
                  <w:bottom w:val="single" w:sz="4" w:space="0" w:color="000000"/>
                </w:tcBorders>
                <w:hideMark/>
              </w:tcPr>
              <w:p w:rsidR="009969A0" w:rsidRDefault="009969A0" w:rsidP="009969A0">
                <w:pPr>
                  <w:keepNext/>
                  <w:keepLines/>
                  <w:spacing w:before="100" w:beforeAutospacing="1" w:after="100" w:afterAutospacing="1"/>
                  <w:ind w:left="110"/>
                  <w:rPr>
                    <w:rFonts w:eastAsiaTheme="minorEastAsia"/>
                    <w:sz w:val="16"/>
                    <w:szCs w:val="16"/>
                  </w:rPr>
                </w:pPr>
                <w:r>
                  <w:rPr>
                    <w:sz w:val="16"/>
                    <w:szCs w:val="16"/>
                  </w:rPr>
                  <w:t>    IB clients*</w:t>
                </w:r>
              </w:p>
            </w:tc>
            <w:tc>
              <w:tcPr>
                <w:tcW w:w="0" w:type="auto"/>
                <w:tcBorders>
                  <w:bottom w:val="single" w:sz="4" w:space="0" w:color="000000"/>
                </w:tcBorders>
                <w:hideMark/>
              </w:tcPr>
              <w:p w:rsidR="009969A0" w:rsidRDefault="009969A0" w:rsidP="009969A0">
                <w:pPr>
                  <w:keepNext/>
                  <w:keepLines/>
                  <w:spacing w:before="100" w:beforeAutospacing="1" w:after="100" w:afterAutospacing="1"/>
                  <w:rPr>
                    <w:rFonts w:eastAsiaTheme="minorEastAsia"/>
                    <w:sz w:val="16"/>
                    <w:szCs w:val="16"/>
                  </w:rPr>
                </w:pPr>
                <w:r>
                  <w:rPr>
                    <w:sz w:val="16"/>
                    <w:szCs w:val="16"/>
                  </w:rPr>
                  <w:t>55%</w:t>
                </w:r>
              </w:p>
            </w:tc>
            <w:tc>
              <w:tcPr>
                <w:tcW w:w="0" w:type="auto"/>
                <w:tcBorders>
                  <w:bottom w:val="single" w:sz="4" w:space="0" w:color="000000"/>
                </w:tcBorders>
                <w:hideMark/>
              </w:tcPr>
              <w:p w:rsidR="009969A0" w:rsidRDefault="009969A0" w:rsidP="009969A0">
                <w:pPr>
                  <w:keepNext/>
                  <w:keepLines/>
                  <w:spacing w:before="100" w:beforeAutospacing="1" w:after="100" w:afterAutospacing="1"/>
                  <w:rPr>
                    <w:rFonts w:eastAsiaTheme="minorEastAsia"/>
                    <w:sz w:val="16"/>
                    <w:szCs w:val="16"/>
                  </w:rPr>
                </w:pPr>
                <w:r>
                  <w:rPr>
                    <w:sz w:val="16"/>
                    <w:szCs w:val="16"/>
                  </w:rPr>
                  <w:t>49%</w:t>
                </w:r>
              </w:p>
            </w:tc>
            <w:tc>
              <w:tcPr>
                <w:tcW w:w="0" w:type="auto"/>
                <w:tcBorders>
                  <w:bottom w:val="single" w:sz="4" w:space="0" w:color="000000"/>
                </w:tcBorders>
                <w:hideMark/>
              </w:tcPr>
              <w:p w:rsidR="009969A0" w:rsidRDefault="009969A0" w:rsidP="009969A0">
                <w:pPr>
                  <w:keepNext/>
                  <w:keepLines/>
                  <w:spacing w:before="100" w:beforeAutospacing="1" w:after="100" w:afterAutospacing="1"/>
                  <w:rPr>
                    <w:rFonts w:eastAsiaTheme="minorEastAsia"/>
                    <w:sz w:val="16"/>
                    <w:szCs w:val="16"/>
                  </w:rPr>
                </w:pPr>
                <w:r>
                  <w:rPr>
                    <w:sz w:val="16"/>
                    <w:szCs w:val="16"/>
                  </w:rPr>
                  <w:t>34%</w:t>
                </w:r>
              </w:p>
            </w:tc>
          </w:tr>
          <w:tr w:rsidR="009969A0">
            <w:trPr>
              <w:divId w:val="442651424"/>
            </w:trPr>
            <w:tc>
              <w:tcPr>
                <w:tcW w:w="0" w:type="auto"/>
                <w:tcBorders>
                  <w:top w:val="single" w:sz="4" w:space="0" w:color="000000"/>
                </w:tcBorders>
                <w:hideMark/>
              </w:tcPr>
              <w:p w:rsidR="009969A0" w:rsidRDefault="009969A0" w:rsidP="009969A0">
                <w:pPr>
                  <w:keepNext/>
                  <w:keepLines/>
                  <w:spacing w:before="100" w:beforeAutospacing="1" w:after="100" w:afterAutospacing="1"/>
                  <w:ind w:left="110"/>
                  <w:rPr>
                    <w:rFonts w:eastAsiaTheme="minorEastAsia"/>
                    <w:sz w:val="16"/>
                    <w:szCs w:val="16"/>
                  </w:rPr>
                </w:pPr>
                <w:r>
                  <w:rPr>
                    <w:sz w:val="16"/>
                    <w:szCs w:val="16"/>
                  </w:rPr>
                  <w:t>JPMS Equity Research Coverage</w:t>
                </w:r>
              </w:p>
            </w:tc>
            <w:tc>
              <w:tcPr>
                <w:tcW w:w="0" w:type="auto"/>
                <w:tcBorders>
                  <w:top w:val="single" w:sz="4" w:space="0" w:color="000000"/>
                </w:tcBorders>
                <w:hideMark/>
              </w:tcPr>
              <w:p w:rsidR="009969A0" w:rsidRDefault="009969A0" w:rsidP="009969A0">
                <w:pPr>
                  <w:keepNext/>
                  <w:keepLines/>
                  <w:spacing w:before="100" w:beforeAutospacing="1" w:after="100" w:afterAutospacing="1"/>
                  <w:rPr>
                    <w:rFonts w:eastAsiaTheme="minorEastAsia"/>
                    <w:sz w:val="16"/>
                    <w:szCs w:val="16"/>
                  </w:rPr>
                </w:pPr>
                <w:r>
                  <w:rPr>
                    <w:sz w:val="16"/>
                    <w:szCs w:val="16"/>
                  </w:rPr>
                  <w:t>46%</w:t>
                </w:r>
              </w:p>
            </w:tc>
            <w:tc>
              <w:tcPr>
                <w:tcW w:w="0" w:type="auto"/>
                <w:tcBorders>
                  <w:top w:val="single" w:sz="4" w:space="0" w:color="000000"/>
                </w:tcBorders>
                <w:hideMark/>
              </w:tcPr>
              <w:p w:rsidR="009969A0" w:rsidRDefault="009969A0" w:rsidP="009969A0">
                <w:pPr>
                  <w:keepNext/>
                  <w:keepLines/>
                  <w:spacing w:before="100" w:beforeAutospacing="1" w:after="100" w:afterAutospacing="1"/>
                  <w:rPr>
                    <w:rFonts w:eastAsiaTheme="minorEastAsia"/>
                    <w:sz w:val="16"/>
                    <w:szCs w:val="16"/>
                  </w:rPr>
                </w:pPr>
                <w:r>
                  <w:rPr>
                    <w:sz w:val="16"/>
                    <w:szCs w:val="16"/>
                  </w:rPr>
                  <w:t>47%</w:t>
                </w:r>
              </w:p>
            </w:tc>
            <w:tc>
              <w:tcPr>
                <w:tcW w:w="0" w:type="auto"/>
                <w:tcBorders>
                  <w:top w:val="single" w:sz="4" w:space="0" w:color="000000"/>
                </w:tcBorders>
                <w:hideMark/>
              </w:tcPr>
              <w:p w:rsidR="009969A0" w:rsidRDefault="009969A0" w:rsidP="009969A0">
                <w:pPr>
                  <w:keepNext/>
                  <w:keepLines/>
                  <w:spacing w:before="100" w:beforeAutospacing="1" w:after="100" w:afterAutospacing="1"/>
                  <w:rPr>
                    <w:rFonts w:eastAsiaTheme="minorEastAsia"/>
                    <w:sz w:val="16"/>
                    <w:szCs w:val="16"/>
                  </w:rPr>
                </w:pPr>
                <w:r>
                  <w:rPr>
                    <w:sz w:val="16"/>
                    <w:szCs w:val="16"/>
                  </w:rPr>
                  <w:t>7%</w:t>
                </w:r>
              </w:p>
            </w:tc>
          </w:tr>
          <w:tr w:rsidR="009969A0">
            <w:trPr>
              <w:divId w:val="442651424"/>
            </w:trPr>
            <w:tc>
              <w:tcPr>
                <w:tcW w:w="0" w:type="auto"/>
                <w:tcBorders>
                  <w:bottom w:val="single" w:sz="4" w:space="0" w:color="000000"/>
                </w:tcBorders>
                <w:hideMark/>
              </w:tcPr>
              <w:p w:rsidR="009969A0" w:rsidRDefault="009969A0" w:rsidP="009969A0">
                <w:pPr>
                  <w:keepNext/>
                  <w:keepLines/>
                  <w:spacing w:before="100" w:beforeAutospacing="1" w:after="100" w:afterAutospacing="1"/>
                  <w:ind w:left="110"/>
                  <w:rPr>
                    <w:rFonts w:eastAsiaTheme="minorEastAsia"/>
                    <w:sz w:val="16"/>
                    <w:szCs w:val="16"/>
                  </w:rPr>
                </w:pPr>
                <w:r>
                  <w:rPr>
                    <w:sz w:val="16"/>
                    <w:szCs w:val="16"/>
                  </w:rPr>
                  <w:t>    IB clients*</w:t>
                </w:r>
              </w:p>
            </w:tc>
            <w:tc>
              <w:tcPr>
                <w:tcW w:w="0" w:type="auto"/>
                <w:tcBorders>
                  <w:bottom w:val="single" w:sz="4" w:space="0" w:color="000000"/>
                </w:tcBorders>
                <w:hideMark/>
              </w:tcPr>
              <w:p w:rsidR="009969A0" w:rsidRDefault="009969A0" w:rsidP="009969A0">
                <w:pPr>
                  <w:keepNext/>
                  <w:keepLines/>
                  <w:spacing w:before="100" w:beforeAutospacing="1" w:after="100" w:afterAutospacing="1"/>
                  <w:rPr>
                    <w:rFonts w:eastAsiaTheme="minorEastAsia"/>
                    <w:sz w:val="16"/>
                    <w:szCs w:val="16"/>
                  </w:rPr>
                </w:pPr>
                <w:r>
                  <w:rPr>
                    <w:sz w:val="16"/>
                    <w:szCs w:val="16"/>
                  </w:rPr>
                  <w:t>75%</w:t>
                </w:r>
              </w:p>
            </w:tc>
            <w:tc>
              <w:tcPr>
                <w:tcW w:w="0" w:type="auto"/>
                <w:tcBorders>
                  <w:bottom w:val="single" w:sz="4" w:space="0" w:color="000000"/>
                </w:tcBorders>
                <w:hideMark/>
              </w:tcPr>
              <w:p w:rsidR="009969A0" w:rsidRDefault="009969A0" w:rsidP="009969A0">
                <w:pPr>
                  <w:keepNext/>
                  <w:keepLines/>
                  <w:spacing w:before="100" w:beforeAutospacing="1" w:after="100" w:afterAutospacing="1"/>
                  <w:rPr>
                    <w:rFonts w:eastAsiaTheme="minorEastAsia"/>
                    <w:sz w:val="16"/>
                    <w:szCs w:val="16"/>
                  </w:rPr>
                </w:pPr>
                <w:r>
                  <w:rPr>
                    <w:sz w:val="16"/>
                    <w:szCs w:val="16"/>
                  </w:rPr>
                  <w:t>66%</w:t>
                </w:r>
              </w:p>
            </w:tc>
            <w:tc>
              <w:tcPr>
                <w:tcW w:w="0" w:type="auto"/>
                <w:tcBorders>
                  <w:bottom w:val="single" w:sz="4" w:space="0" w:color="000000"/>
                </w:tcBorders>
                <w:hideMark/>
              </w:tcPr>
              <w:p w:rsidR="009969A0" w:rsidRDefault="009969A0" w:rsidP="009969A0">
                <w:pPr>
                  <w:keepNext/>
                  <w:keepLines/>
                  <w:spacing w:before="100" w:beforeAutospacing="1" w:after="100" w:afterAutospacing="1"/>
                  <w:rPr>
                    <w:rFonts w:eastAsiaTheme="minorEastAsia"/>
                    <w:sz w:val="16"/>
                    <w:szCs w:val="16"/>
                  </w:rPr>
                </w:pPr>
                <w:r>
                  <w:rPr>
                    <w:sz w:val="16"/>
                    <w:szCs w:val="16"/>
                  </w:rPr>
                  <w:t>54%</w:t>
                </w:r>
              </w:p>
            </w:tc>
          </w:tr>
        </w:tbl>
        <w:p w:rsidR="009969A0" w:rsidRDefault="009969A0" w:rsidP="009969A0">
          <w:pPr>
            <w:keepLines/>
            <w:spacing w:before="78" w:after="78"/>
            <w:ind w:left="78" w:right="78"/>
            <w:divId w:val="442651424"/>
            <w:rPr>
              <w:rFonts w:eastAsiaTheme="minorEastAsia"/>
              <w:sz w:val="16"/>
              <w:szCs w:val="16"/>
            </w:rPr>
          </w:pPr>
          <w:r>
            <w:rPr>
              <w:sz w:val="16"/>
              <w:szCs w:val="16"/>
            </w:rPr>
            <w:t>*Percentage of investment banking clients in each rating category.</w:t>
          </w:r>
          <w:r>
            <w:rPr>
              <w:sz w:val="16"/>
              <w:szCs w:val="16"/>
            </w:rPr>
            <w:br/>
            <w:t>For purposes only of FINRA/NYSE ratings distribution rules, our Overweight rating falls into a buy rating category; our Neutral rating falls into a hold rating category; and our Underweight rating falls into a sell rating category. Please note that stocks with an NR designation are not included in the table above.</w:t>
          </w:r>
          <w:r>
            <w:rPr>
              <w:sz w:val="16"/>
              <w:szCs w:val="16"/>
            </w:rPr>
            <w:br/>
          </w:r>
        </w:p>
        <w:p w:rsidR="009969A0" w:rsidRDefault="009969A0">
          <w:pPr>
            <w:divId w:val="2011563524"/>
            <w:rPr>
              <w:rFonts w:eastAsia="Times New Roman"/>
              <w:sz w:val="12"/>
              <w:szCs w:val="12"/>
            </w:rPr>
          </w:pPr>
        </w:p>
        <w:p w:rsidR="009969A0" w:rsidRDefault="009969A0">
          <w:pPr>
            <w:divId w:val="442651424"/>
            <w:rPr>
              <w:rFonts w:eastAsia="Times New Roman"/>
              <w:sz w:val="18"/>
              <w:szCs w:val="18"/>
            </w:rPr>
          </w:pPr>
          <w:r>
            <w:rPr>
              <w:rFonts w:eastAsia="Times New Roman"/>
              <w:b/>
              <w:bCs/>
              <w:sz w:val="18"/>
              <w:szCs w:val="18"/>
            </w:rPr>
            <w:t xml:space="preserve">Equity Valuation and Risks: </w:t>
          </w:r>
          <w:r>
            <w:rPr>
              <w:rFonts w:eastAsia="Times New Roman"/>
              <w:sz w:val="18"/>
              <w:szCs w:val="18"/>
            </w:rPr>
            <w:t xml:space="preserve">For valuation methodology and risks associated with covered companies or price targets for covered companies, please see the most recent company-specific research report at </w:t>
          </w:r>
          <w:hyperlink r:id="rId93" w:history="1">
            <w:r>
              <w:rPr>
                <w:rStyle w:val="Hyperlink"/>
                <w:rFonts w:eastAsia="Times New Roman"/>
                <w:sz w:val="18"/>
                <w:szCs w:val="18"/>
              </w:rPr>
              <w:t>http://www.jpmorganmarkets.com</w:t>
            </w:r>
          </w:hyperlink>
          <w:r>
            <w:rPr>
              <w:rFonts w:eastAsia="Times New Roman"/>
              <w:sz w:val="18"/>
              <w:szCs w:val="18"/>
            </w:rPr>
            <w:t xml:space="preserve">, contact the primary analyst or your J.P. Morgan representative, or email </w:t>
          </w:r>
          <w:hyperlink r:id="rId94" w:history="1">
            <w:r>
              <w:rPr>
                <w:rStyle w:val="Hyperlink"/>
                <w:rFonts w:eastAsia="Times New Roman"/>
                <w:sz w:val="18"/>
                <w:szCs w:val="18"/>
              </w:rPr>
              <w:t>research.disclosure.inquiries@jpmorgan.com</w:t>
            </w:r>
          </w:hyperlink>
          <w:r>
            <w:rPr>
              <w:rFonts w:eastAsia="Times New Roman"/>
              <w:sz w:val="18"/>
              <w:szCs w:val="18"/>
            </w:rPr>
            <w:t>.</w:t>
          </w:r>
        </w:p>
        <w:p w:rsidR="009969A0" w:rsidRDefault="009969A0">
          <w:pPr>
            <w:divId w:val="1045444296"/>
            <w:rPr>
              <w:rFonts w:eastAsia="Times New Roman"/>
              <w:sz w:val="12"/>
              <w:szCs w:val="12"/>
            </w:rPr>
          </w:pPr>
        </w:p>
        <w:p w:rsidR="009969A0" w:rsidRDefault="009969A0">
          <w:pPr>
            <w:divId w:val="442651424"/>
            <w:rPr>
              <w:rFonts w:eastAsia="Times New Roman"/>
              <w:sz w:val="18"/>
              <w:szCs w:val="18"/>
            </w:rPr>
          </w:pPr>
          <w:r>
            <w:rPr>
              <w:rFonts w:eastAsia="Times New Roman"/>
              <w:b/>
              <w:bCs/>
              <w:sz w:val="18"/>
              <w:szCs w:val="18"/>
            </w:rPr>
            <w:t>Equity Analysts' Compensation:</w:t>
          </w:r>
          <w:r>
            <w:rPr>
              <w:rFonts w:ascii="Arial" w:eastAsia="Times New Roman" w:hAnsi="Arial" w:cs="Arial"/>
              <w:sz w:val="16"/>
              <w:szCs w:val="16"/>
            </w:rPr>
            <w:t xml:space="preserve"> </w:t>
          </w:r>
          <w:r>
            <w:rPr>
              <w:rFonts w:eastAsia="Times New Roman"/>
              <w:sz w:val="18"/>
              <w:szCs w:val="18"/>
            </w:rPr>
            <w:t xml:space="preserve">The equity research analysts responsible for the preparation of this report receive compensation based upon various factors, including the quality and accuracy of research, client feedback, competitive factors, and overall firm revenues. </w:t>
          </w:r>
        </w:p>
        <w:p w:rsidR="009969A0" w:rsidRDefault="009969A0">
          <w:pPr>
            <w:divId w:val="737169752"/>
            <w:rPr>
              <w:rFonts w:eastAsia="Times New Roman"/>
              <w:sz w:val="12"/>
              <w:szCs w:val="12"/>
            </w:rPr>
          </w:pPr>
        </w:p>
        <w:p w:rsidR="009969A0" w:rsidRDefault="009969A0">
          <w:pPr>
            <w:divId w:val="442651424"/>
            <w:rPr>
              <w:rFonts w:eastAsia="Times New Roman"/>
              <w:sz w:val="20"/>
              <w:szCs w:val="20"/>
            </w:rPr>
          </w:pPr>
          <w:r>
            <w:rPr>
              <w:rFonts w:eastAsia="Times New Roman"/>
              <w:b/>
              <w:bCs/>
              <w:sz w:val="18"/>
              <w:szCs w:val="18"/>
            </w:rPr>
            <w:t xml:space="preserve">Registration of non-US Analysts: </w:t>
          </w:r>
          <w:r>
            <w:rPr>
              <w:rFonts w:eastAsia="Times New Roman"/>
              <w:sz w:val="18"/>
              <w:szCs w:val="18"/>
            </w:rPr>
            <w:t>Unless otherwise noted, the non-US analysts listed on the front of this report are employees of non-US affiliates of JPMS, are not registered/qualified as research analysts under NASD/NYSE rules, may not be associated persons of JPMS, and may not be subject to FINRA Rule 2711 and NYSE Rule 472 restrictions on communications with covered companies, public appearances, and trading securities held by a research analyst account.</w:t>
          </w:r>
        </w:p>
        <w:p w:rsidR="009969A0" w:rsidRDefault="009969A0">
          <w:pPr>
            <w:divId w:val="1077241286"/>
            <w:rPr>
              <w:rFonts w:eastAsia="Times New Roman"/>
              <w:sz w:val="12"/>
              <w:szCs w:val="12"/>
            </w:rPr>
          </w:pPr>
        </w:p>
        <w:p w:rsidR="009969A0" w:rsidRDefault="009969A0" w:rsidP="009969A0">
          <w:pPr>
            <w:divId w:val="442651424"/>
            <w:rPr>
              <w:rFonts w:eastAsia="Times New Roman"/>
              <w:sz w:val="20"/>
              <w:szCs w:val="20"/>
            </w:rPr>
          </w:pPr>
          <w:r>
            <w:rPr>
              <w:rFonts w:eastAsia="Times New Roman"/>
              <w:b/>
              <w:bCs/>
              <w:sz w:val="20"/>
              <w:szCs w:val="20"/>
            </w:rPr>
            <w:t xml:space="preserve">Other Disclosures </w:t>
          </w:r>
        </w:p>
        <w:p w:rsidR="009969A0" w:rsidRDefault="009969A0" w:rsidP="009969A0">
          <w:pPr>
            <w:spacing w:line="100" w:lineRule="auto"/>
            <w:divId w:val="442651424"/>
            <w:rPr>
              <w:rFonts w:eastAsia="Times New Roman"/>
              <w:sz w:val="20"/>
              <w:szCs w:val="20"/>
            </w:rPr>
          </w:pPr>
          <w:r>
            <w:rPr>
              <w:rFonts w:eastAsia="Times New Roman"/>
              <w:sz w:val="20"/>
              <w:szCs w:val="20"/>
            </w:rPr>
            <w:pict>
              <v:rect id="_x0000_i1032" style="width:0;height:.8pt" o:hralign="center" o:hrstd="t" o:hrnoshade="t" o:hr="t" fillcolor="black" stroked="f"/>
            </w:pict>
          </w:r>
        </w:p>
        <w:p w:rsidR="009969A0" w:rsidRDefault="009969A0" w:rsidP="009969A0">
          <w:pPr>
            <w:divId w:val="442651424"/>
            <w:rPr>
              <w:rFonts w:eastAsia="Times New Roman"/>
              <w:sz w:val="16"/>
              <w:szCs w:val="16"/>
            </w:rPr>
          </w:pPr>
          <w:r>
            <w:rPr>
              <w:rFonts w:eastAsia="Times New Roman"/>
              <w:sz w:val="16"/>
              <w:szCs w:val="16"/>
            </w:rPr>
            <w:t xml:space="preserve">J.P. Morgan ("JPM") is the global brand name for J.P. Morgan Securities LLC ("JPMS") and its affiliates worldwide. J.P. Morgan Cazenove is a marketing name for the U.K. investment banking businesses and EMEA cash equities and equity research businesses of JPMorgan Chase &amp; Co. and its subsidiaries. </w:t>
          </w:r>
        </w:p>
        <w:p w:rsidR="009969A0" w:rsidRDefault="009969A0">
          <w:pPr>
            <w:divId w:val="46151706"/>
            <w:rPr>
              <w:rFonts w:eastAsia="Times New Roman"/>
              <w:sz w:val="12"/>
              <w:szCs w:val="12"/>
            </w:rPr>
          </w:pPr>
        </w:p>
        <w:p w:rsidR="009969A0" w:rsidRDefault="009969A0">
          <w:pPr>
            <w:divId w:val="442651424"/>
            <w:rPr>
              <w:rFonts w:eastAsia="Times New Roman"/>
              <w:sz w:val="16"/>
              <w:szCs w:val="16"/>
            </w:rPr>
          </w:pPr>
          <w:r>
            <w:rPr>
              <w:rFonts w:eastAsia="Times New Roman"/>
              <w:sz w:val="16"/>
              <w:szCs w:val="16"/>
            </w:rPr>
            <w:lastRenderedPageBreak/>
            <w:t>All research reports made available to clients are simultaneously available on our client website, J.P. Morgan Markets. Not all research content is redistributed, e-mailed or made available to third-party aggregators. For all research reports available on a particular stock, please contact your sales representative.</w:t>
          </w:r>
        </w:p>
        <w:p w:rsidR="009969A0" w:rsidRDefault="009969A0">
          <w:pPr>
            <w:divId w:val="1468931541"/>
            <w:rPr>
              <w:rFonts w:eastAsia="Times New Roman"/>
              <w:sz w:val="12"/>
              <w:szCs w:val="12"/>
            </w:rPr>
          </w:pPr>
        </w:p>
        <w:p w:rsidR="009969A0" w:rsidRDefault="009969A0">
          <w:pPr>
            <w:divId w:val="399835475"/>
            <w:rPr>
              <w:rFonts w:eastAsia="Times New Roman"/>
              <w:sz w:val="12"/>
              <w:szCs w:val="12"/>
            </w:rPr>
          </w:pPr>
        </w:p>
        <w:p w:rsidR="009969A0" w:rsidRDefault="009969A0">
          <w:pPr>
            <w:divId w:val="442651424"/>
            <w:rPr>
              <w:rFonts w:eastAsia="Times New Roman"/>
              <w:sz w:val="16"/>
              <w:szCs w:val="16"/>
            </w:rPr>
          </w:pPr>
          <w:r>
            <w:rPr>
              <w:rFonts w:eastAsia="Times New Roman"/>
              <w:b/>
              <w:bCs/>
              <w:sz w:val="16"/>
              <w:szCs w:val="16"/>
            </w:rPr>
            <w:t>Options related research:</w:t>
          </w:r>
          <w:r>
            <w:rPr>
              <w:rFonts w:eastAsia="Times New Roman"/>
              <w:sz w:val="16"/>
              <w:szCs w:val="16"/>
            </w:rPr>
            <w:t xml:space="preserve"> If the information contained herein regards options related research, such information is available only to persons who have received the proper option risk disclosure documents. For a copy of the Option Clearing Corporation's Characteristics and Risks of Standardized Options, please contact your J.P. Morgan Representative or visit the OCC's website at </w:t>
          </w:r>
          <w:hyperlink r:id="rId95" w:history="1">
            <w:r>
              <w:rPr>
                <w:rStyle w:val="Hyperlink"/>
                <w:rFonts w:eastAsia="Times New Roman"/>
                <w:sz w:val="16"/>
                <w:szCs w:val="16"/>
              </w:rPr>
              <w:t xml:space="preserve">http://www.optionsclearing.com/publications/risks/riskstoc.pdf </w:t>
            </w:r>
          </w:hyperlink>
        </w:p>
        <w:p w:rsidR="009969A0" w:rsidRDefault="009969A0">
          <w:pPr>
            <w:divId w:val="1385905998"/>
            <w:rPr>
              <w:rFonts w:eastAsia="Times New Roman"/>
              <w:sz w:val="12"/>
              <w:szCs w:val="12"/>
            </w:rPr>
          </w:pPr>
        </w:p>
        <w:p w:rsidR="009969A0" w:rsidRDefault="009969A0">
          <w:pPr>
            <w:divId w:val="442651424"/>
            <w:rPr>
              <w:rFonts w:eastAsia="Times New Roman"/>
              <w:b/>
              <w:bCs/>
              <w:sz w:val="16"/>
              <w:szCs w:val="16"/>
            </w:rPr>
          </w:pPr>
          <w:r>
            <w:rPr>
              <w:rFonts w:eastAsia="Times New Roman"/>
              <w:b/>
              <w:bCs/>
              <w:sz w:val="16"/>
              <w:szCs w:val="16"/>
            </w:rPr>
            <w:t xml:space="preserve">Legal Entities Disclosures </w:t>
          </w:r>
          <w:r>
            <w:rPr>
              <w:rFonts w:eastAsia="Times New Roman"/>
              <w:b/>
              <w:bCs/>
              <w:sz w:val="16"/>
              <w:szCs w:val="16"/>
            </w:rPr>
            <w:br/>
            <w:t>U.S</w:t>
          </w:r>
          <w:r>
            <w:rPr>
              <w:rFonts w:eastAsia="Times New Roman"/>
              <w:sz w:val="16"/>
              <w:szCs w:val="16"/>
            </w:rPr>
            <w:t xml:space="preserve">.: JPMS is a member of NYSE, FINRA, SIPC and the NFA. JPMorgan Chase Bank, N.A. is a member of FDIC. </w:t>
          </w:r>
          <w:r>
            <w:rPr>
              <w:rFonts w:eastAsia="Times New Roman"/>
              <w:b/>
              <w:bCs/>
              <w:sz w:val="16"/>
              <w:szCs w:val="16"/>
            </w:rPr>
            <w:t>U.K</w:t>
          </w:r>
          <w:r>
            <w:rPr>
              <w:rFonts w:eastAsia="Times New Roman"/>
              <w:sz w:val="16"/>
              <w:szCs w:val="16"/>
            </w:rPr>
            <w:t xml:space="preserve">.: JPMorgan Chase N.A., London Branch, is authorised by the Prudential Regulation Authority and is subject to regulation by the Financial Conduct Authority and to limited regulation by the Prudential Regulation Authority. Details about the extent of our regulation by the Prudential Regulation Authority are available from J.P. Morgan on request. J.P. Morgan Securities plc (JPMS plc) is a member of the London Stock Exchange and is authorised by the Prudential Regulation Authority and regulated by the Financial Conduct Authority and the Prudential Regulation Authority. Registered in England &amp; Wales No. 2711006. Registered Office 25 Bank Street, London, E14 5JP. </w:t>
          </w:r>
          <w:r>
            <w:rPr>
              <w:rFonts w:eastAsia="Times New Roman"/>
              <w:b/>
              <w:bCs/>
              <w:sz w:val="16"/>
              <w:szCs w:val="16"/>
            </w:rPr>
            <w:t>South Africa</w:t>
          </w:r>
          <w:r>
            <w:rPr>
              <w:rFonts w:eastAsia="Times New Roman"/>
              <w:sz w:val="16"/>
              <w:szCs w:val="16"/>
            </w:rPr>
            <w:t xml:space="preserve">: J.P. Morgan Equities South Africa Proprietary Limited is a member of the Johannesburg Securities Exchange and is regulated by the Financial Services Board. </w:t>
          </w:r>
          <w:r>
            <w:rPr>
              <w:rFonts w:eastAsia="Times New Roman"/>
              <w:b/>
              <w:bCs/>
              <w:sz w:val="16"/>
              <w:szCs w:val="16"/>
            </w:rPr>
            <w:t>Hong Kong</w:t>
          </w:r>
          <w:r>
            <w:rPr>
              <w:rFonts w:eastAsia="Times New Roman"/>
              <w:sz w:val="16"/>
              <w:szCs w:val="16"/>
            </w:rPr>
            <w:t xml:space="preserve">: J.P. Morgan Securities (Asia Pacific) Limited (CE number AAJ321) is regulated by the Hong Kong Monetary Authority and the Securities and Futures Commission in Hong Kong and/or J.P. Morgan Broking (Hong Kong) Limited (CE number AAB027) is regulated by the Securities and Futures Commission in Hong Kong. </w:t>
          </w:r>
          <w:r>
            <w:rPr>
              <w:rFonts w:eastAsia="Times New Roman"/>
              <w:b/>
              <w:bCs/>
              <w:sz w:val="16"/>
              <w:szCs w:val="16"/>
            </w:rPr>
            <w:t>Korea</w:t>
          </w:r>
          <w:r>
            <w:rPr>
              <w:rFonts w:eastAsia="Times New Roman"/>
              <w:sz w:val="16"/>
              <w:szCs w:val="16"/>
            </w:rPr>
            <w:t xml:space="preserve">: J.P. Morgan Securities (Far East) Ltd, Seoul Branch, is regulated by the Korea Financial Supervisory Service. </w:t>
          </w:r>
          <w:r>
            <w:rPr>
              <w:rFonts w:eastAsia="Times New Roman"/>
              <w:b/>
              <w:bCs/>
              <w:sz w:val="16"/>
              <w:szCs w:val="16"/>
            </w:rPr>
            <w:t>Australia</w:t>
          </w:r>
          <w:r>
            <w:rPr>
              <w:rFonts w:eastAsia="Times New Roman"/>
              <w:sz w:val="16"/>
              <w:szCs w:val="16"/>
            </w:rPr>
            <w:t xml:space="preserve">: J.P. Morgan Australia Limited (JPMAL) (ABN 52 002 888 011/AFS Licence No: 238188) is regulated by ASIC and J.P. Morgan Securities Australia Limited (JPMSAL) (ABN 61 003 245 234/AFS Licence No: 238066) is regulated by ASIC and is a Market, Clearing and Settlement Participant of ASX Limited and CHI-X. </w:t>
          </w:r>
          <w:r>
            <w:rPr>
              <w:rFonts w:eastAsia="Times New Roman"/>
              <w:b/>
              <w:bCs/>
              <w:sz w:val="16"/>
              <w:szCs w:val="16"/>
            </w:rPr>
            <w:t>Taiwan</w:t>
          </w:r>
          <w:r>
            <w:rPr>
              <w:rFonts w:eastAsia="Times New Roman"/>
              <w:sz w:val="16"/>
              <w:szCs w:val="16"/>
            </w:rPr>
            <w:t xml:space="preserve">: J.P.Morgan Securities (Taiwan) Limited is a participant of the Taiwan Stock Exchange (company-type) and regulated by the Taiwan Securities and Futures Bureau. </w:t>
          </w:r>
          <w:r>
            <w:rPr>
              <w:rFonts w:eastAsia="Times New Roman"/>
              <w:b/>
              <w:bCs/>
              <w:sz w:val="16"/>
              <w:szCs w:val="16"/>
            </w:rPr>
            <w:t xml:space="preserve">India: </w:t>
          </w:r>
          <w:r>
            <w:rPr>
              <w:rFonts w:eastAsia="Times New Roman"/>
              <w:sz w:val="16"/>
              <w:szCs w:val="16"/>
            </w:rPr>
            <w:t xml:space="preserve">J.P. Morgan India Private Limited (Corporate Identity Number - U67120MH1992FTC068724), having its registered office at J.P. Morgan Tower, Off. C.S.T. Road, Kalina, Santacruz - East, Mumbai – 400098, is a member of the National Stock Exchange of India Limited (SEBI Registration Number - INB 230675231/INF 230675231/INE 230675231) and Bombay Stock Exchange Limited (SEBI Registration Number - INB 010675237/INF 010675237) and is regulated by Securities and Exchange Board of India. Telephone: 91-22-6157 3000, Facsimile: 91-22-6157 3990 and Website: </w:t>
          </w:r>
          <w:hyperlink r:id="rId96" w:history="1">
            <w:r>
              <w:rPr>
                <w:rStyle w:val="Hyperlink"/>
                <w:rFonts w:eastAsia="Times New Roman"/>
                <w:sz w:val="16"/>
                <w:szCs w:val="16"/>
              </w:rPr>
              <w:t>www.jpmipl.com</w:t>
            </w:r>
          </w:hyperlink>
          <w:r>
            <w:rPr>
              <w:rFonts w:eastAsia="Times New Roman"/>
              <w:sz w:val="16"/>
              <w:szCs w:val="16"/>
            </w:rPr>
            <w:t xml:space="preserve">. For non local research reports, this material is not distributed in India by J.P. Morgan India Private Limited. </w:t>
          </w:r>
          <w:r>
            <w:rPr>
              <w:rFonts w:eastAsia="Times New Roman"/>
              <w:b/>
              <w:bCs/>
              <w:sz w:val="16"/>
              <w:szCs w:val="16"/>
            </w:rPr>
            <w:t>Thailand</w:t>
          </w:r>
          <w:r>
            <w:rPr>
              <w:rFonts w:eastAsia="Times New Roman"/>
              <w:sz w:val="16"/>
              <w:szCs w:val="16"/>
            </w:rPr>
            <w:t xml:space="preserve">: This material is issued and distributed in Thailand by JPMorgan Securities (Thailand) Ltd., which is a member of the Stock Exchange of Thailand and is regulated by the Ministry of Finance and the Securities and Exchange Commission and its registered address is 3rd Floor, 20 North Sathorn Road, Silom, Bangrak, Bangkok 10500. </w:t>
          </w:r>
          <w:r>
            <w:rPr>
              <w:rFonts w:eastAsia="Times New Roman"/>
              <w:b/>
              <w:bCs/>
              <w:sz w:val="16"/>
              <w:szCs w:val="16"/>
            </w:rPr>
            <w:t>Indonesia</w:t>
          </w:r>
          <w:r>
            <w:rPr>
              <w:rFonts w:eastAsia="Times New Roman"/>
              <w:sz w:val="16"/>
              <w:szCs w:val="16"/>
            </w:rPr>
            <w:t xml:space="preserve">: PT J.P. Morgan Securities Indonesia is a member of the Indonesia Stock Exchange and is regulated by the OJK a.k.a. BAPEPAM LK. </w:t>
          </w:r>
          <w:r>
            <w:rPr>
              <w:rFonts w:eastAsia="Times New Roman"/>
              <w:b/>
              <w:bCs/>
              <w:sz w:val="16"/>
              <w:szCs w:val="16"/>
            </w:rPr>
            <w:t>Philippines</w:t>
          </w:r>
          <w:r>
            <w:rPr>
              <w:rFonts w:eastAsia="Times New Roman"/>
              <w:sz w:val="16"/>
              <w:szCs w:val="16"/>
            </w:rPr>
            <w:t xml:space="preserve">: J.P. Morgan Securities Philippines Inc. is a Trading Participant of the Philippine Stock Exchange and a member of the Securities Clearing Corporation of the Philippines and the Securities Investor Protection Fund. It is regulated by the Securities and Exchange Commission. </w:t>
          </w:r>
          <w:r>
            <w:rPr>
              <w:rFonts w:eastAsia="Times New Roman"/>
              <w:b/>
              <w:bCs/>
              <w:sz w:val="16"/>
              <w:szCs w:val="16"/>
            </w:rPr>
            <w:t>Brazil</w:t>
          </w:r>
          <w:r>
            <w:rPr>
              <w:rFonts w:eastAsia="Times New Roman"/>
              <w:sz w:val="16"/>
              <w:szCs w:val="16"/>
            </w:rPr>
            <w:t xml:space="preserve">: Banco J.P. Morgan S.A. is regulated by the Comissao de Valores Mobiliarios (CVM) and by the Central Bank of Brazil. </w:t>
          </w:r>
          <w:r>
            <w:rPr>
              <w:rFonts w:eastAsia="Times New Roman"/>
              <w:b/>
              <w:bCs/>
              <w:sz w:val="16"/>
              <w:szCs w:val="16"/>
            </w:rPr>
            <w:t>Mexico</w:t>
          </w:r>
          <w:r>
            <w:rPr>
              <w:rFonts w:eastAsia="Times New Roman"/>
              <w:sz w:val="16"/>
              <w:szCs w:val="16"/>
            </w:rPr>
            <w:t xml:space="preserve">: J.P. Morgan Casa de Bolsa, S.A. de C.V., J.P. Morgan Grupo Financiero is a member of the Mexican Stock Exchange and authorized to act as a broker dealer by the National Banking and Securities Exchange Commission. </w:t>
          </w:r>
          <w:r>
            <w:rPr>
              <w:rFonts w:eastAsia="Times New Roman"/>
              <w:b/>
              <w:bCs/>
              <w:sz w:val="16"/>
              <w:szCs w:val="16"/>
            </w:rPr>
            <w:t>Singapore</w:t>
          </w:r>
          <w:r>
            <w:rPr>
              <w:rFonts w:eastAsia="Times New Roman"/>
              <w:sz w:val="16"/>
              <w:szCs w:val="16"/>
            </w:rPr>
            <w:t xml:space="preserve">: This material is issued and distributed in Singapore by or through J.P. Morgan Securities Singapore Private Limited (JPMSS) [MCI (P) 199/03/2014 and Co. Reg. No.: 199405335R] which is a member of the Singapore Exchange Securities Trading Limited and is regulated by the Monetary Authority of Singapore (MAS) and/or JPMorgan Chase Bank, N.A., Singapore branch (JPMCB Singapore) which is regulated by the MAS. This material is provided in Singapore only to accredited investors, expert investors and institutional investors, as defined in Section 4A of the Securities and Futures Act, Cap. 289. Recipients of this document are to contact JPMSS or JPMCB Singapore in respect of any matters arising from, or in connection with, the document. </w:t>
          </w:r>
          <w:r>
            <w:rPr>
              <w:rFonts w:eastAsia="Times New Roman"/>
              <w:b/>
              <w:bCs/>
              <w:sz w:val="16"/>
              <w:szCs w:val="16"/>
            </w:rPr>
            <w:t>Japan</w:t>
          </w:r>
          <w:r>
            <w:rPr>
              <w:rFonts w:eastAsia="Times New Roman"/>
              <w:sz w:val="16"/>
              <w:szCs w:val="16"/>
            </w:rPr>
            <w:t xml:space="preserve">: JPMorgan Securities Japan Co., Ltd. is regulated by the Financial Services Agency in Japan. </w:t>
          </w:r>
          <w:r>
            <w:rPr>
              <w:rFonts w:eastAsia="Times New Roman"/>
              <w:b/>
              <w:bCs/>
              <w:sz w:val="16"/>
              <w:szCs w:val="16"/>
            </w:rPr>
            <w:t>Malaysia</w:t>
          </w:r>
          <w:r>
            <w:rPr>
              <w:rFonts w:eastAsia="Times New Roman"/>
              <w:sz w:val="16"/>
              <w:szCs w:val="16"/>
            </w:rPr>
            <w:t xml:space="preserve">: This material is issued and distributed in Malaysia by JPMorgan Securities (Malaysia) Sdn Bhd (18146-X) which is a Participating Organization of Bursa Malaysia Berhad and a holder of Capital Markets Services License issued by the Securities Commission in Malaysia. </w:t>
          </w:r>
          <w:r>
            <w:rPr>
              <w:rFonts w:eastAsia="Times New Roman"/>
              <w:b/>
              <w:bCs/>
              <w:sz w:val="16"/>
              <w:szCs w:val="16"/>
            </w:rPr>
            <w:t>Pakistan</w:t>
          </w:r>
          <w:r>
            <w:rPr>
              <w:rFonts w:eastAsia="Times New Roman"/>
              <w:sz w:val="16"/>
              <w:szCs w:val="16"/>
            </w:rPr>
            <w:t xml:space="preserve">: J. P. Morgan Pakistan Broking (Pvt.) Ltd is a member of the Karachi Stock Exchange and regulated by the Securities and Exchange Commission of Pakistan. </w:t>
          </w:r>
          <w:r>
            <w:rPr>
              <w:rFonts w:eastAsia="Times New Roman"/>
              <w:b/>
              <w:bCs/>
              <w:sz w:val="16"/>
              <w:szCs w:val="16"/>
            </w:rPr>
            <w:t>Saudi Arabia</w:t>
          </w:r>
          <w:r>
            <w:rPr>
              <w:rFonts w:eastAsia="Times New Roman"/>
              <w:sz w:val="16"/>
              <w:szCs w:val="16"/>
            </w:rPr>
            <w:t xml:space="preserve">: J.P. Morgan Saudi Arabia Ltd. is authorized by the Capital Market Authority of the Kingdom of Saudi Arabia (CMA) to carry out dealing as an agent, arranging, advising and custody, with respect to securities business under licence number 35-07079 and its registered address is at 8th Floor, Al-Faisaliyah Tower, King Fahad Road, P.O. Box 51907, Riyadh 11553, Kingdom of Saudi Arabia. </w:t>
          </w:r>
          <w:r>
            <w:rPr>
              <w:rFonts w:eastAsia="Times New Roman"/>
              <w:b/>
              <w:bCs/>
              <w:sz w:val="16"/>
              <w:szCs w:val="16"/>
            </w:rPr>
            <w:t>Dubai</w:t>
          </w:r>
          <w:r>
            <w:rPr>
              <w:rFonts w:eastAsia="Times New Roman"/>
              <w:sz w:val="16"/>
              <w:szCs w:val="16"/>
            </w:rPr>
            <w:t>: JPMorgan Chase Bank, N.A., Dubai Branch is regulated by the Dubai Financial Services Authority (DFSA) and its registered address is Dubai International Financial Centre - Building 3, Level 7, PO Box 506551, Dubai, UAE.</w:t>
          </w:r>
          <w:r>
            <w:rPr>
              <w:rFonts w:eastAsia="Times New Roman"/>
              <w:b/>
              <w:bCs/>
              <w:sz w:val="16"/>
              <w:szCs w:val="16"/>
            </w:rPr>
            <w:t xml:space="preserve"> </w:t>
          </w:r>
        </w:p>
        <w:p w:rsidR="009969A0" w:rsidRDefault="009969A0">
          <w:pPr>
            <w:divId w:val="668019629"/>
            <w:rPr>
              <w:rFonts w:eastAsia="Times New Roman"/>
              <w:b/>
              <w:bCs/>
              <w:sz w:val="12"/>
              <w:szCs w:val="12"/>
            </w:rPr>
          </w:pPr>
        </w:p>
        <w:p w:rsidR="009969A0" w:rsidRDefault="009969A0">
          <w:pPr>
            <w:divId w:val="442651424"/>
            <w:rPr>
              <w:rFonts w:eastAsia="Times New Roman"/>
              <w:sz w:val="16"/>
              <w:szCs w:val="16"/>
            </w:rPr>
          </w:pPr>
          <w:r>
            <w:rPr>
              <w:rFonts w:eastAsia="Times New Roman"/>
              <w:b/>
              <w:bCs/>
              <w:sz w:val="16"/>
              <w:szCs w:val="16"/>
            </w:rPr>
            <w:t xml:space="preserve">Country and Region Specific Disclosures </w:t>
          </w:r>
          <w:r>
            <w:rPr>
              <w:rFonts w:eastAsia="Times New Roman"/>
              <w:b/>
              <w:bCs/>
              <w:sz w:val="16"/>
              <w:szCs w:val="16"/>
            </w:rPr>
            <w:br/>
            <w:t xml:space="preserve">U.K. and European Economic Area (EEA): </w:t>
          </w:r>
          <w:r>
            <w:rPr>
              <w:rFonts w:eastAsia="Times New Roman"/>
              <w:sz w:val="16"/>
              <w:szCs w:val="16"/>
            </w:rPr>
            <w:t xml:space="preserve">Unless specified to the contrary, issued and approved for distribution in the U.K. and the EEA by JPMS plc. Investment research issued by JPMS plc has been prepared in accordance with JPMS plc's policies for managing conflicts of interest arising as a result of publication and distribution of investment research. Many European regulators require a firm to establish, implement and maintain such a policy. This report has been issued in the U.K. only to persons of a kind described in Article 19 (5), 38, 47 and 49 of the Financial Services and Markets Act 2000 (Financial Promotion) Order 2005 (all such persons being referred to as "relevant persons"). This document must not be acted on or relied on by persons who are not relevant persons. Any investment or investment activity to which this document relates is only available to relevant persons and will be engaged in only with relevant persons. In other EEA countries, the report has been issued to persons regarded as professional investors (or equivalent) in their home jurisdiction. </w:t>
          </w:r>
          <w:r>
            <w:rPr>
              <w:rFonts w:eastAsia="Times New Roman"/>
              <w:b/>
              <w:bCs/>
              <w:sz w:val="16"/>
              <w:szCs w:val="16"/>
            </w:rPr>
            <w:t xml:space="preserve">Australia: </w:t>
          </w:r>
          <w:r>
            <w:rPr>
              <w:rFonts w:eastAsia="Times New Roman"/>
              <w:sz w:val="16"/>
              <w:szCs w:val="16"/>
            </w:rPr>
            <w:t xml:space="preserve">This material is issued and distributed by JPMSAL in Australia to "wholesale clients" only. This material does not take into account the specific investment objectives, financial situation or particular needs of the recipient. The recipient of this material must not distribute it to any third party or outside Australia without the prior written consent of JPMSAL. For the purposes of this paragraph the term "wholesale client" has the meaning given in section 761G of the Corporations Act 2001. </w:t>
          </w:r>
          <w:r>
            <w:rPr>
              <w:rFonts w:eastAsia="Times New Roman"/>
              <w:b/>
              <w:bCs/>
              <w:sz w:val="16"/>
              <w:szCs w:val="16"/>
            </w:rPr>
            <w:t xml:space="preserve">Germany: </w:t>
          </w:r>
          <w:r>
            <w:rPr>
              <w:rFonts w:eastAsia="Times New Roman"/>
              <w:sz w:val="16"/>
              <w:szCs w:val="16"/>
            </w:rPr>
            <w:t xml:space="preserve">This material is distributed in Germany by J.P. Morgan Securities plc, Frankfurt Branch and J.P.Morgan Chase Bank, N.A., Frankfurt Branch which are regulated by the Bundesanstalt für Finanzdienstleistungsaufsicht. </w:t>
          </w:r>
          <w:r>
            <w:rPr>
              <w:rFonts w:eastAsia="Times New Roman"/>
              <w:b/>
              <w:bCs/>
              <w:sz w:val="16"/>
              <w:szCs w:val="16"/>
            </w:rPr>
            <w:t xml:space="preserve">Hong Kong: </w:t>
          </w:r>
          <w:r>
            <w:rPr>
              <w:rFonts w:eastAsia="Times New Roman"/>
              <w:sz w:val="16"/>
              <w:szCs w:val="16"/>
            </w:rPr>
            <w:t xml:space="preserve">The 1% ownership disclosure as of the previous month end satisfies the requirements under Paragraph 16.5(a) of the Hong Kong Code of Conduct for Persons Licensed by or Registered with the Securities and Futures Commission. (For research published within the first ten days of the month, the disclosure may be based on the month end data from two months prior.) J.P. Morgan Broking (Hong Kong) Limited is the liquidity provider/market maker for derivative warrants, callable bull bear contracts and stock options listed on the Stock Exchange of Hong Kong Limited. An updated list can be found on HKEx website: http://www.hkex.com.hk. </w:t>
          </w:r>
          <w:r>
            <w:rPr>
              <w:rFonts w:eastAsia="Times New Roman"/>
              <w:b/>
              <w:bCs/>
              <w:sz w:val="16"/>
              <w:szCs w:val="16"/>
            </w:rPr>
            <w:t xml:space="preserve">Japan: </w:t>
          </w:r>
          <w:r>
            <w:rPr>
              <w:rFonts w:eastAsia="Times New Roman"/>
              <w:sz w:val="16"/>
              <w:szCs w:val="16"/>
            </w:rPr>
            <w:t xml:space="preserve">There is a risk that a loss may occur due to a change in the price of the shares in the case of share trading, and that a loss may occur due to the exchange rate in the case of foreign share trading. In the case of share trading, JPMorgan Securities Japan Co., Ltd., will be </w:t>
          </w:r>
          <w:r>
            <w:rPr>
              <w:rFonts w:eastAsia="Times New Roman"/>
              <w:sz w:val="16"/>
              <w:szCs w:val="16"/>
            </w:rPr>
            <w:lastRenderedPageBreak/>
            <w:t xml:space="preserve">receiving a brokerage fee and consumption tax (shouhizei) calculated by multiplying the executed price by the commission rate which was individually agreed between JPMorgan Securities Japan Co., Ltd., and the customer in advance. Financial Instruments Firms: JPMorgan Securities Japan Co., Ltd., Kanto Local Finance Bureau (kinsho) No. 82 Participating Association / Japan Securities Dealers Association, The Financial Futures Association of Japan, Type II Financial Instruments Firms Association and Japan Investment Advisers Association. </w:t>
          </w:r>
          <w:r>
            <w:rPr>
              <w:rFonts w:eastAsia="Times New Roman"/>
              <w:b/>
              <w:bCs/>
              <w:sz w:val="16"/>
              <w:szCs w:val="16"/>
            </w:rPr>
            <w:t xml:space="preserve">Korea: </w:t>
          </w:r>
          <w:r>
            <w:rPr>
              <w:rFonts w:eastAsia="Times New Roman"/>
              <w:sz w:val="16"/>
              <w:szCs w:val="16"/>
            </w:rPr>
            <w:t xml:space="preserve">This report may have been edited or contributed to from time to time by affiliates of J.P. Morgan Securities (Far East) Ltd, Seoul Branch. </w:t>
          </w:r>
          <w:r>
            <w:rPr>
              <w:rFonts w:eastAsia="Times New Roman"/>
              <w:b/>
              <w:bCs/>
              <w:sz w:val="16"/>
              <w:szCs w:val="16"/>
            </w:rPr>
            <w:t xml:space="preserve">Singapore: </w:t>
          </w:r>
          <w:r>
            <w:rPr>
              <w:rFonts w:eastAsia="Times New Roman"/>
              <w:sz w:val="16"/>
              <w:szCs w:val="16"/>
            </w:rPr>
            <w:t xml:space="preserve">JPMSS and/or its affiliates may have a holding in any of the securities discussed in this report; for securities where the holding is 1% or greater, the specific holding is disclosed in the Important Disclosures section above. </w:t>
          </w:r>
          <w:r>
            <w:rPr>
              <w:rFonts w:eastAsia="Times New Roman"/>
              <w:b/>
              <w:bCs/>
              <w:sz w:val="16"/>
              <w:szCs w:val="16"/>
            </w:rPr>
            <w:t xml:space="preserve">India: </w:t>
          </w:r>
          <w:r>
            <w:rPr>
              <w:rFonts w:eastAsia="Times New Roman"/>
              <w:sz w:val="16"/>
              <w:szCs w:val="16"/>
            </w:rPr>
            <w:t xml:space="preserve">For private circulation only, not for sale. </w:t>
          </w:r>
          <w:r>
            <w:rPr>
              <w:rFonts w:eastAsia="Times New Roman"/>
              <w:b/>
              <w:bCs/>
              <w:sz w:val="16"/>
              <w:szCs w:val="16"/>
            </w:rPr>
            <w:t xml:space="preserve">Pakistan: </w:t>
          </w:r>
          <w:r>
            <w:rPr>
              <w:rFonts w:eastAsia="Times New Roman"/>
              <w:sz w:val="16"/>
              <w:szCs w:val="16"/>
            </w:rPr>
            <w:t xml:space="preserve">For private circulation only, not for sale. </w:t>
          </w:r>
          <w:r>
            <w:rPr>
              <w:rFonts w:eastAsia="Times New Roman"/>
              <w:b/>
              <w:bCs/>
              <w:sz w:val="16"/>
              <w:szCs w:val="16"/>
            </w:rPr>
            <w:t xml:space="preserve">New Zealand: </w:t>
          </w:r>
          <w:r>
            <w:rPr>
              <w:rFonts w:eastAsia="Times New Roman"/>
              <w:sz w:val="16"/>
              <w:szCs w:val="16"/>
            </w:rPr>
            <w:t xml:space="preserve">This material is issued and distributed by JPMSAL in New Zealand only to persons whose principal business is the investment of money or who, in the course of and for the purposes of their business, habitually invest money. JPMSAL does not issue or distribute this material to members of "the public" as determined in accordance with section 3 of the Securities Act 1978. The recipient of this material must not distribute it to any third party or outside New Zealand without the prior written consent of JPMSAL. </w:t>
          </w:r>
          <w:r>
            <w:rPr>
              <w:rFonts w:eastAsia="Times New Roman"/>
              <w:b/>
              <w:bCs/>
              <w:sz w:val="16"/>
              <w:szCs w:val="16"/>
            </w:rPr>
            <w:t xml:space="preserve">Canada: </w:t>
          </w:r>
          <w:r>
            <w:rPr>
              <w:rFonts w:eastAsia="Times New Roman"/>
              <w:sz w:val="16"/>
              <w:szCs w:val="16"/>
            </w:rPr>
            <w:t xml:space="preserve">The information contained herein is not, and under no circumstances is to be construed as, a prospectus, an advertisement, a public offering, an offer to sell securities described herein, or solicitation of an offer to buy securities described herein, in Canada or any province or territory thereof. Any offer or sale of the securities described herein in Canada will be made only under an exemption from the requirements to file a prospectus with the relevant Canadian securities regulators and only by a dealer properly registered under applicable securities laws or, alternatively, pursuant to an exemption from the dealer registration requirement in the relevant province or territory of Canada in which such offer or sale is made. The information contained herein is under no circumstances to be construed as investment advice in any province or territory of Canada and is not tailored to the needs of the recipient. To the extent that the information contained herein references securities of an issuer incorporated, formed or created under the laws of Canada or a province or territory of Canada, any trades in such securities must be conducted through a dealer registered in Canada. No securities commission or similar regulatory authority in Canada has reviewed or in any way passed judgment upon these materials, the information contained herein or the merits of the securities described herein, and any representation to the contrary is an offence. </w:t>
          </w:r>
          <w:r>
            <w:rPr>
              <w:rFonts w:eastAsia="Times New Roman"/>
              <w:b/>
              <w:bCs/>
              <w:sz w:val="16"/>
              <w:szCs w:val="16"/>
            </w:rPr>
            <w:t xml:space="preserve">Dubai: </w:t>
          </w:r>
          <w:r>
            <w:rPr>
              <w:rFonts w:eastAsia="Times New Roman"/>
              <w:sz w:val="16"/>
              <w:szCs w:val="16"/>
            </w:rPr>
            <w:t xml:space="preserve">This report has been issued to persons regarded as professional clients as defined under the DFSA rules. </w:t>
          </w:r>
          <w:r>
            <w:rPr>
              <w:rFonts w:eastAsia="Times New Roman"/>
              <w:b/>
              <w:bCs/>
              <w:sz w:val="16"/>
              <w:szCs w:val="16"/>
            </w:rPr>
            <w:t>Brazil</w:t>
          </w:r>
          <w:r>
            <w:rPr>
              <w:rFonts w:eastAsia="Times New Roman"/>
              <w:sz w:val="16"/>
              <w:szCs w:val="16"/>
            </w:rPr>
            <w:t xml:space="preserve">: Ombudsman J.P. Morgan: 0800-7700847 / ouvidoria.jp.morgan@jpmorgan.com. </w:t>
          </w:r>
        </w:p>
        <w:p w:rsidR="009969A0" w:rsidRDefault="009969A0">
          <w:pPr>
            <w:divId w:val="717363836"/>
            <w:rPr>
              <w:rFonts w:eastAsia="Times New Roman"/>
              <w:sz w:val="12"/>
              <w:szCs w:val="12"/>
            </w:rPr>
          </w:pPr>
        </w:p>
        <w:p w:rsidR="009969A0" w:rsidRDefault="009969A0">
          <w:pPr>
            <w:divId w:val="442651424"/>
            <w:rPr>
              <w:rFonts w:eastAsia="Times New Roman"/>
              <w:sz w:val="16"/>
              <w:szCs w:val="16"/>
            </w:rPr>
          </w:pPr>
          <w:r>
            <w:rPr>
              <w:rFonts w:eastAsia="Times New Roman"/>
              <w:b/>
              <w:bCs/>
              <w:sz w:val="16"/>
              <w:szCs w:val="16"/>
            </w:rPr>
            <w:t xml:space="preserve">General: </w:t>
          </w:r>
          <w:r>
            <w:rPr>
              <w:rFonts w:eastAsia="Times New Roman"/>
              <w:sz w:val="16"/>
              <w:szCs w:val="16"/>
            </w:rPr>
            <w:t xml:space="preserve">Additional information is available upon request. Information has been obtained from sources believed to be reliable but JPMorgan Chase &amp; Co. or its affiliates and/or subsidiaries (collectively J.P. Morgan) do not warrant its completeness or accuracy except with respect to any disclosures relative to JPMS and/or its affiliates and the analyst's involvement with the issuer that is the subject of the research. All pricing is as of the close of market for the securities discussed, unless otherwise stated. Opinions and estimates constitute our judgment as of the date of this material and are subject to change without notice. Past performance is not indicative of future results. This material is not intended as an offer or solicitation for the purchase or sale of any financial instrument. The opinions and recommendations herein do not take into account individual client circumstances, objectives, or needs and are not intended as recommendations of particular securities, financial instruments or strategies to particular clients. The recipient of this report must make its own independent decisions regarding any securities or financial instruments mentioned herein. JPMS distributes in the U.S. research published by non-U.S. affiliates and accepts responsibility for its contents. Periodic updates may be provided on companies/industries based on company specific developments or announcements, market conditions or any other publicly available information. Clients should contact analysts and execute transactions through a J.P. Morgan subsidiary or affiliate in their home jurisdiction unless governing law permits otherwise. </w:t>
          </w:r>
        </w:p>
        <w:p w:rsidR="009969A0" w:rsidRDefault="009969A0">
          <w:pPr>
            <w:divId w:val="183905771"/>
            <w:rPr>
              <w:rFonts w:eastAsia="Times New Roman"/>
              <w:sz w:val="12"/>
              <w:szCs w:val="12"/>
            </w:rPr>
          </w:pPr>
        </w:p>
        <w:p w:rsidR="009969A0" w:rsidRDefault="009969A0" w:rsidP="009969A0">
          <w:pPr>
            <w:divId w:val="442651424"/>
            <w:rPr>
              <w:rFonts w:eastAsia="Times New Roman"/>
              <w:sz w:val="16"/>
              <w:szCs w:val="16"/>
            </w:rPr>
          </w:pPr>
          <w:r>
            <w:rPr>
              <w:rFonts w:eastAsia="Times New Roman"/>
              <w:sz w:val="16"/>
              <w:szCs w:val="16"/>
            </w:rPr>
            <w:t xml:space="preserve">"Other Disclosures" last revised June 21, 2014. </w:t>
          </w:r>
        </w:p>
        <w:p w:rsidR="009969A0" w:rsidRDefault="009969A0" w:rsidP="009969A0">
          <w:pPr>
            <w:spacing w:line="100" w:lineRule="auto"/>
            <w:divId w:val="442651424"/>
            <w:rPr>
              <w:rFonts w:eastAsia="Times New Roman"/>
              <w:sz w:val="16"/>
              <w:szCs w:val="16"/>
            </w:rPr>
          </w:pPr>
          <w:r>
            <w:rPr>
              <w:rFonts w:eastAsia="Times New Roman"/>
              <w:sz w:val="16"/>
              <w:szCs w:val="16"/>
            </w:rPr>
            <w:pict>
              <v:rect id="_x0000_i1033" style="width:0;height:.8pt" o:hralign="center" o:hrstd="t" o:hrnoshade="t" o:hr="t" fillcolor="black" stroked="f"/>
            </w:pict>
          </w:r>
        </w:p>
        <w:p w:rsidR="009969A0" w:rsidRDefault="009969A0" w:rsidP="009969A0">
          <w:pPr>
            <w:divId w:val="442651424"/>
            <w:rPr>
              <w:rFonts w:eastAsia="Times New Roman"/>
            </w:rPr>
          </w:pPr>
          <w:r>
            <w:rPr>
              <w:rFonts w:eastAsia="Times New Roman"/>
              <w:b/>
              <w:bCs/>
              <w:sz w:val="18"/>
              <w:szCs w:val="18"/>
            </w:rPr>
            <w:t xml:space="preserve">Copyright 2014 JPMorgan Chase &amp; Co. All rights reserved. This report or any portion hereof may not be reprinted, sold or redistributed without the written consent of J.P. Morgan. </w:t>
          </w:r>
          <w:r>
            <w:rPr>
              <w:rFonts w:eastAsia="Times New Roman"/>
              <w:color w:val="FFFFFF"/>
              <w:sz w:val="18"/>
              <w:szCs w:val="18"/>
            </w:rPr>
            <w:t>#$J&amp;098$#*P</w:t>
          </w:r>
          <w:r>
            <w:rPr>
              <w:rFonts w:eastAsia="Times New Roman"/>
              <w:b/>
              <w:bCs/>
              <w:sz w:val="18"/>
              <w:szCs w:val="18"/>
            </w:rPr>
            <w:t xml:space="preserve"> </w:t>
          </w:r>
        </w:p>
        <w:p w:rsidR="00096996" w:rsidRDefault="00D713E5" w:rsidP="006835DA">
          <w:pPr>
            <w:pStyle w:val="Body"/>
          </w:pPr>
        </w:p>
      </w:sdtContent>
    </w:sdt>
    <w:p w:rsidR="00096996" w:rsidRDefault="00096996" w:rsidP="00096996">
      <w:pPr>
        <w:pStyle w:val="Body"/>
        <w:sectPr w:rsidR="00096996" w:rsidSect="00CD1E8A">
          <w:headerReference w:type="first" r:id="rId97"/>
          <w:footerReference w:type="first" r:id="rId98"/>
          <w:pgSz w:w="12240" w:h="15840" w:code="1"/>
          <w:pgMar w:top="2376" w:right="1138" w:bottom="936" w:left="1123" w:header="936" w:footer="576" w:gutter="0"/>
          <w:cols w:space="720"/>
          <w:docGrid w:linePitch="360"/>
        </w:sectPr>
      </w:pPr>
    </w:p>
    <w:bookmarkEnd w:id="68"/>
    <w:p w:rsidR="005327F6" w:rsidRDefault="005327F6" w:rsidP="005D2E8C">
      <w:pPr>
        <w:pStyle w:val="Body"/>
        <w:ind w:left="-3125"/>
      </w:pPr>
    </w:p>
    <w:sectPr w:rsidR="005327F6" w:rsidSect="00096996">
      <w:headerReference w:type="first" r:id="rId99"/>
      <w:footerReference w:type="first" r:id="rId100"/>
      <w:type w:val="continuous"/>
      <w:pgSz w:w="12240" w:h="15840" w:code="1"/>
      <w:pgMar w:top="2376" w:right="1138" w:bottom="936" w:left="4248" w:header="936" w:footer="578" w:gutter="0"/>
      <w:cols w:space="720"/>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7961" w:rsidRDefault="00BA7961" w:rsidP="00410841">
      <w:r>
        <w:separator/>
      </w:r>
    </w:p>
  </w:endnote>
  <w:endnote w:type="continuationSeparator" w:id="0">
    <w:p w:rsidR="00BA7961" w:rsidRDefault="00BA7961" w:rsidP="0041084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Bookdings">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961" w:rsidRDefault="00BA7961">
    <w:pPr>
      <w:framePr w:hSpace="180" w:wrap="around" w:vAnchor="text" w:hAnchor="page" w:x="1138" w:y="1"/>
      <w:rPr>
        <w:rStyle w:val="PageNumber"/>
      </w:rPr>
    </w:pPr>
    <w:r>
      <w:rPr>
        <w:rStyle w:val="PageNumber"/>
      </w:rPr>
      <w:fldChar w:fldCharType="begin"/>
    </w:r>
    <w:r>
      <w:rPr>
        <w:rStyle w:val="PageNumber"/>
      </w:rPr>
      <w:instrText xml:space="preserve"> PAGE </w:instrText>
    </w:r>
    <w:r>
      <w:rPr>
        <w:rStyle w:val="PageNumber"/>
      </w:rPr>
      <w:fldChar w:fldCharType="separate"/>
    </w:r>
    <w:r w:rsidR="009969A0">
      <w:rPr>
        <w:rStyle w:val="PageNumber"/>
        <w:noProof/>
      </w:rPr>
      <w:t>48</w:t>
    </w:r>
    <w:r>
      <w:rPr>
        <w:rStyle w:val="PageNumber"/>
      </w:rPr>
      <w:fldChar w:fldCharType="end"/>
    </w:r>
  </w:p>
  <w:p w:rsidR="00BA7961" w:rsidRDefault="00BA7961">
    <w:pPr>
      <w:rPr>
        <w:rStyle w:val="PageNumber"/>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961" w:rsidRDefault="00BA7961">
    <w:pPr>
      <w:pStyle w:val="Footer"/>
      <w:jc w:val="right"/>
      <w:rPr>
        <w:rStyle w:val="PageNumber"/>
        <w:b w:val="0"/>
        <w:bCs/>
      </w:rPr>
    </w:pPr>
    <w:r>
      <w:rPr>
        <w:rStyle w:val="PageNumber"/>
        <w:b w:val="0"/>
        <w:bCs/>
      </w:rPr>
      <w:fldChar w:fldCharType="begin"/>
    </w:r>
    <w:r>
      <w:rPr>
        <w:rStyle w:val="PageNumber"/>
        <w:b w:val="0"/>
        <w:bCs/>
      </w:rPr>
      <w:instrText xml:space="preserve"> PAGE </w:instrText>
    </w:r>
    <w:r>
      <w:rPr>
        <w:rStyle w:val="PageNumber"/>
        <w:b w:val="0"/>
        <w:bCs/>
      </w:rPr>
      <w:fldChar w:fldCharType="separate"/>
    </w:r>
    <w:r w:rsidR="009969A0">
      <w:rPr>
        <w:rStyle w:val="PageNumber"/>
        <w:b w:val="0"/>
        <w:bCs/>
        <w:noProof/>
      </w:rPr>
      <w:t>47</w:t>
    </w:r>
    <w:r>
      <w:rPr>
        <w:rStyle w:val="PageNumber"/>
        <w:b w:val="0"/>
        <w:bCs/>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Cs/>
        <w:iCs/>
      </w:rPr>
      <w:alias w:val="FOOTER_FRONT_PAGE"/>
      <w:tag w:val="FOOTER_FRONT_PAGE"/>
      <w:id w:val="82014432"/>
      <w:lock w:val="sdtContentLocked"/>
      <w:placeholder>
        <w:docPart w:val="8E4370ADD8A147BC9CEEDE8F8FF308E1"/>
      </w:placeholder>
    </w:sdtPr>
    <w:sdtEndPr>
      <w:rPr>
        <w:b w:val="0"/>
        <w:spacing w:val="-2"/>
        <w:sz w:val="20"/>
        <w:szCs w:val="18"/>
      </w:rPr>
    </w:sdtEndPr>
    <w:sdtContent>
      <w:p w:rsidR="009969A0" w:rsidRDefault="009969A0" w:rsidP="009969A0">
        <w:pPr>
          <w:pStyle w:val="FooterFrontPage1stLine"/>
          <w:framePr w:wrap="around"/>
        </w:pPr>
        <w:r>
          <w:t>See page 46 for analyst certification and important disclosures, including non-US analyst disclosures.</w:t>
        </w:r>
      </w:p>
      <w:p w:rsidR="00BA7961" w:rsidRPr="0094269C" w:rsidRDefault="009969A0" w:rsidP="009969A0">
        <w:pPr>
          <w:pStyle w:val="FooterFrontPage"/>
          <w:framePr w:wrap="around"/>
        </w:pPr>
        <w:r>
          <w:t>J.P. Morgan does and seeks to do business with companies covered in its research reports. As a result, investors should be aware that the firm may have a conflict of interest that could affect the objectivity of this report. Investors should consider this report as only a single factor in making their investment decision.</w:t>
        </w:r>
      </w:p>
    </w:sdtContent>
  </w:sdt>
  <w:p w:rsidR="00BA7961" w:rsidRPr="00D14EE2" w:rsidRDefault="00BA7961" w:rsidP="00D14EE2">
    <w:pPr>
      <w:pStyle w:val="Footer"/>
    </w:pPr>
    <w:r>
      <w:rPr>
        <w:noProof/>
      </w:rPr>
      <w:pict>
        <v:shapetype id="_x0000_t202" coordsize="21600,21600" o:spt="202" path="m,l,21600r21600,l21600,xe">
          <v:stroke joinstyle="miter"/>
          <v:path gradientshapeok="t" o:connecttype="rect"/>
        </v:shapetype>
        <v:shape id="_x0000_s4123" type="#_x0000_t202" style="position:absolute;margin-left:366.5pt;margin-top:764.6pt;width:145.45pt;height:13.6pt;z-index:-251648512;mso-position-vertical-relative:page" wrapcoords="0 0" filled="f" stroked="f">
          <v:textbox inset="5.85pt,.7pt,5.85pt,.7pt">
            <w:txbxContent>
              <w:p w:rsidR="00BA7961" w:rsidRPr="00D20423" w:rsidRDefault="00BA7961" w:rsidP="00D20423">
                <w:pPr>
                  <w:pStyle w:val="MorganmarketURL"/>
                </w:pPr>
                <w:hyperlink r:id="rId1" w:history="1">
                  <w:r w:rsidRPr="00D20423">
                    <w:rPr>
                      <w:rStyle w:val="Hyperlink"/>
                      <w:color w:val="4E8ABE"/>
                      <w:u w:val="none"/>
                    </w:rPr>
                    <w:t>www.jpmorganmarkets.com</w:t>
                  </w:r>
                </w:hyperlink>
              </w:p>
            </w:txbxContent>
          </v:textbox>
          <w10:wrap type="tight" anchory="page"/>
          <w10:anchorlock/>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961" w:rsidRDefault="00BA7961">
    <w:pPr>
      <w:pStyle w:val="Footer"/>
      <w:rPr>
        <w:sz w:val="24"/>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961" w:rsidRDefault="00BA7961">
    <w:pPr>
      <w:pStyle w:val="Footer"/>
      <w:rPr>
        <w:sz w:val="24"/>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961" w:rsidRDefault="00BA7961">
    <w:pPr>
      <w:pStyle w:val="Footer"/>
      <w:rPr>
        <w:sz w:val="24"/>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961" w:rsidRDefault="00BA7961">
    <w:pPr>
      <w:pStyle w:val="Footer"/>
      <w:rPr>
        <w:b w:val="0"/>
        <w:bC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7961" w:rsidRDefault="00BA7961" w:rsidP="00410841">
      <w:r>
        <w:separator/>
      </w:r>
    </w:p>
  </w:footnote>
  <w:footnote w:type="continuationSeparator" w:id="0">
    <w:p w:rsidR="00BA7961" w:rsidRDefault="00BA7961" w:rsidP="0041084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961" w:rsidRDefault="00BA7961">
    <w:pPr>
      <w:pStyle w:val="Header"/>
      <w:spacing w:after="0"/>
    </w:pPr>
    <w:r>
      <w:pict>
        <v:shapetype id="_x0000_t202" coordsize="21600,21600" o:spt="202" path="m,l,21600r21600,l21600,xe">
          <v:stroke joinstyle="miter"/>
          <v:path gradientshapeok="t" o:connecttype="rect"/>
        </v:shapetype>
        <v:shape id="BannerEven" o:spid="_x0000_s4128" type="#_x0000_t202" style="position:absolute;margin-left:212.55pt;margin-top:16.2pt;width:368.7pt;height:24pt;z-index:251668992;mso-position-horizontal-relative:page;mso-position-vertical-relative:line" filled="f" stroked="f">
          <v:textbox style="mso-next-textbox:#BannerEven" inset="0,0,0,0">
            <w:txbxContent>
              <w:p w:rsidR="00BA7961" w:rsidRPr="00EB6911" w:rsidRDefault="00BA7961" w:rsidP="004234B3">
                <w:pPr>
                  <w:pStyle w:val="Header"/>
                </w:pPr>
                <w:sdt>
                  <w:sdtPr>
                    <w:alias w:val="BANNER_CLAUSE_EVEN"/>
                    <w:tag w:val="BANNER_CLAUSE_EVEN"/>
                    <w:id w:val="9728346"/>
                    <w:lock w:val="contentLocked"/>
                    <w:showingPlcHdr/>
                    <w:text/>
                  </w:sdtPr>
                  <w:sdtContent>
                    <w:r w:rsidRPr="00EB6911">
                      <w:rPr>
                        <w:rStyle w:val="PlaceholderText"/>
                      </w:rPr>
                      <w:t xml:space="preserve"> </w:t>
                    </w:r>
                  </w:sdtContent>
                </w:sdt>
              </w:p>
              <w:p w:rsidR="00BA7961" w:rsidRDefault="00BA7961"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LogoEven" o:spid="_x0000_s4106" type="#_x0000_t75" style="position:absolute;margin-left:13576.35pt;margin-top:46.8pt;width:151.5pt;height:15pt;z-index:252085760;visibility:hidden;mso-position-horizontal:right;mso-position-horizontal-relative:margin;mso-position-vertical-relative:page">
          <v:imagedata r:id="rId1" o:title="Logo2008_JPM_A_RGB%20for%20GPS%20JPM%20only"/>
          <w10:wrap type="square" anchorx="margin" anchory="page"/>
          <w10:anchorlock/>
        </v:shape>
      </w:pict>
    </w:r>
    <w:r>
      <w:pict>
        <v:shape id="JPMCazLogoEven" o:spid="_x0000_s4105" type="#_x0000_t75" style="position:absolute;margin-left:13576.35pt;margin-top:46.8pt;width:151.5pt;height:15pt;z-index:252208640;visibility:visible;mso-position-horizontal:right;mso-position-horizontal-relative:margin;mso-position-vertical-relative:page">
          <v:imagedata r:id="rId2" o:title="Logo2010_JPM_Cazenove_A_RGB%20for%20GPS"/>
          <w10:wrap type="square" anchorx="margin" anchory="page"/>
          <w10:anchorlock/>
        </v:shape>
      </w:pict>
    </w:r>
    <w:r w:rsidRPr="00D713E5">
      <w:rPr>
        <w:sz w:val="20"/>
      </w:rPr>
      <w:pict>
        <v:shape id="AnalystEven" o:spid="_x0000_s4110" type="#_x0000_t202" style="position:absolute;margin-left:56.9pt;margin-top:0;width:2in;height:1in;z-index:251662848;mso-position-horizontal-relative:page;mso-position-vertical:top;mso-position-vertical-relative:line" filled="f" stroked="f">
          <v:textbox style="mso-next-textbox:#AnalystEven" inset="0,0,0,0">
            <w:txbxContent>
              <w:p w:rsidR="00BA7961" w:rsidRDefault="00BA7961">
                <w:pPr>
                  <w:pStyle w:val="Header"/>
                </w:pPr>
                <w:sdt>
                  <w:sdtPr>
                    <w:alias w:val="ANALYST_NAME_MAIN_EVEN"/>
                    <w:tag w:val="ANALYST_NAME_MAIN_EVEN"/>
                    <w:id w:val="27373893"/>
                    <w:lock w:val="sdtContentLocked"/>
                    <w:text/>
                  </w:sdtPr>
                  <w:sdtContent>
                    <w:r w:rsidR="009969A0">
                      <w:t>Viquar Shaikh</w:t>
                    </w:r>
                  </w:sdtContent>
                </w:sdt>
                <w:r>
                  <w:br/>
                </w:r>
                <w:sdt>
                  <w:sdtPr>
                    <w:alias w:val="ANALYST_PHONE_MAIN_EVEN"/>
                    <w:tag w:val="ANALYST_PHONE_MAIN_EVEN"/>
                    <w:id w:val="27373866"/>
                    <w:lock w:val="sdtContentLocked"/>
                    <w:text/>
                  </w:sdtPr>
                  <w:sdtContent>
                    <w:r w:rsidR="009969A0">
                      <w:t>(44-20) 7134-5908</w:t>
                    </w:r>
                  </w:sdtContent>
                </w:sdt>
                <w:r>
                  <w:br/>
                </w:r>
                <w:sdt>
                  <w:sdtPr>
                    <w:alias w:val="ANALYST_EMAIL_MAIN_EVEN"/>
                    <w:tag w:val="ANALYST_EMAIL_MAIN_EVEN"/>
                    <w:id w:val="27373838"/>
                    <w:lock w:val="sdtContentLocked"/>
                    <w:text/>
                  </w:sdtPr>
                  <w:sdtContent>
                    <w:r w:rsidR="009969A0">
                      <w:t>viquar.x.shaikh@jpmorgan.com</w:t>
                    </w:r>
                  </w:sdtContent>
                </w:sdt>
              </w:p>
              <w:p w:rsidR="00BA7961" w:rsidRDefault="00BA7961">
                <w:pPr>
                  <w:pStyle w:val="Header"/>
                </w:pPr>
                <w:sdt>
                  <w:sdtPr>
                    <w:alias w:val="ANALYST_NAME_EVEN"/>
                    <w:tag w:val="ANALYST_NAME_EVEN"/>
                    <w:id w:val="27373811"/>
                    <w:lock w:val="sdtContentLocked"/>
                    <w:showingPlcHdr/>
                    <w:text/>
                  </w:sdtPr>
                  <w:sdtContent>
                    <w:r>
                      <w:t xml:space="preserve"> </w:t>
                    </w:r>
                  </w:sdtContent>
                </w:sdt>
                <w:r>
                  <w:br/>
                </w:r>
                <w:sdt>
                  <w:sdtPr>
                    <w:alias w:val="ANALYST_PHONE_EVEN"/>
                    <w:tag w:val="ANALYST_PHONE_EVEN"/>
                    <w:id w:val="27373784"/>
                    <w:lock w:val="sdtContentLocked"/>
                    <w:showingPlcHdr/>
                    <w:text/>
                  </w:sdtPr>
                  <w:sdtContent>
                    <w:r>
                      <w:t xml:space="preserve"> </w:t>
                    </w:r>
                  </w:sdtContent>
                </w:sdt>
                <w:r>
                  <w:br/>
                </w:r>
                <w:sdt>
                  <w:sdtPr>
                    <w:alias w:val="ANALYST_EMAIL_EVEN"/>
                    <w:tag w:val="ANALYST_EMAIL_EVEN"/>
                    <w:id w:val="27373757"/>
                    <w:lock w:val="sdtContentLocked"/>
                    <w:showingPlcHdr/>
                    <w:text/>
                  </w:sdtPr>
                  <w:sdtContent>
                    <w:r>
                      <w:t xml:space="preserve"> </w:t>
                    </w:r>
                  </w:sdtContent>
                </w:sdt>
              </w:p>
            </w:txbxContent>
          </v:textbox>
          <w10:wrap anchorx="page"/>
          <w10:anchorlock/>
        </v:shape>
      </w:pict>
    </w:r>
    <w:r w:rsidRPr="00D713E5">
      <w:rPr>
        <w:sz w:val="20"/>
      </w:rPr>
      <w:pict>
        <v:shape id="DealDerivativeEven" o:spid="_x0000_s4111" type="#_x0000_t202" style="position:absolute;margin-left:212.4pt;margin-top:18.7pt;width:343.45pt;height:52.55pt;z-index:251663872;visibility:hidden;mso-position-horizontal-relative:page;mso-position-vertical-relative:line" stroked="f">
          <v:textbox style="mso-next-textbox:#DealDerivativeEven" inset="0,0,0,0">
            <w:txbxContent>
              <w:p w:rsidR="00BA7961" w:rsidRDefault="00BA7961">
                <w:pPr>
                  <w:pStyle w:val="IPOInsidePage"/>
                </w:pPr>
              </w:p>
              <w:p w:rsidR="00BA7961" w:rsidRDefault="00BA7961">
                <w:pPr>
                  <w:pStyle w:val="RegionGroupInvisible"/>
                </w:pPr>
              </w:p>
            </w:txbxContent>
          </v:textbox>
          <w10:wrap anchorx="page"/>
          <w10:anchorlock/>
        </v:shape>
      </w:pict>
    </w:r>
    <w:r w:rsidRPr="00D713E5">
      <w:rPr>
        <w:sz w:val="20"/>
      </w:rPr>
      <w:pict>
        <v:shape id="RegionGroupEven" o:spid="_x0000_s4107" type="#_x0000_t202" style="position:absolute;margin-left:212.4pt;margin-top:0;width:196.35pt;height:15.85pt;z-index:251659776;mso-position-horizontal-relative:page;mso-position-vertical:top;mso-position-vertical-relative:line" filled="f" stroked="f">
          <v:textbox style="mso-next-textbox:#RegionGroupEven" inset="0,0,0,0">
            <w:txbxContent>
              <w:p w:rsidR="00BA7961" w:rsidRDefault="00BA7961">
                <w:pPr>
                  <w:pStyle w:val="HeaderRegionGroup"/>
                  <w:suppressOverlap/>
                </w:pPr>
                <w:sdt>
                  <w:sdtPr>
                    <w:alias w:val="REGION_EVEN"/>
                    <w:tag w:val="REGION_EVEN"/>
                    <w:id w:val="27373728"/>
                    <w:lock w:val="sdtContentLocked"/>
                    <w:text/>
                  </w:sdtPr>
                  <w:sdtContent>
                    <w:r>
                      <w:t xml:space="preserve">Global </w:t>
                    </w:r>
                  </w:sdtContent>
                </w:sdt>
                <w:sdt>
                  <w:sdtPr>
                    <w:alias w:val="BUSINESS_GROUP_EVEN"/>
                    <w:tag w:val="BUSINESS_GROUP_EVEN"/>
                    <w:id w:val="27373700"/>
                    <w:lock w:val="sdtContentLocked"/>
                    <w:text/>
                  </w:sdtPr>
                  <w:sdtContent>
                    <w:r>
                      <w:t>Equity Research</w:t>
                    </w:r>
                  </w:sdtContent>
                </w:sdt>
              </w:p>
              <w:sdt>
                <w:sdtPr>
                  <w:alias w:val="PUBLICATION_DATE_EVEN"/>
                  <w:tag w:val="PUBLICATION_DATE_EVEN"/>
                  <w:id w:val="1330412"/>
                  <w:lock w:val="sdtContentLocked"/>
                  <w:text/>
                </w:sdtPr>
                <w:sdtContent>
                  <w:p w:rsidR="00BA7961" w:rsidRDefault="00BA7961">
                    <w:pPr>
                      <w:pStyle w:val="Header"/>
                    </w:pPr>
                    <w:r>
                      <w:t>03 July 2014</w:t>
                    </w:r>
                  </w:p>
                </w:sdtContent>
              </w:sdt>
              <w:p w:rsidR="00BA7961" w:rsidRDefault="00BA7961">
                <w:pPr>
                  <w:pStyle w:val="RegionGroupInvisible"/>
                </w:pPr>
              </w:p>
            </w:txbxContent>
          </v:textbox>
          <w10:wrap anchorx="page"/>
          <w10:anchorlock/>
        </v:shape>
      </w:pict>
    </w:r>
  </w:p>
  <w:p w:rsidR="00BA7961" w:rsidRDefault="00BA7961">
    <w:pPr>
      <w:pStyle w:val="Header"/>
      <w:spacing w:after="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961" w:rsidRDefault="00BA7961">
    <w:pPr>
      <w:pStyle w:val="Header"/>
      <w:spacing w:after="0"/>
    </w:pPr>
    <w:r>
      <w:pict>
        <v:shapetype id="_x0000_t202" coordsize="21600,21600" o:spt="202" path="m,l,21600r21600,l21600,xe">
          <v:stroke joinstyle="miter"/>
          <v:path gradientshapeok="t" o:connecttype="rect"/>
        </v:shapetype>
        <v:shape id="BannerOdd" o:spid="_x0000_s4129" type="#_x0000_t202" style="position:absolute;margin-left:212.35pt;margin-top:16.15pt;width:368.7pt;height:24pt;z-index:251670016;mso-position-horizontal-relative:page;mso-position-vertical-relative:line" filled="f" stroked="f">
          <v:textbox style="mso-next-textbox:#BannerOdd" inset="0,0,0,0">
            <w:txbxContent>
              <w:p w:rsidR="00BA7961" w:rsidRPr="003D1683" w:rsidRDefault="00BA7961" w:rsidP="004234B3">
                <w:pPr>
                  <w:pStyle w:val="Header"/>
                </w:pPr>
                <w:sdt>
                  <w:sdtPr>
                    <w:alias w:val="BANNER_CLAUSE_ODD"/>
                    <w:tag w:val="BANNER_CLAUSE_ODD"/>
                    <w:id w:val="17119566"/>
                    <w:lock w:val="contentLocked"/>
                    <w:showingPlcHdr/>
                    <w:text/>
                  </w:sdtPr>
                  <w:sdtContent>
                    <w:r w:rsidRPr="003D1683">
                      <w:t xml:space="preserve"> </w:t>
                    </w:r>
                  </w:sdtContent>
                </w:sdt>
              </w:p>
              <w:p w:rsidR="00BA7961" w:rsidRDefault="00BA7961" w:rsidP="004234B3">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LogoPrimary" o:spid="_x0000_s4102" type="#_x0000_t75" style="position:absolute;margin-left:13576.35pt;margin-top:46.8pt;width:151.5pt;height:15pt;z-index:252084736;visibility:hidden;mso-position-horizontal:right;mso-position-horizontal-relative:margin;mso-position-vertical-relative:page">
          <v:imagedata r:id="rId1" o:title="Logo2008_JPM_A_RGB%20for%20GPS%20JPM%20only"/>
          <w10:wrap type="square" anchorx="margin" anchory="page"/>
          <w10:anchorlock/>
        </v:shape>
      </w:pict>
    </w:r>
    <w:r>
      <w:pict>
        <v:shape id="JPMCazLogoPrimary" o:spid="_x0000_s4101" type="#_x0000_t75" style="position:absolute;margin-left:13576.35pt;margin-top:46.8pt;width:151.5pt;height:15pt;z-index:252207616;visibility:visible;mso-position-horizontal:right;mso-position-horizontal-relative:margin;mso-position-vertical-relative:page">
          <v:imagedata r:id="rId2" o:title="Logo2010_JPM_Cazenove_A_RGB%20for%20GPS"/>
          <w10:wrap type="square" anchorx="margin" anchory="page"/>
          <w10:anchorlock/>
        </v:shape>
      </w:pict>
    </w:r>
    <w:r w:rsidRPr="00D713E5">
      <w:rPr>
        <w:sz w:val="20"/>
      </w:rPr>
      <w:pict>
        <v:shape id="DealDerivativePrimary" o:spid="_x0000_s4112" type="#_x0000_t202" style="position:absolute;margin-left:212.4pt;margin-top:18.7pt;width:343.45pt;height:52.55pt;z-index:251664896;visibility:hidden;mso-position-horizontal-relative:page;mso-position-vertical-relative:line" stroked="f">
          <v:textbox style="mso-next-textbox:#DealDerivativePrimary" inset="0,0,0,0">
            <w:txbxContent>
              <w:p w:rsidR="00BA7961" w:rsidRDefault="00BA7961">
                <w:pPr>
                  <w:pStyle w:val="IPOInsidePage"/>
                </w:pPr>
              </w:p>
              <w:p w:rsidR="00BA7961" w:rsidRDefault="00BA7961">
                <w:pPr>
                  <w:pStyle w:val="RegionGroupInvisible"/>
                </w:pPr>
              </w:p>
            </w:txbxContent>
          </v:textbox>
          <w10:wrap anchorx="page"/>
          <w10:anchorlock/>
        </v:shape>
      </w:pict>
    </w:r>
    <w:r w:rsidRPr="00D713E5">
      <w:rPr>
        <w:sz w:val="20"/>
      </w:rPr>
      <w:pict>
        <v:shape id="AnalystPrimary" o:spid="_x0000_s4109" type="#_x0000_t202" style="position:absolute;margin-left:56.9pt;margin-top:0;width:2in;height:1in;z-index:251661824;mso-wrap-edited:f;mso-position-horizontal-relative:page;mso-position-vertical:top;mso-position-vertical-relative:line" filled="f" stroked="f">
          <v:textbox style="mso-next-textbox:#AnalystPrimary" inset="0,0,0,0">
            <w:txbxContent>
              <w:p w:rsidR="00BA7961" w:rsidRDefault="00BA7961">
                <w:pPr>
                  <w:pStyle w:val="Header"/>
                </w:pPr>
                <w:sdt>
                  <w:sdtPr>
                    <w:alias w:val="ANALYST_NAME_MAIN_ODD"/>
                    <w:tag w:val="ANALYST_NAME_MAIN_ODD"/>
                    <w:id w:val="31622201"/>
                    <w:lock w:val="sdtContentLocked"/>
                    <w:text/>
                  </w:sdtPr>
                  <w:sdtContent>
                    <w:r w:rsidR="009969A0">
                      <w:t>Viquar Shaikh</w:t>
                    </w:r>
                  </w:sdtContent>
                </w:sdt>
                <w:r>
                  <w:br/>
                </w:r>
                <w:sdt>
                  <w:sdtPr>
                    <w:alias w:val="ANALYST_PHONE_MAIN_ODD"/>
                    <w:tag w:val="ANALYST_PHONE_MAIN_ODD"/>
                    <w:id w:val="31622174"/>
                    <w:lock w:val="sdtContentLocked"/>
                    <w:text/>
                  </w:sdtPr>
                  <w:sdtContent>
                    <w:r w:rsidR="009969A0">
                      <w:t>(44-20) 7134-5908</w:t>
                    </w:r>
                  </w:sdtContent>
                </w:sdt>
                <w:r>
                  <w:br/>
                </w:r>
                <w:sdt>
                  <w:sdtPr>
                    <w:alias w:val="ANALYST_EMAIL_MAIN_ODD"/>
                    <w:tag w:val="ANALYST_EMAIL_MAIN_ODD"/>
                    <w:id w:val="31622147"/>
                    <w:lock w:val="sdtContentLocked"/>
                    <w:text/>
                  </w:sdtPr>
                  <w:sdtContent>
                    <w:r w:rsidR="009969A0">
                      <w:t>viquar.x.shaikh@jpmorgan.com</w:t>
                    </w:r>
                  </w:sdtContent>
                </w:sdt>
              </w:p>
              <w:p w:rsidR="00BA7961" w:rsidRDefault="00BA7961">
                <w:pPr>
                  <w:pStyle w:val="Header"/>
                </w:pPr>
                <w:sdt>
                  <w:sdtPr>
                    <w:alias w:val="ANALYST_NAME_ODD"/>
                    <w:tag w:val="ANALYST_NAME_ODD"/>
                    <w:id w:val="31622120"/>
                    <w:lock w:val="sdtContentLocked"/>
                    <w:showingPlcHdr/>
                    <w:text/>
                  </w:sdtPr>
                  <w:sdtContent>
                    <w:r>
                      <w:t xml:space="preserve"> </w:t>
                    </w:r>
                  </w:sdtContent>
                </w:sdt>
                <w:r>
                  <w:br/>
                </w:r>
                <w:sdt>
                  <w:sdtPr>
                    <w:alias w:val="ANALYST_PHONE_ODD"/>
                    <w:tag w:val="ANALYST_PHONE_ODD"/>
                    <w:id w:val="31622093"/>
                    <w:lock w:val="sdtContentLocked"/>
                    <w:showingPlcHdr/>
                    <w:text/>
                  </w:sdtPr>
                  <w:sdtContent>
                    <w:r>
                      <w:t xml:space="preserve"> </w:t>
                    </w:r>
                  </w:sdtContent>
                </w:sdt>
                <w:r>
                  <w:br/>
                </w:r>
                <w:sdt>
                  <w:sdtPr>
                    <w:alias w:val="ANALYST_EMAIL_ODD"/>
                    <w:tag w:val="ANALYST_EMAIL_ODD"/>
                    <w:id w:val="31622066"/>
                    <w:lock w:val="sdtContentLocked"/>
                    <w:showingPlcHdr/>
                    <w:text/>
                  </w:sdtPr>
                  <w:sdtContent>
                    <w:r>
                      <w:t xml:space="preserve"> </w:t>
                    </w:r>
                  </w:sdtContent>
                </w:sdt>
              </w:p>
            </w:txbxContent>
          </v:textbox>
          <w10:wrap anchorx="page"/>
          <w10:anchorlock/>
        </v:shape>
      </w:pict>
    </w:r>
    <w:r w:rsidRPr="00D713E5">
      <w:rPr>
        <w:sz w:val="20"/>
      </w:rPr>
      <w:pict>
        <v:shape id="RegionGroupPrimary" o:spid="_x0000_s4108" type="#_x0000_t202" style="position:absolute;margin-left:212.4pt;margin-top:0;width:196.35pt;height:15.85pt;z-index:251660800;mso-position-horizontal-relative:page;mso-position-vertical:top;mso-position-vertical-relative:line" filled="f" stroked="f">
          <v:textbox style="mso-next-textbox:#RegionGroupPrimary" inset="0,0,0,0">
            <w:txbxContent>
              <w:p w:rsidR="00BA7961" w:rsidRDefault="00BA7961">
                <w:pPr>
                  <w:pStyle w:val="HeaderRegionGroup"/>
                  <w:suppressOverlap/>
                </w:pPr>
                <w:sdt>
                  <w:sdtPr>
                    <w:alias w:val="REGION_ODD"/>
                    <w:tag w:val="REGION_ODD"/>
                    <w:id w:val="31622039"/>
                    <w:lock w:val="sdtContentLocked"/>
                    <w:text/>
                  </w:sdtPr>
                  <w:sdtContent>
                    <w:r>
                      <w:t xml:space="preserve">Global </w:t>
                    </w:r>
                  </w:sdtContent>
                </w:sdt>
                <w:sdt>
                  <w:sdtPr>
                    <w:alias w:val="BUSINESS_GROUP_ODD"/>
                    <w:tag w:val="BUSINESS_GROUP_ODD"/>
                    <w:id w:val="31622012"/>
                    <w:lock w:val="sdtContentLocked"/>
                    <w:text/>
                  </w:sdtPr>
                  <w:sdtContent>
                    <w:r>
                      <w:t>Equity Research</w:t>
                    </w:r>
                  </w:sdtContent>
                </w:sdt>
              </w:p>
              <w:sdt>
                <w:sdtPr>
                  <w:alias w:val="PUBLICATION_DATE_ODD"/>
                  <w:tag w:val="PUBLICATION_DATE_ODD"/>
                  <w:id w:val="1330448"/>
                  <w:lock w:val="sdtContentLocked"/>
                  <w:text/>
                </w:sdtPr>
                <w:sdtContent>
                  <w:p w:rsidR="00BA7961" w:rsidRDefault="00BA7961">
                    <w:pPr>
                      <w:pStyle w:val="Header"/>
                    </w:pPr>
                    <w:r>
                      <w:t>03 July 2014</w:t>
                    </w:r>
                  </w:p>
                </w:sdtContent>
              </w:sdt>
            </w:txbxContent>
          </v:textbox>
          <w10:wrap anchorx="page"/>
          <w10:anchorlock/>
        </v:shape>
      </w:pict>
    </w:r>
  </w:p>
  <w:p w:rsidR="00BA7961" w:rsidRDefault="00BA7961">
    <w:pPr>
      <w:pStyle w:val="Header"/>
      <w:spacing w:after="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pPr w:leftFromText="180" w:rightFromText="180" w:vertAnchor="text" w:horzAnchor="page" w:tblpX="1" w:tblpY="-26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tblPr>
    <w:tblGrid>
      <w:gridCol w:w="1440"/>
    </w:tblGrid>
    <w:tr w:rsidR="00BA7961">
      <w:trPr>
        <w:trHeight w:val="15825"/>
      </w:trPr>
      <w:tc>
        <w:tcPr>
          <w:tcW w:w="1440" w:type="dxa"/>
          <w:shd w:val="clear" w:color="auto" w:fill="auto"/>
        </w:tcPr>
        <w:p w:rsidR="00BA7961" w:rsidRDefault="00BA7961" w:rsidP="0098477B">
          <w:pPr>
            <w:tabs>
              <w:tab w:val="left" w:pos="6360"/>
            </w:tabs>
            <w:spacing w:after="120"/>
          </w:pPr>
        </w:p>
      </w:tc>
    </w:tr>
  </w:tbl>
  <w:p w:rsidR="00BA7961" w:rsidRDefault="00BA7961" w:rsidP="001C3457">
    <w:pPr>
      <w:pStyle w:val="RegionGroup"/>
    </w:pPr>
    <w:sdt>
      <w:sdtPr>
        <w:alias w:val="REGION"/>
        <w:tag w:val="REGION"/>
        <w:id w:val="164905360"/>
        <w:lock w:val="sdtLocked"/>
        <w:comboBox>
          <w:listItem w:displayText="Asia Pacific" w:value="Asia Pacific"/>
          <w:listItem w:displayText="Japan" w:value="Japan"/>
          <w:listItem w:displayText="Global" w:value="Global"/>
          <w:listItem w:displayText="Europe" w:value="Europe"/>
        </w:comboBox>
      </w:sdtPr>
      <w:sdtContent>
        <w:r>
          <w:t xml:space="preserve">Global </w:t>
        </w:r>
      </w:sdtContent>
    </w:sdt>
    <w:sdt>
      <w:sdtPr>
        <w:alias w:val="BUSINESS_GROUP"/>
        <w:tag w:val="BUSINESS_GROUP"/>
        <w:id w:val="164905373"/>
        <w:lock w:val="sdtLocked"/>
        <w:comboBox>
          <w:listItem w:displayText="Equity Research" w:value="Equity Research"/>
          <w:listItem w:displayText="Corporate Research" w:value="Corporate Research"/>
        </w:comboBox>
      </w:sdtPr>
      <w:sdtContent>
        <w:r>
          <w:t>Equity Research</w:t>
        </w:r>
      </w:sdtContent>
    </w:sdt>
  </w:p>
  <w:p w:rsidR="00BA7961" w:rsidRPr="00491D29" w:rsidRDefault="00BA7961" w:rsidP="00491D29">
    <w:pPr>
      <w:pStyle w:val="PublishDate"/>
    </w:pPr>
    <w:sdt>
      <w:sdtPr>
        <w:alias w:val="PUBLICATION_DATE"/>
        <w:tag w:val="PUBLICATION_DATE"/>
        <w:id w:val="1330385"/>
        <w:lock w:val="sdtLocked"/>
        <w:text/>
      </w:sdtPr>
      <w:sdtContent>
        <w:r>
          <w:t>03 July 2014</w:t>
        </w:r>
      </w:sdtContent>
    </w:sdt>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CazLogo_Cover" o:spid="_x0000_s4103" type="#_x0000_t75" style="position:absolute;left:0;text-align:left;margin-left:79.2pt;margin-top:17.3pt;width:259.5pt;height:36pt;z-index:252209664;visibility:visible;mso-position-horizontal-relative:page;mso-position-vertical-relative:page">
          <v:imagedata r:id="rId1" o:title="JPMCaz-pp1"/>
          <w10:wrap type="square" anchorx="page" anchory="page"/>
          <w10:anchorlock/>
        </v:shape>
      </w:pict>
    </w:r>
    <w:r>
      <w:pict>
        <v:shape id="JPMLogo_Cover" o:spid="_x0000_s4104" type="#_x0000_t75" style="position:absolute;left:0;text-align:left;margin-left:79.2pt;margin-top:17.3pt;width:259.5pt;height:36pt;z-index:252086784;visibility:hidden;mso-position-horizontal-relative:page;mso-position-vertical-relative:page">
          <v:imagedata r:id="rId2" o:title="JPM-pp1"/>
          <w10:wrap type="square" anchorx="page" anchory="page"/>
          <w10:anchorlock/>
        </v:shape>
      </w:pict>
    </w:r>
    <w:r>
      <w:pict>
        <v:shape id="JPMSpine" o:spid="_x0000_s4114" type="#_x0000_t75" style="position:absolute;left:0;text-align:left;margin-left:-93.5pt;margin-top:-39.15pt;width:65.25pt;height:793.8pt;z-index:251666944;mso-position-horizontal-relative:text;mso-position-vertical-relative:text">
          <v:imagedata r:id="rId3" o:title=""/>
          <w10:wrap type="square"/>
          <w10:anchorlock/>
        </v:shape>
      </w:pict>
    </w:r>
  </w:p>
  <w:tbl>
    <w:tblPr>
      <w:tblpPr w:leftFromText="187" w:rightFromText="187" w:bottomFromText="120" w:vertAnchor="text" w:tblpXSpec="right" w:tblpY="1"/>
      <w:tblW w:w="9979" w:type="dxa"/>
      <w:tblLayout w:type="fixed"/>
      <w:tblCellMar>
        <w:top w:w="29" w:type="dxa"/>
        <w:left w:w="29" w:type="dxa"/>
        <w:bottom w:w="29" w:type="dxa"/>
        <w:right w:w="29" w:type="dxa"/>
      </w:tblCellMar>
      <w:tblLook w:val="0000"/>
    </w:tblPr>
    <w:tblGrid>
      <w:gridCol w:w="6750"/>
      <w:gridCol w:w="344"/>
      <w:gridCol w:w="2885"/>
    </w:tblGrid>
    <w:tr w:rsidR="00BA7961" w:rsidTr="00577713">
      <w:trPr>
        <w:cantSplit/>
        <w:trHeight w:hRule="exact" w:val="23"/>
      </w:trPr>
      <w:sdt>
        <w:sdtPr>
          <w:alias w:val="FRONT_PAGE_BANNER"/>
          <w:tag w:val="FRONT_PAGE_BANNER"/>
          <w:id w:val="93880344"/>
          <w:lock w:val="sdtContentLocked"/>
          <w:showingPlcHdr/>
          <w:text/>
        </w:sdtPr>
        <w:sdtContent>
          <w:tc>
            <w:tcPr>
              <w:tcW w:w="9979" w:type="dxa"/>
              <w:gridSpan w:val="3"/>
              <w:tcMar>
                <w:top w:w="29" w:type="dxa"/>
                <w:left w:w="29" w:type="dxa"/>
                <w:bottom w:w="29" w:type="dxa"/>
                <w:right w:w="432" w:type="dxa"/>
              </w:tcMar>
              <w:vAlign w:val="bottom"/>
            </w:tcPr>
            <w:p w:rsidR="00BA7961" w:rsidRDefault="00BA7961" w:rsidP="00F06D1C">
              <w:pPr>
                <w:pStyle w:val="ReportType"/>
                <w:framePr w:hSpace="0" w:wrap="auto" w:vAnchor="margin" w:xAlign="left" w:yAlign="inline"/>
              </w:pPr>
              <w:r w:rsidRPr="00BD4766">
                <w:rPr>
                  <w:rStyle w:val="PlaceholderText"/>
                </w:rPr>
                <w:t xml:space="preserve"> </w:t>
              </w:r>
            </w:p>
          </w:tc>
        </w:sdtContent>
      </w:sdt>
    </w:tr>
    <w:tr w:rsidR="00BA7961" w:rsidTr="00577713">
      <w:trPr>
        <w:cantSplit/>
      </w:trPr>
      <w:tc>
        <w:tcPr>
          <w:tcW w:w="6750" w:type="dxa"/>
          <w:tcMar>
            <w:top w:w="29" w:type="dxa"/>
            <w:left w:w="29" w:type="dxa"/>
            <w:bottom w:w="29" w:type="dxa"/>
            <w:right w:w="432" w:type="dxa"/>
          </w:tcMar>
          <w:vAlign w:val="bottom"/>
        </w:tcPr>
        <w:p w:rsidR="00BA7961" w:rsidRDefault="00BA7961" w:rsidP="00C27FE1">
          <w:pPr>
            <w:pStyle w:val="FPTitleCompany"/>
            <w:framePr w:hSpace="0" w:wrap="auto" w:vAnchor="margin" w:xAlign="left" w:yAlign="inline"/>
          </w:pPr>
          <w:sdt>
            <w:sdtPr>
              <w:alias w:val="TITLE"/>
              <w:tag w:val="TITLE"/>
              <w:id w:val="840452"/>
              <w:lock w:val="sdtContentLocked"/>
              <w:text/>
            </w:sdtPr>
            <w:sdtContent>
              <w:r>
                <w:t>Global Factor Performance Summary</w:t>
              </w:r>
            </w:sdtContent>
          </w:sdt>
        </w:p>
      </w:tc>
      <w:tc>
        <w:tcPr>
          <w:tcW w:w="344" w:type="dxa"/>
        </w:tcPr>
        <w:p w:rsidR="00BA7961" w:rsidRPr="008C1005" w:rsidRDefault="00BA7961" w:rsidP="00D14EE2">
          <w:pPr>
            <w:pStyle w:val="RatingChangeArrow"/>
            <w:framePr w:hSpace="0" w:wrap="auto" w:vAnchor="margin" w:xAlign="left" w:yAlign="inline"/>
          </w:pPr>
        </w:p>
      </w:tc>
      <w:tc>
        <w:tcPr>
          <w:tcW w:w="2885" w:type="dxa"/>
          <w:vAlign w:val="bottom"/>
        </w:tcPr>
        <w:p w:rsidR="00BA7961" w:rsidRPr="00EF5DA4" w:rsidRDefault="00BA7961" w:rsidP="00A35CD6">
          <w:pPr>
            <w:pStyle w:val="ReportType"/>
            <w:framePr w:hSpace="0" w:wrap="auto" w:vAnchor="margin" w:xAlign="left" w:yAlign="inline"/>
          </w:pPr>
        </w:p>
      </w:tc>
    </w:tr>
    <w:tr w:rsidR="00BA7961" w:rsidTr="00577713">
      <w:trPr>
        <w:cantSplit/>
      </w:trPr>
      <w:tc>
        <w:tcPr>
          <w:tcW w:w="6750" w:type="dxa"/>
          <w:tcMar>
            <w:right w:w="432" w:type="dxa"/>
          </w:tcMar>
        </w:tcPr>
        <w:p w:rsidR="00BA7961" w:rsidRDefault="00BA7961" w:rsidP="00D8401F">
          <w:pPr>
            <w:pStyle w:val="SubTitle"/>
          </w:pPr>
          <w:sdt>
            <w:sdtPr>
              <w:alias w:val="SUBTITLE"/>
              <w:tag w:val="SUBTITLE"/>
              <w:id w:val="840455"/>
              <w:lock w:val="sdtLocked"/>
              <w:text/>
            </w:sdtPr>
            <w:sdtContent>
              <w:r>
                <w:t>June 2014</w:t>
              </w:r>
            </w:sdtContent>
          </w:sdt>
        </w:p>
      </w:tc>
      <w:tc>
        <w:tcPr>
          <w:tcW w:w="344" w:type="dxa"/>
        </w:tcPr>
        <w:p w:rsidR="00BA7961" w:rsidRPr="00F22CA1" w:rsidRDefault="00BA7961" w:rsidP="00D14EE2">
          <w:pPr>
            <w:pStyle w:val="PTChangeArrow"/>
            <w:framePr w:hSpace="0" w:wrap="auto" w:vAnchor="margin" w:xAlign="left" w:yAlign="inline"/>
          </w:pPr>
        </w:p>
      </w:tc>
      <w:tc>
        <w:tcPr>
          <w:tcW w:w="2885" w:type="dxa"/>
        </w:tcPr>
        <w:p w:rsidR="00BA7961" w:rsidRPr="00EF2AB4" w:rsidRDefault="00BA7961" w:rsidP="00A35CD6">
          <w:pPr>
            <w:pStyle w:val="PriceDual"/>
            <w:framePr w:hSpace="0" w:wrap="auto" w:vAnchor="margin" w:xAlign="left" w:yAlign="inline"/>
          </w:pPr>
        </w:p>
      </w:tc>
    </w:tr>
  </w:tbl>
  <w:tbl>
    <w:tblPr>
      <w:tblpPr w:leftFromText="446" w:rightFromText="187" w:horzAnchor="margin" w:tblpXSpec="right" w:tblpY="1"/>
      <w:tblOverlap w:val="never"/>
      <w:tblW w:w="2880" w:type="dxa"/>
      <w:tblLayout w:type="fixed"/>
      <w:tblCellMar>
        <w:top w:w="29" w:type="dxa"/>
        <w:left w:w="29" w:type="dxa"/>
        <w:bottom w:w="29" w:type="dxa"/>
        <w:right w:w="29" w:type="dxa"/>
      </w:tblCellMar>
      <w:tblLook w:val="0000"/>
    </w:tblPr>
    <w:tblGrid>
      <w:gridCol w:w="2880"/>
    </w:tblGrid>
    <w:tr w:rsidR="00BA7961" w:rsidTr="0098477B">
      <w:trPr>
        <w:cantSplit/>
      </w:trPr>
      <w:tc>
        <w:tcPr>
          <w:tcW w:w="2880" w:type="dxa"/>
          <w:vAlign w:val="center"/>
        </w:tcPr>
        <w:p w:rsidR="00BA7961" w:rsidRPr="00D14EE2" w:rsidRDefault="00BA7961" w:rsidP="009969A0">
          <w:pPr>
            <w:pStyle w:val="GroupName"/>
          </w:pPr>
          <w:sdt>
            <w:sdtPr>
              <w:alias w:val="INDUSTRY"/>
              <w:tag w:val="INDUSTRY"/>
              <w:id w:val="840458"/>
              <w:lock w:val="sdtContentLocked"/>
              <w:placeholder>
                <w:docPart w:val="3102E6F85D7C4F579EB6717E6749FBCE"/>
              </w:placeholder>
              <w:text/>
            </w:sdtPr>
            <w:sdtContent>
              <w:r w:rsidR="009969A0">
                <w:t>Global Equity Quant Strategy</w:t>
              </w:r>
            </w:sdtContent>
          </w:sdt>
        </w:p>
        <w:sdt>
          <w:sdtPr>
            <w:alias w:val="ANALYST_DETAILS"/>
            <w:tag w:val="ANALYST_DETAILS"/>
            <w:id w:val="189518047"/>
            <w:lock w:val="sdtContentLocked"/>
            <w:placeholder>
              <w:docPart w:val="4383694DD4AD4B2FAFAB3B0285A96936"/>
            </w:placeholder>
          </w:sdtPr>
          <w:sdtEndPr>
            <w:rPr>
              <w:b w:val="0"/>
              <w:color w:val="000000" w:themeColor="text1"/>
              <w:sz w:val="14"/>
            </w:rPr>
          </w:sdtEndPr>
          <w:sdtContent>
            <w:p w:rsidR="009969A0" w:rsidRDefault="009969A0" w:rsidP="009969A0">
              <w:pPr>
                <w:pStyle w:val="Name"/>
                <w:rPr>
                  <w:rStyle w:val="ComplianceMark"/>
                </w:rPr>
              </w:pPr>
              <w:r>
                <w:t xml:space="preserve">Viquar Shaikh </w:t>
              </w:r>
              <w:r w:rsidRPr="009969A0">
                <w:rPr>
                  <w:rStyle w:val="ComplianceMark"/>
                </w:rPr>
                <w:t>AC</w:t>
              </w:r>
            </w:p>
            <w:p w:rsidR="009969A0" w:rsidRDefault="009969A0" w:rsidP="009969A0">
              <w:pPr>
                <w:pStyle w:val="Phone"/>
              </w:pPr>
              <w:r>
                <w:t>(44-20) 7134-5908</w:t>
              </w:r>
            </w:p>
            <w:p w:rsidR="009969A0" w:rsidRDefault="009969A0" w:rsidP="009969A0">
              <w:pPr>
                <w:pStyle w:val="EMail"/>
              </w:pPr>
              <w:r>
                <w:t>viquar.x.shaikh@jpmorgan.com</w:t>
              </w:r>
            </w:p>
            <w:p w:rsidR="00BA7961" w:rsidRDefault="009969A0" w:rsidP="009969A0">
              <w:pPr>
                <w:pStyle w:val="FPLegalEntityNamewithoutborder"/>
              </w:pPr>
              <w:r>
                <w:t>J.P. Morgan Securities plc</w:t>
              </w:r>
            </w:p>
          </w:sdtContent>
        </w:sdt>
        <w:sdt>
          <w:sdtPr>
            <w:alias w:val="SECONDARY_ANALYST_CONTAINER"/>
            <w:tag w:val="SECONDARY_ANALYST_CONTAINER"/>
            <w:id w:val="363056899"/>
            <w:lock w:val="sdtContentLocked"/>
            <w:placeholder>
              <w:docPart w:val="9E7DF0D4BB484F5FA5D3B562C0861348"/>
            </w:placeholder>
          </w:sdtPr>
          <w:sdtEndPr>
            <w:rPr>
              <w:b w:val="0"/>
              <w:color w:val="000000"/>
              <w:sz w:val="14"/>
              <w:szCs w:val="14"/>
            </w:rPr>
          </w:sdtEndPr>
          <w:sdtContent>
            <w:p w:rsidR="009969A0" w:rsidRDefault="009969A0" w:rsidP="009969A0">
              <w:pPr>
                <w:pStyle w:val="Name"/>
                <w:rPr>
                  <w:rStyle w:val="ComplianceMark"/>
                </w:rPr>
              </w:pPr>
              <w:r>
                <w:t xml:space="preserve">Dubravko Lakos-Bujas </w:t>
              </w:r>
              <w:r w:rsidRPr="009969A0">
                <w:rPr>
                  <w:rStyle w:val="ComplianceMark"/>
                </w:rPr>
                <w:t>AC</w:t>
              </w:r>
            </w:p>
            <w:p w:rsidR="009969A0" w:rsidRDefault="009969A0" w:rsidP="009969A0">
              <w:pPr>
                <w:pStyle w:val="Phone"/>
              </w:pPr>
              <w:r>
                <w:t>(1-212) 622-3601</w:t>
              </w:r>
            </w:p>
            <w:p w:rsidR="009969A0" w:rsidRDefault="009969A0" w:rsidP="009969A0">
              <w:pPr>
                <w:pStyle w:val="EMail"/>
              </w:pPr>
              <w:r>
                <w:t>dubravko.lakos-bujas@jpmorgan.com</w:t>
              </w:r>
            </w:p>
            <w:p w:rsidR="009969A0" w:rsidRDefault="009969A0" w:rsidP="009969A0">
              <w:pPr>
                <w:pStyle w:val="FPLegalEntityNamewithoutborder"/>
              </w:pPr>
              <w:r>
                <w:t>J.P. Morgan Securities LLC</w:t>
              </w:r>
            </w:p>
            <w:p w:rsidR="009969A0" w:rsidRDefault="009969A0" w:rsidP="009969A0">
              <w:pPr>
                <w:pStyle w:val="Name"/>
                <w:rPr>
                  <w:rStyle w:val="ComplianceMark"/>
                </w:rPr>
              </w:pPr>
              <w:r>
                <w:t xml:space="preserve">Berowne Hlavaty </w:t>
              </w:r>
              <w:r w:rsidRPr="009969A0">
                <w:rPr>
                  <w:rStyle w:val="ComplianceMark"/>
                </w:rPr>
                <w:t>AC</w:t>
              </w:r>
            </w:p>
            <w:p w:rsidR="009969A0" w:rsidRDefault="009969A0" w:rsidP="009969A0">
              <w:pPr>
                <w:pStyle w:val="Phone"/>
              </w:pPr>
              <w:r>
                <w:t>(61-2) 9003-8602</w:t>
              </w:r>
            </w:p>
            <w:p w:rsidR="009969A0" w:rsidRDefault="009969A0" w:rsidP="009969A0">
              <w:pPr>
                <w:pStyle w:val="EMail"/>
              </w:pPr>
              <w:r>
                <w:t>berowne.d.hlavaty@jpmorgan.com</w:t>
              </w:r>
            </w:p>
            <w:p w:rsidR="009969A0" w:rsidRDefault="009969A0" w:rsidP="009969A0">
              <w:pPr>
                <w:pStyle w:val="FPLegalEntityNamewithoutborder"/>
              </w:pPr>
              <w:r>
                <w:t>J.P. Morgan Securities Australia Limited</w:t>
              </w:r>
            </w:p>
            <w:p w:rsidR="009969A0" w:rsidRDefault="009969A0" w:rsidP="009969A0">
              <w:pPr>
                <w:pStyle w:val="Name"/>
                <w:rPr>
                  <w:rStyle w:val="ComplianceMark"/>
                </w:rPr>
              </w:pPr>
              <w:r>
                <w:t xml:space="preserve">Robert Smith </w:t>
              </w:r>
              <w:r w:rsidRPr="009969A0">
                <w:rPr>
                  <w:rStyle w:val="ComplianceMark"/>
                </w:rPr>
                <w:t>AC</w:t>
              </w:r>
            </w:p>
            <w:p w:rsidR="009969A0" w:rsidRDefault="009969A0" w:rsidP="009969A0">
              <w:pPr>
                <w:pStyle w:val="Phone"/>
              </w:pPr>
              <w:r>
                <w:t>(852) 2800 8569</w:t>
              </w:r>
            </w:p>
            <w:p w:rsidR="009969A0" w:rsidRDefault="009969A0" w:rsidP="009969A0">
              <w:pPr>
                <w:pStyle w:val="EMail"/>
              </w:pPr>
              <w:r>
                <w:t>robert.z.smith@jpmorgan.com</w:t>
              </w:r>
            </w:p>
            <w:p w:rsidR="009969A0" w:rsidRDefault="009969A0" w:rsidP="009969A0">
              <w:pPr>
                <w:pStyle w:val="FPLegalEntityNamewithoutborder"/>
              </w:pPr>
              <w:r>
                <w:t>J.P. Morgan Securities (Asia Pacific) Limited</w:t>
              </w:r>
            </w:p>
            <w:p w:rsidR="009969A0" w:rsidRDefault="009969A0" w:rsidP="009969A0">
              <w:pPr>
                <w:pStyle w:val="Name"/>
                <w:rPr>
                  <w:rStyle w:val="ComplianceMark"/>
                </w:rPr>
              </w:pPr>
              <w:r>
                <w:t xml:space="preserve">Christopher Ma </w:t>
              </w:r>
              <w:r w:rsidRPr="009969A0">
                <w:rPr>
                  <w:rStyle w:val="ComplianceMark"/>
                </w:rPr>
                <w:t>AC</w:t>
              </w:r>
            </w:p>
            <w:p w:rsidR="009969A0" w:rsidRDefault="009969A0" w:rsidP="009969A0">
              <w:pPr>
                <w:pStyle w:val="Phone"/>
              </w:pPr>
              <w:r>
                <w:t>(852) 2800-8530</w:t>
              </w:r>
            </w:p>
            <w:p w:rsidR="009969A0" w:rsidRDefault="009969A0" w:rsidP="009969A0">
              <w:pPr>
                <w:pStyle w:val="EMail"/>
              </w:pPr>
              <w:r>
                <w:t>christopher.x.ma@jpmorgan.com</w:t>
              </w:r>
            </w:p>
            <w:p w:rsidR="00BA7961" w:rsidRPr="00D31909" w:rsidRDefault="009969A0" w:rsidP="009969A0">
              <w:pPr>
                <w:pStyle w:val="FPLegalEntityName"/>
              </w:pPr>
              <w:r>
                <w:t>J.P. Morgan Securities (Asia Pacific) Limited</w:t>
              </w:r>
            </w:p>
          </w:sdtContent>
        </w:sdt>
        <w:p w:rsidR="00BA7961" w:rsidRPr="001A39BA" w:rsidRDefault="00BA7961" w:rsidP="001A39BA">
          <w:pPr>
            <w:pStyle w:val="Phone"/>
          </w:pPr>
        </w:p>
      </w:tc>
    </w:tr>
    <w:tr w:rsidR="00BA7961" w:rsidTr="0098477B">
      <w:trPr>
        <w:cantSplit/>
      </w:trPr>
      <w:tc>
        <w:tcPr>
          <w:tcW w:w="2880" w:type="dxa"/>
          <w:vAlign w:val="center"/>
        </w:tcPr>
        <w:p w:rsidR="00BA7961" w:rsidRDefault="00BA7961" w:rsidP="004945AF">
          <w:pPr>
            <w:pStyle w:val="GroupName"/>
            <w:pBdr>
              <w:top w:val="none" w:sz="0" w:space="0" w:color="auto"/>
            </w:pBdr>
          </w:pPr>
        </w:p>
      </w:tc>
    </w:tr>
  </w:tbl>
  <w:p w:rsidR="00BA7961" w:rsidRPr="00F534AB" w:rsidRDefault="00BA7961" w:rsidP="0098477B">
    <w:pPr>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961" w:rsidRDefault="00BA7961">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961" w:rsidRDefault="00BA7961">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961" w:rsidRDefault="00BA7961">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961" w:rsidRDefault="00BA7961">
    <w:pPr>
      <w:pStyle w:val="Header"/>
      <w:spacing w:after="0"/>
    </w:pPr>
    <w:r w:rsidRPr="00D713E5">
      <w:rPr>
        <w:sz w:val="20"/>
      </w:rPr>
      <w:pict>
        <v:shapetype id="_x0000_t202" coordsize="21600,21600" o:spt="202" path="m,l,21600r21600,l21600,xe">
          <v:stroke joinstyle="miter"/>
          <v:path gradientshapeok="t" o:connecttype="rect"/>
        </v:shapetype>
        <v:shape id="DealDerivativeFirst" o:spid="_x0000_s4118" type="#_x0000_t202" style="position:absolute;margin-left:212.4pt;margin-top:18.7pt;width:343.45pt;height:52.55pt;z-index:251655680;visibility:hidden;mso-position-horizontal-relative:page;mso-position-vertical-relative:line" stroked="f">
          <v:textbox style="mso-next-textbox:#DealDerivativeFirst" inset="0,0,0,0">
            <w:txbxContent>
              <w:p w:rsidR="00BA7961" w:rsidRDefault="00BA7961">
                <w:pPr>
                  <w:pStyle w:val="IPOInsidePage"/>
                </w:pPr>
              </w:p>
              <w:p w:rsidR="00BA7961" w:rsidRDefault="00BA7961">
                <w:pPr>
                  <w:pStyle w:val="RegionGroupInvisible"/>
                </w:pPr>
              </w:p>
            </w:txbxContent>
          </v:textbox>
          <w10:wrap anchorx="page"/>
          <w10:anchor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LogoBack" o:spid="_x0000_s4119" type="#_x0000_t75" style="position:absolute;margin-left:3840pt;margin-top:0;width:1in;height:11.5pt;z-index:251657728;mso-position-horizontal:right;mso-position-horizontal-relative:margin;mso-position-vertical:top;mso-position-vertical-relative:line">
          <v:imagedata r:id="rId1" o:title="Logo2005_JPM_A_Blue300"/>
          <w10:wrap type="square" anchorx="margin"/>
          <w10:anchorlock/>
        </v:shape>
      </w:pict>
    </w:r>
    <w:r w:rsidRPr="00D713E5">
      <w:rPr>
        <w:sz w:val="20"/>
      </w:rPr>
      <w:pict>
        <v:shape id="TrapezoidBackCover" o:spid="_x0000_s4117" style="position:absolute;margin-left:7081.25pt;margin-top:.2pt;width:94.7pt;height:53.95pt;z-index:-251662848;mso-wrap-edited:f;mso-position-horizontal:right;mso-position-horizontal-relative:page;mso-position-vertical:absolute;mso-position-vertical-relative:page" coordsize="17046,9711" wrapcoords="-135 0 9335 9576 17181 9576 17181 0 -135 0" path="m9594,r,l,,9551,9668r,43l17046,9711,17046,,9594,xe" fillcolor="#095aa5" stroked="f">
          <v:path arrowok="t"/>
          <w10:wrap anchorx="page" anchory="page"/>
          <w10:anchorlock/>
        </v:shape>
      </w:pict>
    </w:r>
    <w:r w:rsidRPr="00D713E5">
      <w:rPr>
        <w:sz w:val="20"/>
      </w:rPr>
      <w:pict>
        <v:shape id="RegionGroupFirst" o:spid="_x0000_s4116" type="#_x0000_t202" style="position:absolute;margin-left:212.4pt;margin-top:0;width:156.25pt;height:16pt;z-index:251651584;mso-position-horizontal-relative:page;mso-position-vertical:top;mso-position-vertical-relative:line" stroked="f">
          <v:textbox style="mso-next-textbox:#RegionGroupFirst" inset="0,0,0,0">
            <w:txbxContent>
              <w:p w:rsidR="00BA7961" w:rsidRDefault="00BA7961">
                <w:pPr>
                  <w:pStyle w:val="HeaderRegionGroup"/>
                  <w:suppressOverlap/>
                </w:pPr>
                <w:r>
                  <w:t>Region Group</w:t>
                </w:r>
              </w:p>
              <w:p w:rsidR="00BA7961" w:rsidRDefault="00BA7961">
                <w:pPr>
                  <w:pStyle w:val="Header"/>
                </w:pPr>
                <w:r>
                  <w:t>Publish Date</w:t>
                </w:r>
              </w:p>
            </w:txbxContent>
          </v:textbox>
          <w10:wrap anchorx="page"/>
          <w10:anchorlock/>
        </v:shape>
      </w:pict>
    </w:r>
    <w:r w:rsidRPr="00D713E5">
      <w:rPr>
        <w:sz w:val="20"/>
      </w:rPr>
      <w:pict>
        <v:shape id="AnalystFirst" o:spid="_x0000_s4115" type="#_x0000_t202" style="position:absolute;margin-left:56.9pt;margin-top:0;width:2in;height:1in;z-index:251649536;mso-position-horizontal-relative:page;mso-position-vertical:top;mso-position-vertical-relative:line" stroked="f">
          <v:textbox style="mso-next-textbox:#AnalystFirst" inset="0,0,0,0">
            <w:txbxContent>
              <w:p w:rsidR="00BA7961" w:rsidRDefault="00BA7961">
                <w:pPr>
                  <w:pStyle w:val="Header"/>
                </w:pPr>
                <w:r>
                  <w:t>Analyst Name Main</w:t>
                </w:r>
                <w:r>
                  <w:br/>
                  <w:t>Analyst Phone Main</w:t>
                </w:r>
                <w:r>
                  <w:br/>
                  <w:t xml:space="preserve">Analyst Email </w:t>
                </w:r>
                <w:smartTag w:uri="urn:schemas-microsoft-com:office:smarttags" w:element="place">
                  <w:r>
                    <w:t>Main</w:t>
                  </w:r>
                </w:smartTag>
              </w:p>
              <w:p w:rsidR="00BA7961" w:rsidRDefault="00BA7961">
                <w:pPr>
                  <w:pStyle w:val="Header"/>
                </w:pPr>
                <w:r>
                  <w:t>Analyst Name</w:t>
                </w:r>
                <w:r>
                  <w:br/>
                  <w:t>Analyst Phone</w:t>
                </w:r>
                <w:r>
                  <w:br/>
                  <w:t>Analyst Email</w:t>
                </w:r>
              </w:p>
            </w:txbxContent>
          </v:textbox>
          <w10:wrap anchorx="page"/>
          <w10:anchorlock/>
        </v:shape>
      </w:pict>
    </w:r>
  </w:p>
  <w:p w:rsidR="00BA7961" w:rsidRDefault="00BA7961">
    <w:pPr>
      <w:pStyle w:val="Header"/>
      <w:spacing w:after="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2A02A8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7BCD8B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CFC04E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132266E2"/>
    <w:lvl w:ilvl="0">
      <w:start w:val="1"/>
      <w:numFmt w:val="decimal"/>
      <w:pStyle w:val="ListNumber2"/>
      <w:lvlText w:val="%1."/>
      <w:lvlJc w:val="left"/>
      <w:pPr>
        <w:tabs>
          <w:tab w:val="num" w:pos="720"/>
        </w:tabs>
        <w:ind w:left="720" w:hanging="360"/>
      </w:pPr>
    </w:lvl>
  </w:abstractNum>
  <w:abstractNum w:abstractNumId="4">
    <w:nsid w:val="FFFFFF80"/>
    <w:multiLevelType w:val="singleLevel"/>
    <w:tmpl w:val="D5A2623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380EDC3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4A4B94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822EE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0BDC404A"/>
    <w:lvl w:ilvl="0">
      <w:start w:val="1"/>
      <w:numFmt w:val="decimal"/>
      <w:pStyle w:val="ListNumber"/>
      <w:lvlText w:val="%1."/>
      <w:lvlJc w:val="left"/>
      <w:pPr>
        <w:tabs>
          <w:tab w:val="num" w:pos="360"/>
        </w:tabs>
        <w:ind w:left="360" w:hanging="360"/>
      </w:pPr>
    </w:lvl>
  </w:abstractNum>
  <w:abstractNum w:abstractNumId="9">
    <w:nsid w:val="FFFFFF89"/>
    <w:multiLevelType w:val="singleLevel"/>
    <w:tmpl w:val="F3582CA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98D26F1"/>
    <w:multiLevelType w:val="multilevel"/>
    <w:tmpl w:val="C5B8A49E"/>
    <w:lvl w:ilvl="0">
      <w:start w:val="1"/>
      <w:numFmt w:val="bullet"/>
      <w:pStyle w:val="Bullet"/>
      <w:lvlText w:val=""/>
      <w:lvlJc w:val="left"/>
      <w:pPr>
        <w:tabs>
          <w:tab w:val="num" w:pos="360"/>
        </w:tabs>
        <w:ind w:left="288" w:hanging="288"/>
      </w:pPr>
      <w:rPr>
        <w:rFonts w:ascii="Symbol" w:hAnsi="Symbol" w:hint="default"/>
        <w:b w:val="0"/>
        <w:i w:val="0"/>
        <w:color w:val="auto"/>
      </w:rPr>
    </w:lvl>
    <w:lvl w:ilvl="1">
      <w:start w:val="1"/>
      <w:numFmt w:val="bullet"/>
      <w:lvlRestart w:val="0"/>
      <w:suff w:val="space"/>
      <w:lvlText w:val=""/>
      <w:lvlJc w:val="left"/>
      <w:pPr>
        <w:ind w:left="312" w:hanging="142"/>
      </w:pPr>
      <w:rPr>
        <w:rFonts w:ascii="Symbol" w:hAnsi="Symbol" w:hint="default"/>
        <w:color w:val="AD1E35"/>
        <w:sz w:val="20"/>
      </w:rPr>
    </w:lvl>
    <w:lvl w:ilvl="2">
      <w:start w:val="1"/>
      <w:numFmt w:val="bullet"/>
      <w:lvlRestart w:val="0"/>
      <w:suff w:val="space"/>
      <w:lvlText w:val=""/>
      <w:lvlJc w:val="left"/>
      <w:pPr>
        <w:ind w:left="312" w:hanging="142"/>
      </w:pPr>
      <w:rPr>
        <w:rFonts w:ascii="Symbol" w:hAnsi="Symbol" w:hint="default"/>
        <w:color w:val="AD1E35"/>
        <w:sz w:val="20"/>
      </w:rPr>
    </w:lvl>
    <w:lvl w:ilvl="3">
      <w:start w:val="1"/>
      <w:numFmt w:val="bullet"/>
      <w:lvlRestart w:val="0"/>
      <w:suff w:val="space"/>
      <w:lvlText w:val=""/>
      <w:lvlJc w:val="left"/>
      <w:pPr>
        <w:ind w:left="312" w:hanging="142"/>
      </w:pPr>
      <w:rPr>
        <w:rFonts w:ascii="Symbol" w:hAnsi="Symbol" w:hint="default"/>
        <w:color w:val="AD1E35"/>
        <w:sz w:val="20"/>
      </w:rPr>
    </w:lvl>
    <w:lvl w:ilvl="4">
      <w:start w:val="1"/>
      <w:numFmt w:val="bullet"/>
      <w:lvlRestart w:val="0"/>
      <w:suff w:val="space"/>
      <w:lvlText w:val=""/>
      <w:lvlJc w:val="left"/>
      <w:pPr>
        <w:ind w:left="312" w:hanging="142"/>
      </w:pPr>
      <w:rPr>
        <w:rFonts w:ascii="Symbol" w:hAnsi="Symbol" w:hint="default"/>
        <w:color w:val="AD1E35"/>
        <w:sz w:val="20"/>
      </w:rPr>
    </w:lvl>
    <w:lvl w:ilvl="5">
      <w:start w:val="1"/>
      <w:numFmt w:val="bullet"/>
      <w:lvlRestart w:val="0"/>
      <w:suff w:val="space"/>
      <w:lvlText w:val=""/>
      <w:lvlJc w:val="left"/>
      <w:pPr>
        <w:ind w:left="312" w:hanging="142"/>
      </w:pPr>
      <w:rPr>
        <w:rFonts w:ascii="Symbol" w:hAnsi="Symbol" w:hint="default"/>
        <w:color w:val="AD1E35"/>
        <w:sz w:val="20"/>
      </w:rPr>
    </w:lvl>
    <w:lvl w:ilvl="6">
      <w:start w:val="1"/>
      <w:numFmt w:val="bullet"/>
      <w:lvlRestart w:val="0"/>
      <w:suff w:val="space"/>
      <w:lvlText w:val=""/>
      <w:lvlJc w:val="left"/>
      <w:pPr>
        <w:ind w:left="312" w:hanging="142"/>
      </w:pPr>
      <w:rPr>
        <w:rFonts w:ascii="Symbol" w:hAnsi="Symbol" w:hint="default"/>
        <w:color w:val="AD1E35"/>
        <w:sz w:val="20"/>
      </w:rPr>
    </w:lvl>
    <w:lvl w:ilvl="7">
      <w:start w:val="1"/>
      <w:numFmt w:val="bullet"/>
      <w:lvlRestart w:val="0"/>
      <w:suff w:val="space"/>
      <w:lvlText w:val=""/>
      <w:lvlJc w:val="left"/>
      <w:pPr>
        <w:ind w:left="312" w:hanging="142"/>
      </w:pPr>
      <w:rPr>
        <w:rFonts w:ascii="Symbol" w:hAnsi="Symbol" w:hint="default"/>
        <w:color w:val="AD1E35"/>
        <w:sz w:val="20"/>
      </w:rPr>
    </w:lvl>
    <w:lvl w:ilvl="8">
      <w:start w:val="1"/>
      <w:numFmt w:val="bullet"/>
      <w:lvlRestart w:val="0"/>
      <w:suff w:val="space"/>
      <w:lvlText w:val=""/>
      <w:lvlJc w:val="left"/>
      <w:pPr>
        <w:ind w:left="312" w:hanging="142"/>
      </w:pPr>
      <w:rPr>
        <w:rFonts w:ascii="Symbol" w:hAnsi="Symbol" w:hint="default"/>
        <w:color w:val="AD1E35"/>
        <w:sz w:val="20"/>
      </w:rPr>
    </w:lvl>
  </w:abstractNum>
  <w:abstractNum w:abstractNumId="11">
    <w:nsid w:val="0E1F66C5"/>
    <w:multiLevelType w:val="multilevel"/>
    <w:tmpl w:val="04090023"/>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suff w:val="nothing"/>
      <w:lvlText w:val=""/>
      <w:lvlJc w:val="left"/>
      <w:pPr>
        <w:ind w:left="2551" w:hanging="425"/>
      </w:pPr>
    </w:lvl>
    <w:lvl w:ilvl="6">
      <w:start w:val="1"/>
      <w:numFmt w:val="none"/>
      <w:suff w:val="nothing"/>
      <w:lvlText w:val=""/>
      <w:lvlJc w:val="left"/>
      <w:pPr>
        <w:ind w:left="2976" w:hanging="425"/>
      </w:pPr>
    </w:lvl>
    <w:lvl w:ilvl="7">
      <w:start w:val="1"/>
      <w:numFmt w:val="none"/>
      <w:suff w:val="nothing"/>
      <w:lvlText w:val=""/>
      <w:lvlJc w:val="left"/>
      <w:pPr>
        <w:ind w:left="3402" w:hanging="426"/>
      </w:pPr>
    </w:lvl>
    <w:lvl w:ilvl="8">
      <w:start w:val="1"/>
      <w:numFmt w:val="none"/>
      <w:suff w:val="nothing"/>
      <w:lvlText w:val=""/>
      <w:lvlJc w:val="right"/>
      <w:pPr>
        <w:ind w:left="3827" w:hanging="425"/>
      </w:pPr>
    </w:lvl>
  </w:abstractNum>
  <w:abstractNum w:abstractNumId="12">
    <w:nsid w:val="10BC214F"/>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nsid w:val="145F38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nsid w:val="174C6D63"/>
    <w:multiLevelType w:val="hybridMultilevel"/>
    <w:tmpl w:val="00FE8FDE"/>
    <w:lvl w:ilvl="0" w:tplc="BD96BFD0">
      <w:start w:val="1"/>
      <w:numFmt w:val="bullet"/>
      <w:pStyle w:val="Bullet-last"/>
      <w:lvlText w:val=""/>
      <w:lvlJc w:val="left"/>
      <w:pPr>
        <w:ind w:left="360" w:hanging="360"/>
      </w:pPr>
      <w:rPr>
        <w:rFonts w:ascii="Symbol" w:hAnsi="Symbol" w:hint="default"/>
        <w:color w:val="4E8ABE"/>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nsid w:val="1D627FEB"/>
    <w:multiLevelType w:val="hybridMultilevel"/>
    <w:tmpl w:val="D13EB26E"/>
    <w:lvl w:ilvl="0" w:tplc="9EEAEF24">
      <w:start w:val="1"/>
      <w:numFmt w:val="bullet"/>
      <w:pStyle w:val="Bullet-first"/>
      <w:lvlText w:val=""/>
      <w:lvlJc w:val="left"/>
      <w:pPr>
        <w:ind w:left="360" w:hanging="360"/>
      </w:pPr>
      <w:rPr>
        <w:rFonts w:ascii="Symbol" w:hAnsi="Symbol" w:hint="default"/>
        <w:color w:val="4E8ABE"/>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nsid w:val="21876A24"/>
    <w:multiLevelType w:val="multilevel"/>
    <w:tmpl w:val="D6C4AC06"/>
    <w:lvl w:ilvl="0">
      <w:start w:val="1"/>
      <w:numFmt w:val="bullet"/>
      <w:pStyle w:val="BulletAsia"/>
      <w:lvlText w:val=""/>
      <w:lvlJc w:val="left"/>
      <w:pPr>
        <w:tabs>
          <w:tab w:val="num" w:pos="360"/>
        </w:tabs>
        <w:ind w:left="170" w:hanging="170"/>
      </w:pPr>
      <w:rPr>
        <w:rFonts w:ascii="Symbol" w:hAnsi="Symbol" w:hint="default"/>
        <w:color w:val="auto"/>
      </w:rPr>
    </w:lvl>
    <w:lvl w:ilvl="1">
      <w:start w:val="1"/>
      <w:numFmt w:val="bullet"/>
      <w:suff w:val="space"/>
      <w:lvlText w:val=""/>
      <w:lvlJc w:val="left"/>
      <w:pPr>
        <w:ind w:left="471" w:hanging="301"/>
      </w:pPr>
      <w:rPr>
        <w:rFonts w:ascii="Wingdings 3" w:hAnsi="Wingdings 3" w:hint="default"/>
        <w:sz w:val="16"/>
      </w:rPr>
    </w:lvl>
    <w:lvl w:ilvl="2">
      <w:start w:val="1"/>
      <w:numFmt w:val="bullet"/>
      <w:suff w:val="nothing"/>
      <w:lvlText w:val=""/>
      <w:lvlJc w:val="left"/>
      <w:pPr>
        <w:ind w:left="312" w:hanging="199"/>
      </w:pPr>
      <w:rPr>
        <w:rFonts w:ascii="Bookdings" w:hAnsi="Bookdings" w:hint="default"/>
        <w:color w:val="auto"/>
      </w:rPr>
    </w:lvl>
    <w:lvl w:ilvl="3">
      <w:start w:val="1"/>
      <w:numFmt w:val="bullet"/>
      <w:lvlRestart w:val="0"/>
      <w:suff w:val="nothing"/>
      <w:lvlText w:val=""/>
      <w:lvlJc w:val="left"/>
      <w:pPr>
        <w:ind w:left="312" w:hanging="199"/>
      </w:pPr>
      <w:rPr>
        <w:rFonts w:ascii="Bookdings" w:hAnsi="Bookdings" w:hint="default"/>
        <w:color w:val="auto"/>
      </w:rPr>
    </w:lvl>
    <w:lvl w:ilvl="4">
      <w:start w:val="1"/>
      <w:numFmt w:val="lowerLetter"/>
      <w:lvlRestart w:val="0"/>
      <w:suff w:val="nothing"/>
      <w:lvlText w:val="(%5)"/>
      <w:lvlJc w:val="left"/>
      <w:pPr>
        <w:ind w:left="0" w:firstLine="0"/>
      </w:pPr>
      <w:rPr>
        <w:rFonts w:hint="default"/>
      </w:rPr>
    </w:lvl>
    <w:lvl w:ilvl="5">
      <w:start w:val="1"/>
      <w:numFmt w:val="lowerRoman"/>
      <w:lvlRestart w:val="0"/>
      <w:suff w:val="nothing"/>
      <w:lvlText w:val="(%6)"/>
      <w:lvlJc w:val="left"/>
      <w:pPr>
        <w:ind w:left="0" w:firstLine="0"/>
      </w:pPr>
      <w:rPr>
        <w:rFonts w:hint="default"/>
      </w:rPr>
    </w:lvl>
    <w:lvl w:ilvl="6">
      <w:start w:val="1"/>
      <w:numFmt w:val="decimal"/>
      <w:lvlRestart w:val="0"/>
      <w:suff w:val="nothing"/>
      <w:lvlText w:val="%7."/>
      <w:lvlJc w:val="left"/>
      <w:pPr>
        <w:ind w:left="0" w:firstLine="0"/>
      </w:pPr>
      <w:rPr>
        <w:rFonts w:hint="default"/>
      </w:rPr>
    </w:lvl>
    <w:lvl w:ilvl="7">
      <w:start w:val="1"/>
      <w:numFmt w:val="lowerLetter"/>
      <w:lvlRestart w:val="0"/>
      <w:suff w:val="nothing"/>
      <w:lvlText w:val="%8."/>
      <w:lvlJc w:val="left"/>
      <w:pPr>
        <w:ind w:left="0" w:firstLine="0"/>
      </w:pPr>
      <w:rPr>
        <w:rFonts w:hint="default"/>
      </w:rPr>
    </w:lvl>
    <w:lvl w:ilvl="8">
      <w:start w:val="1"/>
      <w:numFmt w:val="lowerRoman"/>
      <w:lvlRestart w:val="0"/>
      <w:suff w:val="nothing"/>
      <w:lvlText w:val="%9."/>
      <w:lvlJc w:val="left"/>
      <w:pPr>
        <w:ind w:left="0" w:firstLine="0"/>
      </w:pPr>
      <w:rPr>
        <w:rFonts w:hint="default"/>
      </w:rPr>
    </w:lvl>
  </w:abstractNum>
  <w:abstractNum w:abstractNumId="17">
    <w:nsid w:val="2EAD5669"/>
    <w:multiLevelType w:val="hybridMultilevel"/>
    <w:tmpl w:val="0A1ACF70"/>
    <w:lvl w:ilvl="0" w:tplc="94D6570E">
      <w:start w:val="1"/>
      <w:numFmt w:val="bullet"/>
      <w:pStyle w:val="FPBullet"/>
      <w:lvlText w:val=""/>
      <w:lvlJc w:val="left"/>
      <w:pPr>
        <w:tabs>
          <w:tab w:val="num" w:pos="0"/>
        </w:tabs>
        <w:ind w:left="340" w:hanging="340"/>
      </w:pPr>
      <w:rPr>
        <w:rFonts w:ascii="Symbol" w:hAnsi="Symbol" w:hint="default"/>
        <w:b w:val="0"/>
        <w:i w:val="0"/>
        <w:color w:val="4E8ABE"/>
      </w:rPr>
    </w:lvl>
    <w:lvl w:ilvl="1" w:tplc="336646C6" w:tentative="1">
      <w:start w:val="1"/>
      <w:numFmt w:val="bullet"/>
      <w:lvlText w:val="o"/>
      <w:lvlJc w:val="left"/>
      <w:pPr>
        <w:tabs>
          <w:tab w:val="num" w:pos="1440"/>
        </w:tabs>
        <w:ind w:left="1440" w:hanging="360"/>
      </w:pPr>
      <w:rPr>
        <w:rFonts w:ascii="Courier New" w:hAnsi="Courier New" w:hint="default"/>
      </w:rPr>
    </w:lvl>
    <w:lvl w:ilvl="2" w:tplc="9EBE45D4" w:tentative="1">
      <w:start w:val="1"/>
      <w:numFmt w:val="bullet"/>
      <w:lvlText w:val=""/>
      <w:lvlJc w:val="left"/>
      <w:pPr>
        <w:tabs>
          <w:tab w:val="num" w:pos="2160"/>
        </w:tabs>
        <w:ind w:left="2160" w:hanging="360"/>
      </w:pPr>
      <w:rPr>
        <w:rFonts w:ascii="Wingdings" w:hAnsi="Wingdings" w:hint="default"/>
      </w:rPr>
    </w:lvl>
    <w:lvl w:ilvl="3" w:tplc="6B32D5F0" w:tentative="1">
      <w:start w:val="1"/>
      <w:numFmt w:val="bullet"/>
      <w:lvlText w:val=""/>
      <w:lvlJc w:val="left"/>
      <w:pPr>
        <w:tabs>
          <w:tab w:val="num" w:pos="2880"/>
        </w:tabs>
        <w:ind w:left="2880" w:hanging="360"/>
      </w:pPr>
      <w:rPr>
        <w:rFonts w:ascii="Symbol" w:hAnsi="Symbol" w:hint="default"/>
      </w:rPr>
    </w:lvl>
    <w:lvl w:ilvl="4" w:tplc="0AF4755A" w:tentative="1">
      <w:start w:val="1"/>
      <w:numFmt w:val="bullet"/>
      <w:lvlText w:val="o"/>
      <w:lvlJc w:val="left"/>
      <w:pPr>
        <w:tabs>
          <w:tab w:val="num" w:pos="3600"/>
        </w:tabs>
        <w:ind w:left="3600" w:hanging="360"/>
      </w:pPr>
      <w:rPr>
        <w:rFonts w:ascii="Courier New" w:hAnsi="Courier New" w:hint="default"/>
      </w:rPr>
    </w:lvl>
    <w:lvl w:ilvl="5" w:tplc="937EDB36" w:tentative="1">
      <w:start w:val="1"/>
      <w:numFmt w:val="bullet"/>
      <w:lvlText w:val=""/>
      <w:lvlJc w:val="left"/>
      <w:pPr>
        <w:tabs>
          <w:tab w:val="num" w:pos="4320"/>
        </w:tabs>
        <w:ind w:left="4320" w:hanging="360"/>
      </w:pPr>
      <w:rPr>
        <w:rFonts w:ascii="Wingdings" w:hAnsi="Wingdings" w:hint="default"/>
      </w:rPr>
    </w:lvl>
    <w:lvl w:ilvl="6" w:tplc="25244180" w:tentative="1">
      <w:start w:val="1"/>
      <w:numFmt w:val="bullet"/>
      <w:lvlText w:val=""/>
      <w:lvlJc w:val="left"/>
      <w:pPr>
        <w:tabs>
          <w:tab w:val="num" w:pos="5040"/>
        </w:tabs>
        <w:ind w:left="5040" w:hanging="360"/>
      </w:pPr>
      <w:rPr>
        <w:rFonts w:ascii="Symbol" w:hAnsi="Symbol" w:hint="default"/>
      </w:rPr>
    </w:lvl>
    <w:lvl w:ilvl="7" w:tplc="19866BCC" w:tentative="1">
      <w:start w:val="1"/>
      <w:numFmt w:val="bullet"/>
      <w:lvlText w:val="o"/>
      <w:lvlJc w:val="left"/>
      <w:pPr>
        <w:tabs>
          <w:tab w:val="num" w:pos="5760"/>
        </w:tabs>
        <w:ind w:left="5760" w:hanging="360"/>
      </w:pPr>
      <w:rPr>
        <w:rFonts w:ascii="Courier New" w:hAnsi="Courier New" w:hint="default"/>
      </w:rPr>
    </w:lvl>
    <w:lvl w:ilvl="8" w:tplc="F19C78CC" w:tentative="1">
      <w:start w:val="1"/>
      <w:numFmt w:val="bullet"/>
      <w:lvlText w:val=""/>
      <w:lvlJc w:val="left"/>
      <w:pPr>
        <w:tabs>
          <w:tab w:val="num" w:pos="6480"/>
        </w:tabs>
        <w:ind w:left="6480" w:hanging="360"/>
      </w:pPr>
      <w:rPr>
        <w:rFonts w:ascii="Wingdings" w:hAnsi="Wingdings" w:hint="default"/>
      </w:rPr>
    </w:lvl>
  </w:abstractNum>
  <w:abstractNum w:abstractNumId="18">
    <w:nsid w:val="38A01AEA"/>
    <w:multiLevelType w:val="hybridMultilevel"/>
    <w:tmpl w:val="10781EA2"/>
    <w:lvl w:ilvl="0" w:tplc="30823378">
      <w:start w:val="1"/>
      <w:numFmt w:val="bullet"/>
      <w:pStyle w:val="Tradedetail"/>
      <w:lvlText w:val=""/>
      <w:lvlJc w:val="left"/>
      <w:pPr>
        <w:tabs>
          <w:tab w:val="num" w:pos="216"/>
        </w:tabs>
        <w:ind w:left="216" w:hanging="216"/>
      </w:pPr>
      <w:rPr>
        <w:rFonts w:ascii="Symbol" w:hAnsi="Symbol" w:hint="default"/>
        <w:color w:val="095AA5"/>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nsid w:val="3E741698"/>
    <w:multiLevelType w:val="multilevel"/>
    <w:tmpl w:val="C096DFFE"/>
    <w:lvl w:ilvl="0">
      <w:start w:val="1"/>
      <w:numFmt w:val="upperRoman"/>
      <w:pStyle w:val="Append"/>
      <w:suff w:val="space"/>
      <w:lvlText w:val="Appendix %1:"/>
      <w:lvlJc w:val="left"/>
      <w:pPr>
        <w:ind w:left="0" w:firstLine="0"/>
      </w:pPr>
      <w:rPr>
        <w:rFonts w:ascii="Arial" w:hAnsi="Arial" w:hint="default"/>
        <w:sz w:val="36"/>
      </w:rPr>
    </w:lvl>
    <w:lvl w:ilvl="1">
      <w:start w:val="1"/>
      <w:numFmt w:val="bullet"/>
      <w:lvlText w:val=""/>
      <w:lvlJc w:val="left"/>
      <w:pPr>
        <w:tabs>
          <w:tab w:val="num" w:pos="530"/>
        </w:tabs>
        <w:ind w:left="454" w:hanging="284"/>
      </w:pPr>
      <w:rPr>
        <w:rFonts w:ascii="Wingdings 3" w:hAnsi="Wingdings 3" w:hint="default"/>
        <w:sz w:val="16"/>
      </w:rPr>
    </w:lvl>
    <w:lvl w:ilvl="2">
      <w:start w:val="1"/>
      <w:numFmt w:val="bullet"/>
      <w:suff w:val="nothing"/>
      <w:lvlText w:val=""/>
      <w:lvlJc w:val="left"/>
      <w:pPr>
        <w:ind w:left="312" w:hanging="199"/>
      </w:pPr>
      <w:rPr>
        <w:rFonts w:ascii="Bookdings" w:hAnsi="Bookdings" w:hint="default"/>
        <w:color w:val="auto"/>
      </w:rPr>
    </w:lvl>
    <w:lvl w:ilvl="3">
      <w:start w:val="1"/>
      <w:numFmt w:val="bullet"/>
      <w:lvlRestart w:val="0"/>
      <w:suff w:val="nothing"/>
      <w:lvlText w:val=""/>
      <w:lvlJc w:val="left"/>
      <w:pPr>
        <w:ind w:left="312" w:hanging="199"/>
      </w:pPr>
      <w:rPr>
        <w:rFonts w:ascii="Bookdings" w:hAnsi="Bookdings" w:hint="default"/>
        <w:color w:val="auto"/>
      </w:rPr>
    </w:lvl>
    <w:lvl w:ilvl="4">
      <w:start w:val="1"/>
      <w:numFmt w:val="lowerLetter"/>
      <w:lvlRestart w:val="0"/>
      <w:suff w:val="nothing"/>
      <w:lvlText w:val="(%5)"/>
      <w:lvlJc w:val="left"/>
      <w:pPr>
        <w:ind w:left="0" w:firstLine="0"/>
      </w:pPr>
      <w:rPr>
        <w:rFonts w:hint="default"/>
      </w:rPr>
    </w:lvl>
    <w:lvl w:ilvl="5">
      <w:start w:val="1"/>
      <w:numFmt w:val="lowerRoman"/>
      <w:lvlRestart w:val="0"/>
      <w:suff w:val="nothing"/>
      <w:lvlText w:val="(%6)"/>
      <w:lvlJc w:val="left"/>
      <w:pPr>
        <w:ind w:left="0" w:firstLine="0"/>
      </w:pPr>
      <w:rPr>
        <w:rFonts w:hint="default"/>
      </w:rPr>
    </w:lvl>
    <w:lvl w:ilvl="6">
      <w:start w:val="1"/>
      <w:numFmt w:val="decimal"/>
      <w:lvlRestart w:val="0"/>
      <w:suff w:val="nothing"/>
      <w:lvlText w:val="%7."/>
      <w:lvlJc w:val="left"/>
      <w:pPr>
        <w:ind w:left="0" w:firstLine="0"/>
      </w:pPr>
      <w:rPr>
        <w:rFonts w:hint="default"/>
      </w:rPr>
    </w:lvl>
    <w:lvl w:ilvl="7">
      <w:start w:val="1"/>
      <w:numFmt w:val="lowerLetter"/>
      <w:lvlRestart w:val="0"/>
      <w:suff w:val="nothing"/>
      <w:lvlText w:val="%8."/>
      <w:lvlJc w:val="left"/>
      <w:pPr>
        <w:ind w:left="0" w:firstLine="0"/>
      </w:pPr>
      <w:rPr>
        <w:rFonts w:hint="default"/>
      </w:rPr>
    </w:lvl>
    <w:lvl w:ilvl="8">
      <w:start w:val="1"/>
      <w:numFmt w:val="lowerRoman"/>
      <w:lvlRestart w:val="0"/>
      <w:suff w:val="nothing"/>
      <w:lvlText w:val="%9."/>
      <w:lvlJc w:val="left"/>
      <w:pPr>
        <w:ind w:left="0" w:firstLine="0"/>
      </w:pPr>
      <w:rPr>
        <w:rFonts w:hint="default"/>
      </w:rPr>
    </w:lvl>
  </w:abstractNum>
  <w:abstractNum w:abstractNumId="20">
    <w:nsid w:val="409317C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468C2207"/>
    <w:multiLevelType w:val="hybridMultilevel"/>
    <w:tmpl w:val="193A0744"/>
    <w:lvl w:ilvl="0" w:tplc="A4500CEC">
      <w:start w:val="1"/>
      <w:numFmt w:val="bullet"/>
      <w:pStyle w:val="Disclaimer"/>
      <w:lvlText w:val=""/>
      <w:lvlJc w:val="left"/>
      <w:pPr>
        <w:tabs>
          <w:tab w:val="num" w:pos="-2765"/>
        </w:tabs>
        <w:ind w:left="-2765" w:hanging="360"/>
      </w:pPr>
      <w:rPr>
        <w:rFonts w:ascii="Symbol" w:hAnsi="Symbol" w:hint="default"/>
        <w:sz w:val="18"/>
        <w:szCs w:val="18"/>
      </w:rPr>
    </w:lvl>
    <w:lvl w:ilvl="1" w:tplc="04090003" w:tentative="1">
      <w:start w:val="1"/>
      <w:numFmt w:val="bullet"/>
      <w:lvlText w:val="o"/>
      <w:lvlJc w:val="left"/>
      <w:pPr>
        <w:tabs>
          <w:tab w:val="num" w:pos="-1679"/>
        </w:tabs>
        <w:ind w:left="-1679" w:hanging="360"/>
      </w:pPr>
      <w:rPr>
        <w:rFonts w:ascii="Courier New" w:hAnsi="Courier New" w:hint="default"/>
      </w:rPr>
    </w:lvl>
    <w:lvl w:ilvl="2" w:tplc="04090005" w:tentative="1">
      <w:start w:val="1"/>
      <w:numFmt w:val="bullet"/>
      <w:lvlText w:val=""/>
      <w:lvlJc w:val="left"/>
      <w:pPr>
        <w:tabs>
          <w:tab w:val="num" w:pos="-959"/>
        </w:tabs>
        <w:ind w:left="-959" w:hanging="360"/>
      </w:pPr>
      <w:rPr>
        <w:rFonts w:ascii="Wingdings" w:hAnsi="Wingdings" w:hint="default"/>
      </w:rPr>
    </w:lvl>
    <w:lvl w:ilvl="3" w:tplc="04090001" w:tentative="1">
      <w:start w:val="1"/>
      <w:numFmt w:val="bullet"/>
      <w:lvlText w:val=""/>
      <w:lvlJc w:val="left"/>
      <w:pPr>
        <w:tabs>
          <w:tab w:val="num" w:pos="-239"/>
        </w:tabs>
        <w:ind w:left="-239" w:hanging="360"/>
      </w:pPr>
      <w:rPr>
        <w:rFonts w:ascii="Symbol" w:hAnsi="Symbol" w:hint="default"/>
      </w:rPr>
    </w:lvl>
    <w:lvl w:ilvl="4" w:tplc="04090003" w:tentative="1">
      <w:start w:val="1"/>
      <w:numFmt w:val="bullet"/>
      <w:lvlText w:val="o"/>
      <w:lvlJc w:val="left"/>
      <w:pPr>
        <w:tabs>
          <w:tab w:val="num" w:pos="481"/>
        </w:tabs>
        <w:ind w:left="481" w:hanging="360"/>
      </w:pPr>
      <w:rPr>
        <w:rFonts w:ascii="Courier New" w:hAnsi="Courier New" w:hint="default"/>
      </w:rPr>
    </w:lvl>
    <w:lvl w:ilvl="5" w:tplc="04090005" w:tentative="1">
      <w:start w:val="1"/>
      <w:numFmt w:val="bullet"/>
      <w:lvlText w:val=""/>
      <w:lvlJc w:val="left"/>
      <w:pPr>
        <w:tabs>
          <w:tab w:val="num" w:pos="1201"/>
        </w:tabs>
        <w:ind w:left="1201" w:hanging="360"/>
      </w:pPr>
      <w:rPr>
        <w:rFonts w:ascii="Wingdings" w:hAnsi="Wingdings" w:hint="default"/>
      </w:rPr>
    </w:lvl>
    <w:lvl w:ilvl="6" w:tplc="04090001" w:tentative="1">
      <w:start w:val="1"/>
      <w:numFmt w:val="bullet"/>
      <w:lvlText w:val=""/>
      <w:lvlJc w:val="left"/>
      <w:pPr>
        <w:tabs>
          <w:tab w:val="num" w:pos="1921"/>
        </w:tabs>
        <w:ind w:left="1921" w:hanging="360"/>
      </w:pPr>
      <w:rPr>
        <w:rFonts w:ascii="Symbol" w:hAnsi="Symbol" w:hint="default"/>
      </w:rPr>
    </w:lvl>
    <w:lvl w:ilvl="7" w:tplc="04090003" w:tentative="1">
      <w:start w:val="1"/>
      <w:numFmt w:val="bullet"/>
      <w:lvlText w:val="o"/>
      <w:lvlJc w:val="left"/>
      <w:pPr>
        <w:tabs>
          <w:tab w:val="num" w:pos="2641"/>
        </w:tabs>
        <w:ind w:left="2641" w:hanging="360"/>
      </w:pPr>
      <w:rPr>
        <w:rFonts w:ascii="Courier New" w:hAnsi="Courier New" w:hint="default"/>
      </w:rPr>
    </w:lvl>
    <w:lvl w:ilvl="8" w:tplc="04090005" w:tentative="1">
      <w:start w:val="1"/>
      <w:numFmt w:val="bullet"/>
      <w:lvlText w:val=""/>
      <w:lvlJc w:val="left"/>
      <w:pPr>
        <w:tabs>
          <w:tab w:val="num" w:pos="3361"/>
        </w:tabs>
        <w:ind w:left="3361" w:hanging="360"/>
      </w:pPr>
      <w:rPr>
        <w:rFonts w:ascii="Wingdings" w:hAnsi="Wingdings" w:hint="default"/>
      </w:rPr>
    </w:lvl>
  </w:abstractNum>
  <w:abstractNum w:abstractNumId="22">
    <w:nsid w:val="48E24BA3"/>
    <w:multiLevelType w:val="multilevel"/>
    <w:tmpl w:val="BE28B6A2"/>
    <w:lvl w:ilvl="0">
      <w:start w:val="1"/>
      <w:numFmt w:val="decimal"/>
      <w:pStyle w:val="52807BB80E4E409F9A162793A918D5C6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4F9C56DB"/>
    <w:multiLevelType w:val="multilevel"/>
    <w:tmpl w:val="D46E1E2E"/>
    <w:lvl w:ilvl="0">
      <w:start w:val="1"/>
      <w:numFmt w:val="bullet"/>
      <w:pStyle w:val="TradeBullet"/>
      <w:lvlText w:val=""/>
      <w:lvlJc w:val="left"/>
      <w:pPr>
        <w:tabs>
          <w:tab w:val="num" w:pos="360"/>
        </w:tabs>
        <w:ind w:left="357" w:hanging="357"/>
      </w:pPr>
      <w:rPr>
        <w:rFonts w:ascii="Symbol" w:hAnsi="Symbol" w:hint="default"/>
        <w:color w:val="4E8AB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54E05495"/>
    <w:multiLevelType w:val="hybridMultilevel"/>
    <w:tmpl w:val="8430A390"/>
    <w:lvl w:ilvl="0" w:tplc="15CEE810">
      <w:start w:val="1"/>
      <w:numFmt w:val="bullet"/>
      <w:lvlText w:val=""/>
      <w:lvlJc w:val="left"/>
      <w:pPr>
        <w:tabs>
          <w:tab w:val="num" w:pos="360"/>
        </w:tabs>
        <w:ind w:left="340" w:hanging="340"/>
      </w:pPr>
      <w:rPr>
        <w:rFonts w:ascii="Symbol" w:hAnsi="Symbol" w:hint="default"/>
        <w:b w:val="0"/>
        <w:i w:val="0"/>
        <w:color w:val="4E8ABE"/>
      </w:rPr>
    </w:lvl>
    <w:lvl w:ilvl="1" w:tplc="336646C6" w:tentative="1">
      <w:start w:val="1"/>
      <w:numFmt w:val="bullet"/>
      <w:lvlText w:val="o"/>
      <w:lvlJc w:val="left"/>
      <w:pPr>
        <w:tabs>
          <w:tab w:val="num" w:pos="1440"/>
        </w:tabs>
        <w:ind w:left="1440" w:hanging="360"/>
      </w:pPr>
      <w:rPr>
        <w:rFonts w:ascii="Courier New" w:hAnsi="Courier New" w:hint="default"/>
      </w:rPr>
    </w:lvl>
    <w:lvl w:ilvl="2" w:tplc="9EBE45D4" w:tentative="1">
      <w:start w:val="1"/>
      <w:numFmt w:val="bullet"/>
      <w:lvlText w:val=""/>
      <w:lvlJc w:val="left"/>
      <w:pPr>
        <w:tabs>
          <w:tab w:val="num" w:pos="2160"/>
        </w:tabs>
        <w:ind w:left="2160" w:hanging="360"/>
      </w:pPr>
      <w:rPr>
        <w:rFonts w:ascii="Wingdings" w:hAnsi="Wingdings" w:hint="default"/>
      </w:rPr>
    </w:lvl>
    <w:lvl w:ilvl="3" w:tplc="6B32D5F0" w:tentative="1">
      <w:start w:val="1"/>
      <w:numFmt w:val="bullet"/>
      <w:lvlText w:val=""/>
      <w:lvlJc w:val="left"/>
      <w:pPr>
        <w:tabs>
          <w:tab w:val="num" w:pos="2880"/>
        </w:tabs>
        <w:ind w:left="2880" w:hanging="360"/>
      </w:pPr>
      <w:rPr>
        <w:rFonts w:ascii="Symbol" w:hAnsi="Symbol" w:hint="default"/>
      </w:rPr>
    </w:lvl>
    <w:lvl w:ilvl="4" w:tplc="0AF4755A" w:tentative="1">
      <w:start w:val="1"/>
      <w:numFmt w:val="bullet"/>
      <w:lvlText w:val="o"/>
      <w:lvlJc w:val="left"/>
      <w:pPr>
        <w:tabs>
          <w:tab w:val="num" w:pos="3600"/>
        </w:tabs>
        <w:ind w:left="3600" w:hanging="360"/>
      </w:pPr>
      <w:rPr>
        <w:rFonts w:ascii="Courier New" w:hAnsi="Courier New" w:hint="default"/>
      </w:rPr>
    </w:lvl>
    <w:lvl w:ilvl="5" w:tplc="937EDB36" w:tentative="1">
      <w:start w:val="1"/>
      <w:numFmt w:val="bullet"/>
      <w:lvlText w:val=""/>
      <w:lvlJc w:val="left"/>
      <w:pPr>
        <w:tabs>
          <w:tab w:val="num" w:pos="4320"/>
        </w:tabs>
        <w:ind w:left="4320" w:hanging="360"/>
      </w:pPr>
      <w:rPr>
        <w:rFonts w:ascii="Wingdings" w:hAnsi="Wingdings" w:hint="default"/>
      </w:rPr>
    </w:lvl>
    <w:lvl w:ilvl="6" w:tplc="25244180" w:tentative="1">
      <w:start w:val="1"/>
      <w:numFmt w:val="bullet"/>
      <w:lvlText w:val=""/>
      <w:lvlJc w:val="left"/>
      <w:pPr>
        <w:tabs>
          <w:tab w:val="num" w:pos="5040"/>
        </w:tabs>
        <w:ind w:left="5040" w:hanging="360"/>
      </w:pPr>
      <w:rPr>
        <w:rFonts w:ascii="Symbol" w:hAnsi="Symbol" w:hint="default"/>
      </w:rPr>
    </w:lvl>
    <w:lvl w:ilvl="7" w:tplc="19866BCC" w:tentative="1">
      <w:start w:val="1"/>
      <w:numFmt w:val="bullet"/>
      <w:lvlText w:val="o"/>
      <w:lvlJc w:val="left"/>
      <w:pPr>
        <w:tabs>
          <w:tab w:val="num" w:pos="5760"/>
        </w:tabs>
        <w:ind w:left="5760" w:hanging="360"/>
      </w:pPr>
      <w:rPr>
        <w:rFonts w:ascii="Courier New" w:hAnsi="Courier New" w:hint="default"/>
      </w:rPr>
    </w:lvl>
    <w:lvl w:ilvl="8" w:tplc="F19C78CC" w:tentative="1">
      <w:start w:val="1"/>
      <w:numFmt w:val="bullet"/>
      <w:lvlText w:val=""/>
      <w:lvlJc w:val="left"/>
      <w:pPr>
        <w:tabs>
          <w:tab w:val="num" w:pos="6480"/>
        </w:tabs>
        <w:ind w:left="6480" w:hanging="360"/>
      </w:pPr>
      <w:rPr>
        <w:rFonts w:ascii="Wingdings" w:hAnsi="Wingdings" w:hint="default"/>
      </w:rPr>
    </w:lvl>
  </w:abstractNum>
  <w:abstractNum w:abstractNumId="25">
    <w:nsid w:val="589E78B6"/>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69215CB9"/>
    <w:multiLevelType w:val="hybridMultilevel"/>
    <w:tmpl w:val="F0FEC872"/>
    <w:lvl w:ilvl="0" w:tplc="2B0E1A9C">
      <w:start w:val="1"/>
      <w:numFmt w:val="decimal"/>
      <w:pStyle w:val="NumberBullet"/>
      <w:lvlText w:val="%1."/>
      <w:lvlJc w:val="left"/>
      <w:pPr>
        <w:tabs>
          <w:tab w:val="num" w:pos="360"/>
        </w:tabs>
        <w:ind w:left="284" w:hanging="284"/>
      </w:pPr>
      <w:rPr>
        <w:rFonts w:ascii="Times New Roman" w:hAnsi="Times New Roman" w:hint="default"/>
        <w:sz w:val="20"/>
      </w:rPr>
    </w:lvl>
    <w:lvl w:ilvl="1" w:tplc="42AADDBA" w:tentative="1">
      <w:start w:val="1"/>
      <w:numFmt w:val="lowerLetter"/>
      <w:lvlText w:val="%2."/>
      <w:lvlJc w:val="left"/>
      <w:pPr>
        <w:tabs>
          <w:tab w:val="num" w:pos="1440"/>
        </w:tabs>
        <w:ind w:left="1440" w:hanging="360"/>
      </w:pPr>
    </w:lvl>
    <w:lvl w:ilvl="2" w:tplc="C3FC498A" w:tentative="1">
      <w:start w:val="1"/>
      <w:numFmt w:val="lowerRoman"/>
      <w:lvlText w:val="%3."/>
      <w:lvlJc w:val="right"/>
      <w:pPr>
        <w:tabs>
          <w:tab w:val="num" w:pos="2160"/>
        </w:tabs>
        <w:ind w:left="2160" w:hanging="180"/>
      </w:pPr>
    </w:lvl>
    <w:lvl w:ilvl="3" w:tplc="8AB6C90A" w:tentative="1">
      <w:start w:val="1"/>
      <w:numFmt w:val="decimal"/>
      <w:lvlText w:val="%4."/>
      <w:lvlJc w:val="left"/>
      <w:pPr>
        <w:tabs>
          <w:tab w:val="num" w:pos="2880"/>
        </w:tabs>
        <w:ind w:left="2880" w:hanging="360"/>
      </w:pPr>
    </w:lvl>
    <w:lvl w:ilvl="4" w:tplc="11C659CA" w:tentative="1">
      <w:start w:val="1"/>
      <w:numFmt w:val="lowerLetter"/>
      <w:lvlText w:val="%5."/>
      <w:lvlJc w:val="left"/>
      <w:pPr>
        <w:tabs>
          <w:tab w:val="num" w:pos="3600"/>
        </w:tabs>
        <w:ind w:left="3600" w:hanging="360"/>
      </w:pPr>
    </w:lvl>
    <w:lvl w:ilvl="5" w:tplc="096E1FEC" w:tentative="1">
      <w:start w:val="1"/>
      <w:numFmt w:val="lowerRoman"/>
      <w:lvlText w:val="%6."/>
      <w:lvlJc w:val="right"/>
      <w:pPr>
        <w:tabs>
          <w:tab w:val="num" w:pos="4320"/>
        </w:tabs>
        <w:ind w:left="4320" w:hanging="180"/>
      </w:pPr>
    </w:lvl>
    <w:lvl w:ilvl="6" w:tplc="135AB080" w:tentative="1">
      <w:start w:val="1"/>
      <w:numFmt w:val="decimal"/>
      <w:lvlText w:val="%7."/>
      <w:lvlJc w:val="left"/>
      <w:pPr>
        <w:tabs>
          <w:tab w:val="num" w:pos="5040"/>
        </w:tabs>
        <w:ind w:left="5040" w:hanging="360"/>
      </w:pPr>
    </w:lvl>
    <w:lvl w:ilvl="7" w:tplc="AE26991C" w:tentative="1">
      <w:start w:val="1"/>
      <w:numFmt w:val="lowerLetter"/>
      <w:lvlText w:val="%8."/>
      <w:lvlJc w:val="left"/>
      <w:pPr>
        <w:tabs>
          <w:tab w:val="num" w:pos="5760"/>
        </w:tabs>
        <w:ind w:left="5760" w:hanging="360"/>
      </w:pPr>
    </w:lvl>
    <w:lvl w:ilvl="8" w:tplc="3F18E672" w:tentative="1">
      <w:start w:val="1"/>
      <w:numFmt w:val="lowerRoman"/>
      <w:lvlText w:val="%9."/>
      <w:lvlJc w:val="right"/>
      <w:pPr>
        <w:tabs>
          <w:tab w:val="num" w:pos="6480"/>
        </w:tabs>
        <w:ind w:left="6480" w:hanging="180"/>
      </w:pPr>
    </w:lvl>
  </w:abstractNum>
  <w:abstractNum w:abstractNumId="27">
    <w:nsid w:val="738B7E42"/>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77971BE7"/>
    <w:multiLevelType w:val="hybridMultilevel"/>
    <w:tmpl w:val="949CBDD0"/>
    <w:lvl w:ilvl="0" w:tplc="FFFFFFFF">
      <w:start w:val="1"/>
      <w:numFmt w:val="bullet"/>
      <w:lvlText w:val=""/>
      <w:lvlJc w:val="left"/>
      <w:pPr>
        <w:tabs>
          <w:tab w:val="num" w:pos="367"/>
        </w:tabs>
        <w:ind w:left="347" w:hanging="340"/>
      </w:pPr>
      <w:rPr>
        <w:rFonts w:ascii="Symbol" w:hAnsi="Symbol" w:hint="default"/>
        <w:b w:val="0"/>
        <w:i w:val="0"/>
        <w:color w:val="095AA5"/>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25"/>
  </w:num>
  <w:num w:numId="3">
    <w:abstractNumId w:val="13"/>
  </w:num>
  <w:num w:numId="4">
    <w:abstractNumId w:val="20"/>
  </w:num>
  <w:num w:numId="5">
    <w:abstractNumId w:val="27"/>
  </w:num>
  <w:num w:numId="6">
    <w:abstractNumId w:val="19"/>
  </w:num>
  <w:num w:numId="7">
    <w:abstractNumId w:val="11"/>
  </w:num>
  <w:num w:numId="8">
    <w:abstractNumId w:val="12"/>
  </w:num>
  <w:num w:numId="9">
    <w:abstractNumId w:val="10"/>
  </w:num>
  <w:num w:numId="10">
    <w:abstractNumId w:val="16"/>
  </w:num>
  <w:num w:numId="11">
    <w:abstractNumId w:val="15"/>
  </w:num>
  <w:num w:numId="12">
    <w:abstractNumId w:val="15"/>
  </w:num>
  <w:num w:numId="13">
    <w:abstractNumId w:val="14"/>
  </w:num>
  <w:num w:numId="14">
    <w:abstractNumId w:val="17"/>
  </w:num>
  <w:num w:numId="15">
    <w:abstractNumId w:val="17"/>
  </w:num>
  <w:num w:numId="16">
    <w:abstractNumId w:val="21"/>
  </w:num>
  <w:num w:numId="17">
    <w:abstractNumId w:val="17"/>
  </w:num>
  <w:num w:numId="18">
    <w:abstractNumId w:val="9"/>
  </w:num>
  <w:num w:numId="19">
    <w:abstractNumId w:val="9"/>
  </w:num>
  <w:num w:numId="20">
    <w:abstractNumId w:val="7"/>
  </w:num>
  <w:num w:numId="21">
    <w:abstractNumId w:val="7"/>
  </w:num>
  <w:num w:numId="22">
    <w:abstractNumId w:val="6"/>
  </w:num>
  <w:num w:numId="23">
    <w:abstractNumId w:val="6"/>
  </w:num>
  <w:num w:numId="24">
    <w:abstractNumId w:val="5"/>
  </w:num>
  <w:num w:numId="25">
    <w:abstractNumId w:val="5"/>
  </w:num>
  <w:num w:numId="26">
    <w:abstractNumId w:val="4"/>
  </w:num>
  <w:num w:numId="27">
    <w:abstractNumId w:val="4"/>
  </w:num>
  <w:num w:numId="28">
    <w:abstractNumId w:val="8"/>
  </w:num>
  <w:num w:numId="29">
    <w:abstractNumId w:val="8"/>
  </w:num>
  <w:num w:numId="30">
    <w:abstractNumId w:val="3"/>
  </w:num>
  <w:num w:numId="31">
    <w:abstractNumId w:val="3"/>
  </w:num>
  <w:num w:numId="32">
    <w:abstractNumId w:val="2"/>
  </w:num>
  <w:num w:numId="33">
    <w:abstractNumId w:val="2"/>
  </w:num>
  <w:num w:numId="34">
    <w:abstractNumId w:val="1"/>
  </w:num>
  <w:num w:numId="35">
    <w:abstractNumId w:val="1"/>
  </w:num>
  <w:num w:numId="36">
    <w:abstractNumId w:val="0"/>
  </w:num>
  <w:num w:numId="37">
    <w:abstractNumId w:val="0"/>
  </w:num>
  <w:num w:numId="38">
    <w:abstractNumId w:val="26"/>
  </w:num>
  <w:num w:numId="39">
    <w:abstractNumId w:val="18"/>
  </w:num>
  <w:num w:numId="40">
    <w:abstractNumId w:val="28"/>
  </w:num>
  <w:num w:numId="41">
    <w:abstractNumId w:val="24"/>
  </w:num>
  <w:num w:numId="4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
  </w:num>
  <w:num w:numId="44">
    <w:abstractNumId w:val="26"/>
  </w:num>
  <w:num w:numId="45">
    <w:abstractNumId w:val="10"/>
  </w:num>
  <w:num w:numId="46">
    <w:abstractNumId w:val="26"/>
  </w:num>
  <w:num w:numId="47">
    <w:abstractNumId w:val="22"/>
  </w:num>
  <w:num w:numId="48">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isplayBackgroundShape/>
  <w:bordersDoNotSurroundHeader/>
  <w:bordersDoNotSurroundFooter/>
  <w:attachedTemplate r:id="rId1"/>
  <w:defaultTabStop w:val="720"/>
  <w:evenAndOddHeaders/>
  <w:drawingGridHorizontalSpacing w:val="172"/>
  <w:displayHorizontalDrawingGridEvery w:val="2"/>
  <w:displayVerticalDrawingGridEvery w:val="2"/>
  <w:characterSpacingControl w:val="doNotCompress"/>
  <w:hdrShapeDefaults>
    <o:shapedefaults v:ext="edit" spidmax="4134">
      <v:textbox inset="5.85pt,.7pt,5.85pt,.7pt"/>
    </o:shapedefaults>
    <o:shapelayout v:ext="edit">
      <o:idmap v:ext="edit" data="4"/>
    </o:shapelayout>
  </w:hdrShapeDefaults>
  <w:footnotePr>
    <w:footnote w:id="-1"/>
    <w:footnote w:id="0"/>
  </w:footnotePr>
  <w:endnotePr>
    <w:endnote w:id="-1"/>
    <w:endnote w:id="0"/>
  </w:endnotePr>
  <w:compat>
    <w:useFELayout/>
  </w:compat>
  <w:docVars>
    <w:docVar w:name="APWAFVersion" w:val="5.0"/>
    <w:docVar w:name="GPS" w:val="GPS"/>
    <w:docVar w:name="IsGPSTemplate" w:val="좴㊑펀௏⎰"/>
    <w:docVar w:name="ShapeAltTextReset" w:val="True"/>
  </w:docVars>
  <w:rsids>
    <w:rsidRoot w:val="002E61D7"/>
    <w:rsid w:val="00005212"/>
    <w:rsid w:val="000169EC"/>
    <w:rsid w:val="00017296"/>
    <w:rsid w:val="00017CE0"/>
    <w:rsid w:val="00032890"/>
    <w:rsid w:val="00032F88"/>
    <w:rsid w:val="0005401A"/>
    <w:rsid w:val="00073357"/>
    <w:rsid w:val="00080584"/>
    <w:rsid w:val="00080A5D"/>
    <w:rsid w:val="00082263"/>
    <w:rsid w:val="0008441D"/>
    <w:rsid w:val="00084E96"/>
    <w:rsid w:val="00090359"/>
    <w:rsid w:val="00096996"/>
    <w:rsid w:val="000A0E66"/>
    <w:rsid w:val="000A76DC"/>
    <w:rsid w:val="000F0A7D"/>
    <w:rsid w:val="00107907"/>
    <w:rsid w:val="00117EB5"/>
    <w:rsid w:val="00125B98"/>
    <w:rsid w:val="00127E47"/>
    <w:rsid w:val="0015071F"/>
    <w:rsid w:val="001509FE"/>
    <w:rsid w:val="001544F8"/>
    <w:rsid w:val="001702FE"/>
    <w:rsid w:val="00173256"/>
    <w:rsid w:val="00174A0D"/>
    <w:rsid w:val="00184BB7"/>
    <w:rsid w:val="001879EC"/>
    <w:rsid w:val="001944B8"/>
    <w:rsid w:val="001A3826"/>
    <w:rsid w:val="001A39BA"/>
    <w:rsid w:val="001A4A3E"/>
    <w:rsid w:val="001A4EED"/>
    <w:rsid w:val="001C1776"/>
    <w:rsid w:val="001C3457"/>
    <w:rsid w:val="001C509D"/>
    <w:rsid w:val="001E2147"/>
    <w:rsid w:val="001F0E2A"/>
    <w:rsid w:val="001F403E"/>
    <w:rsid w:val="002022ED"/>
    <w:rsid w:val="00207CF8"/>
    <w:rsid w:val="00226701"/>
    <w:rsid w:val="00231F67"/>
    <w:rsid w:val="00262504"/>
    <w:rsid w:val="002670B5"/>
    <w:rsid w:val="0027343D"/>
    <w:rsid w:val="002A74BA"/>
    <w:rsid w:val="002C7E26"/>
    <w:rsid w:val="002D12DE"/>
    <w:rsid w:val="002D4C8B"/>
    <w:rsid w:val="002E61D7"/>
    <w:rsid w:val="002F3F59"/>
    <w:rsid w:val="002F743F"/>
    <w:rsid w:val="0030001F"/>
    <w:rsid w:val="00301D8E"/>
    <w:rsid w:val="00307EF1"/>
    <w:rsid w:val="00313D4E"/>
    <w:rsid w:val="00316AFF"/>
    <w:rsid w:val="00322C7A"/>
    <w:rsid w:val="00340C95"/>
    <w:rsid w:val="003411A7"/>
    <w:rsid w:val="003478D4"/>
    <w:rsid w:val="003545E7"/>
    <w:rsid w:val="003553B4"/>
    <w:rsid w:val="0035639A"/>
    <w:rsid w:val="00357AA4"/>
    <w:rsid w:val="00367028"/>
    <w:rsid w:val="00370DBF"/>
    <w:rsid w:val="00376DEC"/>
    <w:rsid w:val="0038357F"/>
    <w:rsid w:val="00387507"/>
    <w:rsid w:val="00392812"/>
    <w:rsid w:val="003A1C33"/>
    <w:rsid w:val="003A4A06"/>
    <w:rsid w:val="003B2FCC"/>
    <w:rsid w:val="003C14F6"/>
    <w:rsid w:val="003D3497"/>
    <w:rsid w:val="003D6ABB"/>
    <w:rsid w:val="003E2CEF"/>
    <w:rsid w:val="003E2FFD"/>
    <w:rsid w:val="003E5BF5"/>
    <w:rsid w:val="00405D34"/>
    <w:rsid w:val="00410841"/>
    <w:rsid w:val="00412830"/>
    <w:rsid w:val="0041347C"/>
    <w:rsid w:val="00413766"/>
    <w:rsid w:val="00413927"/>
    <w:rsid w:val="004234B3"/>
    <w:rsid w:val="004252A3"/>
    <w:rsid w:val="00430D82"/>
    <w:rsid w:val="004334B0"/>
    <w:rsid w:val="00436510"/>
    <w:rsid w:val="004472B9"/>
    <w:rsid w:val="00447B81"/>
    <w:rsid w:val="0046020C"/>
    <w:rsid w:val="0046342A"/>
    <w:rsid w:val="004651B1"/>
    <w:rsid w:val="00475ACC"/>
    <w:rsid w:val="00480441"/>
    <w:rsid w:val="00491D29"/>
    <w:rsid w:val="004945AF"/>
    <w:rsid w:val="004956EA"/>
    <w:rsid w:val="004A4CA4"/>
    <w:rsid w:val="004A6AAF"/>
    <w:rsid w:val="004B2783"/>
    <w:rsid w:val="004E0CBE"/>
    <w:rsid w:val="004E44E5"/>
    <w:rsid w:val="004E7435"/>
    <w:rsid w:val="004F43FB"/>
    <w:rsid w:val="004F6086"/>
    <w:rsid w:val="00504FB3"/>
    <w:rsid w:val="005062C8"/>
    <w:rsid w:val="00507387"/>
    <w:rsid w:val="00523B59"/>
    <w:rsid w:val="00527F17"/>
    <w:rsid w:val="00530B85"/>
    <w:rsid w:val="00530E34"/>
    <w:rsid w:val="005327F6"/>
    <w:rsid w:val="00533B51"/>
    <w:rsid w:val="00535F15"/>
    <w:rsid w:val="00564ED3"/>
    <w:rsid w:val="00570A95"/>
    <w:rsid w:val="00577713"/>
    <w:rsid w:val="00585C54"/>
    <w:rsid w:val="005A1363"/>
    <w:rsid w:val="005A1ACE"/>
    <w:rsid w:val="005B3FE7"/>
    <w:rsid w:val="005C163A"/>
    <w:rsid w:val="005C37FA"/>
    <w:rsid w:val="005C3C4B"/>
    <w:rsid w:val="005C3C51"/>
    <w:rsid w:val="005D1C67"/>
    <w:rsid w:val="005D2E8C"/>
    <w:rsid w:val="005E126D"/>
    <w:rsid w:val="005E2062"/>
    <w:rsid w:val="005F2683"/>
    <w:rsid w:val="005F3E16"/>
    <w:rsid w:val="006004F7"/>
    <w:rsid w:val="006250FD"/>
    <w:rsid w:val="00625AA6"/>
    <w:rsid w:val="00633A4C"/>
    <w:rsid w:val="006347E8"/>
    <w:rsid w:val="00636AE1"/>
    <w:rsid w:val="00641382"/>
    <w:rsid w:val="00642856"/>
    <w:rsid w:val="00661613"/>
    <w:rsid w:val="006630D5"/>
    <w:rsid w:val="0067246E"/>
    <w:rsid w:val="00674389"/>
    <w:rsid w:val="00676AFF"/>
    <w:rsid w:val="006835DA"/>
    <w:rsid w:val="00686996"/>
    <w:rsid w:val="006A7641"/>
    <w:rsid w:val="006C610B"/>
    <w:rsid w:val="006D2D34"/>
    <w:rsid w:val="006D3CD9"/>
    <w:rsid w:val="006E1D0B"/>
    <w:rsid w:val="006E7618"/>
    <w:rsid w:val="006F3A4E"/>
    <w:rsid w:val="00721C6E"/>
    <w:rsid w:val="007235DB"/>
    <w:rsid w:val="007235DF"/>
    <w:rsid w:val="00732D26"/>
    <w:rsid w:val="007344F1"/>
    <w:rsid w:val="00734627"/>
    <w:rsid w:val="007416E8"/>
    <w:rsid w:val="007512DB"/>
    <w:rsid w:val="00754994"/>
    <w:rsid w:val="00775EED"/>
    <w:rsid w:val="00796713"/>
    <w:rsid w:val="007A088C"/>
    <w:rsid w:val="007B298E"/>
    <w:rsid w:val="007C1AEA"/>
    <w:rsid w:val="007D0F3C"/>
    <w:rsid w:val="007D22EF"/>
    <w:rsid w:val="007E1E43"/>
    <w:rsid w:val="007E3B95"/>
    <w:rsid w:val="007E4D4D"/>
    <w:rsid w:val="00807AB8"/>
    <w:rsid w:val="00811ACB"/>
    <w:rsid w:val="00827916"/>
    <w:rsid w:val="00831484"/>
    <w:rsid w:val="0083458C"/>
    <w:rsid w:val="00850957"/>
    <w:rsid w:val="0085671D"/>
    <w:rsid w:val="00871411"/>
    <w:rsid w:val="00876C3E"/>
    <w:rsid w:val="008815AC"/>
    <w:rsid w:val="0088594D"/>
    <w:rsid w:val="008874D0"/>
    <w:rsid w:val="00891B20"/>
    <w:rsid w:val="008A05EC"/>
    <w:rsid w:val="008A44F7"/>
    <w:rsid w:val="008A5E01"/>
    <w:rsid w:val="008C133A"/>
    <w:rsid w:val="008D757E"/>
    <w:rsid w:val="008E2C47"/>
    <w:rsid w:val="00904B4F"/>
    <w:rsid w:val="0092168B"/>
    <w:rsid w:val="0092551C"/>
    <w:rsid w:val="00943C05"/>
    <w:rsid w:val="00943E0D"/>
    <w:rsid w:val="00956EC4"/>
    <w:rsid w:val="00972992"/>
    <w:rsid w:val="0098119F"/>
    <w:rsid w:val="00983264"/>
    <w:rsid w:val="0098477B"/>
    <w:rsid w:val="009966D8"/>
    <w:rsid w:val="009969A0"/>
    <w:rsid w:val="009B2AD2"/>
    <w:rsid w:val="009B2F8F"/>
    <w:rsid w:val="009B30AE"/>
    <w:rsid w:val="009C0C93"/>
    <w:rsid w:val="009C7576"/>
    <w:rsid w:val="009C77DE"/>
    <w:rsid w:val="009D47AA"/>
    <w:rsid w:val="009D5DD1"/>
    <w:rsid w:val="009E0FA3"/>
    <w:rsid w:val="009F59FE"/>
    <w:rsid w:val="00A04A44"/>
    <w:rsid w:val="00A23BB6"/>
    <w:rsid w:val="00A31F59"/>
    <w:rsid w:val="00A35CD6"/>
    <w:rsid w:val="00A4066D"/>
    <w:rsid w:val="00A47FF7"/>
    <w:rsid w:val="00A809D4"/>
    <w:rsid w:val="00A841E9"/>
    <w:rsid w:val="00A916B7"/>
    <w:rsid w:val="00AB3C3C"/>
    <w:rsid w:val="00AB4D48"/>
    <w:rsid w:val="00AD447F"/>
    <w:rsid w:val="00AE0BFD"/>
    <w:rsid w:val="00AF1A5B"/>
    <w:rsid w:val="00B06ADA"/>
    <w:rsid w:val="00B11ED5"/>
    <w:rsid w:val="00B12975"/>
    <w:rsid w:val="00B31266"/>
    <w:rsid w:val="00B3589E"/>
    <w:rsid w:val="00B63AF7"/>
    <w:rsid w:val="00B66E78"/>
    <w:rsid w:val="00B74628"/>
    <w:rsid w:val="00B83C5D"/>
    <w:rsid w:val="00B86505"/>
    <w:rsid w:val="00B9119F"/>
    <w:rsid w:val="00B94537"/>
    <w:rsid w:val="00B9760F"/>
    <w:rsid w:val="00BA2384"/>
    <w:rsid w:val="00BA3AE8"/>
    <w:rsid w:val="00BA5827"/>
    <w:rsid w:val="00BA7961"/>
    <w:rsid w:val="00BB66C3"/>
    <w:rsid w:val="00BD66E7"/>
    <w:rsid w:val="00BE1373"/>
    <w:rsid w:val="00BE2738"/>
    <w:rsid w:val="00C05427"/>
    <w:rsid w:val="00C1029A"/>
    <w:rsid w:val="00C120EC"/>
    <w:rsid w:val="00C1442D"/>
    <w:rsid w:val="00C15552"/>
    <w:rsid w:val="00C2011E"/>
    <w:rsid w:val="00C21B1D"/>
    <w:rsid w:val="00C25C85"/>
    <w:rsid w:val="00C27FE1"/>
    <w:rsid w:val="00C35DE7"/>
    <w:rsid w:val="00C43C5F"/>
    <w:rsid w:val="00C64C03"/>
    <w:rsid w:val="00C70666"/>
    <w:rsid w:val="00C80AD1"/>
    <w:rsid w:val="00C822B9"/>
    <w:rsid w:val="00C85825"/>
    <w:rsid w:val="00C85B88"/>
    <w:rsid w:val="00C873AB"/>
    <w:rsid w:val="00C9137F"/>
    <w:rsid w:val="00C935B6"/>
    <w:rsid w:val="00C94F71"/>
    <w:rsid w:val="00CD1E8A"/>
    <w:rsid w:val="00CE0DA9"/>
    <w:rsid w:val="00CE3739"/>
    <w:rsid w:val="00CE3EE1"/>
    <w:rsid w:val="00CE4DB7"/>
    <w:rsid w:val="00CE5F23"/>
    <w:rsid w:val="00CF2FBF"/>
    <w:rsid w:val="00CF3081"/>
    <w:rsid w:val="00D00CF8"/>
    <w:rsid w:val="00D14EE2"/>
    <w:rsid w:val="00D20423"/>
    <w:rsid w:val="00D31909"/>
    <w:rsid w:val="00D33AA6"/>
    <w:rsid w:val="00D5079F"/>
    <w:rsid w:val="00D521C6"/>
    <w:rsid w:val="00D63410"/>
    <w:rsid w:val="00D713E5"/>
    <w:rsid w:val="00D7529E"/>
    <w:rsid w:val="00D755BE"/>
    <w:rsid w:val="00D8401F"/>
    <w:rsid w:val="00D86F51"/>
    <w:rsid w:val="00DA2100"/>
    <w:rsid w:val="00DB4CDA"/>
    <w:rsid w:val="00DC0C84"/>
    <w:rsid w:val="00DC15E8"/>
    <w:rsid w:val="00DC16B7"/>
    <w:rsid w:val="00DC237C"/>
    <w:rsid w:val="00DC5165"/>
    <w:rsid w:val="00DC5D2B"/>
    <w:rsid w:val="00DE1EDE"/>
    <w:rsid w:val="00DE3463"/>
    <w:rsid w:val="00DE4A45"/>
    <w:rsid w:val="00DE60FE"/>
    <w:rsid w:val="00DF56B2"/>
    <w:rsid w:val="00E02214"/>
    <w:rsid w:val="00E0403B"/>
    <w:rsid w:val="00E05AE5"/>
    <w:rsid w:val="00E1025B"/>
    <w:rsid w:val="00E112F3"/>
    <w:rsid w:val="00E24914"/>
    <w:rsid w:val="00E27EEB"/>
    <w:rsid w:val="00E40095"/>
    <w:rsid w:val="00E4017A"/>
    <w:rsid w:val="00E47205"/>
    <w:rsid w:val="00E47C92"/>
    <w:rsid w:val="00E55E81"/>
    <w:rsid w:val="00E57ECC"/>
    <w:rsid w:val="00E80FC3"/>
    <w:rsid w:val="00E81F6D"/>
    <w:rsid w:val="00E90CFE"/>
    <w:rsid w:val="00EB3811"/>
    <w:rsid w:val="00EB5FB9"/>
    <w:rsid w:val="00EC6A84"/>
    <w:rsid w:val="00ED61D0"/>
    <w:rsid w:val="00EF2AB4"/>
    <w:rsid w:val="00EF5DA4"/>
    <w:rsid w:val="00EF7680"/>
    <w:rsid w:val="00F00F4C"/>
    <w:rsid w:val="00F06B2D"/>
    <w:rsid w:val="00F06D1C"/>
    <w:rsid w:val="00F1242D"/>
    <w:rsid w:val="00F230E8"/>
    <w:rsid w:val="00F2380A"/>
    <w:rsid w:val="00F33780"/>
    <w:rsid w:val="00F42A31"/>
    <w:rsid w:val="00F450B3"/>
    <w:rsid w:val="00F60607"/>
    <w:rsid w:val="00F67C65"/>
    <w:rsid w:val="00F70C81"/>
    <w:rsid w:val="00F735D3"/>
    <w:rsid w:val="00F74780"/>
    <w:rsid w:val="00F81739"/>
    <w:rsid w:val="00F824F8"/>
    <w:rsid w:val="00F8656E"/>
    <w:rsid w:val="00F93E55"/>
    <w:rsid w:val="00F9697A"/>
    <w:rsid w:val="00FA2F23"/>
    <w:rsid w:val="00FA4449"/>
    <w:rsid w:val="00FB1508"/>
    <w:rsid w:val="00FC026D"/>
    <w:rsid w:val="00FC6C27"/>
    <w:rsid w:val="00FF229B"/>
    <w:rsid w:val="00FF49BE"/>
    <w:rsid w:val="00FF5C9B"/>
    <w:rsid w:val="00FF5E1D"/>
    <w:rsid w:val="00FF7A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PersonName"/>
  <w:shapeDefaults>
    <o:shapedefaults v:ext="edit" spidmax="413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ja-JP" w:bidi="ar-SA"/>
      </w:rPr>
    </w:rPrDefault>
    <w:pPrDefault>
      <w:pPr>
        <w:spacing w:after="240" w:line="240" w:lineRule="atLeast"/>
      </w:pPr>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qFormat="1"/>
    <w:lsdException w:name="heading 3" w:qFormat="1"/>
    <w:lsdException w:name="Title" w:semiHidden="0" w:unhideWhenUsed="0"/>
    <w:lsdException w:name="Default Paragraph Font" w:uiPriority="1"/>
    <w:lsdException w:name="Subtitle" w:semiHidden="0" w:unhideWhenUsed="0"/>
    <w:lsdException w:name="Hyperlink" w:uiPriority="99"/>
    <w:lsdException w:name="Strong" w:semiHidden="0" w:unhideWhenUsed="0"/>
    <w:lsdException w:name="Emphasis" w:semiHidden="0" w:unhideWhenUsed="0"/>
    <w:lsdException w:name="HTML Top of Form" w:uiPriority="99"/>
    <w:lsdException w:name="HTML Bottom of Form" w:uiPriority="99"/>
    <w:lsdException w:name="Normal (Web)" w:uiPriority="99" w:qFormat="1"/>
    <w:lsdException w:name="Normal Table" w:uiPriority="99"/>
    <w:lsdException w:name="No Lis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31909"/>
    <w:pPr>
      <w:spacing w:after="0" w:line="240" w:lineRule="auto"/>
    </w:pPr>
    <w:rPr>
      <w:rFonts w:ascii="Times New Roman" w:eastAsia="MS Mincho" w:hAnsi="Times New Roman" w:cs="Times New Roman"/>
      <w:sz w:val="24"/>
      <w:szCs w:val="24"/>
      <w:lang w:val="en-US" w:eastAsia="en-US"/>
    </w:rPr>
  </w:style>
  <w:style w:type="paragraph" w:styleId="Heading1">
    <w:name w:val="heading 1"/>
    <w:aliases w:val="Heading 11,Heading 1 Char Char Char Char,Heading 11 + Left:  -1.97&quot; + 24 pt,Left:  -1.5&quot; + Left:  -1.25&quot;,Fi...,Fi...."/>
    <w:basedOn w:val="Body"/>
    <w:next w:val="Body"/>
    <w:link w:val="Heading1Char"/>
    <w:qFormat/>
    <w:rsid w:val="00D31909"/>
    <w:pPr>
      <w:keepNext/>
      <w:spacing w:before="360" w:line="420" w:lineRule="exact"/>
      <w:outlineLvl w:val="0"/>
    </w:pPr>
    <w:rPr>
      <w:rFonts w:ascii="Arial" w:hAnsi="Arial" w:cs="Arial"/>
      <w:bCs/>
      <w:color w:val="4E8ABE"/>
      <w:kern w:val="32"/>
      <w:sz w:val="36"/>
      <w:szCs w:val="36"/>
    </w:rPr>
  </w:style>
  <w:style w:type="paragraph" w:styleId="Heading2">
    <w:name w:val="heading 2"/>
    <w:aliases w:val="Heading 21"/>
    <w:basedOn w:val="Body"/>
    <w:next w:val="Body"/>
    <w:link w:val="Heading2Char"/>
    <w:qFormat/>
    <w:rsid w:val="00D31909"/>
    <w:pPr>
      <w:keepNext/>
      <w:autoSpaceDE w:val="0"/>
      <w:autoSpaceDN w:val="0"/>
      <w:adjustRightInd w:val="0"/>
      <w:spacing w:after="90" w:line="280" w:lineRule="exact"/>
      <w:outlineLvl w:val="1"/>
    </w:pPr>
    <w:rPr>
      <w:rFonts w:ascii="Arial" w:hAnsi="Arial"/>
      <w:b/>
      <w:color w:val="4E8ABE"/>
      <w:sz w:val="24"/>
    </w:rPr>
  </w:style>
  <w:style w:type="paragraph" w:styleId="Heading3">
    <w:name w:val="heading 3"/>
    <w:basedOn w:val="Body"/>
    <w:next w:val="Body"/>
    <w:link w:val="Heading3Char"/>
    <w:qFormat/>
    <w:rsid w:val="00D31909"/>
    <w:pPr>
      <w:keepNext/>
      <w:spacing w:after="40"/>
      <w:outlineLvl w:val="2"/>
    </w:pPr>
    <w:rPr>
      <w:rFonts w:cs="Arial"/>
      <w:b/>
      <w:bCs/>
      <w:szCs w:val="26"/>
    </w:rPr>
  </w:style>
  <w:style w:type="paragraph" w:styleId="Heading4">
    <w:name w:val="heading 4"/>
    <w:basedOn w:val="Body"/>
    <w:next w:val="Body"/>
    <w:link w:val="Heading4Char"/>
    <w:rsid w:val="00D31909"/>
    <w:pPr>
      <w:keepNext/>
      <w:spacing w:after="0"/>
      <w:outlineLvl w:val="3"/>
    </w:pPr>
    <w:rPr>
      <w:bCs/>
      <w:i/>
      <w:szCs w:val="28"/>
    </w:rPr>
  </w:style>
  <w:style w:type="paragraph" w:styleId="Heading5">
    <w:name w:val="heading 5"/>
    <w:basedOn w:val="Heading4"/>
    <w:next w:val="Body"/>
    <w:link w:val="Heading5Char"/>
    <w:rsid w:val="00D31909"/>
    <w:pPr>
      <w:spacing w:after="40"/>
      <w:outlineLvl w:val="4"/>
    </w:pPr>
    <w:rPr>
      <w:b/>
      <w:bCs w:val="0"/>
      <w:i w:val="0"/>
      <w:color w:val="000080"/>
      <w:sz w:val="144"/>
      <w:szCs w:val="144"/>
    </w:rPr>
  </w:style>
  <w:style w:type="paragraph" w:styleId="Heading6">
    <w:name w:val="heading 6"/>
    <w:basedOn w:val="Heading1"/>
    <w:next w:val="Normal"/>
    <w:link w:val="Heading6Char"/>
    <w:rsid w:val="00D31909"/>
    <w:pPr>
      <w:pBdr>
        <w:bottom w:val="single" w:sz="6" w:space="1" w:color="auto"/>
      </w:pBdr>
      <w:spacing w:before="120" w:line="240" w:lineRule="auto"/>
      <w:outlineLvl w:val="5"/>
    </w:pPr>
    <w:rPr>
      <w:rFonts w:ascii="Times New Roman" w:hAnsi="Times New Roman" w:cs="Times New Roman"/>
      <w:bCs w:val="0"/>
      <w:smallCaps/>
      <w:color w:val="000080"/>
      <w:kern w:val="0"/>
      <w:sz w:val="144"/>
      <w:szCs w:val="144"/>
    </w:rPr>
  </w:style>
  <w:style w:type="paragraph" w:styleId="Heading7">
    <w:name w:val="heading 7"/>
    <w:basedOn w:val="Normal"/>
    <w:next w:val="Normal"/>
    <w:link w:val="Heading7Char"/>
    <w:rsid w:val="00D31909"/>
    <w:pPr>
      <w:keepNext/>
      <w:keepLines/>
      <w:spacing w:after="100"/>
      <w:outlineLvl w:val="6"/>
    </w:pPr>
    <w:rPr>
      <w:color w:val="000080"/>
      <w:sz w:val="144"/>
      <w:szCs w:val="144"/>
    </w:rPr>
  </w:style>
  <w:style w:type="paragraph" w:styleId="Heading8">
    <w:name w:val="heading 8"/>
    <w:basedOn w:val="Normal"/>
    <w:next w:val="Normal"/>
    <w:link w:val="Heading8Char"/>
    <w:rsid w:val="00D31909"/>
    <w:pPr>
      <w:spacing w:before="240" w:after="60"/>
      <w:outlineLvl w:val="7"/>
    </w:pPr>
    <w:rPr>
      <w:i/>
      <w:iCs/>
    </w:rPr>
  </w:style>
  <w:style w:type="paragraph" w:styleId="Heading9">
    <w:name w:val="heading 9"/>
    <w:basedOn w:val="Normal"/>
    <w:next w:val="Normal"/>
    <w:link w:val="Heading9Char"/>
    <w:rsid w:val="00D31909"/>
    <w:pPr>
      <w:spacing w:before="240" w:after="60"/>
      <w:outlineLvl w:val="8"/>
    </w:pPr>
    <w:rPr>
      <w:rFonts w:ascii="Arial" w:hAnsi="Arial" w:cs="Arial"/>
      <w:szCs w:val="22"/>
    </w:rPr>
  </w:style>
  <w:style w:type="character" w:default="1" w:styleId="DefaultParagraphFont">
    <w:name w:val="Default Paragraph Font"/>
    <w:uiPriority w:val="1"/>
    <w:semiHidden/>
    <w:unhideWhenUsed/>
    <w:rsid w:val="00D3190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D31909"/>
  </w:style>
  <w:style w:type="paragraph" w:styleId="Header">
    <w:name w:val="header"/>
    <w:basedOn w:val="Normal"/>
    <w:link w:val="HeaderChar"/>
    <w:rsid w:val="00D31909"/>
    <w:pPr>
      <w:tabs>
        <w:tab w:val="center" w:pos="4320"/>
        <w:tab w:val="right" w:pos="8640"/>
      </w:tabs>
      <w:spacing w:after="120"/>
    </w:pPr>
    <w:rPr>
      <w:rFonts w:ascii="Arial" w:hAnsi="Arial"/>
      <w:noProof/>
      <w:kern w:val="20"/>
      <w:sz w:val="14"/>
    </w:rPr>
  </w:style>
  <w:style w:type="character" w:customStyle="1" w:styleId="HeaderChar">
    <w:name w:val="Header Char"/>
    <w:basedOn w:val="DefaultParagraphFont"/>
    <w:link w:val="Header"/>
    <w:rsid w:val="00D31909"/>
    <w:rPr>
      <w:rFonts w:ascii="Arial" w:eastAsia="MS Mincho" w:hAnsi="Arial" w:cs="Times New Roman"/>
      <w:noProof/>
      <w:kern w:val="20"/>
      <w:sz w:val="14"/>
      <w:szCs w:val="24"/>
      <w:lang w:val="en-US" w:eastAsia="en-US"/>
    </w:rPr>
  </w:style>
  <w:style w:type="paragraph" w:styleId="Footer">
    <w:name w:val="footer"/>
    <w:basedOn w:val="Normal"/>
    <w:link w:val="FooterChar"/>
    <w:rsid w:val="00D31909"/>
    <w:pPr>
      <w:tabs>
        <w:tab w:val="left" w:pos="6552"/>
      </w:tabs>
      <w:spacing w:before="240"/>
    </w:pPr>
    <w:rPr>
      <w:rFonts w:ascii="Arial" w:hAnsi="Arial"/>
      <w:b/>
      <w:sz w:val="14"/>
    </w:rPr>
  </w:style>
  <w:style w:type="character" w:customStyle="1" w:styleId="FooterChar">
    <w:name w:val="Footer Char"/>
    <w:basedOn w:val="DefaultParagraphFont"/>
    <w:link w:val="Footer"/>
    <w:rsid w:val="00D31909"/>
    <w:rPr>
      <w:rFonts w:ascii="Arial" w:eastAsia="MS Mincho" w:hAnsi="Arial" w:cs="Times New Roman"/>
      <w:b/>
      <w:sz w:val="14"/>
      <w:szCs w:val="24"/>
      <w:lang w:val="en-US" w:eastAsia="en-US"/>
    </w:rPr>
  </w:style>
  <w:style w:type="paragraph" w:styleId="BalloonText">
    <w:name w:val="Balloon Text"/>
    <w:basedOn w:val="Normal"/>
    <w:link w:val="BalloonTextChar"/>
    <w:semiHidden/>
    <w:rsid w:val="00D31909"/>
    <w:rPr>
      <w:rFonts w:ascii="Tahoma" w:hAnsi="Tahoma" w:cs="Tahoma"/>
      <w:sz w:val="16"/>
      <w:szCs w:val="16"/>
    </w:rPr>
  </w:style>
  <w:style w:type="character" w:customStyle="1" w:styleId="BalloonTextChar">
    <w:name w:val="Balloon Text Char"/>
    <w:basedOn w:val="DefaultParagraphFont"/>
    <w:link w:val="BalloonText"/>
    <w:semiHidden/>
    <w:rsid w:val="00D31909"/>
    <w:rPr>
      <w:rFonts w:ascii="Tahoma" w:eastAsia="MS Mincho" w:hAnsi="Tahoma" w:cs="Tahoma"/>
      <w:sz w:val="16"/>
      <w:szCs w:val="16"/>
      <w:lang w:val="en-US" w:eastAsia="en-US"/>
    </w:rPr>
  </w:style>
  <w:style w:type="character" w:styleId="PlaceholderText">
    <w:name w:val="Placeholder Text"/>
    <w:basedOn w:val="DefaultParagraphFont"/>
    <w:uiPriority w:val="99"/>
    <w:semiHidden/>
    <w:rsid w:val="00D31909"/>
    <w:rPr>
      <w:color w:val="808080"/>
    </w:rPr>
  </w:style>
  <w:style w:type="paragraph" w:customStyle="1" w:styleId="Body">
    <w:name w:val="Body"/>
    <w:aliases w:val="by,body,body + Black,Justified,After:  3 pt,Line spacing:  At least 9 pt + Bl...,Line spacing:  At least 9 pt...,body + Black1,Justified1,After:  3 pt1,Line spacing:  At least 9 pt...1,Line spacing:  At least 9 pt + Bl...1,Body1,body + 22 pt,by1"/>
    <w:basedOn w:val="Normal"/>
    <w:link w:val="BodyChar"/>
    <w:qFormat/>
    <w:rsid w:val="00D31909"/>
    <w:pPr>
      <w:spacing w:after="240"/>
    </w:pPr>
    <w:rPr>
      <w:sz w:val="20"/>
    </w:rPr>
  </w:style>
  <w:style w:type="paragraph" w:customStyle="1" w:styleId="FooterFrontPage">
    <w:name w:val="FooterFrontPage"/>
    <w:basedOn w:val="Normal"/>
    <w:rsid w:val="00D31909"/>
    <w:pPr>
      <w:framePr w:wrap="around" w:hAnchor="text" w:yAlign="bottom"/>
      <w:spacing w:line="216" w:lineRule="atLeast"/>
      <w:jc w:val="both"/>
    </w:pPr>
    <w:rPr>
      <w:rFonts w:ascii="Arial Narrow" w:hAnsi="Arial Narrow"/>
      <w:bCs/>
      <w:iCs/>
      <w:noProof/>
      <w:spacing w:val="-2"/>
      <w:sz w:val="20"/>
      <w:szCs w:val="18"/>
    </w:rPr>
  </w:style>
  <w:style w:type="paragraph" w:customStyle="1" w:styleId="Industry">
    <w:name w:val="Industry"/>
    <w:basedOn w:val="Body"/>
    <w:next w:val="Body"/>
    <w:rsid w:val="00D31909"/>
    <w:pPr>
      <w:pBdr>
        <w:top w:val="single" w:sz="2" w:space="4" w:color="auto"/>
      </w:pBdr>
      <w:spacing w:after="90"/>
    </w:pPr>
    <w:rPr>
      <w:rFonts w:ascii="Arial" w:hAnsi="Arial"/>
      <w:b/>
      <w:noProof/>
      <w:sz w:val="17"/>
      <w:szCs w:val="17"/>
    </w:rPr>
  </w:style>
  <w:style w:type="paragraph" w:customStyle="1" w:styleId="FPTitleCompany">
    <w:name w:val="FPTitleCompany"/>
    <w:basedOn w:val="DocTitle"/>
    <w:rsid w:val="00D31909"/>
    <w:pPr>
      <w:framePr w:hSpace="187" w:wrap="around" w:vAnchor="text" w:hAnchor="text" w:xAlign="right" w:y="1"/>
      <w:spacing w:line="240" w:lineRule="auto"/>
    </w:pPr>
    <w:rPr>
      <w:color w:val="4E8ABE"/>
    </w:rPr>
  </w:style>
  <w:style w:type="paragraph" w:customStyle="1" w:styleId="HeaderRegionGroup">
    <w:name w:val="HeaderRegionGroup"/>
    <w:basedOn w:val="Header"/>
    <w:rsid w:val="00D31909"/>
    <w:pPr>
      <w:spacing w:after="0"/>
    </w:pPr>
    <w:rPr>
      <w:b/>
      <w:color w:val="4E8ABE"/>
      <w:szCs w:val="14"/>
    </w:rPr>
  </w:style>
  <w:style w:type="paragraph" w:customStyle="1" w:styleId="IPOInsidePage">
    <w:name w:val="IPOInsidePage"/>
    <w:basedOn w:val="IPO"/>
    <w:rsid w:val="00D31909"/>
    <w:pPr>
      <w:spacing w:before="120" w:after="50"/>
      <w:ind w:right="0"/>
    </w:pPr>
    <w:rPr>
      <w:sz w:val="18"/>
    </w:rPr>
  </w:style>
  <w:style w:type="character" w:styleId="PageNumber">
    <w:name w:val="page number"/>
    <w:basedOn w:val="DefaultParagraphFont"/>
    <w:rsid w:val="00D31909"/>
    <w:rPr>
      <w:rFonts w:ascii="Arial" w:hAnsi="Arial"/>
      <w:sz w:val="14"/>
    </w:rPr>
  </w:style>
  <w:style w:type="paragraph" w:customStyle="1" w:styleId="PriceDual">
    <w:name w:val="PriceDual"/>
    <w:basedOn w:val="RatingDual"/>
    <w:next w:val="Body"/>
    <w:rsid w:val="00D31909"/>
    <w:pPr>
      <w:framePr w:wrap="around"/>
    </w:pPr>
    <w:rPr>
      <w:b/>
    </w:rPr>
  </w:style>
  <w:style w:type="paragraph" w:customStyle="1" w:styleId="PTChangeArrow">
    <w:name w:val="PTChangeArrow"/>
    <w:basedOn w:val="FPTitleCompany"/>
    <w:rsid w:val="00D31909"/>
    <w:pPr>
      <w:framePr w:wrap="auto"/>
      <w:spacing w:before="260" w:after="300"/>
    </w:pPr>
    <w:rPr>
      <w:color w:val="616265"/>
      <w:sz w:val="20"/>
      <w:szCs w:val="20"/>
    </w:rPr>
  </w:style>
  <w:style w:type="paragraph" w:customStyle="1" w:styleId="PublishDate">
    <w:name w:val="PublishDate"/>
    <w:basedOn w:val="Normal"/>
    <w:rsid w:val="00D31909"/>
    <w:pPr>
      <w:spacing w:after="260" w:line="200" w:lineRule="atLeast"/>
      <w:ind w:left="7114"/>
    </w:pPr>
    <w:rPr>
      <w:rFonts w:ascii="Arial" w:hAnsi="Arial"/>
      <w:noProof/>
      <w:sz w:val="16"/>
    </w:rPr>
  </w:style>
  <w:style w:type="paragraph" w:customStyle="1" w:styleId="RatingChangeArrow">
    <w:name w:val="RatingChangeArrow"/>
    <w:basedOn w:val="FPTitleCompany"/>
    <w:rsid w:val="00D31909"/>
    <w:pPr>
      <w:framePr w:wrap="auto"/>
      <w:spacing w:before="120" w:after="480"/>
    </w:pPr>
    <w:rPr>
      <w:color w:val="616265"/>
      <w:sz w:val="28"/>
      <w:szCs w:val="28"/>
    </w:rPr>
  </w:style>
  <w:style w:type="paragraph" w:customStyle="1" w:styleId="RegionGroup">
    <w:name w:val="RegionGroup"/>
    <w:basedOn w:val="Body"/>
    <w:next w:val="PublishDate"/>
    <w:rsid w:val="00D31909"/>
    <w:pPr>
      <w:spacing w:after="0" w:line="200" w:lineRule="atLeast"/>
      <w:ind w:left="7114"/>
    </w:pPr>
    <w:rPr>
      <w:rFonts w:ascii="Arial" w:hAnsi="Arial"/>
      <w:b/>
      <w:noProof/>
      <w:color w:val="4E8ABE"/>
      <w:sz w:val="18"/>
      <w:szCs w:val="18"/>
    </w:rPr>
  </w:style>
  <w:style w:type="paragraph" w:customStyle="1" w:styleId="RegionGroupInvisible">
    <w:name w:val="RegionGroupInvisible"/>
    <w:basedOn w:val="Header"/>
    <w:rsid w:val="00D31909"/>
    <w:pPr>
      <w:spacing w:before="1440"/>
    </w:pPr>
    <w:rPr>
      <w:color w:val="FFFFFF"/>
    </w:rPr>
  </w:style>
  <w:style w:type="paragraph" w:customStyle="1" w:styleId="ReportType">
    <w:name w:val="ReportType"/>
    <w:basedOn w:val="RatingDual"/>
    <w:rsid w:val="00D31909"/>
    <w:pPr>
      <w:framePr w:wrap="around"/>
    </w:pPr>
    <w:rPr>
      <w:b/>
      <w:sz w:val="18"/>
    </w:rPr>
  </w:style>
  <w:style w:type="paragraph" w:customStyle="1" w:styleId="SubTitle">
    <w:name w:val="SubTitle"/>
    <w:basedOn w:val="Body"/>
    <w:next w:val="Body"/>
    <w:rsid w:val="00D31909"/>
    <w:pPr>
      <w:spacing w:before="60" w:after="120"/>
    </w:pPr>
    <w:rPr>
      <w:rFonts w:ascii="Arial" w:hAnsi="Arial"/>
      <w:sz w:val="26"/>
    </w:rPr>
  </w:style>
  <w:style w:type="table" w:styleId="TableGrid">
    <w:name w:val="Table Grid"/>
    <w:basedOn w:val="TableNormal"/>
    <w:rsid w:val="00D31909"/>
    <w:pPr>
      <w:spacing w:after="0" w:line="240" w:lineRule="auto"/>
    </w:pPr>
    <w:rPr>
      <w:rFonts w:ascii="Times New Roman" w:eastAsia="MS Mincho"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111111">
    <w:name w:val="Outline List 2"/>
    <w:basedOn w:val="NoList"/>
    <w:rsid w:val="00D31909"/>
    <w:pPr>
      <w:numPr>
        <w:numId w:val="2"/>
      </w:numPr>
    </w:pPr>
  </w:style>
  <w:style w:type="numbering" w:styleId="1ai">
    <w:name w:val="Outline List 1"/>
    <w:basedOn w:val="NoList"/>
    <w:rsid w:val="00D31909"/>
    <w:pPr>
      <w:numPr>
        <w:numId w:val="5"/>
      </w:numPr>
    </w:pPr>
  </w:style>
  <w:style w:type="paragraph" w:customStyle="1" w:styleId="AbstractRP">
    <w:name w:val="AbstractRP"/>
    <w:basedOn w:val="Body"/>
    <w:semiHidden/>
    <w:rsid w:val="00D31909"/>
  </w:style>
  <w:style w:type="paragraph" w:styleId="CommentText">
    <w:name w:val="annotation text"/>
    <w:basedOn w:val="Normal"/>
    <w:link w:val="CommentTextChar"/>
    <w:semiHidden/>
    <w:rsid w:val="00D31909"/>
    <w:rPr>
      <w:sz w:val="20"/>
    </w:rPr>
  </w:style>
  <w:style w:type="character" w:customStyle="1" w:styleId="CommentTextChar">
    <w:name w:val="Comment Text Char"/>
    <w:basedOn w:val="DefaultParagraphFont"/>
    <w:link w:val="CommentText"/>
    <w:semiHidden/>
    <w:rsid w:val="00D31909"/>
    <w:rPr>
      <w:rFonts w:ascii="Times New Roman" w:eastAsia="MS Mincho" w:hAnsi="Times New Roman" w:cs="Times New Roman"/>
      <w:sz w:val="20"/>
      <w:szCs w:val="24"/>
      <w:lang w:val="en-US" w:eastAsia="en-US"/>
    </w:rPr>
  </w:style>
  <w:style w:type="paragraph" w:customStyle="1" w:styleId="AcrobatBookmark">
    <w:name w:val="Acrobat Bookmark"/>
    <w:basedOn w:val="CommentText"/>
    <w:rsid w:val="00D31909"/>
    <w:rPr>
      <w:rFonts w:ascii="Arial" w:hAnsi="Arial"/>
      <w:i/>
      <w:sz w:val="16"/>
    </w:rPr>
  </w:style>
  <w:style w:type="paragraph" w:customStyle="1" w:styleId="AgencyRating">
    <w:name w:val="AgencyRating"/>
    <w:basedOn w:val="Body"/>
    <w:rsid w:val="00D31909"/>
    <w:pPr>
      <w:spacing w:after="0"/>
    </w:pPr>
    <w:rPr>
      <w:rFonts w:ascii="Arial Narrow" w:hAnsi="Arial Narrow"/>
      <w:sz w:val="18"/>
      <w:szCs w:val="18"/>
    </w:rPr>
  </w:style>
  <w:style w:type="paragraph" w:styleId="BodyText">
    <w:name w:val="Body Text"/>
    <w:basedOn w:val="Normal"/>
    <w:link w:val="BodyTextChar"/>
    <w:rsid w:val="00D31909"/>
    <w:pPr>
      <w:spacing w:after="120"/>
    </w:pPr>
  </w:style>
  <w:style w:type="character" w:customStyle="1" w:styleId="BodyTextChar">
    <w:name w:val="Body Text Char"/>
    <w:basedOn w:val="DefaultParagraphFont"/>
    <w:link w:val="BodyText"/>
    <w:rsid w:val="00D31909"/>
    <w:rPr>
      <w:rFonts w:ascii="Times New Roman" w:eastAsia="MS Mincho" w:hAnsi="Times New Roman" w:cs="Times New Roman"/>
      <w:sz w:val="24"/>
      <w:szCs w:val="24"/>
      <w:lang w:val="en-US" w:eastAsia="en-US"/>
    </w:rPr>
  </w:style>
  <w:style w:type="paragraph" w:customStyle="1" w:styleId="AnalystCertification">
    <w:name w:val="AnalystCertification"/>
    <w:basedOn w:val="BodyText"/>
    <w:rsid w:val="00D31909"/>
    <w:pPr>
      <w:ind w:left="-3125"/>
    </w:pPr>
    <w:rPr>
      <w:sz w:val="20"/>
    </w:rPr>
  </w:style>
  <w:style w:type="paragraph" w:customStyle="1" w:styleId="AnalystCertificationHead">
    <w:name w:val="AnalystCertificationHead"/>
    <w:basedOn w:val="Normal"/>
    <w:rsid w:val="00D31909"/>
    <w:pPr>
      <w:keepNext/>
      <w:autoSpaceDE w:val="0"/>
      <w:autoSpaceDN w:val="0"/>
      <w:adjustRightInd w:val="0"/>
      <w:spacing w:line="240" w:lineRule="atLeast"/>
      <w:ind w:left="-3125"/>
    </w:pPr>
    <w:rPr>
      <w:b/>
      <w:bCs/>
      <w:color w:val="000000"/>
      <w:sz w:val="20"/>
      <w:szCs w:val="20"/>
    </w:rPr>
  </w:style>
  <w:style w:type="paragraph" w:customStyle="1" w:styleId="AnalystsnonJPMSI">
    <w:name w:val="AnalystsnonJPMSI"/>
    <w:basedOn w:val="Body"/>
    <w:rsid w:val="00D31909"/>
    <w:pPr>
      <w:spacing w:after="40"/>
    </w:pPr>
    <w:rPr>
      <w:rFonts w:ascii="Arial Narrow" w:hAnsi="Arial Narrow"/>
      <w:sz w:val="18"/>
      <w:szCs w:val="18"/>
    </w:rPr>
  </w:style>
  <w:style w:type="paragraph" w:customStyle="1" w:styleId="AnchorLETable">
    <w:name w:val="AnchorLETable"/>
    <w:basedOn w:val="FooterFrontPage"/>
    <w:rsid w:val="00D31909"/>
    <w:pPr>
      <w:framePr w:wrap="around"/>
    </w:pPr>
    <w:rPr>
      <w:rFonts w:ascii="Arial" w:hAnsi="Arial"/>
    </w:rPr>
  </w:style>
  <w:style w:type="paragraph" w:customStyle="1" w:styleId="AnchorPriceData">
    <w:name w:val="AnchorPriceData"/>
    <w:basedOn w:val="FooterFrontPage"/>
    <w:rsid w:val="00D31909"/>
    <w:pPr>
      <w:framePr w:wrap="around"/>
    </w:pPr>
  </w:style>
  <w:style w:type="character" w:customStyle="1" w:styleId="Heading1Char">
    <w:name w:val="Heading 1 Char"/>
    <w:aliases w:val="Heading 11 Char,Heading 1 Char Char Char Char Char1,Heading 11 + Left:  -1.97&quot; + 24 pt Char,Left:  -1.5&quot; + Left:  -1.25&quot; Char,Fi... Char,Fi.... Char"/>
    <w:basedOn w:val="DefaultParagraphFont"/>
    <w:link w:val="Heading1"/>
    <w:rsid w:val="00D31909"/>
    <w:rPr>
      <w:rFonts w:ascii="Arial" w:eastAsia="MS Mincho" w:hAnsi="Arial" w:cs="Arial"/>
      <w:bCs/>
      <w:color w:val="4E8ABE"/>
      <w:kern w:val="32"/>
      <w:sz w:val="36"/>
      <w:szCs w:val="36"/>
      <w:lang w:val="en-US" w:eastAsia="en-US"/>
    </w:rPr>
  </w:style>
  <w:style w:type="paragraph" w:customStyle="1" w:styleId="Append">
    <w:name w:val="Append"/>
    <w:basedOn w:val="Heading1"/>
    <w:next w:val="Body"/>
    <w:rsid w:val="00D31909"/>
    <w:pPr>
      <w:numPr>
        <w:numId w:val="6"/>
      </w:numPr>
    </w:pPr>
  </w:style>
  <w:style w:type="character" w:customStyle="1" w:styleId="Heading2Char">
    <w:name w:val="Heading 2 Char"/>
    <w:aliases w:val="Heading 21 Char"/>
    <w:basedOn w:val="DefaultParagraphFont"/>
    <w:link w:val="Heading2"/>
    <w:rsid w:val="00D31909"/>
    <w:rPr>
      <w:rFonts w:ascii="Arial" w:eastAsia="MS Mincho" w:hAnsi="Arial" w:cs="Times New Roman"/>
      <w:b/>
      <w:color w:val="4E8ABE"/>
      <w:sz w:val="24"/>
      <w:szCs w:val="24"/>
      <w:lang w:val="en-US" w:eastAsia="en-US"/>
    </w:rPr>
  </w:style>
  <w:style w:type="paragraph" w:customStyle="1" w:styleId="Append2">
    <w:name w:val="Append2"/>
    <w:basedOn w:val="Heading2"/>
    <w:next w:val="Body"/>
    <w:rsid w:val="00D31909"/>
  </w:style>
  <w:style w:type="character" w:customStyle="1" w:styleId="Heading3Char">
    <w:name w:val="Heading 3 Char"/>
    <w:basedOn w:val="DefaultParagraphFont"/>
    <w:link w:val="Heading3"/>
    <w:rsid w:val="00D31909"/>
    <w:rPr>
      <w:rFonts w:ascii="Times New Roman" w:eastAsia="MS Mincho" w:hAnsi="Times New Roman" w:cs="Arial"/>
      <w:b/>
      <w:bCs/>
      <w:sz w:val="20"/>
      <w:szCs w:val="26"/>
      <w:lang w:val="en-US" w:eastAsia="en-US"/>
    </w:rPr>
  </w:style>
  <w:style w:type="character" w:customStyle="1" w:styleId="Heading4Char">
    <w:name w:val="Heading 4 Char"/>
    <w:basedOn w:val="DefaultParagraphFont"/>
    <w:link w:val="Heading4"/>
    <w:rsid w:val="00D31909"/>
    <w:rPr>
      <w:rFonts w:ascii="Times New Roman" w:eastAsia="MS Mincho" w:hAnsi="Times New Roman" w:cs="Times New Roman"/>
      <w:bCs/>
      <w:i/>
      <w:sz w:val="20"/>
      <w:szCs w:val="28"/>
      <w:lang w:val="en-US" w:eastAsia="en-US"/>
    </w:rPr>
  </w:style>
  <w:style w:type="character" w:customStyle="1" w:styleId="Heading5Char">
    <w:name w:val="Heading 5 Char"/>
    <w:basedOn w:val="DefaultParagraphFont"/>
    <w:link w:val="Heading5"/>
    <w:rsid w:val="00D31909"/>
    <w:rPr>
      <w:rFonts w:ascii="Times New Roman" w:eastAsia="MS Mincho" w:hAnsi="Times New Roman" w:cs="Times New Roman"/>
      <w:b/>
      <w:color w:val="000080"/>
      <w:sz w:val="144"/>
      <w:szCs w:val="144"/>
      <w:lang w:val="en-US" w:eastAsia="en-US"/>
    </w:rPr>
  </w:style>
  <w:style w:type="character" w:customStyle="1" w:styleId="Heading6Char">
    <w:name w:val="Heading 6 Char"/>
    <w:basedOn w:val="DefaultParagraphFont"/>
    <w:link w:val="Heading6"/>
    <w:rsid w:val="00D31909"/>
    <w:rPr>
      <w:rFonts w:ascii="Times New Roman" w:eastAsia="MS Mincho" w:hAnsi="Times New Roman" w:cs="Times New Roman"/>
      <w:smallCaps/>
      <w:color w:val="000080"/>
      <w:sz w:val="144"/>
      <w:szCs w:val="144"/>
      <w:lang w:val="en-US" w:eastAsia="en-US"/>
    </w:rPr>
  </w:style>
  <w:style w:type="character" w:customStyle="1" w:styleId="Heading7Char">
    <w:name w:val="Heading 7 Char"/>
    <w:basedOn w:val="DefaultParagraphFont"/>
    <w:link w:val="Heading7"/>
    <w:rsid w:val="00D31909"/>
    <w:rPr>
      <w:rFonts w:ascii="Times New Roman" w:eastAsia="MS Mincho" w:hAnsi="Times New Roman" w:cs="Times New Roman"/>
      <w:color w:val="000080"/>
      <w:sz w:val="144"/>
      <w:szCs w:val="144"/>
      <w:lang w:val="en-US" w:eastAsia="en-US"/>
    </w:rPr>
  </w:style>
  <w:style w:type="character" w:customStyle="1" w:styleId="Heading8Char">
    <w:name w:val="Heading 8 Char"/>
    <w:basedOn w:val="DefaultParagraphFont"/>
    <w:link w:val="Heading8"/>
    <w:rsid w:val="00D31909"/>
    <w:rPr>
      <w:rFonts w:ascii="Times New Roman" w:eastAsia="MS Mincho" w:hAnsi="Times New Roman" w:cs="Times New Roman"/>
      <w:i/>
      <w:iCs/>
      <w:sz w:val="24"/>
      <w:szCs w:val="24"/>
      <w:lang w:val="en-US" w:eastAsia="en-US"/>
    </w:rPr>
  </w:style>
  <w:style w:type="character" w:customStyle="1" w:styleId="Heading9Char">
    <w:name w:val="Heading 9 Char"/>
    <w:basedOn w:val="DefaultParagraphFont"/>
    <w:link w:val="Heading9"/>
    <w:rsid w:val="00D31909"/>
    <w:rPr>
      <w:rFonts w:ascii="Arial" w:eastAsia="MS Mincho" w:hAnsi="Arial" w:cs="Arial"/>
      <w:sz w:val="24"/>
      <w:lang w:val="en-US" w:eastAsia="en-US"/>
    </w:rPr>
  </w:style>
  <w:style w:type="numbering" w:styleId="ArticleSection">
    <w:name w:val="Outline List 3"/>
    <w:basedOn w:val="NoList"/>
    <w:rsid w:val="00D31909"/>
    <w:pPr>
      <w:numPr>
        <w:numId w:val="8"/>
      </w:numPr>
    </w:pPr>
  </w:style>
  <w:style w:type="paragraph" w:styleId="BlockText">
    <w:name w:val="Block Text"/>
    <w:basedOn w:val="Normal"/>
    <w:rsid w:val="00D31909"/>
    <w:pPr>
      <w:spacing w:after="120"/>
      <w:ind w:left="1440" w:right="1440"/>
    </w:pPr>
  </w:style>
  <w:style w:type="paragraph" w:styleId="BodyText2">
    <w:name w:val="Body Text 2"/>
    <w:basedOn w:val="Normal"/>
    <w:link w:val="BodyText2Char"/>
    <w:rsid w:val="00D31909"/>
    <w:pPr>
      <w:spacing w:after="120" w:line="480" w:lineRule="auto"/>
    </w:pPr>
  </w:style>
  <w:style w:type="character" w:customStyle="1" w:styleId="BodyText2Char">
    <w:name w:val="Body Text 2 Char"/>
    <w:basedOn w:val="DefaultParagraphFont"/>
    <w:link w:val="BodyText2"/>
    <w:rsid w:val="00D31909"/>
    <w:rPr>
      <w:rFonts w:ascii="Times New Roman" w:eastAsia="MS Mincho" w:hAnsi="Times New Roman" w:cs="Times New Roman"/>
      <w:sz w:val="24"/>
      <w:szCs w:val="24"/>
      <w:lang w:val="en-US" w:eastAsia="en-US"/>
    </w:rPr>
  </w:style>
  <w:style w:type="paragraph" w:styleId="BodyText3">
    <w:name w:val="Body Text 3"/>
    <w:basedOn w:val="Normal"/>
    <w:link w:val="BodyText3Char"/>
    <w:rsid w:val="00D31909"/>
    <w:pPr>
      <w:spacing w:after="120"/>
    </w:pPr>
    <w:rPr>
      <w:sz w:val="16"/>
      <w:szCs w:val="16"/>
    </w:rPr>
  </w:style>
  <w:style w:type="character" w:customStyle="1" w:styleId="BodyText3Char">
    <w:name w:val="Body Text 3 Char"/>
    <w:basedOn w:val="DefaultParagraphFont"/>
    <w:link w:val="BodyText3"/>
    <w:rsid w:val="00D31909"/>
    <w:rPr>
      <w:rFonts w:ascii="Times New Roman" w:eastAsia="MS Mincho" w:hAnsi="Times New Roman" w:cs="Times New Roman"/>
      <w:sz w:val="16"/>
      <w:szCs w:val="16"/>
      <w:lang w:val="en-US" w:eastAsia="en-US"/>
    </w:rPr>
  </w:style>
  <w:style w:type="paragraph" w:styleId="BodyTextFirstIndent">
    <w:name w:val="Body Text First Indent"/>
    <w:basedOn w:val="BodyText"/>
    <w:link w:val="BodyTextFirstIndentChar"/>
    <w:rsid w:val="00D31909"/>
    <w:pPr>
      <w:ind w:firstLine="210"/>
    </w:pPr>
  </w:style>
  <w:style w:type="character" w:customStyle="1" w:styleId="BodyTextFirstIndentChar">
    <w:name w:val="Body Text First Indent Char"/>
    <w:basedOn w:val="BodyTextChar"/>
    <w:link w:val="BodyTextFirstIndent"/>
    <w:rsid w:val="00D31909"/>
  </w:style>
  <w:style w:type="paragraph" w:styleId="BodyTextIndent">
    <w:name w:val="Body Text Indent"/>
    <w:basedOn w:val="Normal"/>
    <w:link w:val="BodyTextIndentChar"/>
    <w:rsid w:val="00D31909"/>
    <w:pPr>
      <w:spacing w:after="120"/>
      <w:ind w:left="360"/>
    </w:pPr>
  </w:style>
  <w:style w:type="character" w:customStyle="1" w:styleId="BodyTextIndentChar">
    <w:name w:val="Body Text Indent Char"/>
    <w:basedOn w:val="DefaultParagraphFont"/>
    <w:link w:val="BodyTextIndent"/>
    <w:rsid w:val="00D31909"/>
    <w:rPr>
      <w:rFonts w:ascii="Times New Roman" w:eastAsia="MS Mincho" w:hAnsi="Times New Roman" w:cs="Times New Roman"/>
      <w:sz w:val="24"/>
      <w:szCs w:val="24"/>
      <w:lang w:val="en-US" w:eastAsia="en-US"/>
    </w:rPr>
  </w:style>
  <w:style w:type="paragraph" w:styleId="BodyTextFirstIndent2">
    <w:name w:val="Body Text First Indent 2"/>
    <w:basedOn w:val="BodyTextIndent"/>
    <w:link w:val="BodyTextFirstIndent2Char"/>
    <w:rsid w:val="00D31909"/>
    <w:pPr>
      <w:ind w:firstLine="210"/>
    </w:pPr>
  </w:style>
  <w:style w:type="character" w:customStyle="1" w:styleId="BodyTextFirstIndent2Char">
    <w:name w:val="Body Text First Indent 2 Char"/>
    <w:basedOn w:val="BodyTextIndentChar"/>
    <w:link w:val="BodyTextFirstIndent2"/>
    <w:rsid w:val="00D31909"/>
  </w:style>
  <w:style w:type="paragraph" w:styleId="BodyTextIndent2">
    <w:name w:val="Body Text Indent 2"/>
    <w:basedOn w:val="Normal"/>
    <w:link w:val="BodyTextIndent2Char"/>
    <w:rsid w:val="00D31909"/>
    <w:pPr>
      <w:spacing w:after="120" w:line="480" w:lineRule="auto"/>
      <w:ind w:left="360"/>
    </w:pPr>
  </w:style>
  <w:style w:type="character" w:customStyle="1" w:styleId="BodyTextIndent2Char">
    <w:name w:val="Body Text Indent 2 Char"/>
    <w:basedOn w:val="DefaultParagraphFont"/>
    <w:link w:val="BodyTextIndent2"/>
    <w:rsid w:val="00D31909"/>
    <w:rPr>
      <w:rFonts w:ascii="Times New Roman" w:eastAsia="MS Mincho" w:hAnsi="Times New Roman" w:cs="Times New Roman"/>
      <w:sz w:val="24"/>
      <w:szCs w:val="24"/>
      <w:lang w:val="en-US" w:eastAsia="en-US"/>
    </w:rPr>
  </w:style>
  <w:style w:type="paragraph" w:styleId="BodyTextIndent3">
    <w:name w:val="Body Text Indent 3"/>
    <w:basedOn w:val="Normal"/>
    <w:link w:val="BodyTextIndent3Char"/>
    <w:rsid w:val="00D31909"/>
    <w:pPr>
      <w:spacing w:after="120"/>
      <w:ind w:left="360"/>
    </w:pPr>
    <w:rPr>
      <w:sz w:val="16"/>
      <w:szCs w:val="16"/>
    </w:rPr>
  </w:style>
  <w:style w:type="character" w:customStyle="1" w:styleId="BodyTextIndent3Char">
    <w:name w:val="Body Text Indent 3 Char"/>
    <w:basedOn w:val="DefaultParagraphFont"/>
    <w:link w:val="BodyTextIndent3"/>
    <w:rsid w:val="00D31909"/>
    <w:rPr>
      <w:rFonts w:ascii="Times New Roman" w:eastAsia="MS Mincho" w:hAnsi="Times New Roman" w:cs="Times New Roman"/>
      <w:sz w:val="16"/>
      <w:szCs w:val="16"/>
      <w:lang w:val="en-US" w:eastAsia="en-US"/>
    </w:rPr>
  </w:style>
  <w:style w:type="paragraph" w:customStyle="1" w:styleId="BrokerDisclaimer">
    <w:name w:val="BrokerDisclaimer"/>
    <w:basedOn w:val="Normal"/>
    <w:semiHidden/>
    <w:rsid w:val="00D31909"/>
    <w:pPr>
      <w:spacing w:after="120"/>
    </w:pPr>
    <w:rPr>
      <w:rFonts w:ascii="Arial Narrow" w:hAnsi="Arial Narrow"/>
      <w:noProof/>
      <w:sz w:val="18"/>
    </w:rPr>
  </w:style>
  <w:style w:type="paragraph" w:customStyle="1" w:styleId="Bullet">
    <w:name w:val="Bullet"/>
    <w:basedOn w:val="Body"/>
    <w:qFormat/>
    <w:rsid w:val="00D31909"/>
    <w:pPr>
      <w:numPr>
        <w:numId w:val="9"/>
      </w:numPr>
      <w:tabs>
        <w:tab w:val="left" w:pos="288"/>
      </w:tabs>
      <w:spacing w:after="120"/>
    </w:pPr>
  </w:style>
  <w:style w:type="paragraph" w:customStyle="1" w:styleId="Bullettext">
    <w:name w:val="Bullet text"/>
    <w:basedOn w:val="Normal"/>
    <w:rsid w:val="00D31909"/>
    <w:pPr>
      <w:spacing w:after="240" w:line="240" w:lineRule="exact"/>
    </w:pPr>
    <w:rPr>
      <w:color w:val="000000"/>
      <w:sz w:val="20"/>
      <w:szCs w:val="20"/>
    </w:rPr>
  </w:style>
  <w:style w:type="paragraph" w:customStyle="1" w:styleId="BulletAsia">
    <w:name w:val="BulletAsia"/>
    <w:basedOn w:val="Body"/>
    <w:rsid w:val="00D31909"/>
    <w:pPr>
      <w:numPr>
        <w:numId w:val="10"/>
      </w:numPr>
      <w:tabs>
        <w:tab w:val="left" w:pos="170"/>
      </w:tabs>
      <w:spacing w:after="120"/>
    </w:pPr>
  </w:style>
  <w:style w:type="paragraph" w:customStyle="1" w:styleId="Bullet-first">
    <w:name w:val="Bullet-first"/>
    <w:basedOn w:val="Normal"/>
    <w:rsid w:val="00D31909"/>
    <w:pPr>
      <w:numPr>
        <w:numId w:val="11"/>
      </w:numPr>
      <w:pBdr>
        <w:top w:val="single" w:sz="4" w:space="3" w:color="auto"/>
      </w:pBdr>
      <w:spacing w:before="420" w:after="120"/>
    </w:pPr>
    <w:rPr>
      <w:b/>
      <w:sz w:val="20"/>
    </w:rPr>
  </w:style>
  <w:style w:type="paragraph" w:customStyle="1" w:styleId="Bullet-middle">
    <w:name w:val="Bullet-middle"/>
    <w:basedOn w:val="Bullet-first"/>
    <w:rsid w:val="00D31909"/>
    <w:pPr>
      <w:pBdr>
        <w:top w:val="none" w:sz="0" w:space="0" w:color="auto"/>
      </w:pBdr>
      <w:spacing w:before="0"/>
    </w:pPr>
  </w:style>
  <w:style w:type="paragraph" w:customStyle="1" w:styleId="Bullet-last">
    <w:name w:val="Bullet-last"/>
    <w:basedOn w:val="Normal"/>
    <w:rsid w:val="00D31909"/>
    <w:pPr>
      <w:numPr>
        <w:numId w:val="13"/>
      </w:numPr>
      <w:pBdr>
        <w:bottom w:val="single" w:sz="4" w:space="1" w:color="auto"/>
      </w:pBdr>
      <w:spacing w:after="360"/>
    </w:pPr>
    <w:rPr>
      <w:b/>
      <w:sz w:val="20"/>
    </w:rPr>
  </w:style>
  <w:style w:type="paragraph" w:customStyle="1" w:styleId="BulletRP">
    <w:name w:val="BulletRP"/>
    <w:basedOn w:val="Normal"/>
    <w:rsid w:val="00D31909"/>
    <w:pPr>
      <w:spacing w:after="180" w:line="240" w:lineRule="atLeast"/>
      <w:jc w:val="both"/>
    </w:pPr>
    <w:rPr>
      <w:sz w:val="22"/>
      <w:szCs w:val="22"/>
    </w:rPr>
  </w:style>
  <w:style w:type="paragraph" w:customStyle="1" w:styleId="TableTitle">
    <w:name w:val="Table Title"/>
    <w:basedOn w:val="Body"/>
    <w:next w:val="Normal"/>
    <w:rsid w:val="00D31909"/>
    <w:pPr>
      <w:keepNext/>
      <w:keepLines/>
      <w:spacing w:after="100" w:line="200" w:lineRule="atLeast"/>
    </w:pPr>
    <w:rPr>
      <w:rFonts w:ascii="Arial Narrow" w:hAnsi="Arial Narrow"/>
      <w:b/>
      <w:color w:val="4E8ABE"/>
      <w:sz w:val="18"/>
      <w:szCs w:val="18"/>
    </w:rPr>
  </w:style>
  <w:style w:type="paragraph" w:styleId="Caption">
    <w:name w:val="caption"/>
    <w:aliases w:val="Caption.Appendix,Appendix,c,capt,caption"/>
    <w:basedOn w:val="TableTitle"/>
    <w:next w:val="Normal"/>
    <w:rsid w:val="00D31909"/>
    <w:rPr>
      <w:bCs/>
    </w:rPr>
  </w:style>
  <w:style w:type="paragraph" w:customStyle="1" w:styleId="Chartsubtitle">
    <w:name w:val="Chart subtitle"/>
    <w:basedOn w:val="Normal"/>
    <w:rsid w:val="00D31909"/>
    <w:rPr>
      <w:rFonts w:ascii="Arial Narrow" w:hAnsi="Arial Narrow"/>
      <w:sz w:val="16"/>
    </w:rPr>
  </w:style>
  <w:style w:type="paragraph" w:customStyle="1" w:styleId="Charttitle">
    <w:name w:val="Chart title"/>
    <w:basedOn w:val="Normal"/>
    <w:rsid w:val="00D31909"/>
    <w:rPr>
      <w:rFonts w:ascii="Arial Narrow" w:hAnsi="Arial Narrow"/>
      <w:b/>
      <w:color w:val="4E8ABE"/>
      <w:sz w:val="18"/>
      <w:szCs w:val="18"/>
    </w:rPr>
  </w:style>
  <w:style w:type="paragraph" w:styleId="Closing">
    <w:name w:val="Closing"/>
    <w:basedOn w:val="Normal"/>
    <w:link w:val="ClosingChar"/>
    <w:rsid w:val="00D31909"/>
    <w:pPr>
      <w:ind w:left="4320"/>
    </w:pPr>
  </w:style>
  <w:style w:type="character" w:customStyle="1" w:styleId="ClosingChar">
    <w:name w:val="Closing Char"/>
    <w:basedOn w:val="DefaultParagraphFont"/>
    <w:link w:val="Closing"/>
    <w:rsid w:val="00D31909"/>
    <w:rPr>
      <w:rFonts w:ascii="Times New Roman" w:eastAsia="MS Mincho" w:hAnsi="Times New Roman" w:cs="Times New Roman"/>
      <w:sz w:val="24"/>
      <w:szCs w:val="24"/>
      <w:lang w:val="en-US" w:eastAsia="en-US"/>
    </w:rPr>
  </w:style>
  <w:style w:type="character" w:styleId="CommentReference">
    <w:name w:val="annotation reference"/>
    <w:basedOn w:val="DefaultParagraphFont"/>
    <w:semiHidden/>
    <w:rsid w:val="00D31909"/>
    <w:rPr>
      <w:sz w:val="16"/>
      <w:szCs w:val="16"/>
    </w:rPr>
  </w:style>
  <w:style w:type="paragraph" w:styleId="CommentSubject">
    <w:name w:val="annotation subject"/>
    <w:basedOn w:val="CommentText"/>
    <w:next w:val="CommentText"/>
    <w:link w:val="CommentSubjectChar"/>
    <w:semiHidden/>
    <w:rsid w:val="00D31909"/>
    <w:rPr>
      <w:b/>
      <w:bCs/>
      <w:szCs w:val="20"/>
    </w:rPr>
  </w:style>
  <w:style w:type="character" w:customStyle="1" w:styleId="CommentSubjectChar">
    <w:name w:val="Comment Subject Char"/>
    <w:basedOn w:val="CommentTextChar"/>
    <w:link w:val="CommentSubject"/>
    <w:semiHidden/>
    <w:rsid w:val="00D31909"/>
    <w:rPr>
      <w:b/>
      <w:bCs/>
      <w:szCs w:val="20"/>
    </w:rPr>
  </w:style>
  <w:style w:type="paragraph" w:customStyle="1" w:styleId="CompanyDescription">
    <w:name w:val="CompanyDescription"/>
    <w:basedOn w:val="Body"/>
    <w:qFormat/>
    <w:rsid w:val="00D31909"/>
    <w:pPr>
      <w:pBdr>
        <w:top w:val="single" w:sz="36" w:space="1" w:color="CCDDEC"/>
        <w:left w:val="single" w:sz="36" w:space="4" w:color="CCDDEC"/>
        <w:bottom w:val="single" w:sz="36" w:space="1" w:color="CCDDEC"/>
        <w:right w:val="single" w:sz="36" w:space="4" w:color="CCDDEC"/>
      </w:pBdr>
      <w:shd w:val="clear" w:color="auto" w:fill="CCDDEC"/>
    </w:pPr>
  </w:style>
  <w:style w:type="paragraph" w:customStyle="1" w:styleId="CompanyDescriptionHeader">
    <w:name w:val="CompanyDescriptionHeader"/>
    <w:basedOn w:val="Heading1"/>
    <w:qFormat/>
    <w:rsid w:val="00D31909"/>
    <w:pPr>
      <w:pBdr>
        <w:top w:val="single" w:sz="36" w:space="1" w:color="CCDDEC"/>
        <w:left w:val="single" w:sz="36" w:space="4" w:color="CCDDEC"/>
        <w:bottom w:val="single" w:sz="36" w:space="1" w:color="CCDDEC"/>
        <w:right w:val="single" w:sz="36" w:space="4" w:color="CCDDEC"/>
      </w:pBdr>
      <w:shd w:val="clear" w:color="auto" w:fill="CCDDEC"/>
      <w:spacing w:before="0" w:after="60" w:line="240" w:lineRule="auto"/>
    </w:pPr>
    <w:rPr>
      <w:b/>
      <w:sz w:val="24"/>
      <w:szCs w:val="24"/>
    </w:rPr>
  </w:style>
  <w:style w:type="character" w:customStyle="1" w:styleId="ComplianceMark">
    <w:name w:val="ComplianceMark"/>
    <w:basedOn w:val="DefaultParagraphFont"/>
    <w:rsid w:val="00D31909"/>
    <w:rPr>
      <w:rFonts w:ascii="Arial" w:hAnsi="Arial"/>
      <w:b/>
      <w:sz w:val="18"/>
      <w:szCs w:val="18"/>
      <w:vertAlign w:val="superscript"/>
    </w:rPr>
  </w:style>
  <w:style w:type="paragraph" w:customStyle="1" w:styleId="Country">
    <w:name w:val="Country"/>
    <w:basedOn w:val="Industry"/>
    <w:rsid w:val="00D31909"/>
    <w:pPr>
      <w:spacing w:after="40"/>
    </w:pPr>
  </w:style>
  <w:style w:type="paragraph" w:customStyle="1" w:styleId="CoverContentsTitle">
    <w:name w:val="Cover Contents Title"/>
    <w:next w:val="Normal"/>
    <w:rsid w:val="00D31909"/>
    <w:pPr>
      <w:pBdr>
        <w:bottom w:val="single" w:sz="4" w:space="1" w:color="auto"/>
      </w:pBdr>
      <w:tabs>
        <w:tab w:val="left" w:pos="2693"/>
      </w:tabs>
      <w:spacing w:after="0" w:line="200" w:lineRule="atLeast"/>
    </w:pPr>
    <w:rPr>
      <w:rFonts w:ascii="Arial" w:eastAsia="MS Mincho" w:hAnsi="Arial" w:cs="Arial"/>
      <w:b/>
      <w:color w:val="4E8ABE"/>
      <w:sz w:val="18"/>
      <w:szCs w:val="18"/>
      <w:lang w:val="en-US" w:eastAsia="en-US"/>
    </w:rPr>
  </w:style>
  <w:style w:type="paragraph" w:customStyle="1" w:styleId="CreditAnalystTicker">
    <w:name w:val="CreditAnalystTicker"/>
    <w:basedOn w:val="Body"/>
    <w:rsid w:val="00D31909"/>
    <w:pPr>
      <w:spacing w:after="0"/>
    </w:pPr>
    <w:rPr>
      <w:rFonts w:ascii="Arial" w:hAnsi="Arial"/>
      <w:sz w:val="16"/>
      <w:szCs w:val="16"/>
    </w:rPr>
  </w:style>
  <w:style w:type="paragraph" w:customStyle="1" w:styleId="CreditAnalystTickerValue">
    <w:name w:val="CreditAnalystTickerValue"/>
    <w:basedOn w:val="Body"/>
    <w:rsid w:val="00D31909"/>
    <w:pPr>
      <w:spacing w:after="0"/>
    </w:pPr>
    <w:rPr>
      <w:rFonts w:ascii="Arial" w:hAnsi="Arial"/>
      <w:b/>
      <w:sz w:val="22"/>
      <w:szCs w:val="22"/>
    </w:rPr>
  </w:style>
  <w:style w:type="paragraph" w:styleId="Date">
    <w:name w:val="Date"/>
    <w:basedOn w:val="Normal"/>
    <w:next w:val="Normal"/>
    <w:link w:val="DateChar"/>
    <w:rsid w:val="00D31909"/>
  </w:style>
  <w:style w:type="character" w:customStyle="1" w:styleId="DateChar">
    <w:name w:val="Date Char"/>
    <w:basedOn w:val="DefaultParagraphFont"/>
    <w:link w:val="Date"/>
    <w:rsid w:val="00D31909"/>
    <w:rPr>
      <w:rFonts w:ascii="Times New Roman" w:eastAsia="MS Mincho" w:hAnsi="Times New Roman" w:cs="Times New Roman"/>
      <w:sz w:val="24"/>
      <w:szCs w:val="24"/>
      <w:lang w:val="en-US" w:eastAsia="en-US"/>
    </w:rPr>
  </w:style>
  <w:style w:type="paragraph" w:customStyle="1" w:styleId="Disclosure">
    <w:name w:val="Disclosure"/>
    <w:basedOn w:val="Body"/>
    <w:rsid w:val="00D31909"/>
    <w:pPr>
      <w:spacing w:after="50" w:line="175" w:lineRule="exact"/>
      <w:ind w:left="-3125"/>
    </w:pPr>
    <w:rPr>
      <w:bCs/>
      <w:noProof/>
      <w:sz w:val="16"/>
    </w:rPr>
  </w:style>
  <w:style w:type="paragraph" w:customStyle="1" w:styleId="DiscClause">
    <w:name w:val="DiscClause"/>
    <w:basedOn w:val="Disclosure"/>
    <w:rsid w:val="00D31909"/>
    <w:rPr>
      <w:b/>
    </w:rPr>
  </w:style>
  <w:style w:type="paragraph" w:customStyle="1" w:styleId="Disclaimer">
    <w:name w:val="Disclaimer"/>
    <w:basedOn w:val="Normal"/>
    <w:rsid w:val="00D31909"/>
    <w:pPr>
      <w:numPr>
        <w:numId w:val="16"/>
      </w:numPr>
    </w:pPr>
    <w:rPr>
      <w:snapToGrid w:val="0"/>
      <w:color w:val="000000"/>
      <w:sz w:val="18"/>
    </w:rPr>
  </w:style>
  <w:style w:type="paragraph" w:customStyle="1" w:styleId="DisclaimerBP">
    <w:name w:val="DisclaimerBP"/>
    <w:basedOn w:val="Normal"/>
    <w:rsid w:val="00D31909"/>
    <w:pPr>
      <w:keepNext/>
      <w:spacing w:after="240"/>
      <w:ind w:left="-3125"/>
    </w:pPr>
    <w:rPr>
      <w:b/>
      <w:snapToGrid w:val="0"/>
      <w:color w:val="000000"/>
      <w:sz w:val="20"/>
    </w:rPr>
  </w:style>
  <w:style w:type="paragraph" w:customStyle="1" w:styleId="DisclaimerHeading">
    <w:name w:val="DisclaimerHeading"/>
    <w:basedOn w:val="Heading1"/>
    <w:rsid w:val="00D31909"/>
    <w:pPr>
      <w:ind w:left="-3119"/>
    </w:pPr>
    <w:rPr>
      <w:sz w:val="16"/>
      <w:szCs w:val="16"/>
    </w:rPr>
  </w:style>
  <w:style w:type="paragraph" w:customStyle="1" w:styleId="DisclaimerText">
    <w:name w:val="DisclaimerText"/>
    <w:basedOn w:val="Normal"/>
    <w:rsid w:val="00D31909"/>
    <w:pPr>
      <w:ind w:left="-3125"/>
    </w:pPr>
    <w:rPr>
      <w:snapToGrid w:val="0"/>
      <w:color w:val="000000"/>
      <w:sz w:val="16"/>
    </w:rPr>
  </w:style>
  <w:style w:type="paragraph" w:customStyle="1" w:styleId="DisclosureDistribution">
    <w:name w:val="DisclosureDistribution"/>
    <w:basedOn w:val="Disclosure"/>
    <w:rsid w:val="00D31909"/>
    <w:pPr>
      <w:spacing w:after="0"/>
    </w:pPr>
    <w:rPr>
      <w:b/>
      <w:bCs w:val="0"/>
      <w:sz w:val="18"/>
    </w:rPr>
  </w:style>
  <w:style w:type="paragraph" w:customStyle="1" w:styleId="DisclosureFreeText">
    <w:name w:val="DisclosureFreeText"/>
    <w:basedOn w:val="FooterFrontPage"/>
    <w:rsid w:val="00D31909"/>
    <w:pPr>
      <w:framePr w:wrap="around"/>
    </w:pPr>
    <w:rPr>
      <w:rFonts w:ascii="Times New Roman" w:hAnsi="Times New Roman"/>
      <w:b/>
    </w:rPr>
  </w:style>
  <w:style w:type="paragraph" w:customStyle="1" w:styleId="DisclosureHead">
    <w:name w:val="DisclosureHead"/>
    <w:basedOn w:val="Disclosure"/>
    <w:rsid w:val="00D31909"/>
    <w:pPr>
      <w:keepNext/>
      <w:pBdr>
        <w:top w:val="single" w:sz="4" w:space="1" w:color="auto"/>
      </w:pBdr>
    </w:pPr>
    <w:rPr>
      <w:b/>
    </w:rPr>
  </w:style>
  <w:style w:type="paragraph" w:customStyle="1" w:styleId="DocTitle">
    <w:name w:val="DocTitle"/>
    <w:basedOn w:val="Body"/>
    <w:next w:val="Body"/>
    <w:rsid w:val="00D31909"/>
    <w:pPr>
      <w:spacing w:after="0" w:line="480" w:lineRule="atLeast"/>
    </w:pPr>
    <w:rPr>
      <w:rFonts w:ascii="Arial" w:hAnsi="Arial"/>
      <w:b/>
      <w:sz w:val="40"/>
    </w:rPr>
  </w:style>
  <w:style w:type="paragraph" w:styleId="DocumentMap">
    <w:name w:val="Document Map"/>
    <w:basedOn w:val="Normal"/>
    <w:link w:val="DocumentMapChar"/>
    <w:semiHidden/>
    <w:rsid w:val="00D31909"/>
    <w:pPr>
      <w:shd w:val="clear" w:color="auto" w:fill="000080"/>
    </w:pPr>
    <w:rPr>
      <w:rFonts w:ascii="Tahoma" w:hAnsi="Tahoma" w:cs="Tahoma"/>
    </w:rPr>
  </w:style>
  <w:style w:type="character" w:customStyle="1" w:styleId="DocumentMapChar">
    <w:name w:val="Document Map Char"/>
    <w:basedOn w:val="DefaultParagraphFont"/>
    <w:link w:val="DocumentMap"/>
    <w:semiHidden/>
    <w:rsid w:val="00D31909"/>
    <w:rPr>
      <w:rFonts w:ascii="Tahoma" w:eastAsia="MS Mincho" w:hAnsi="Tahoma" w:cs="Tahoma"/>
      <w:sz w:val="24"/>
      <w:szCs w:val="24"/>
      <w:shd w:val="clear" w:color="auto" w:fill="000080"/>
      <w:lang w:val="en-US" w:eastAsia="en-US"/>
    </w:rPr>
  </w:style>
  <w:style w:type="paragraph" w:customStyle="1" w:styleId="DraftMark">
    <w:name w:val="DraftMark"/>
    <w:rsid w:val="00D31909"/>
    <w:pPr>
      <w:widowControl w:val="0"/>
      <w:spacing w:after="0" w:line="0" w:lineRule="atLeast"/>
    </w:pPr>
    <w:rPr>
      <w:rFonts w:ascii="Times New Roman" w:eastAsia="MS Mincho" w:hAnsi="Times New Roman" w:cs="Times New Roman"/>
      <w:b/>
      <w:noProof/>
      <w:color w:val="C50000"/>
      <w:kern w:val="28"/>
      <w:sz w:val="36"/>
      <w:szCs w:val="36"/>
      <w:lang w:val="en-US" w:eastAsia="en-US"/>
    </w:rPr>
  </w:style>
  <w:style w:type="paragraph" w:customStyle="1" w:styleId="EarningsBody">
    <w:name w:val="EarningsBody"/>
    <w:basedOn w:val="Normal"/>
    <w:next w:val="Body"/>
    <w:semiHidden/>
    <w:rsid w:val="00D31909"/>
    <w:pPr>
      <w:ind w:left="-3125"/>
    </w:pPr>
    <w:rPr>
      <w:sz w:val="20"/>
    </w:rPr>
  </w:style>
  <w:style w:type="paragraph" w:customStyle="1" w:styleId="EarningsCover">
    <w:name w:val="EarningsCover"/>
    <w:basedOn w:val="Footer"/>
    <w:next w:val="Normal"/>
    <w:semiHidden/>
    <w:rsid w:val="00D31909"/>
    <w:pPr>
      <w:framePr w:wrap="around" w:hAnchor="text" w:yAlign="bottom"/>
      <w:spacing w:before="0"/>
    </w:pPr>
  </w:style>
  <w:style w:type="paragraph" w:customStyle="1" w:styleId="Phone">
    <w:name w:val="Phone"/>
    <w:basedOn w:val="Body"/>
    <w:next w:val="Normal"/>
    <w:rsid w:val="00D31909"/>
    <w:pPr>
      <w:spacing w:after="40"/>
    </w:pPr>
    <w:rPr>
      <w:rFonts w:ascii="Arial" w:hAnsi="Arial"/>
      <w:noProof/>
      <w:sz w:val="14"/>
    </w:rPr>
  </w:style>
  <w:style w:type="paragraph" w:customStyle="1" w:styleId="EMail">
    <w:name w:val="EMail"/>
    <w:basedOn w:val="Phone"/>
    <w:next w:val="Normal"/>
    <w:rsid w:val="00D31909"/>
    <w:pPr>
      <w:spacing w:after="60"/>
    </w:pPr>
  </w:style>
  <w:style w:type="paragraph" w:styleId="E-mailSignature">
    <w:name w:val="E-mail Signature"/>
    <w:basedOn w:val="Normal"/>
    <w:link w:val="E-mailSignatureChar"/>
    <w:rsid w:val="00D31909"/>
  </w:style>
  <w:style w:type="character" w:customStyle="1" w:styleId="E-mailSignatureChar">
    <w:name w:val="E-mail Signature Char"/>
    <w:basedOn w:val="DefaultParagraphFont"/>
    <w:link w:val="E-mailSignature"/>
    <w:rsid w:val="00D31909"/>
    <w:rPr>
      <w:rFonts w:ascii="Times New Roman" w:eastAsia="MS Mincho" w:hAnsi="Times New Roman" w:cs="Times New Roman"/>
      <w:sz w:val="24"/>
      <w:szCs w:val="24"/>
      <w:lang w:val="en-US" w:eastAsia="en-US"/>
    </w:rPr>
  </w:style>
  <w:style w:type="paragraph" w:customStyle="1" w:styleId="EmailSide">
    <w:name w:val="EmailSide"/>
    <w:basedOn w:val="EMail"/>
    <w:next w:val="Normal"/>
    <w:rsid w:val="00D31909"/>
    <w:pPr>
      <w:framePr w:w="2520" w:hSpace="187" w:vSpace="187" w:wrap="around" w:vAnchor="text" w:hAnchor="margin" w:x="-3124" w:y="1"/>
    </w:pPr>
  </w:style>
  <w:style w:type="character" w:styleId="Emphasis">
    <w:name w:val="Emphasis"/>
    <w:basedOn w:val="DefaultParagraphFont"/>
    <w:rsid w:val="00D31909"/>
    <w:rPr>
      <w:i/>
      <w:iCs/>
    </w:rPr>
  </w:style>
  <w:style w:type="character" w:styleId="EndnoteReference">
    <w:name w:val="endnote reference"/>
    <w:basedOn w:val="DefaultParagraphFont"/>
    <w:semiHidden/>
    <w:rsid w:val="00D31909"/>
    <w:rPr>
      <w:vertAlign w:val="superscript"/>
    </w:rPr>
  </w:style>
  <w:style w:type="paragraph" w:styleId="EndnoteText">
    <w:name w:val="endnote text"/>
    <w:basedOn w:val="Normal"/>
    <w:link w:val="EndnoteTextChar"/>
    <w:semiHidden/>
    <w:rsid w:val="00D31909"/>
    <w:rPr>
      <w:sz w:val="20"/>
    </w:rPr>
  </w:style>
  <w:style w:type="character" w:customStyle="1" w:styleId="EndnoteTextChar">
    <w:name w:val="Endnote Text Char"/>
    <w:basedOn w:val="DefaultParagraphFont"/>
    <w:link w:val="EndnoteText"/>
    <w:semiHidden/>
    <w:rsid w:val="00D31909"/>
    <w:rPr>
      <w:rFonts w:ascii="Times New Roman" w:eastAsia="MS Mincho" w:hAnsi="Times New Roman" w:cs="Times New Roman"/>
      <w:sz w:val="20"/>
      <w:szCs w:val="24"/>
      <w:lang w:val="en-US" w:eastAsia="en-US"/>
    </w:rPr>
  </w:style>
  <w:style w:type="paragraph" w:styleId="EnvelopeAddress">
    <w:name w:val="envelope address"/>
    <w:basedOn w:val="Normal"/>
    <w:rsid w:val="00D31909"/>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D31909"/>
    <w:rPr>
      <w:rFonts w:ascii="Arial" w:hAnsi="Arial" w:cs="Arial"/>
      <w:sz w:val="20"/>
    </w:rPr>
  </w:style>
  <w:style w:type="paragraph" w:customStyle="1" w:styleId="ESTableCaption">
    <w:name w:val="ESTableCaption"/>
    <w:next w:val="Normal"/>
    <w:semiHidden/>
    <w:rsid w:val="00D31909"/>
    <w:pPr>
      <w:spacing w:after="20" w:line="240" w:lineRule="auto"/>
    </w:pPr>
    <w:rPr>
      <w:rFonts w:ascii="Arial" w:eastAsia="MS Mincho" w:hAnsi="Arial" w:cs="Arial"/>
      <w:b/>
      <w:noProof/>
      <w:sz w:val="18"/>
      <w:szCs w:val="18"/>
      <w:lang w:val="en-US" w:eastAsia="en-US"/>
    </w:rPr>
  </w:style>
  <w:style w:type="paragraph" w:customStyle="1" w:styleId="ESTableRow">
    <w:name w:val="ESTableRow"/>
    <w:semiHidden/>
    <w:rsid w:val="00D31909"/>
    <w:pPr>
      <w:spacing w:after="0" w:line="240" w:lineRule="auto"/>
    </w:pPr>
    <w:rPr>
      <w:rFonts w:ascii="Arial" w:eastAsia="MS Mincho" w:hAnsi="Arial" w:cs="Arial"/>
      <w:noProof/>
      <w:sz w:val="16"/>
      <w:szCs w:val="16"/>
      <w:lang w:val="en-US" w:eastAsia="en-US"/>
    </w:rPr>
  </w:style>
  <w:style w:type="paragraph" w:customStyle="1" w:styleId="ESTableFootnote">
    <w:name w:val="ESTableFootnote"/>
    <w:basedOn w:val="ESTableRow"/>
    <w:semiHidden/>
    <w:rsid w:val="00D31909"/>
    <w:rPr>
      <w:sz w:val="14"/>
    </w:rPr>
  </w:style>
  <w:style w:type="character" w:customStyle="1" w:styleId="FASB123">
    <w:name w:val="FASB123"/>
    <w:basedOn w:val="DefaultParagraphFont"/>
    <w:rsid w:val="00D31909"/>
    <w:rPr>
      <w:rFonts w:ascii="Arial Narrow" w:hAnsi="Arial Narrow"/>
      <w:b/>
      <w:dstrike w:val="0"/>
      <w:sz w:val="18"/>
      <w:szCs w:val="18"/>
      <w:vertAlign w:val="superscript"/>
    </w:rPr>
  </w:style>
  <w:style w:type="paragraph" w:customStyle="1" w:styleId="FigureTitle">
    <w:name w:val="FigureTitle"/>
    <w:basedOn w:val="Body"/>
    <w:next w:val="Body"/>
    <w:rsid w:val="00D31909"/>
    <w:pPr>
      <w:keepNext/>
      <w:keepLines/>
      <w:spacing w:after="0" w:line="200" w:lineRule="atLeast"/>
    </w:pPr>
    <w:rPr>
      <w:rFonts w:ascii="Arial Narrow" w:hAnsi="Arial Narrow"/>
      <w:b/>
      <w:color w:val="4E8ABE"/>
      <w:sz w:val="18"/>
      <w:szCs w:val="18"/>
    </w:rPr>
  </w:style>
  <w:style w:type="character" w:styleId="FollowedHyperlink">
    <w:name w:val="FollowedHyperlink"/>
    <w:basedOn w:val="DefaultParagraphFont"/>
    <w:rsid w:val="00D31909"/>
    <w:rPr>
      <w:color w:val="800080"/>
      <w:u w:val="single"/>
    </w:rPr>
  </w:style>
  <w:style w:type="character" w:styleId="FootnoteReference">
    <w:name w:val="footnote reference"/>
    <w:basedOn w:val="DefaultParagraphFont"/>
    <w:semiHidden/>
    <w:rsid w:val="00D31909"/>
    <w:rPr>
      <w:sz w:val="20"/>
      <w:vertAlign w:val="superscript"/>
    </w:rPr>
  </w:style>
  <w:style w:type="paragraph" w:styleId="FootnoteText">
    <w:name w:val="footnote text"/>
    <w:basedOn w:val="Normal"/>
    <w:link w:val="FootnoteTextChar"/>
    <w:semiHidden/>
    <w:rsid w:val="00D31909"/>
    <w:rPr>
      <w:sz w:val="18"/>
    </w:rPr>
  </w:style>
  <w:style w:type="character" w:customStyle="1" w:styleId="FootnoteTextChar">
    <w:name w:val="Footnote Text Char"/>
    <w:basedOn w:val="DefaultParagraphFont"/>
    <w:link w:val="FootnoteText"/>
    <w:semiHidden/>
    <w:rsid w:val="00D31909"/>
    <w:rPr>
      <w:rFonts w:ascii="Times New Roman" w:eastAsia="MS Mincho" w:hAnsi="Times New Roman" w:cs="Times New Roman"/>
      <w:sz w:val="18"/>
      <w:szCs w:val="24"/>
      <w:lang w:val="en-US" w:eastAsia="en-US"/>
    </w:rPr>
  </w:style>
  <w:style w:type="paragraph" w:customStyle="1" w:styleId="FootnoteEarningsTable">
    <w:name w:val="FootnoteEarningsTable"/>
    <w:basedOn w:val="Body"/>
    <w:rsid w:val="00D31909"/>
    <w:pPr>
      <w:spacing w:before="20" w:after="0"/>
    </w:pPr>
    <w:rPr>
      <w:noProof/>
      <w:sz w:val="12"/>
    </w:rPr>
  </w:style>
  <w:style w:type="paragraph" w:customStyle="1" w:styleId="FPBody">
    <w:name w:val="FPBody"/>
    <w:basedOn w:val="Body"/>
    <w:rsid w:val="00D31909"/>
    <w:pPr>
      <w:spacing w:after="180"/>
      <w:ind w:right="3272"/>
      <w:jc w:val="both"/>
    </w:pPr>
    <w:rPr>
      <w:sz w:val="22"/>
    </w:rPr>
  </w:style>
  <w:style w:type="paragraph" w:customStyle="1" w:styleId="FPBodyNala">
    <w:name w:val="FPBodyNala"/>
    <w:basedOn w:val="FPBody"/>
    <w:next w:val="Normal"/>
    <w:rsid w:val="00D31909"/>
  </w:style>
  <w:style w:type="paragraph" w:customStyle="1" w:styleId="FPBulletBold">
    <w:name w:val="FPBulletBold"/>
    <w:basedOn w:val="Normal"/>
    <w:rsid w:val="00D31909"/>
    <w:pPr>
      <w:spacing w:after="180" w:line="240" w:lineRule="atLeast"/>
      <w:ind w:left="187" w:hanging="187"/>
      <w:jc w:val="both"/>
    </w:pPr>
    <w:rPr>
      <w:b/>
      <w:sz w:val="20"/>
      <w:szCs w:val="22"/>
    </w:rPr>
  </w:style>
  <w:style w:type="paragraph" w:customStyle="1" w:styleId="FPLegalEntityName">
    <w:name w:val="FPLegalEntityName"/>
    <w:basedOn w:val="EMail"/>
    <w:rsid w:val="00D31909"/>
    <w:pPr>
      <w:pBdr>
        <w:bottom w:val="single" w:sz="2" w:space="4" w:color="auto"/>
      </w:pBdr>
    </w:pPr>
    <w:rPr>
      <w:color w:val="000000"/>
      <w:szCs w:val="14"/>
    </w:rPr>
  </w:style>
  <w:style w:type="table" w:customStyle="1" w:styleId="GPSDisclosureTable">
    <w:name w:val="GPSDisclosureTable"/>
    <w:basedOn w:val="TableNormal"/>
    <w:rsid w:val="00D31909"/>
    <w:pPr>
      <w:spacing w:after="0" w:line="240" w:lineRule="auto"/>
    </w:pPr>
    <w:rPr>
      <w:rFonts w:ascii="Times New Roman" w:eastAsia="MS Mincho" w:hAnsi="Times New Roman" w:cs="Times New Roman"/>
      <w:sz w:val="20"/>
      <w:szCs w:val="20"/>
      <w:lang w:val="en-US"/>
    </w:rPr>
    <w:tblPr>
      <w:tblInd w:w="0" w:type="dxa"/>
      <w:tblCellMar>
        <w:top w:w="0" w:type="dxa"/>
        <w:left w:w="108" w:type="dxa"/>
        <w:bottom w:w="0" w:type="dxa"/>
        <w:right w:w="108" w:type="dxa"/>
      </w:tblCellMar>
    </w:tblPr>
  </w:style>
  <w:style w:type="table" w:styleId="TableSimple1">
    <w:name w:val="Table Simple 1"/>
    <w:basedOn w:val="TableNormal"/>
    <w:rsid w:val="00D31909"/>
    <w:pPr>
      <w:spacing w:after="0" w:line="240" w:lineRule="auto"/>
    </w:pPr>
    <w:rPr>
      <w:rFonts w:ascii="Times New Roman" w:eastAsia="MS Mincho" w:hAnsi="Times New Roman" w:cs="Times New Roman"/>
      <w:sz w:val="20"/>
      <w:szCs w:val="20"/>
      <w:lang w:val="en-US"/>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GPSTable">
    <w:name w:val="GPSTable"/>
    <w:basedOn w:val="TableSimple1"/>
    <w:rsid w:val="00D31909"/>
    <w:pPr>
      <w:jc w:val="right"/>
    </w:pPr>
    <w:rPr>
      <w:rFonts w:ascii="Arial" w:hAnsi="Arial"/>
      <w:sz w:val="16"/>
    </w:rPr>
    <w:tblPr>
      <w:tblInd w:w="0" w:type="dxa"/>
      <w:tblBorders>
        <w:top w:val="single" w:sz="12" w:space="0" w:color="008000"/>
        <w:bottom w:val="single" w:sz="12" w:space="0" w:color="008000"/>
      </w:tblBorders>
      <w:tblCellMar>
        <w:top w:w="0" w:type="dxa"/>
        <w:left w:w="0" w:type="dxa"/>
        <w:bottom w:w="0" w:type="dxa"/>
        <w:right w:w="0" w:type="dxa"/>
      </w:tblCellMar>
    </w:tblPr>
    <w:tcPr>
      <w:shd w:val="clear" w:color="auto" w:fill="auto"/>
    </w:tcPr>
    <w:tblStylePr w:type="firstRow">
      <w:rPr>
        <w:rFonts w:ascii="Arial" w:hAnsi="Arial"/>
        <w:b/>
        <w:i w:val="0"/>
        <w:sz w:val="16"/>
        <w:szCs w:val="16"/>
      </w:rPr>
      <w:tblPr/>
      <w:tcPr>
        <w:tcBorders>
          <w:top w:val="single" w:sz="4" w:space="0" w:color="000000"/>
          <w:left w:val="nil"/>
          <w:bottom w:val="single" w:sz="4" w:space="0" w:color="000000"/>
          <w:right w:val="nil"/>
          <w:insideH w:val="nil"/>
          <w:insideV w:val="nil"/>
          <w:tl2br w:val="nil"/>
          <w:tr2bl w:val="nil"/>
        </w:tcBorders>
        <w:shd w:val="clear" w:color="auto" w:fill="auto"/>
      </w:tcPr>
    </w:tblStylePr>
    <w:tblStylePr w:type="lastRow">
      <w:tblPr/>
      <w:tcPr>
        <w:tcBorders>
          <w:top w:val="nil"/>
          <w:left w:val="nil"/>
          <w:bottom w:val="single" w:sz="4" w:space="0" w:color="000000"/>
          <w:right w:val="nil"/>
          <w:insideH w:val="nil"/>
          <w:insideV w:val="nil"/>
          <w:tl2br w:val="nil"/>
          <w:tr2bl w:val="nil"/>
        </w:tcBorders>
        <w:shd w:val="clear" w:color="auto" w:fill="auto"/>
      </w:tcPr>
    </w:tblStylePr>
    <w:tblStylePr w:type="firstCol">
      <w:pPr>
        <w:wordWrap/>
        <w:jc w:val="left"/>
      </w:pPr>
      <w:rPr>
        <w:b w:val="0"/>
        <w:i w:val="0"/>
      </w:rPr>
    </w:tblStylePr>
    <w:tblStylePr w:type="lastCol">
      <w:rPr>
        <w:b w:val="0"/>
      </w:rPr>
    </w:tblStylePr>
  </w:style>
  <w:style w:type="paragraph" w:customStyle="1" w:styleId="GroupName">
    <w:name w:val="GroupName"/>
    <w:basedOn w:val="Industry"/>
    <w:next w:val="Normal"/>
    <w:rsid w:val="00D31909"/>
    <w:pPr>
      <w:spacing w:after="60"/>
    </w:pPr>
  </w:style>
  <w:style w:type="table" w:customStyle="1" w:styleId="HeaderDetailsTable">
    <w:name w:val="HeaderDetailsTable"/>
    <w:basedOn w:val="TableNormal"/>
    <w:rsid w:val="00D31909"/>
    <w:pPr>
      <w:spacing w:after="0" w:line="240" w:lineRule="auto"/>
    </w:pPr>
    <w:rPr>
      <w:rFonts w:ascii="Arial" w:eastAsia="MS Mincho" w:hAnsi="Arial" w:cs="Times New Roman"/>
      <w:sz w:val="20"/>
      <w:szCs w:val="20"/>
      <w:lang w:val="en-US"/>
    </w:rPr>
    <w:tblPr>
      <w:tblInd w:w="7186" w:type="dxa"/>
      <w:tblCellMar>
        <w:top w:w="0" w:type="dxa"/>
        <w:left w:w="108" w:type="dxa"/>
        <w:bottom w:w="0" w:type="dxa"/>
        <w:right w:w="108" w:type="dxa"/>
      </w:tblCellMar>
    </w:tblPr>
    <w:tcPr>
      <w:shd w:val="clear" w:color="auto" w:fill="auto"/>
    </w:tcPr>
  </w:style>
  <w:style w:type="paragraph" w:customStyle="1" w:styleId="Heading1-NoTOC">
    <w:name w:val="Heading 1 -No TOC"/>
    <w:basedOn w:val="Heading1"/>
    <w:qFormat/>
    <w:rsid w:val="00D31909"/>
  </w:style>
  <w:style w:type="paragraph" w:customStyle="1" w:styleId="Heading2-NoTOC">
    <w:name w:val="Heading 2 -No TOC"/>
    <w:basedOn w:val="Heading2"/>
    <w:qFormat/>
    <w:rsid w:val="00D31909"/>
  </w:style>
  <w:style w:type="paragraph" w:customStyle="1" w:styleId="HeadingVR">
    <w:name w:val="Heading VR"/>
    <w:basedOn w:val="Heading2"/>
    <w:rsid w:val="00D31909"/>
    <w:pPr>
      <w:spacing w:before="120" w:after="80" w:line="160" w:lineRule="atLeast"/>
    </w:pPr>
  </w:style>
  <w:style w:type="character" w:customStyle="1" w:styleId="HeadingVRRatingPT">
    <w:name w:val="Heading VR (Rating/PT)"/>
    <w:basedOn w:val="DefaultParagraphFont"/>
    <w:rsid w:val="00D31909"/>
    <w:rPr>
      <w:rFonts w:ascii="Arial" w:hAnsi="Arial"/>
      <w:b/>
      <w:i/>
      <w:sz w:val="20"/>
      <w:szCs w:val="20"/>
    </w:rPr>
  </w:style>
  <w:style w:type="paragraph" w:customStyle="1" w:styleId="Heading1Abstract">
    <w:name w:val="Heading1Abstract"/>
    <w:basedOn w:val="Heading1"/>
    <w:semiHidden/>
    <w:rsid w:val="00D31909"/>
    <w:pPr>
      <w:outlineLvl w:val="9"/>
    </w:pPr>
  </w:style>
  <w:style w:type="paragraph" w:customStyle="1" w:styleId="HeadlineRPText">
    <w:name w:val="HeadlineRPText"/>
    <w:basedOn w:val="Body"/>
    <w:semiHidden/>
    <w:rsid w:val="00D31909"/>
    <w:pPr>
      <w:spacing w:after="0"/>
      <w:ind w:left="-3125"/>
    </w:pPr>
  </w:style>
  <w:style w:type="paragraph" w:customStyle="1" w:styleId="HeadlineRPHangingIndent">
    <w:name w:val="HeadlineRPHangingIndent"/>
    <w:basedOn w:val="HeadlineRPText"/>
    <w:semiHidden/>
    <w:rsid w:val="00D31909"/>
    <w:pPr>
      <w:ind w:left="-1685" w:hanging="1440"/>
    </w:pPr>
  </w:style>
  <w:style w:type="paragraph" w:customStyle="1" w:styleId="HeadlineRPSubject">
    <w:name w:val="HeadlineRPSubject"/>
    <w:basedOn w:val="Heading2"/>
    <w:semiHidden/>
    <w:rsid w:val="00D31909"/>
    <w:pPr>
      <w:outlineLvl w:val="9"/>
    </w:pPr>
  </w:style>
  <w:style w:type="character" w:customStyle="1" w:styleId="HiddenFieldRP">
    <w:name w:val="HiddenFieldRP"/>
    <w:basedOn w:val="DefaultParagraphFont"/>
    <w:semiHidden/>
    <w:rsid w:val="00D31909"/>
    <w:rPr>
      <w:rFonts w:ascii="Arial" w:hAnsi="Arial"/>
      <w:vanish/>
      <w:color w:val="FFFFFF"/>
      <w:sz w:val="2"/>
    </w:rPr>
  </w:style>
  <w:style w:type="character" w:styleId="HTMLAcronym">
    <w:name w:val="HTML Acronym"/>
    <w:basedOn w:val="DefaultParagraphFont"/>
    <w:rsid w:val="00D31909"/>
  </w:style>
  <w:style w:type="paragraph" w:styleId="HTMLAddress">
    <w:name w:val="HTML Address"/>
    <w:basedOn w:val="Normal"/>
    <w:link w:val="HTMLAddressChar"/>
    <w:rsid w:val="00D31909"/>
    <w:rPr>
      <w:i/>
      <w:iCs/>
    </w:rPr>
  </w:style>
  <w:style w:type="character" w:customStyle="1" w:styleId="HTMLAddressChar">
    <w:name w:val="HTML Address Char"/>
    <w:basedOn w:val="DefaultParagraphFont"/>
    <w:link w:val="HTMLAddress"/>
    <w:rsid w:val="00D31909"/>
    <w:rPr>
      <w:rFonts w:ascii="Times New Roman" w:eastAsia="MS Mincho" w:hAnsi="Times New Roman" w:cs="Times New Roman"/>
      <w:i/>
      <w:iCs/>
      <w:sz w:val="24"/>
      <w:szCs w:val="24"/>
      <w:lang w:val="en-US" w:eastAsia="en-US"/>
    </w:rPr>
  </w:style>
  <w:style w:type="character" w:styleId="HTMLCite">
    <w:name w:val="HTML Cite"/>
    <w:basedOn w:val="DefaultParagraphFont"/>
    <w:rsid w:val="00D31909"/>
    <w:rPr>
      <w:i/>
      <w:iCs/>
    </w:rPr>
  </w:style>
  <w:style w:type="character" w:styleId="HTMLCode">
    <w:name w:val="HTML Code"/>
    <w:basedOn w:val="DefaultParagraphFont"/>
    <w:rsid w:val="00D31909"/>
    <w:rPr>
      <w:rFonts w:ascii="Courier New" w:hAnsi="Courier New"/>
      <w:sz w:val="20"/>
      <w:szCs w:val="20"/>
    </w:rPr>
  </w:style>
  <w:style w:type="character" w:styleId="HTMLDefinition">
    <w:name w:val="HTML Definition"/>
    <w:basedOn w:val="DefaultParagraphFont"/>
    <w:rsid w:val="00D31909"/>
    <w:rPr>
      <w:i/>
      <w:iCs/>
    </w:rPr>
  </w:style>
  <w:style w:type="character" w:styleId="HTMLKeyboard">
    <w:name w:val="HTML Keyboard"/>
    <w:basedOn w:val="DefaultParagraphFont"/>
    <w:rsid w:val="00D31909"/>
    <w:rPr>
      <w:rFonts w:ascii="Courier New" w:hAnsi="Courier New"/>
      <w:sz w:val="20"/>
      <w:szCs w:val="20"/>
    </w:rPr>
  </w:style>
  <w:style w:type="paragraph" w:styleId="HTMLPreformatted">
    <w:name w:val="HTML Preformatted"/>
    <w:basedOn w:val="Normal"/>
    <w:link w:val="HTMLPreformattedChar"/>
    <w:rsid w:val="00D31909"/>
    <w:rPr>
      <w:rFonts w:ascii="Courier New" w:hAnsi="Courier New" w:cs="Courier New"/>
      <w:sz w:val="20"/>
    </w:rPr>
  </w:style>
  <w:style w:type="character" w:customStyle="1" w:styleId="HTMLPreformattedChar">
    <w:name w:val="HTML Preformatted Char"/>
    <w:basedOn w:val="DefaultParagraphFont"/>
    <w:link w:val="HTMLPreformatted"/>
    <w:rsid w:val="00D31909"/>
    <w:rPr>
      <w:rFonts w:ascii="Courier New" w:eastAsia="MS Mincho" w:hAnsi="Courier New" w:cs="Courier New"/>
      <w:sz w:val="20"/>
      <w:szCs w:val="24"/>
      <w:lang w:val="en-US" w:eastAsia="en-US"/>
    </w:rPr>
  </w:style>
  <w:style w:type="character" w:styleId="HTMLSample">
    <w:name w:val="HTML Sample"/>
    <w:basedOn w:val="DefaultParagraphFont"/>
    <w:rsid w:val="00D31909"/>
    <w:rPr>
      <w:rFonts w:ascii="Courier New" w:hAnsi="Courier New"/>
    </w:rPr>
  </w:style>
  <w:style w:type="character" w:styleId="HTMLTypewriter">
    <w:name w:val="HTML Typewriter"/>
    <w:basedOn w:val="DefaultParagraphFont"/>
    <w:rsid w:val="00D31909"/>
    <w:rPr>
      <w:rFonts w:ascii="Courier New" w:hAnsi="Courier New"/>
      <w:sz w:val="20"/>
      <w:szCs w:val="20"/>
    </w:rPr>
  </w:style>
  <w:style w:type="character" w:styleId="HTMLVariable">
    <w:name w:val="HTML Variable"/>
    <w:basedOn w:val="DefaultParagraphFont"/>
    <w:rsid w:val="00D31909"/>
    <w:rPr>
      <w:i/>
      <w:iCs/>
    </w:rPr>
  </w:style>
  <w:style w:type="character" w:styleId="Hyperlink">
    <w:name w:val="Hyperlink"/>
    <w:basedOn w:val="DefaultParagraphFont"/>
    <w:uiPriority w:val="99"/>
    <w:rsid w:val="00D31909"/>
    <w:rPr>
      <w:color w:val="0000FF"/>
      <w:u w:val="single"/>
    </w:rPr>
  </w:style>
  <w:style w:type="paragraph" w:styleId="Index1">
    <w:name w:val="index 1"/>
    <w:basedOn w:val="Normal"/>
    <w:next w:val="Normal"/>
    <w:autoRedefine/>
    <w:semiHidden/>
    <w:rsid w:val="00D31909"/>
    <w:pPr>
      <w:ind w:left="240" w:hanging="240"/>
    </w:pPr>
  </w:style>
  <w:style w:type="paragraph" w:styleId="Index2">
    <w:name w:val="index 2"/>
    <w:basedOn w:val="Normal"/>
    <w:next w:val="Normal"/>
    <w:autoRedefine/>
    <w:semiHidden/>
    <w:rsid w:val="00D31909"/>
    <w:pPr>
      <w:ind w:left="480" w:hanging="240"/>
    </w:pPr>
  </w:style>
  <w:style w:type="paragraph" w:styleId="Index3">
    <w:name w:val="index 3"/>
    <w:basedOn w:val="Normal"/>
    <w:next w:val="Normal"/>
    <w:autoRedefine/>
    <w:semiHidden/>
    <w:rsid w:val="00D31909"/>
    <w:pPr>
      <w:ind w:left="720" w:hanging="240"/>
    </w:pPr>
  </w:style>
  <w:style w:type="paragraph" w:styleId="Index4">
    <w:name w:val="index 4"/>
    <w:basedOn w:val="Normal"/>
    <w:next w:val="Normal"/>
    <w:autoRedefine/>
    <w:semiHidden/>
    <w:rsid w:val="00D31909"/>
    <w:pPr>
      <w:ind w:left="960" w:hanging="240"/>
    </w:pPr>
  </w:style>
  <w:style w:type="paragraph" w:styleId="Index5">
    <w:name w:val="index 5"/>
    <w:basedOn w:val="Normal"/>
    <w:next w:val="Normal"/>
    <w:autoRedefine/>
    <w:semiHidden/>
    <w:rsid w:val="00D31909"/>
    <w:pPr>
      <w:ind w:left="1200" w:hanging="240"/>
    </w:pPr>
  </w:style>
  <w:style w:type="paragraph" w:styleId="Index6">
    <w:name w:val="index 6"/>
    <w:basedOn w:val="Normal"/>
    <w:next w:val="Normal"/>
    <w:autoRedefine/>
    <w:semiHidden/>
    <w:rsid w:val="00D31909"/>
    <w:pPr>
      <w:ind w:left="1440" w:hanging="240"/>
    </w:pPr>
  </w:style>
  <w:style w:type="paragraph" w:styleId="Index7">
    <w:name w:val="index 7"/>
    <w:basedOn w:val="Normal"/>
    <w:next w:val="Normal"/>
    <w:autoRedefine/>
    <w:semiHidden/>
    <w:rsid w:val="00D31909"/>
    <w:pPr>
      <w:ind w:left="1680" w:hanging="240"/>
    </w:pPr>
  </w:style>
  <w:style w:type="paragraph" w:styleId="Index8">
    <w:name w:val="index 8"/>
    <w:basedOn w:val="Normal"/>
    <w:next w:val="Normal"/>
    <w:autoRedefine/>
    <w:semiHidden/>
    <w:rsid w:val="00D31909"/>
    <w:pPr>
      <w:ind w:left="1920" w:hanging="240"/>
    </w:pPr>
  </w:style>
  <w:style w:type="paragraph" w:styleId="Index9">
    <w:name w:val="index 9"/>
    <w:basedOn w:val="Normal"/>
    <w:next w:val="Normal"/>
    <w:autoRedefine/>
    <w:semiHidden/>
    <w:rsid w:val="00D31909"/>
    <w:pPr>
      <w:ind w:left="2160" w:hanging="240"/>
    </w:pPr>
  </w:style>
  <w:style w:type="paragraph" w:styleId="IndexHeading">
    <w:name w:val="index heading"/>
    <w:basedOn w:val="Normal"/>
    <w:next w:val="Index1"/>
    <w:semiHidden/>
    <w:rsid w:val="00D31909"/>
    <w:rPr>
      <w:rFonts w:ascii="Arial" w:hAnsi="Arial" w:cs="Arial"/>
      <w:b/>
      <w:bCs/>
    </w:rPr>
  </w:style>
  <w:style w:type="paragraph" w:customStyle="1" w:styleId="IPO">
    <w:name w:val="IPO"/>
    <w:basedOn w:val="DiscClause"/>
    <w:rsid w:val="00D31909"/>
    <w:pPr>
      <w:pBdr>
        <w:top w:val="single" w:sz="2" w:space="1" w:color="auto"/>
        <w:bottom w:val="single" w:sz="2" w:space="0" w:color="auto"/>
      </w:pBdr>
      <w:spacing w:after="0" w:line="180" w:lineRule="exact"/>
      <w:ind w:left="0" w:right="-360"/>
    </w:pPr>
    <w:rPr>
      <w:rFonts w:ascii="Arial Narrow" w:hAnsi="Arial Narrow"/>
      <w:sz w:val="20"/>
    </w:rPr>
  </w:style>
  <w:style w:type="paragraph" w:customStyle="1" w:styleId="IPOBackCover">
    <w:name w:val="IPOBackCover"/>
    <w:basedOn w:val="IPOInsidePage"/>
    <w:rsid w:val="00D31909"/>
    <w:pPr>
      <w:ind w:left="3125"/>
    </w:pPr>
  </w:style>
  <w:style w:type="paragraph" w:customStyle="1" w:styleId="ipubnormal">
    <w:name w:val="ipubnormal"/>
    <w:rsid w:val="00D31909"/>
    <w:pPr>
      <w:spacing w:after="0" w:line="240" w:lineRule="auto"/>
    </w:pPr>
    <w:rPr>
      <w:rFonts w:ascii="Times New Roman" w:eastAsia="MS Mincho" w:hAnsi="Times New Roman" w:cs="Times New Roman"/>
      <w:sz w:val="20"/>
      <w:szCs w:val="20"/>
      <w:lang w:val="en-US" w:eastAsia="en-US"/>
    </w:rPr>
  </w:style>
  <w:style w:type="paragraph" w:customStyle="1" w:styleId="LegalData">
    <w:name w:val="Legal Data"/>
    <w:basedOn w:val="Body"/>
    <w:rsid w:val="00D31909"/>
    <w:pPr>
      <w:spacing w:before="20" w:after="0" w:line="160" w:lineRule="atLeast"/>
    </w:pPr>
    <w:rPr>
      <w:rFonts w:ascii="Arial Narrow" w:hAnsi="Arial Narrow"/>
      <w:sz w:val="12"/>
    </w:rPr>
  </w:style>
  <w:style w:type="paragraph" w:customStyle="1" w:styleId="LegalEntityName">
    <w:name w:val="LegalEntityName"/>
    <w:basedOn w:val="FooterFrontPage"/>
    <w:rsid w:val="00D31909"/>
    <w:pPr>
      <w:framePr w:wrap="around"/>
      <w:spacing w:line="240" w:lineRule="auto"/>
      <w:jc w:val="right"/>
    </w:pPr>
    <w:rPr>
      <w:rFonts w:ascii="Arial" w:hAnsi="Arial"/>
      <w:b/>
      <w:szCs w:val="20"/>
    </w:rPr>
  </w:style>
  <w:style w:type="table" w:customStyle="1" w:styleId="LegalEntityTable">
    <w:name w:val="LegalEntityTable"/>
    <w:basedOn w:val="TableNormal"/>
    <w:rsid w:val="00D31909"/>
    <w:pPr>
      <w:spacing w:after="0" w:line="240" w:lineRule="auto"/>
    </w:pPr>
    <w:rPr>
      <w:rFonts w:ascii="Arial" w:eastAsia="MS Mincho" w:hAnsi="Arial" w:cs="Times New Roman"/>
      <w:sz w:val="20"/>
      <w:szCs w:val="20"/>
      <w:lang w:val="en-US"/>
    </w:rPr>
    <w:tblPr>
      <w:tblInd w:w="0" w:type="dxa"/>
      <w:tblCellMar>
        <w:top w:w="0" w:type="dxa"/>
        <w:left w:w="108" w:type="dxa"/>
        <w:bottom w:w="0" w:type="dxa"/>
        <w:right w:w="108" w:type="dxa"/>
      </w:tblCellMar>
    </w:tblPr>
    <w:tcPr>
      <w:shd w:val="clear" w:color="auto" w:fill="auto"/>
    </w:tcPr>
  </w:style>
  <w:style w:type="character" w:styleId="LineNumber">
    <w:name w:val="line number"/>
    <w:basedOn w:val="DefaultParagraphFont"/>
    <w:rsid w:val="00D31909"/>
  </w:style>
  <w:style w:type="paragraph" w:styleId="List">
    <w:name w:val="List"/>
    <w:basedOn w:val="Normal"/>
    <w:rsid w:val="00D31909"/>
    <w:pPr>
      <w:ind w:left="360" w:hanging="360"/>
    </w:pPr>
  </w:style>
  <w:style w:type="paragraph" w:styleId="List2">
    <w:name w:val="List 2"/>
    <w:basedOn w:val="Normal"/>
    <w:rsid w:val="00D31909"/>
    <w:pPr>
      <w:ind w:left="720" w:hanging="360"/>
    </w:pPr>
  </w:style>
  <w:style w:type="paragraph" w:styleId="List3">
    <w:name w:val="List 3"/>
    <w:basedOn w:val="Normal"/>
    <w:rsid w:val="00D31909"/>
    <w:pPr>
      <w:ind w:left="1080" w:hanging="360"/>
    </w:pPr>
  </w:style>
  <w:style w:type="paragraph" w:styleId="List4">
    <w:name w:val="List 4"/>
    <w:basedOn w:val="Normal"/>
    <w:rsid w:val="00D31909"/>
    <w:pPr>
      <w:ind w:left="1440" w:hanging="360"/>
    </w:pPr>
  </w:style>
  <w:style w:type="paragraph" w:styleId="List5">
    <w:name w:val="List 5"/>
    <w:basedOn w:val="Normal"/>
    <w:rsid w:val="00D31909"/>
    <w:pPr>
      <w:ind w:left="1800" w:hanging="360"/>
    </w:pPr>
  </w:style>
  <w:style w:type="paragraph" w:styleId="ListBullet">
    <w:name w:val="List Bullet"/>
    <w:basedOn w:val="Normal"/>
    <w:autoRedefine/>
    <w:rsid w:val="00D31909"/>
    <w:pPr>
      <w:numPr>
        <w:numId w:val="18"/>
      </w:numPr>
    </w:pPr>
  </w:style>
  <w:style w:type="paragraph" w:styleId="ListBullet2">
    <w:name w:val="List Bullet 2"/>
    <w:basedOn w:val="Normal"/>
    <w:autoRedefine/>
    <w:rsid w:val="00D31909"/>
    <w:pPr>
      <w:numPr>
        <w:numId w:val="20"/>
      </w:numPr>
    </w:pPr>
  </w:style>
  <w:style w:type="paragraph" w:styleId="ListBullet3">
    <w:name w:val="List Bullet 3"/>
    <w:basedOn w:val="Normal"/>
    <w:autoRedefine/>
    <w:rsid w:val="00D31909"/>
    <w:pPr>
      <w:numPr>
        <w:numId w:val="22"/>
      </w:numPr>
    </w:pPr>
  </w:style>
  <w:style w:type="paragraph" w:styleId="ListBullet4">
    <w:name w:val="List Bullet 4"/>
    <w:basedOn w:val="Normal"/>
    <w:autoRedefine/>
    <w:rsid w:val="00D31909"/>
    <w:pPr>
      <w:numPr>
        <w:numId w:val="24"/>
      </w:numPr>
    </w:pPr>
  </w:style>
  <w:style w:type="paragraph" w:styleId="ListBullet5">
    <w:name w:val="List Bullet 5"/>
    <w:basedOn w:val="Normal"/>
    <w:autoRedefine/>
    <w:rsid w:val="00D31909"/>
    <w:pPr>
      <w:numPr>
        <w:numId w:val="26"/>
      </w:numPr>
    </w:pPr>
  </w:style>
  <w:style w:type="paragraph" w:styleId="ListContinue">
    <w:name w:val="List Continue"/>
    <w:basedOn w:val="Normal"/>
    <w:rsid w:val="00D31909"/>
    <w:pPr>
      <w:spacing w:after="120"/>
      <w:ind w:left="360"/>
    </w:pPr>
  </w:style>
  <w:style w:type="paragraph" w:styleId="ListContinue2">
    <w:name w:val="List Continue 2"/>
    <w:basedOn w:val="Normal"/>
    <w:rsid w:val="00D31909"/>
    <w:pPr>
      <w:spacing w:after="120"/>
      <w:ind w:left="720"/>
    </w:pPr>
  </w:style>
  <w:style w:type="paragraph" w:styleId="ListContinue3">
    <w:name w:val="List Continue 3"/>
    <w:basedOn w:val="Normal"/>
    <w:rsid w:val="00D31909"/>
    <w:pPr>
      <w:spacing w:after="120"/>
      <w:ind w:left="1080"/>
    </w:pPr>
  </w:style>
  <w:style w:type="paragraph" w:styleId="ListContinue4">
    <w:name w:val="List Continue 4"/>
    <w:basedOn w:val="Normal"/>
    <w:rsid w:val="00D31909"/>
    <w:pPr>
      <w:spacing w:after="120"/>
      <w:ind w:left="1440"/>
    </w:pPr>
  </w:style>
  <w:style w:type="paragraph" w:styleId="ListContinue5">
    <w:name w:val="List Continue 5"/>
    <w:basedOn w:val="Normal"/>
    <w:rsid w:val="00D31909"/>
    <w:pPr>
      <w:spacing w:after="120"/>
      <w:ind w:left="1800"/>
    </w:pPr>
  </w:style>
  <w:style w:type="paragraph" w:styleId="ListNumber">
    <w:name w:val="List Number"/>
    <w:basedOn w:val="Normal"/>
    <w:rsid w:val="00D31909"/>
    <w:pPr>
      <w:numPr>
        <w:numId w:val="28"/>
      </w:numPr>
    </w:pPr>
  </w:style>
  <w:style w:type="paragraph" w:styleId="ListNumber2">
    <w:name w:val="List Number 2"/>
    <w:basedOn w:val="Normal"/>
    <w:rsid w:val="00D31909"/>
    <w:pPr>
      <w:numPr>
        <w:numId w:val="30"/>
      </w:numPr>
    </w:pPr>
  </w:style>
  <w:style w:type="paragraph" w:styleId="ListNumber3">
    <w:name w:val="List Number 3"/>
    <w:basedOn w:val="Normal"/>
    <w:rsid w:val="00D31909"/>
    <w:pPr>
      <w:numPr>
        <w:numId w:val="32"/>
      </w:numPr>
    </w:pPr>
  </w:style>
  <w:style w:type="paragraph" w:styleId="ListNumber4">
    <w:name w:val="List Number 4"/>
    <w:basedOn w:val="Normal"/>
    <w:rsid w:val="00D31909"/>
    <w:pPr>
      <w:numPr>
        <w:numId w:val="34"/>
      </w:numPr>
    </w:pPr>
  </w:style>
  <w:style w:type="paragraph" w:styleId="ListNumber5">
    <w:name w:val="List Number 5"/>
    <w:basedOn w:val="Normal"/>
    <w:rsid w:val="00D31909"/>
    <w:pPr>
      <w:numPr>
        <w:numId w:val="36"/>
      </w:numPr>
    </w:pPr>
  </w:style>
  <w:style w:type="paragraph" w:styleId="MacroText">
    <w:name w:val="macro"/>
    <w:link w:val="MacroTextChar"/>
    <w:semiHidden/>
    <w:rsid w:val="00D31909"/>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MS Mincho" w:hAnsi="Courier New" w:cs="Courier New"/>
      <w:sz w:val="20"/>
      <w:szCs w:val="20"/>
      <w:lang w:val="en-US" w:eastAsia="en-US"/>
    </w:rPr>
  </w:style>
  <w:style w:type="character" w:customStyle="1" w:styleId="MacroTextChar">
    <w:name w:val="Macro Text Char"/>
    <w:basedOn w:val="DefaultParagraphFont"/>
    <w:link w:val="MacroText"/>
    <w:semiHidden/>
    <w:rsid w:val="00D31909"/>
    <w:rPr>
      <w:rFonts w:ascii="Courier New" w:eastAsia="MS Mincho" w:hAnsi="Courier New" w:cs="Courier New"/>
      <w:sz w:val="20"/>
      <w:szCs w:val="20"/>
      <w:lang w:val="en-US" w:eastAsia="en-US"/>
    </w:rPr>
  </w:style>
  <w:style w:type="paragraph" w:styleId="MessageHeader">
    <w:name w:val="Message Header"/>
    <w:basedOn w:val="Normal"/>
    <w:link w:val="MessageHeaderChar"/>
    <w:rsid w:val="00D3190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basedOn w:val="DefaultParagraphFont"/>
    <w:link w:val="MessageHeader"/>
    <w:rsid w:val="00D31909"/>
    <w:rPr>
      <w:rFonts w:ascii="Arial" w:eastAsia="MS Mincho" w:hAnsi="Arial" w:cs="Arial"/>
      <w:sz w:val="24"/>
      <w:szCs w:val="24"/>
      <w:shd w:val="pct20" w:color="auto" w:fill="auto"/>
      <w:lang w:val="en-US" w:eastAsia="en-US"/>
    </w:rPr>
  </w:style>
  <w:style w:type="paragraph" w:customStyle="1" w:styleId="MorganmarketURL">
    <w:name w:val="MorganmarketURL"/>
    <w:basedOn w:val="FooterFrontPage"/>
    <w:rsid w:val="00D31909"/>
    <w:pPr>
      <w:framePr w:wrap="around"/>
      <w:spacing w:line="240" w:lineRule="auto"/>
    </w:pPr>
    <w:rPr>
      <w:rFonts w:ascii="Arial" w:hAnsi="Arial"/>
      <w:b/>
      <w:color w:val="4E8ABE"/>
      <w:szCs w:val="20"/>
    </w:rPr>
  </w:style>
  <w:style w:type="paragraph" w:customStyle="1" w:styleId="Name">
    <w:name w:val="Name"/>
    <w:basedOn w:val="Body"/>
    <w:next w:val="Phone"/>
    <w:rsid w:val="00D31909"/>
    <w:pPr>
      <w:spacing w:after="40"/>
    </w:pPr>
    <w:rPr>
      <w:rFonts w:ascii="Arial" w:hAnsi="Arial"/>
      <w:b/>
      <w:noProof/>
      <w:sz w:val="17"/>
    </w:rPr>
  </w:style>
  <w:style w:type="paragraph" w:customStyle="1" w:styleId="NameSide">
    <w:name w:val="NameSide"/>
    <w:basedOn w:val="Name"/>
    <w:next w:val="Normal"/>
    <w:rsid w:val="00D31909"/>
    <w:pPr>
      <w:framePr w:w="2520" w:hSpace="187" w:vSpace="187" w:wrap="around" w:vAnchor="text" w:hAnchor="margin" w:x="-3124" w:y="1"/>
    </w:pPr>
  </w:style>
  <w:style w:type="character" w:customStyle="1" w:styleId="NCOComplianceMark">
    <w:name w:val="NCO_ComplianceMark"/>
    <w:basedOn w:val="DefaultParagraphFont"/>
    <w:rsid w:val="00D31909"/>
    <w:rPr>
      <w:rFonts w:ascii="Arial" w:hAnsi="Arial"/>
      <w:b/>
      <w:dstrike w:val="0"/>
      <w:sz w:val="14"/>
      <w:szCs w:val="14"/>
      <w:vertAlign w:val="superscript"/>
    </w:rPr>
  </w:style>
  <w:style w:type="paragraph" w:customStyle="1" w:styleId="NCOEmail">
    <w:name w:val="NCO_Email"/>
    <w:basedOn w:val="EMail"/>
    <w:rsid w:val="00D31909"/>
  </w:style>
  <w:style w:type="table" w:customStyle="1" w:styleId="NCOFrontPageFooterTable">
    <w:name w:val="NCO_FrontPageFooterTable"/>
    <w:basedOn w:val="TableNormal"/>
    <w:rsid w:val="00D31909"/>
    <w:pPr>
      <w:spacing w:after="0" w:line="240" w:lineRule="auto"/>
    </w:pPr>
    <w:rPr>
      <w:rFonts w:ascii="Arial" w:eastAsia="MS Mincho" w:hAnsi="Arial" w:cs="Times New Roman"/>
      <w:sz w:val="20"/>
      <w:szCs w:val="20"/>
      <w:lang w:val="en-US"/>
    </w:rPr>
    <w:tblPr>
      <w:tblInd w:w="0" w:type="dxa"/>
      <w:tblCellMar>
        <w:top w:w="0" w:type="dxa"/>
        <w:left w:w="108" w:type="dxa"/>
        <w:bottom w:w="0" w:type="dxa"/>
        <w:right w:w="108" w:type="dxa"/>
      </w:tblCellMar>
    </w:tblPr>
    <w:tcPr>
      <w:shd w:val="clear" w:color="auto" w:fill="auto"/>
    </w:tcPr>
  </w:style>
  <w:style w:type="paragraph" w:customStyle="1" w:styleId="NCOLegalEntityName">
    <w:name w:val="NCO_LegalEntityName"/>
    <w:basedOn w:val="LegalEntityName"/>
    <w:rsid w:val="00D31909"/>
    <w:pPr>
      <w:framePr w:wrap="around"/>
      <w:jc w:val="left"/>
    </w:pPr>
    <w:rPr>
      <w:sz w:val="14"/>
    </w:rPr>
  </w:style>
  <w:style w:type="paragraph" w:customStyle="1" w:styleId="NCOLocation">
    <w:name w:val="NCO_Location"/>
    <w:basedOn w:val="Body"/>
    <w:rsid w:val="00D31909"/>
    <w:pPr>
      <w:spacing w:before="40" w:after="0" w:line="0" w:lineRule="atLeast"/>
    </w:pPr>
    <w:rPr>
      <w:rFonts w:ascii="Arial" w:hAnsi="Arial"/>
      <w:sz w:val="14"/>
    </w:rPr>
  </w:style>
  <w:style w:type="paragraph" w:customStyle="1" w:styleId="NCOName">
    <w:name w:val="NCO_Name"/>
    <w:basedOn w:val="Name"/>
    <w:rsid w:val="00D31909"/>
    <w:rPr>
      <w:sz w:val="14"/>
    </w:rPr>
  </w:style>
  <w:style w:type="character" w:customStyle="1" w:styleId="NCOPhone">
    <w:name w:val="NCO_Phone"/>
    <w:basedOn w:val="DefaultParagraphFont"/>
    <w:rsid w:val="00D31909"/>
    <w:rPr>
      <w:rFonts w:ascii="Arial" w:hAnsi="Arial"/>
      <w:noProof/>
      <w:sz w:val="14"/>
      <w:szCs w:val="14"/>
    </w:rPr>
  </w:style>
  <w:style w:type="paragraph" w:customStyle="1" w:styleId="NextToSource">
    <w:name w:val="NextToSource"/>
    <w:basedOn w:val="Normal"/>
    <w:next w:val="Body"/>
    <w:rsid w:val="00D31909"/>
    <w:pPr>
      <w:keepLines/>
      <w:spacing w:line="180" w:lineRule="atLeast"/>
    </w:pPr>
    <w:rPr>
      <w:rFonts w:ascii="Arial Narrow" w:hAnsi="Arial Narrow"/>
      <w:sz w:val="14"/>
    </w:rPr>
  </w:style>
  <w:style w:type="paragraph" w:styleId="NormalWeb">
    <w:name w:val="Normal (Web)"/>
    <w:basedOn w:val="Normal"/>
    <w:uiPriority w:val="99"/>
    <w:qFormat/>
    <w:rsid w:val="00D31909"/>
    <w:rPr>
      <w:sz w:val="20"/>
      <w:szCs w:val="20"/>
    </w:rPr>
  </w:style>
  <w:style w:type="paragraph" w:styleId="NormalIndent">
    <w:name w:val="Normal Indent"/>
    <w:basedOn w:val="Normal"/>
    <w:rsid w:val="00D31909"/>
    <w:pPr>
      <w:ind w:left="720"/>
    </w:pPr>
  </w:style>
  <w:style w:type="paragraph" w:styleId="NoteHeading">
    <w:name w:val="Note Heading"/>
    <w:basedOn w:val="Normal"/>
    <w:next w:val="Normal"/>
    <w:link w:val="NoteHeadingChar"/>
    <w:rsid w:val="00D31909"/>
  </w:style>
  <w:style w:type="character" w:customStyle="1" w:styleId="NoteHeadingChar">
    <w:name w:val="Note Heading Char"/>
    <w:basedOn w:val="DefaultParagraphFont"/>
    <w:link w:val="NoteHeading"/>
    <w:rsid w:val="00D31909"/>
    <w:rPr>
      <w:rFonts w:ascii="Times New Roman" w:eastAsia="MS Mincho" w:hAnsi="Times New Roman" w:cs="Times New Roman"/>
      <w:sz w:val="24"/>
      <w:szCs w:val="24"/>
      <w:lang w:val="en-US" w:eastAsia="en-US"/>
    </w:rPr>
  </w:style>
  <w:style w:type="character" w:customStyle="1" w:styleId="NotSeries8687Qualified">
    <w:name w:val="NotSeries8687Qualified"/>
    <w:basedOn w:val="DefaultParagraphFont"/>
    <w:rsid w:val="00D31909"/>
    <w:rPr>
      <w:rFonts w:ascii="Arial" w:hAnsi="Arial"/>
      <w:sz w:val="20"/>
      <w:szCs w:val="20"/>
      <w:vertAlign w:val="superscript"/>
    </w:rPr>
  </w:style>
  <w:style w:type="paragraph" w:customStyle="1" w:styleId="NotSeries8687QualifiedMessage">
    <w:name w:val="NotSeries8687QualifiedMessage"/>
    <w:basedOn w:val="FooterFrontPage"/>
    <w:rsid w:val="00D31909"/>
    <w:pPr>
      <w:framePr w:wrap="around"/>
      <w:spacing w:line="226" w:lineRule="atLeast"/>
    </w:pPr>
  </w:style>
  <w:style w:type="paragraph" w:customStyle="1" w:styleId="NumberBullet">
    <w:name w:val="NumberBullet"/>
    <w:qFormat/>
    <w:rsid w:val="00D31909"/>
    <w:pPr>
      <w:numPr>
        <w:numId w:val="38"/>
      </w:numPr>
      <w:spacing w:after="120"/>
    </w:pPr>
    <w:rPr>
      <w:rFonts w:ascii="Times New Roman" w:eastAsia="MS Mincho" w:hAnsi="Times New Roman" w:cs="Times New Roman"/>
      <w:sz w:val="20"/>
      <w:szCs w:val="20"/>
      <w:lang w:val="en-US" w:eastAsia="en-US"/>
    </w:rPr>
  </w:style>
  <w:style w:type="paragraph" w:customStyle="1" w:styleId="PerfSource">
    <w:name w:val="PerfSource"/>
    <w:basedOn w:val="Normal"/>
    <w:rsid w:val="00D31909"/>
    <w:pPr>
      <w:keepLines/>
    </w:pPr>
    <w:rPr>
      <w:rFonts w:ascii="Arial Narrow" w:hAnsi="Arial Narrow"/>
      <w:noProof/>
      <w:sz w:val="14"/>
    </w:rPr>
  </w:style>
  <w:style w:type="paragraph" w:customStyle="1" w:styleId="PerfChart">
    <w:name w:val="PerfChart"/>
    <w:basedOn w:val="PerfSource"/>
    <w:rsid w:val="00D31909"/>
  </w:style>
  <w:style w:type="paragraph" w:customStyle="1" w:styleId="PhoneSide">
    <w:name w:val="PhoneSide"/>
    <w:basedOn w:val="Phone"/>
    <w:next w:val="EmailSide"/>
    <w:rsid w:val="00D31909"/>
    <w:pPr>
      <w:framePr w:w="2520" w:hSpace="187" w:vSpace="187" w:wrap="around" w:vAnchor="text" w:hAnchor="margin" w:x="-3124" w:y="1"/>
    </w:pPr>
  </w:style>
  <w:style w:type="paragraph" w:styleId="PlainText">
    <w:name w:val="Plain Text"/>
    <w:basedOn w:val="Normal"/>
    <w:link w:val="PlainTextChar"/>
    <w:rsid w:val="00D31909"/>
    <w:rPr>
      <w:rFonts w:ascii="Courier New" w:hAnsi="Courier New" w:cs="Courier New"/>
      <w:sz w:val="20"/>
      <w:szCs w:val="20"/>
    </w:rPr>
  </w:style>
  <w:style w:type="character" w:customStyle="1" w:styleId="PlainTextChar">
    <w:name w:val="Plain Text Char"/>
    <w:basedOn w:val="DefaultParagraphFont"/>
    <w:link w:val="PlainText"/>
    <w:rsid w:val="00D31909"/>
    <w:rPr>
      <w:rFonts w:ascii="Courier New" w:eastAsia="MS Mincho" w:hAnsi="Courier New" w:cs="Courier New"/>
      <w:sz w:val="20"/>
      <w:szCs w:val="20"/>
      <w:lang w:val="en-US" w:eastAsia="en-US"/>
    </w:rPr>
  </w:style>
  <w:style w:type="paragraph" w:customStyle="1" w:styleId="Price">
    <w:name w:val="Price"/>
    <w:basedOn w:val="Normal"/>
    <w:next w:val="Body"/>
    <w:rsid w:val="00D31909"/>
    <w:pPr>
      <w:framePr w:hSpace="187" w:wrap="around" w:vAnchor="page" w:hAnchor="text" w:xAlign="right" w:y="2161"/>
    </w:pPr>
    <w:rPr>
      <w:rFonts w:ascii="Arial" w:hAnsi="Arial"/>
      <w:noProof/>
      <w:sz w:val="16"/>
    </w:rPr>
  </w:style>
  <w:style w:type="paragraph" w:customStyle="1" w:styleId="Target">
    <w:name w:val="Target"/>
    <w:basedOn w:val="Normal"/>
    <w:next w:val="Body"/>
    <w:rsid w:val="00D31909"/>
    <w:pPr>
      <w:spacing w:line="200" w:lineRule="atLeast"/>
    </w:pPr>
    <w:rPr>
      <w:rFonts w:ascii="Arial" w:hAnsi="Arial"/>
      <w:sz w:val="16"/>
    </w:rPr>
  </w:style>
  <w:style w:type="paragraph" w:customStyle="1" w:styleId="PriceDate">
    <w:name w:val="PriceDate"/>
    <w:basedOn w:val="Target"/>
    <w:rsid w:val="00D31909"/>
    <w:pPr>
      <w:framePr w:hSpace="187" w:wrap="around" w:vAnchor="page" w:hAnchor="text" w:xAlign="right" w:y="2161"/>
      <w:spacing w:before="120" w:line="240" w:lineRule="auto"/>
    </w:pPr>
    <w:rPr>
      <w:b/>
      <w:noProof/>
    </w:rPr>
  </w:style>
  <w:style w:type="paragraph" w:customStyle="1" w:styleId="PriceDateDual">
    <w:name w:val="PriceDateDual"/>
    <w:basedOn w:val="Target"/>
    <w:rsid w:val="00D31909"/>
    <w:pPr>
      <w:framePr w:hSpace="187" w:wrap="around" w:vAnchor="page" w:hAnchor="text" w:xAlign="right" w:y="2161"/>
      <w:spacing w:before="120" w:line="160" w:lineRule="exact"/>
    </w:pPr>
    <w:rPr>
      <w:b/>
      <w:noProof/>
    </w:rPr>
  </w:style>
  <w:style w:type="paragraph" w:customStyle="1" w:styleId="RatingDual">
    <w:name w:val="RatingDual"/>
    <w:basedOn w:val="Body"/>
    <w:next w:val="Body"/>
    <w:rsid w:val="00D31909"/>
    <w:pPr>
      <w:framePr w:hSpace="187" w:wrap="around" w:vAnchor="page" w:hAnchor="text" w:xAlign="right" w:y="2161"/>
      <w:spacing w:after="0" w:line="160" w:lineRule="exact"/>
    </w:pPr>
    <w:rPr>
      <w:rFonts w:ascii="Arial" w:hAnsi="Arial"/>
      <w:noProof/>
      <w:sz w:val="15"/>
    </w:rPr>
  </w:style>
  <w:style w:type="paragraph" w:customStyle="1" w:styleId="PriceTargetCurrent">
    <w:name w:val="PriceTargetCurrent"/>
    <w:basedOn w:val="PriceDate"/>
    <w:rsid w:val="00D31909"/>
    <w:pPr>
      <w:framePr w:wrap="around"/>
    </w:pPr>
  </w:style>
  <w:style w:type="paragraph" w:customStyle="1" w:styleId="PriceTargetPrior">
    <w:name w:val="PriceTargetPrior"/>
    <w:basedOn w:val="PriceDate"/>
    <w:rsid w:val="00D31909"/>
    <w:pPr>
      <w:framePr w:wrap="around"/>
      <w:spacing w:before="0"/>
    </w:pPr>
    <w:rPr>
      <w:b w:val="0"/>
    </w:rPr>
  </w:style>
  <w:style w:type="paragraph" w:customStyle="1" w:styleId="PriorRecommendation">
    <w:name w:val="Prior Recommendation"/>
    <w:basedOn w:val="Body"/>
    <w:rsid w:val="00D31909"/>
    <w:pPr>
      <w:spacing w:after="0" w:line="200" w:lineRule="atLeast"/>
    </w:pPr>
    <w:rPr>
      <w:rFonts w:ascii="Arial" w:hAnsi="Arial"/>
      <w:noProof/>
      <w:sz w:val="16"/>
    </w:rPr>
  </w:style>
  <w:style w:type="paragraph" w:customStyle="1" w:styleId="ProductData1">
    <w:name w:val="ProductData1"/>
    <w:basedOn w:val="Body"/>
    <w:next w:val="Normal"/>
    <w:rsid w:val="00D31909"/>
    <w:pPr>
      <w:spacing w:after="0" w:line="200" w:lineRule="atLeast"/>
    </w:pPr>
    <w:rPr>
      <w:rFonts w:ascii="Arial" w:hAnsi="Arial"/>
      <w:b/>
      <w:sz w:val="18"/>
      <w:szCs w:val="18"/>
    </w:rPr>
  </w:style>
  <w:style w:type="paragraph" w:customStyle="1" w:styleId="ProductData2">
    <w:name w:val="ProductData2"/>
    <w:basedOn w:val="Body"/>
    <w:next w:val="Normal"/>
    <w:rsid w:val="00D31909"/>
    <w:pPr>
      <w:spacing w:after="0" w:line="200" w:lineRule="atLeast"/>
    </w:pPr>
    <w:rPr>
      <w:rFonts w:ascii="Arial" w:hAnsi="Arial"/>
      <w:b/>
      <w:sz w:val="14"/>
    </w:rPr>
  </w:style>
  <w:style w:type="paragraph" w:customStyle="1" w:styleId="ProductData3">
    <w:name w:val="ProductData3"/>
    <w:basedOn w:val="ProductData2"/>
    <w:rsid w:val="00D31909"/>
  </w:style>
  <w:style w:type="paragraph" w:customStyle="1" w:styleId="ProductOfJPMSI">
    <w:name w:val="ProductOfJPMSI"/>
    <w:basedOn w:val="DisclaimerBP"/>
    <w:next w:val="Body"/>
    <w:rsid w:val="00D31909"/>
  </w:style>
  <w:style w:type="paragraph" w:customStyle="1" w:styleId="Rating">
    <w:name w:val="Rating"/>
    <w:basedOn w:val="Body"/>
    <w:next w:val="Body"/>
    <w:rsid w:val="00D31909"/>
    <w:pPr>
      <w:spacing w:after="0"/>
    </w:pPr>
    <w:rPr>
      <w:rFonts w:ascii="Arial" w:hAnsi="Arial"/>
      <w:b/>
      <w:noProof/>
      <w:sz w:val="28"/>
    </w:rPr>
  </w:style>
  <w:style w:type="paragraph" w:customStyle="1" w:styleId="RatingPrior">
    <w:name w:val="RatingPrior"/>
    <w:basedOn w:val="Body"/>
    <w:rsid w:val="00D31909"/>
    <w:pPr>
      <w:spacing w:after="0"/>
    </w:pPr>
    <w:rPr>
      <w:rFonts w:ascii="Arial" w:hAnsi="Arial"/>
      <w:noProof/>
      <w:sz w:val="16"/>
    </w:rPr>
  </w:style>
  <w:style w:type="paragraph" w:customStyle="1" w:styleId="RatingPriorDual">
    <w:name w:val="RatingPriorDual"/>
    <w:basedOn w:val="Body"/>
    <w:rsid w:val="00D31909"/>
    <w:pPr>
      <w:framePr w:hSpace="187" w:wrap="around" w:vAnchor="page" w:hAnchor="text" w:xAlign="right" w:y="2161"/>
      <w:spacing w:after="0"/>
    </w:pPr>
    <w:rPr>
      <w:rFonts w:ascii="Arial" w:hAnsi="Arial"/>
      <w:b/>
      <w:noProof/>
      <w:sz w:val="12"/>
    </w:rPr>
  </w:style>
  <w:style w:type="paragraph" w:customStyle="1" w:styleId="RatingPriorSide">
    <w:name w:val="RatingPriorSide"/>
    <w:basedOn w:val="RatingPriorDual"/>
    <w:next w:val="NameSide"/>
    <w:rsid w:val="00D31909"/>
    <w:pPr>
      <w:framePr w:w="2520" w:vSpace="187" w:wrap="around" w:vAnchor="text" w:hAnchor="margin" w:x="-3124" w:y="1"/>
    </w:pPr>
    <w:rPr>
      <w:b w:val="0"/>
    </w:rPr>
  </w:style>
  <w:style w:type="paragraph" w:customStyle="1" w:styleId="RatingsDistributionTableHead">
    <w:name w:val="RatingsDistributionTableHead"/>
    <w:basedOn w:val="Normal"/>
    <w:rsid w:val="00D31909"/>
    <w:pPr>
      <w:spacing w:before="100" w:beforeAutospacing="1" w:after="100" w:afterAutospacing="1"/>
    </w:pPr>
    <w:rPr>
      <w:b/>
      <w:bCs/>
      <w:sz w:val="16"/>
      <w:szCs w:val="16"/>
    </w:rPr>
  </w:style>
  <w:style w:type="paragraph" w:customStyle="1" w:styleId="RatingSide">
    <w:name w:val="RatingSide"/>
    <w:basedOn w:val="RatingDual"/>
    <w:next w:val="NameSide"/>
    <w:rsid w:val="00D31909"/>
    <w:pPr>
      <w:framePr w:w="2520" w:vSpace="187" w:wrap="around" w:vAnchor="text" w:hAnchor="margin" w:x="-3124" w:y="1"/>
    </w:pPr>
    <w:rPr>
      <w:b/>
    </w:rPr>
  </w:style>
  <w:style w:type="paragraph" w:styleId="Salutation">
    <w:name w:val="Salutation"/>
    <w:basedOn w:val="Normal"/>
    <w:next w:val="Normal"/>
    <w:link w:val="SalutationChar"/>
    <w:rsid w:val="00D31909"/>
  </w:style>
  <w:style w:type="character" w:customStyle="1" w:styleId="SalutationChar">
    <w:name w:val="Salutation Char"/>
    <w:basedOn w:val="DefaultParagraphFont"/>
    <w:link w:val="Salutation"/>
    <w:rsid w:val="00D31909"/>
    <w:rPr>
      <w:rFonts w:ascii="Times New Roman" w:eastAsia="MS Mincho" w:hAnsi="Times New Roman" w:cs="Times New Roman"/>
      <w:sz w:val="24"/>
      <w:szCs w:val="24"/>
      <w:lang w:val="en-US" w:eastAsia="en-US"/>
    </w:rPr>
  </w:style>
  <w:style w:type="paragraph" w:customStyle="1" w:styleId="SCFigureTitle">
    <w:name w:val="SCFigureTitle"/>
    <w:basedOn w:val="Normal"/>
    <w:rsid w:val="00D31909"/>
    <w:pPr>
      <w:framePr w:w="2954" w:vSpace="180" w:wrap="around" w:vAnchor="text" w:hAnchor="text" w:x="-3118" w:y="1" w:anchorLock="1"/>
      <w:spacing w:line="200" w:lineRule="atLeast"/>
    </w:pPr>
    <w:rPr>
      <w:rFonts w:ascii="Arial" w:hAnsi="Arial"/>
      <w:b/>
      <w:color w:val="4E8ABE"/>
      <w:spacing w:val="5"/>
      <w:sz w:val="18"/>
      <w:szCs w:val="18"/>
    </w:rPr>
  </w:style>
  <w:style w:type="paragraph" w:customStyle="1" w:styleId="SCSource">
    <w:name w:val="SCSource"/>
    <w:basedOn w:val="Normal"/>
    <w:rsid w:val="00D31909"/>
    <w:pPr>
      <w:framePr w:w="2954" w:vSpace="180" w:wrap="around" w:vAnchor="text" w:hAnchor="text" w:x="-3118" w:y="1" w:anchorLock="1"/>
      <w:spacing w:line="200" w:lineRule="atLeast"/>
    </w:pPr>
    <w:rPr>
      <w:rFonts w:ascii="Arial Narrow" w:hAnsi="Arial Narrow"/>
      <w:sz w:val="14"/>
    </w:rPr>
  </w:style>
  <w:style w:type="paragraph" w:customStyle="1" w:styleId="SCTableUnit">
    <w:name w:val="SCTableUnit"/>
    <w:basedOn w:val="Normal"/>
    <w:rsid w:val="00D31909"/>
    <w:pPr>
      <w:framePr w:w="2954" w:vSpace="180" w:wrap="around" w:vAnchor="text" w:hAnchor="text" w:x="-3118" w:y="1" w:anchorLock="1"/>
      <w:spacing w:line="200" w:lineRule="atLeast"/>
    </w:pPr>
    <w:rPr>
      <w:rFonts w:ascii="Arial Narrow" w:hAnsi="Arial Narrow"/>
      <w:spacing w:val="5"/>
      <w:sz w:val="16"/>
    </w:rPr>
  </w:style>
  <w:style w:type="paragraph" w:customStyle="1" w:styleId="SectionHeading">
    <w:name w:val="SectionHeading"/>
    <w:basedOn w:val="Body"/>
    <w:next w:val="Body"/>
    <w:rsid w:val="00D31909"/>
    <w:pPr>
      <w:pBdr>
        <w:top w:val="single" w:sz="6" w:space="3" w:color="C0C0C0"/>
        <w:bottom w:val="single" w:sz="6" w:space="3" w:color="C0C0C0"/>
      </w:pBdr>
      <w:spacing w:before="180" w:after="80"/>
    </w:pPr>
    <w:rPr>
      <w:rFonts w:ascii="Arial" w:hAnsi="Arial"/>
      <w:b/>
      <w:color w:val="4E8ABE"/>
      <w:szCs w:val="20"/>
    </w:rPr>
  </w:style>
  <w:style w:type="paragraph" w:customStyle="1" w:styleId="Sector">
    <w:name w:val="Sector"/>
    <w:basedOn w:val="Body"/>
    <w:next w:val="Body"/>
    <w:rsid w:val="00D31909"/>
    <w:pPr>
      <w:spacing w:after="0" w:line="220" w:lineRule="atLeast"/>
    </w:pPr>
    <w:rPr>
      <w:rFonts w:ascii="Arial" w:hAnsi="Arial"/>
      <w:b/>
      <w:sz w:val="18"/>
      <w:szCs w:val="18"/>
    </w:rPr>
  </w:style>
  <w:style w:type="paragraph" w:customStyle="1" w:styleId="Sidecomments">
    <w:name w:val="Sidecomments"/>
    <w:basedOn w:val="Body"/>
    <w:qFormat/>
    <w:rsid w:val="00D31909"/>
    <w:pPr>
      <w:framePr w:w="2520" w:h="403" w:hSpace="187" w:wrap="around" w:vAnchor="text" w:hAnchor="text" w:x="-3124" w:y="1"/>
      <w:spacing w:after="120" w:line="200" w:lineRule="atLeast"/>
    </w:pPr>
    <w:rPr>
      <w:rFonts w:ascii="Arial" w:hAnsi="Arial"/>
      <w:b/>
      <w:sz w:val="16"/>
    </w:rPr>
  </w:style>
  <w:style w:type="paragraph" w:customStyle="1" w:styleId="SideCommentCompanyName">
    <w:name w:val="SideCommentCompanyName"/>
    <w:basedOn w:val="Sidecomments"/>
    <w:qFormat/>
    <w:rsid w:val="00D31909"/>
    <w:pPr>
      <w:framePr w:wrap="around"/>
    </w:pPr>
    <w:rPr>
      <w:color w:val="4E8ABE"/>
      <w:sz w:val="24"/>
    </w:rPr>
  </w:style>
  <w:style w:type="paragraph" w:customStyle="1" w:styleId="SideCommentRating">
    <w:name w:val="SideCommentRating"/>
    <w:basedOn w:val="Sidecomments"/>
    <w:qFormat/>
    <w:rsid w:val="00D31909"/>
    <w:pPr>
      <w:framePr w:wrap="around"/>
    </w:pPr>
    <w:rPr>
      <w:color w:val="4E8ABE"/>
      <w:sz w:val="18"/>
      <w:szCs w:val="18"/>
    </w:rPr>
  </w:style>
  <w:style w:type="paragraph" w:styleId="Signature">
    <w:name w:val="Signature"/>
    <w:basedOn w:val="Normal"/>
    <w:link w:val="SignatureChar"/>
    <w:rsid w:val="00D31909"/>
    <w:pPr>
      <w:ind w:left="4320"/>
    </w:pPr>
  </w:style>
  <w:style w:type="character" w:customStyle="1" w:styleId="SignatureChar">
    <w:name w:val="Signature Char"/>
    <w:basedOn w:val="DefaultParagraphFont"/>
    <w:link w:val="Signature"/>
    <w:rsid w:val="00D31909"/>
    <w:rPr>
      <w:rFonts w:ascii="Times New Roman" w:eastAsia="MS Mincho" w:hAnsi="Times New Roman" w:cs="Times New Roman"/>
      <w:sz w:val="24"/>
      <w:szCs w:val="24"/>
      <w:lang w:val="en-US" w:eastAsia="en-US"/>
    </w:rPr>
  </w:style>
  <w:style w:type="paragraph" w:customStyle="1" w:styleId="Source">
    <w:name w:val="Source"/>
    <w:basedOn w:val="Body"/>
    <w:next w:val="Body"/>
    <w:link w:val="SourceChar"/>
    <w:qFormat/>
    <w:rsid w:val="00D31909"/>
    <w:pPr>
      <w:keepLines/>
      <w:spacing w:before="40" w:line="180" w:lineRule="atLeast"/>
    </w:pPr>
    <w:rPr>
      <w:rFonts w:ascii="Arial Narrow" w:hAnsi="Arial Narrow"/>
      <w:sz w:val="14"/>
    </w:rPr>
  </w:style>
  <w:style w:type="character" w:styleId="Strong">
    <w:name w:val="Strong"/>
    <w:basedOn w:val="DefaultParagraphFont"/>
    <w:rsid w:val="00D31909"/>
    <w:rPr>
      <w:b/>
      <w:bCs/>
    </w:rPr>
  </w:style>
  <w:style w:type="paragraph" w:customStyle="1" w:styleId="StyleArial8ptBoldTopSinglesolidlineAuto05ptLin">
    <w:name w:val="Style Arial 8 pt Bold Top: (Single solid line Auto  0.5 pt Lin..."/>
    <w:basedOn w:val="ESTableRow"/>
    <w:next w:val="ESTableRow"/>
    <w:rsid w:val="00D31909"/>
    <w:pPr>
      <w:pBdr>
        <w:top w:val="single" w:sz="4" w:space="0" w:color="auto"/>
        <w:bottom w:val="single" w:sz="4" w:space="0" w:color="auto"/>
      </w:pBdr>
    </w:pPr>
    <w:rPr>
      <w:b/>
      <w:bCs/>
      <w:szCs w:val="20"/>
    </w:rPr>
  </w:style>
  <w:style w:type="paragraph" w:styleId="Subtitle0">
    <w:name w:val="Subtitle"/>
    <w:basedOn w:val="Normal"/>
    <w:link w:val="SubtitleChar"/>
    <w:rsid w:val="00D31909"/>
    <w:pPr>
      <w:spacing w:after="60"/>
      <w:jc w:val="center"/>
      <w:outlineLvl w:val="1"/>
    </w:pPr>
    <w:rPr>
      <w:rFonts w:ascii="Arial" w:hAnsi="Arial" w:cs="Arial"/>
    </w:rPr>
  </w:style>
  <w:style w:type="character" w:customStyle="1" w:styleId="SubtitleChar">
    <w:name w:val="Subtitle Char"/>
    <w:basedOn w:val="DefaultParagraphFont"/>
    <w:link w:val="Subtitle0"/>
    <w:rsid w:val="00D31909"/>
    <w:rPr>
      <w:rFonts w:ascii="Arial" w:eastAsia="MS Mincho" w:hAnsi="Arial" w:cs="Arial"/>
      <w:sz w:val="24"/>
      <w:szCs w:val="24"/>
      <w:lang w:val="en-US" w:eastAsia="en-US"/>
    </w:rPr>
  </w:style>
  <w:style w:type="paragraph" w:customStyle="1" w:styleId="SubTitleRP">
    <w:name w:val="SubTitleRP"/>
    <w:basedOn w:val="SubTitle"/>
    <w:next w:val="Body"/>
    <w:rsid w:val="00D31909"/>
    <w:pPr>
      <w:spacing w:after="0" w:line="0" w:lineRule="atLeast"/>
      <w:ind w:left="-3125"/>
    </w:pPr>
  </w:style>
  <w:style w:type="table" w:styleId="Table3Deffects1">
    <w:name w:val="Table 3D effects 1"/>
    <w:basedOn w:val="TableNormal"/>
    <w:rsid w:val="00D31909"/>
    <w:pPr>
      <w:spacing w:after="0" w:line="240" w:lineRule="auto"/>
    </w:pPr>
    <w:rPr>
      <w:rFonts w:ascii="Times New Roman" w:eastAsia="MS Mincho" w:hAnsi="Times New Roman" w:cs="Times New Roman"/>
      <w:sz w:val="20"/>
      <w:szCs w:val="20"/>
      <w:lang w:val="en-U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D31909"/>
    <w:pPr>
      <w:spacing w:after="0" w:line="240" w:lineRule="auto"/>
    </w:pPr>
    <w:rPr>
      <w:rFonts w:ascii="Times New Roman" w:eastAsia="MS Mincho" w:hAnsi="Times New Roman" w:cs="Times New Roman"/>
      <w:sz w:val="20"/>
      <w:szCs w:val="20"/>
      <w:lang w:val="en-U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D31909"/>
    <w:pPr>
      <w:spacing w:after="0" w:line="240" w:lineRule="auto"/>
    </w:pPr>
    <w:rPr>
      <w:rFonts w:ascii="Times New Roman" w:eastAsia="MS Mincho" w:hAnsi="Times New Roman" w:cs="Times New Roman"/>
      <w:sz w:val="20"/>
      <w:szCs w:val="20"/>
      <w:lang w:val="en-U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Body">
    <w:name w:val="Table Body"/>
    <w:basedOn w:val="Body"/>
    <w:rsid w:val="00D31909"/>
    <w:pPr>
      <w:keepNext/>
      <w:keepLines/>
      <w:spacing w:after="7" w:line="200" w:lineRule="atLeast"/>
      <w:jc w:val="right"/>
    </w:pPr>
    <w:rPr>
      <w:rFonts w:ascii="Arial Narrow" w:hAnsi="Arial Narrow"/>
      <w:sz w:val="16"/>
    </w:rPr>
  </w:style>
  <w:style w:type="table" w:styleId="TableClassic1">
    <w:name w:val="Table Classic 1"/>
    <w:basedOn w:val="TableNormal"/>
    <w:rsid w:val="00D31909"/>
    <w:pPr>
      <w:spacing w:after="0" w:line="240" w:lineRule="auto"/>
    </w:pPr>
    <w:rPr>
      <w:rFonts w:ascii="Times New Roman" w:eastAsia="MS Mincho" w:hAnsi="Times New Roman" w:cs="Times New Roman"/>
      <w:sz w:val="20"/>
      <w:szCs w:val="20"/>
      <w:lang w:val="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D31909"/>
    <w:pPr>
      <w:spacing w:after="0" w:line="240" w:lineRule="auto"/>
    </w:pPr>
    <w:rPr>
      <w:rFonts w:ascii="Times New Roman" w:eastAsia="MS Mincho" w:hAnsi="Times New Roman" w:cs="Times New Roman"/>
      <w:sz w:val="20"/>
      <w:szCs w:val="20"/>
      <w:lang w:val="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D31909"/>
    <w:pPr>
      <w:spacing w:after="0" w:line="240" w:lineRule="auto"/>
    </w:pPr>
    <w:rPr>
      <w:rFonts w:ascii="Times New Roman" w:eastAsia="MS Mincho" w:hAnsi="Times New Roman" w:cs="Times New Roman"/>
      <w:color w:val="000080"/>
      <w:sz w:val="20"/>
      <w:szCs w:val="20"/>
      <w:lang w:val="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D31909"/>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D31909"/>
    <w:pPr>
      <w:spacing w:after="0" w:line="240" w:lineRule="auto"/>
    </w:pPr>
    <w:rPr>
      <w:rFonts w:ascii="Times New Roman" w:eastAsia="MS Mincho" w:hAnsi="Times New Roman" w:cs="Times New Roman"/>
      <w:color w:val="FFFFFF"/>
      <w:sz w:val="20"/>
      <w:szCs w:val="20"/>
      <w:lang w:val="en-US"/>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D31909"/>
    <w:pPr>
      <w:spacing w:after="0" w:line="240" w:lineRule="auto"/>
    </w:pPr>
    <w:rPr>
      <w:rFonts w:ascii="Times New Roman" w:eastAsia="MS Mincho" w:hAnsi="Times New Roman" w:cs="Times New Roman"/>
      <w:sz w:val="20"/>
      <w:szCs w:val="20"/>
      <w:lang w:val="en-US"/>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D31909"/>
    <w:pPr>
      <w:spacing w:after="0" w:line="240" w:lineRule="auto"/>
    </w:pPr>
    <w:rPr>
      <w:rFonts w:ascii="Times New Roman" w:eastAsia="MS Mincho" w:hAnsi="Times New Roman" w:cs="Times New Roman"/>
      <w:sz w:val="20"/>
      <w:szCs w:val="20"/>
      <w:lang w:val="en-US"/>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D31909"/>
    <w:pPr>
      <w:spacing w:after="0" w:line="240" w:lineRule="auto"/>
    </w:pPr>
    <w:rPr>
      <w:rFonts w:ascii="Times New Roman" w:eastAsia="MS Mincho" w:hAnsi="Times New Roman" w:cs="Times New Roman"/>
      <w:b/>
      <w:bCs/>
      <w:sz w:val="20"/>
      <w:szCs w:val="20"/>
      <w:lang w:val="en-U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D31909"/>
    <w:pPr>
      <w:spacing w:after="0" w:line="240" w:lineRule="auto"/>
    </w:pPr>
    <w:rPr>
      <w:rFonts w:ascii="Times New Roman" w:eastAsia="MS Mincho" w:hAnsi="Times New Roman" w:cs="Times New Roman"/>
      <w:b/>
      <w:bCs/>
      <w:sz w:val="20"/>
      <w:szCs w:val="20"/>
      <w:lang w:val="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D31909"/>
    <w:pPr>
      <w:spacing w:after="0" w:line="240" w:lineRule="auto"/>
    </w:pPr>
    <w:rPr>
      <w:rFonts w:ascii="Times New Roman" w:eastAsia="MS Mincho" w:hAnsi="Times New Roman" w:cs="Times New Roman"/>
      <w:b/>
      <w:bCs/>
      <w:sz w:val="20"/>
      <w:szCs w:val="20"/>
      <w:lang w:val="en-U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D31909"/>
    <w:pPr>
      <w:spacing w:after="0" w:line="240" w:lineRule="auto"/>
    </w:pPr>
    <w:rPr>
      <w:rFonts w:ascii="Times New Roman" w:eastAsia="MS Mincho" w:hAnsi="Times New Roman" w:cs="Times New Roman"/>
      <w:sz w:val="20"/>
      <w:szCs w:val="20"/>
      <w:lang w:val="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D31909"/>
    <w:pPr>
      <w:spacing w:after="0" w:line="240" w:lineRule="auto"/>
    </w:pPr>
    <w:rPr>
      <w:rFonts w:ascii="Times New Roman" w:eastAsia="MS Mincho" w:hAnsi="Times New Roman" w:cs="Times New Roman"/>
      <w:sz w:val="20"/>
      <w:szCs w:val="20"/>
      <w:lang w:val="en-US"/>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D31909"/>
    <w:pPr>
      <w:spacing w:after="0" w:line="240" w:lineRule="auto"/>
    </w:pPr>
    <w:rPr>
      <w:rFonts w:ascii="Times New Roman" w:eastAsia="MS Mincho" w:hAnsi="Times New Roman" w:cs="Times New Roman"/>
      <w:sz w:val="20"/>
      <w:szCs w:val="20"/>
      <w:lang w:val="en-U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D31909"/>
    <w:pPr>
      <w:spacing w:after="0" w:line="240" w:lineRule="auto"/>
    </w:pPr>
    <w:rPr>
      <w:rFonts w:ascii="Times New Roman" w:eastAsia="MS Mincho" w:hAnsi="Times New Roman" w:cs="Times New Roman"/>
      <w:sz w:val="20"/>
      <w:szCs w:val="20"/>
      <w:lang w:val="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D31909"/>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D31909"/>
    <w:pPr>
      <w:spacing w:after="0" w:line="240" w:lineRule="auto"/>
    </w:pPr>
    <w:rPr>
      <w:rFonts w:ascii="Times New Roman" w:eastAsia="MS Mincho" w:hAnsi="Times New Roman" w:cs="Times New Roman"/>
      <w:sz w:val="20"/>
      <w:szCs w:val="20"/>
      <w:lang w:val="en-US"/>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D31909"/>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D31909"/>
    <w:pPr>
      <w:spacing w:after="0" w:line="240" w:lineRule="auto"/>
    </w:pPr>
    <w:rPr>
      <w:rFonts w:ascii="Times New Roman" w:eastAsia="MS Mincho" w:hAnsi="Times New Roman" w:cs="Times New Roman"/>
      <w:sz w:val="20"/>
      <w:szCs w:val="20"/>
      <w:lang w:val="en-US"/>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D31909"/>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D31909"/>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D31909"/>
    <w:pPr>
      <w:spacing w:after="0" w:line="240" w:lineRule="auto"/>
    </w:pPr>
    <w:rPr>
      <w:rFonts w:ascii="Times New Roman" w:eastAsia="MS Mincho" w:hAnsi="Times New Roman" w:cs="Times New Roman"/>
      <w:b/>
      <w:bCs/>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D31909"/>
    <w:pPr>
      <w:spacing w:after="0" w:line="240" w:lineRule="auto"/>
    </w:pPr>
    <w:rPr>
      <w:rFonts w:ascii="Times New Roman" w:eastAsia="MS Mincho" w:hAnsi="Times New Roman" w:cs="Times New Roman"/>
      <w:sz w:val="20"/>
      <w:szCs w:val="20"/>
      <w:lang w:val="en-US"/>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Head">
    <w:name w:val="Table Head"/>
    <w:basedOn w:val="Normal"/>
    <w:rsid w:val="00D31909"/>
    <w:pPr>
      <w:keepNext/>
      <w:keepLines/>
      <w:jc w:val="center"/>
    </w:pPr>
    <w:rPr>
      <w:b/>
      <w:sz w:val="16"/>
      <w:szCs w:val="20"/>
    </w:rPr>
  </w:style>
  <w:style w:type="paragraph" w:customStyle="1" w:styleId="TableHeadBorder">
    <w:name w:val="Table Head Border"/>
    <w:basedOn w:val="Normal"/>
    <w:rsid w:val="00D31909"/>
    <w:pPr>
      <w:keepNext/>
      <w:keepLines/>
      <w:pBdr>
        <w:bottom w:val="single" w:sz="6" w:space="1" w:color="auto"/>
      </w:pBdr>
      <w:jc w:val="center"/>
    </w:pPr>
    <w:rPr>
      <w:rFonts w:ascii="Arial Narrow" w:hAnsi="Arial Narrow"/>
      <w:b/>
      <w:color w:val="000000"/>
      <w:sz w:val="16"/>
      <w:szCs w:val="20"/>
    </w:rPr>
  </w:style>
  <w:style w:type="paragraph" w:customStyle="1" w:styleId="TableHeading">
    <w:name w:val="Table Heading"/>
    <w:basedOn w:val="Body"/>
    <w:rsid w:val="00D31909"/>
    <w:pPr>
      <w:keepNext/>
      <w:keepLines/>
      <w:spacing w:before="7" w:after="7" w:line="180" w:lineRule="atLeast"/>
      <w:jc w:val="center"/>
    </w:pPr>
    <w:rPr>
      <w:rFonts w:ascii="Arial Narrow" w:hAnsi="Arial Narrow"/>
      <w:b/>
      <w:sz w:val="16"/>
    </w:rPr>
  </w:style>
  <w:style w:type="table" w:styleId="TableList1">
    <w:name w:val="Table List 1"/>
    <w:basedOn w:val="TableNormal"/>
    <w:rsid w:val="00D31909"/>
    <w:pPr>
      <w:spacing w:after="0" w:line="240" w:lineRule="auto"/>
    </w:pPr>
    <w:rPr>
      <w:rFonts w:ascii="Times New Roman" w:eastAsia="MS Mincho" w:hAnsi="Times New Roman" w:cs="Times New Roman"/>
      <w:sz w:val="20"/>
      <w:szCs w:val="20"/>
      <w:lang w:val="en-U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D31909"/>
    <w:pPr>
      <w:spacing w:after="0" w:line="240" w:lineRule="auto"/>
    </w:pPr>
    <w:rPr>
      <w:rFonts w:ascii="Times New Roman" w:eastAsia="MS Mincho" w:hAnsi="Times New Roman" w:cs="Times New Roman"/>
      <w:sz w:val="20"/>
      <w:szCs w:val="20"/>
      <w:lang w:val="en-US"/>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D31909"/>
    <w:pPr>
      <w:spacing w:after="0" w:line="240" w:lineRule="auto"/>
    </w:pPr>
    <w:rPr>
      <w:rFonts w:ascii="Times New Roman" w:eastAsia="MS Mincho" w:hAnsi="Times New Roman" w:cs="Times New Roman"/>
      <w:sz w:val="20"/>
      <w:szCs w:val="20"/>
      <w:lang w:val="en-U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D31909"/>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D31909"/>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D31909"/>
    <w:pPr>
      <w:spacing w:after="0" w:line="240" w:lineRule="auto"/>
    </w:pPr>
    <w:rPr>
      <w:rFonts w:ascii="Times New Roman" w:eastAsia="MS Mincho" w:hAnsi="Times New Roman" w:cs="Times New Roman"/>
      <w:sz w:val="20"/>
      <w:szCs w:val="20"/>
      <w:lang w:val="en-U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D31909"/>
    <w:pPr>
      <w:spacing w:after="0" w:line="240" w:lineRule="auto"/>
    </w:pPr>
    <w:rPr>
      <w:rFonts w:ascii="Times New Roman" w:eastAsia="MS Mincho" w:hAnsi="Times New Roman" w:cs="Times New Roman"/>
      <w:sz w:val="20"/>
      <w:szCs w:val="20"/>
      <w:lang w:val="en-US"/>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D31909"/>
    <w:pPr>
      <w:spacing w:after="0" w:line="240" w:lineRule="auto"/>
    </w:pPr>
    <w:rPr>
      <w:rFonts w:ascii="Times New Roman" w:eastAsia="MS Mincho" w:hAnsi="Times New Roman" w:cs="Times New Roman"/>
      <w:sz w:val="20"/>
      <w:szCs w:val="20"/>
      <w:lang w:val="en-US"/>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D31909"/>
    <w:pPr>
      <w:ind w:left="240" w:hanging="240"/>
    </w:pPr>
  </w:style>
  <w:style w:type="paragraph" w:styleId="TableofFigures">
    <w:name w:val="table of figures"/>
    <w:basedOn w:val="Normal"/>
    <w:next w:val="Normal"/>
    <w:semiHidden/>
    <w:rsid w:val="00D31909"/>
    <w:pPr>
      <w:ind w:left="480" w:hanging="480"/>
    </w:pPr>
  </w:style>
  <w:style w:type="table" w:styleId="TableProfessional">
    <w:name w:val="Table Professional"/>
    <w:basedOn w:val="TableNormal"/>
    <w:rsid w:val="00D31909"/>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D31909"/>
    <w:pPr>
      <w:spacing w:after="0" w:line="240" w:lineRule="auto"/>
    </w:pPr>
    <w:rPr>
      <w:rFonts w:ascii="Times New Roman" w:eastAsia="MS Mincho" w:hAnsi="Times New Roman" w:cs="Times New Roman"/>
      <w:sz w:val="20"/>
      <w:szCs w:val="20"/>
      <w:lang w:val="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D31909"/>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D31909"/>
    <w:pPr>
      <w:spacing w:after="0" w:line="240" w:lineRule="auto"/>
    </w:pPr>
    <w:rPr>
      <w:rFonts w:ascii="Times New Roman" w:eastAsia="MS Mincho" w:hAnsi="Times New Roman" w:cs="Times New Roman"/>
      <w:sz w:val="20"/>
      <w:szCs w:val="20"/>
      <w:lang w:val="en-U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D31909"/>
    <w:pPr>
      <w:spacing w:after="0" w:line="240" w:lineRule="auto"/>
    </w:pPr>
    <w:rPr>
      <w:rFonts w:ascii="Times New Roman" w:eastAsia="MS Mincho" w:hAnsi="Times New Roman" w:cs="Times New Roman"/>
      <w:sz w:val="20"/>
      <w:szCs w:val="20"/>
      <w:lang w:val="en-US"/>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D31909"/>
    <w:pPr>
      <w:spacing w:after="0" w:line="240" w:lineRule="auto"/>
    </w:pPr>
    <w:rPr>
      <w:rFonts w:ascii="Times New Roman" w:eastAsia="MS Mincho"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D31909"/>
    <w:pPr>
      <w:spacing w:after="0" w:line="240" w:lineRule="auto"/>
    </w:pPr>
    <w:rPr>
      <w:rFonts w:ascii="Times New Roman" w:eastAsia="MS Mincho" w:hAnsi="Times New Roman" w:cs="Times New Roman"/>
      <w:sz w:val="20"/>
      <w:szCs w:val="20"/>
      <w:lang w:val="en-US"/>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D31909"/>
    <w:pPr>
      <w:spacing w:after="0" w:line="240" w:lineRule="auto"/>
    </w:pPr>
    <w:rPr>
      <w:rFonts w:ascii="Times New Roman" w:eastAsia="MS Mincho" w:hAnsi="Times New Roman" w:cs="Times New Roman"/>
      <w:sz w:val="20"/>
      <w:szCs w:val="20"/>
      <w:lang w:val="en-US"/>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D31909"/>
    <w:pPr>
      <w:spacing w:after="0" w:line="240" w:lineRule="auto"/>
    </w:pPr>
    <w:rPr>
      <w:rFonts w:ascii="Times New Roman" w:eastAsia="MS Mincho" w:hAnsi="Times New Roman" w:cs="Times New Roman"/>
      <w:sz w:val="20"/>
      <w:szCs w:val="20"/>
      <w:lang w:val="en-U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cker">
    <w:name w:val="Ticker"/>
    <w:basedOn w:val="RatingDual"/>
    <w:rsid w:val="00D31909"/>
    <w:pPr>
      <w:framePr w:wrap="around"/>
      <w:spacing w:before="120"/>
    </w:pPr>
    <w:rPr>
      <w:b/>
      <w:sz w:val="16"/>
      <w:szCs w:val="16"/>
    </w:rPr>
  </w:style>
  <w:style w:type="paragraph" w:customStyle="1" w:styleId="Tiny">
    <w:name w:val="Tiny"/>
    <w:basedOn w:val="Body"/>
    <w:rsid w:val="00D31909"/>
    <w:pPr>
      <w:spacing w:after="0" w:line="14" w:lineRule="exact"/>
    </w:pPr>
    <w:rPr>
      <w:sz w:val="2"/>
    </w:rPr>
  </w:style>
  <w:style w:type="paragraph" w:styleId="Title">
    <w:name w:val="Title"/>
    <w:basedOn w:val="Normal"/>
    <w:link w:val="TitleChar"/>
    <w:rsid w:val="00D31909"/>
    <w:pPr>
      <w:spacing w:before="240" w:after="60"/>
      <w:jc w:val="center"/>
      <w:outlineLvl w:val="0"/>
    </w:pPr>
    <w:rPr>
      <w:rFonts w:ascii="Arial" w:hAnsi="Arial" w:cs="Arial"/>
      <w:b/>
      <w:bCs/>
      <w:noProof/>
      <w:kern w:val="28"/>
      <w:sz w:val="32"/>
      <w:szCs w:val="32"/>
    </w:rPr>
  </w:style>
  <w:style w:type="character" w:customStyle="1" w:styleId="TitleChar">
    <w:name w:val="Title Char"/>
    <w:basedOn w:val="DefaultParagraphFont"/>
    <w:link w:val="Title"/>
    <w:rsid w:val="00D31909"/>
    <w:rPr>
      <w:rFonts w:ascii="Arial" w:eastAsia="MS Mincho" w:hAnsi="Arial" w:cs="Arial"/>
      <w:b/>
      <w:bCs/>
      <w:noProof/>
      <w:kern w:val="28"/>
      <w:sz w:val="32"/>
      <w:szCs w:val="32"/>
      <w:lang w:val="en-US" w:eastAsia="en-US"/>
    </w:rPr>
  </w:style>
  <w:style w:type="paragraph" w:customStyle="1" w:styleId="TitlesforContents">
    <w:name w:val="Titles for Contents"/>
    <w:basedOn w:val="Heading1"/>
    <w:next w:val="Normal"/>
    <w:rsid w:val="00D31909"/>
    <w:pPr>
      <w:pBdr>
        <w:bottom w:val="single" w:sz="6" w:space="1" w:color="auto"/>
      </w:pBdr>
      <w:spacing w:before="120" w:after="120" w:line="240" w:lineRule="auto"/>
      <w:outlineLvl w:val="9"/>
    </w:pPr>
    <w:rPr>
      <w:rFonts w:ascii="Times New Roman" w:hAnsi="Times New Roman" w:cs="Times New Roman"/>
      <w:bCs w:val="0"/>
      <w:smallCaps/>
      <w:color w:val="000080"/>
      <w:kern w:val="0"/>
      <w:sz w:val="28"/>
      <w:szCs w:val="28"/>
    </w:rPr>
  </w:style>
  <w:style w:type="paragraph" w:customStyle="1" w:styleId="TitlesforContents0">
    <w:name w:val="TitlesforContents"/>
    <w:basedOn w:val="Normal"/>
    <w:next w:val="Heading1"/>
    <w:rsid w:val="00D31909"/>
    <w:pPr>
      <w:spacing w:before="120" w:after="120"/>
    </w:pPr>
    <w:rPr>
      <w:rFonts w:ascii="Arial" w:hAnsi="Arial"/>
      <w:color w:val="4E8ABE"/>
      <w:sz w:val="36"/>
      <w:szCs w:val="36"/>
    </w:rPr>
  </w:style>
  <w:style w:type="paragraph" w:styleId="TOAHeading">
    <w:name w:val="toa heading"/>
    <w:basedOn w:val="Normal"/>
    <w:next w:val="Normal"/>
    <w:semiHidden/>
    <w:rsid w:val="00D31909"/>
    <w:pPr>
      <w:spacing w:before="120"/>
    </w:pPr>
    <w:rPr>
      <w:rFonts w:ascii="Arial" w:hAnsi="Arial" w:cs="Arial"/>
      <w:b/>
      <w:bCs/>
    </w:rPr>
  </w:style>
  <w:style w:type="paragraph" w:styleId="TOC1">
    <w:name w:val="toc 1"/>
    <w:basedOn w:val="Heading2"/>
    <w:next w:val="Body"/>
    <w:autoRedefine/>
    <w:rsid w:val="00D31909"/>
    <w:pPr>
      <w:tabs>
        <w:tab w:val="left" w:leader="dot" w:pos="0"/>
        <w:tab w:val="right" w:leader="dot" w:pos="6840"/>
      </w:tabs>
      <w:spacing w:line="240" w:lineRule="auto"/>
      <w:outlineLvl w:val="0"/>
    </w:pPr>
  </w:style>
  <w:style w:type="paragraph" w:styleId="TOC2">
    <w:name w:val="toc 2"/>
    <w:basedOn w:val="Body"/>
    <w:next w:val="Body"/>
    <w:autoRedefine/>
    <w:semiHidden/>
    <w:rsid w:val="00D31909"/>
    <w:pPr>
      <w:tabs>
        <w:tab w:val="left" w:pos="0"/>
        <w:tab w:val="right" w:leader="dot" w:pos="6840"/>
      </w:tabs>
      <w:spacing w:after="40"/>
    </w:pPr>
  </w:style>
  <w:style w:type="paragraph" w:styleId="TOC3">
    <w:name w:val="toc 3"/>
    <w:basedOn w:val="Body"/>
    <w:next w:val="Body"/>
    <w:autoRedefine/>
    <w:semiHidden/>
    <w:rsid w:val="00D31909"/>
    <w:pPr>
      <w:tabs>
        <w:tab w:val="left" w:pos="0"/>
      </w:tabs>
      <w:ind w:left="-340"/>
    </w:pPr>
  </w:style>
  <w:style w:type="paragraph" w:styleId="TOC4">
    <w:name w:val="toc 4"/>
    <w:basedOn w:val="Body"/>
    <w:next w:val="Body"/>
    <w:autoRedefine/>
    <w:semiHidden/>
    <w:rsid w:val="00D31909"/>
    <w:pPr>
      <w:tabs>
        <w:tab w:val="left" w:pos="0"/>
      </w:tabs>
      <w:ind w:left="-340"/>
    </w:pPr>
  </w:style>
  <w:style w:type="paragraph" w:styleId="TOC5">
    <w:name w:val="toc 5"/>
    <w:basedOn w:val="Body"/>
    <w:next w:val="Body"/>
    <w:autoRedefine/>
    <w:semiHidden/>
    <w:rsid w:val="00D31909"/>
    <w:pPr>
      <w:tabs>
        <w:tab w:val="left" w:pos="0"/>
      </w:tabs>
      <w:ind w:left="-340"/>
    </w:pPr>
  </w:style>
  <w:style w:type="paragraph" w:styleId="TOC6">
    <w:name w:val="toc 6"/>
    <w:basedOn w:val="TOC3"/>
    <w:next w:val="Normal"/>
    <w:autoRedefine/>
    <w:semiHidden/>
    <w:rsid w:val="00D31909"/>
    <w:rPr>
      <w:b/>
    </w:rPr>
  </w:style>
  <w:style w:type="paragraph" w:styleId="TOC7">
    <w:name w:val="toc 7"/>
    <w:basedOn w:val="TOC1"/>
    <w:next w:val="Normal"/>
    <w:autoRedefine/>
    <w:semiHidden/>
    <w:rsid w:val="00D31909"/>
    <w:pPr>
      <w:tabs>
        <w:tab w:val="clear" w:pos="0"/>
        <w:tab w:val="clear" w:pos="6840"/>
        <w:tab w:val="left" w:pos="2602"/>
      </w:tabs>
      <w:spacing w:after="0"/>
    </w:pPr>
    <w:rPr>
      <w:rFonts w:ascii="Arial Narrow" w:hAnsi="Arial Narrow"/>
      <w:b w:val="0"/>
      <w:color w:val="auto"/>
      <w:sz w:val="16"/>
      <w:szCs w:val="16"/>
    </w:rPr>
  </w:style>
  <w:style w:type="paragraph" w:styleId="TOC8">
    <w:name w:val="toc 8"/>
    <w:basedOn w:val="TOC1"/>
    <w:next w:val="Normal"/>
    <w:autoRedefine/>
    <w:semiHidden/>
    <w:rsid w:val="00D31909"/>
    <w:pPr>
      <w:tabs>
        <w:tab w:val="clear" w:pos="0"/>
        <w:tab w:val="clear" w:pos="6840"/>
        <w:tab w:val="right" w:leader="dot" w:pos="6120"/>
      </w:tabs>
      <w:spacing w:after="0"/>
      <w:ind w:right="3269"/>
    </w:pPr>
    <w:rPr>
      <w:b w:val="0"/>
      <w:szCs w:val="20"/>
    </w:rPr>
  </w:style>
  <w:style w:type="paragraph" w:styleId="TOC9">
    <w:name w:val="toc 9"/>
    <w:basedOn w:val="TOC2"/>
    <w:next w:val="Normal"/>
    <w:autoRedefine/>
    <w:semiHidden/>
    <w:rsid w:val="00D31909"/>
    <w:pPr>
      <w:tabs>
        <w:tab w:val="clear" w:pos="0"/>
        <w:tab w:val="clear" w:pos="6840"/>
        <w:tab w:val="right" w:leader="dot" w:pos="6120"/>
      </w:tabs>
      <w:spacing w:after="0"/>
      <w:ind w:right="3269"/>
    </w:pPr>
    <w:rPr>
      <w:szCs w:val="20"/>
    </w:rPr>
  </w:style>
  <w:style w:type="paragraph" w:customStyle="1" w:styleId="TOCHeading1">
    <w:name w:val="TOC Heading 1"/>
    <w:basedOn w:val="Heading1"/>
    <w:next w:val="Body"/>
    <w:rsid w:val="00D31909"/>
    <w:rPr>
      <w:color w:val="auto"/>
    </w:rPr>
  </w:style>
  <w:style w:type="paragraph" w:customStyle="1" w:styleId="TOCHeading2">
    <w:name w:val="TOC Heading 2"/>
    <w:basedOn w:val="Heading2"/>
    <w:next w:val="Body"/>
    <w:rsid w:val="00D31909"/>
    <w:pPr>
      <w:spacing w:before="120" w:line="260" w:lineRule="atLeast"/>
    </w:pPr>
  </w:style>
  <w:style w:type="paragraph" w:customStyle="1" w:styleId="TPR">
    <w:name w:val="TPR"/>
    <w:basedOn w:val="BodyTextIndent"/>
    <w:rsid w:val="00D31909"/>
    <w:pPr>
      <w:ind w:left="-3125" w:right="-14"/>
    </w:pPr>
    <w:rPr>
      <w:bCs/>
      <w:sz w:val="20"/>
      <w:szCs w:val="16"/>
    </w:rPr>
  </w:style>
  <w:style w:type="paragraph" w:customStyle="1" w:styleId="TPRHead">
    <w:name w:val="TPRHead"/>
    <w:basedOn w:val="TPR"/>
    <w:rsid w:val="00D31909"/>
    <w:pPr>
      <w:keepNext/>
      <w:spacing w:after="0"/>
    </w:pPr>
    <w:rPr>
      <w:b/>
    </w:rPr>
  </w:style>
  <w:style w:type="paragraph" w:customStyle="1" w:styleId="Tradedetail">
    <w:name w:val="Trade detail"/>
    <w:basedOn w:val="Bullettext"/>
    <w:rsid w:val="00D31909"/>
    <w:pPr>
      <w:numPr>
        <w:numId w:val="39"/>
      </w:numPr>
      <w:spacing w:after="0"/>
    </w:pPr>
  </w:style>
  <w:style w:type="paragraph" w:customStyle="1" w:styleId="Tradeinnertext">
    <w:name w:val="Trade inner text"/>
    <w:basedOn w:val="CommentText"/>
    <w:rsid w:val="00D31909"/>
    <w:pPr>
      <w:tabs>
        <w:tab w:val="left" w:pos="216"/>
      </w:tabs>
      <w:spacing w:line="240" w:lineRule="exact"/>
      <w:ind w:left="216"/>
    </w:pPr>
  </w:style>
  <w:style w:type="paragraph" w:customStyle="1" w:styleId="Underline">
    <w:name w:val="Underline"/>
    <w:basedOn w:val="Normal"/>
    <w:rsid w:val="00D31909"/>
    <w:pPr>
      <w:keepNext/>
      <w:spacing w:before="20" w:after="60" w:line="60" w:lineRule="atLeast"/>
      <w:ind w:left="-3125"/>
    </w:pPr>
    <w:rPr>
      <w:sz w:val="16"/>
    </w:rPr>
  </w:style>
  <w:style w:type="paragraph" w:customStyle="1" w:styleId="Units">
    <w:name w:val="Units"/>
    <w:basedOn w:val="Body"/>
    <w:rsid w:val="00D31909"/>
    <w:pPr>
      <w:keepNext/>
      <w:keepLines/>
      <w:spacing w:after="50" w:line="200" w:lineRule="atLeast"/>
    </w:pPr>
    <w:rPr>
      <w:rFonts w:ascii="Arial Narrow" w:hAnsi="Arial Narrow"/>
      <w:spacing w:val="5"/>
      <w:sz w:val="16"/>
    </w:rPr>
  </w:style>
  <w:style w:type="paragraph" w:customStyle="1" w:styleId="units0">
    <w:name w:val="units"/>
    <w:basedOn w:val="Normal"/>
    <w:rsid w:val="00D31909"/>
    <w:pPr>
      <w:keepNext/>
      <w:keepLines/>
      <w:spacing w:after="50" w:line="200" w:lineRule="atLeast"/>
    </w:pPr>
    <w:rPr>
      <w:rFonts w:ascii="Arial Narrow" w:hAnsi="Arial Narrow"/>
      <w:noProof/>
      <w:spacing w:val="5"/>
      <w:sz w:val="16"/>
    </w:rPr>
  </w:style>
  <w:style w:type="paragraph" w:customStyle="1" w:styleId="WebURL">
    <w:name w:val="WebURL"/>
    <w:basedOn w:val="Body"/>
    <w:next w:val="Body"/>
    <w:rsid w:val="00D31909"/>
    <w:pPr>
      <w:spacing w:after="0"/>
    </w:pPr>
    <w:rPr>
      <w:rFonts w:ascii="Arial Narrow" w:hAnsi="Arial Narrow"/>
      <w:b/>
      <w:color w:val="4E8ABE"/>
      <w:sz w:val="16"/>
      <w:szCs w:val="16"/>
    </w:rPr>
  </w:style>
  <w:style w:type="character" w:customStyle="1" w:styleId="SourceChar">
    <w:name w:val="Source Char"/>
    <w:basedOn w:val="DefaultParagraphFont"/>
    <w:link w:val="Source"/>
    <w:rsid w:val="00D31909"/>
    <w:rPr>
      <w:rFonts w:ascii="Arial Narrow" w:eastAsia="MS Mincho" w:hAnsi="Arial Narrow" w:cs="Times New Roman"/>
      <w:sz w:val="14"/>
      <w:szCs w:val="24"/>
      <w:lang w:val="en-US" w:eastAsia="en-US"/>
    </w:rPr>
  </w:style>
  <w:style w:type="paragraph" w:customStyle="1" w:styleId="TableText">
    <w:name w:val="Table Text"/>
    <w:basedOn w:val="Normal"/>
    <w:rsid w:val="00D31909"/>
    <w:pPr>
      <w:keepNext/>
      <w:keepLines/>
    </w:pPr>
    <w:rPr>
      <w:rFonts w:eastAsia="Times New Roman"/>
      <w:sz w:val="16"/>
      <w:szCs w:val="20"/>
    </w:rPr>
  </w:style>
  <w:style w:type="paragraph" w:customStyle="1" w:styleId="TableFootnotes">
    <w:name w:val="Table Footnotes"/>
    <w:basedOn w:val="Normal"/>
    <w:next w:val="Normal"/>
    <w:rsid w:val="00D31909"/>
    <w:rPr>
      <w:rFonts w:eastAsia="Times New Roman"/>
      <w:sz w:val="16"/>
      <w:lang w:val="en-GB"/>
    </w:rPr>
  </w:style>
  <w:style w:type="paragraph" w:customStyle="1" w:styleId="FooterFrontPage1stLine">
    <w:name w:val="FooterFrontPage1stLine"/>
    <w:basedOn w:val="Normal"/>
    <w:rsid w:val="00D31909"/>
    <w:pPr>
      <w:framePr w:wrap="around" w:hAnchor="text" w:yAlign="bottom"/>
      <w:spacing w:line="216" w:lineRule="atLeast"/>
    </w:pPr>
    <w:rPr>
      <w:rFonts w:ascii="Arial Narrow" w:hAnsi="Arial Narrow"/>
      <w:b/>
      <w:noProof/>
      <w:sz w:val="22"/>
    </w:rPr>
  </w:style>
  <w:style w:type="paragraph" w:customStyle="1" w:styleId="ShiftFPBullet">
    <w:name w:val="Shift FPBullet"/>
    <w:basedOn w:val="FPBullet"/>
    <w:qFormat/>
    <w:rsid w:val="00D31909"/>
    <w:pPr>
      <w:tabs>
        <w:tab w:val="clear" w:pos="0"/>
      </w:tabs>
      <w:ind w:left="2707" w:right="518"/>
    </w:pPr>
  </w:style>
  <w:style w:type="paragraph" w:customStyle="1" w:styleId="ShiftFPBody">
    <w:name w:val="Shift FPBody"/>
    <w:basedOn w:val="FPBody"/>
    <w:rsid w:val="00D31909"/>
    <w:pPr>
      <w:ind w:left="2520" w:right="518"/>
    </w:pPr>
  </w:style>
  <w:style w:type="paragraph" w:customStyle="1" w:styleId="Heading1-PBBefore">
    <w:name w:val="Heading 1 -PB Before"/>
    <w:basedOn w:val="Heading1"/>
    <w:qFormat/>
    <w:rsid w:val="00D31909"/>
    <w:pPr>
      <w:pageBreakBefore/>
      <w:spacing w:before="0"/>
    </w:pPr>
  </w:style>
  <w:style w:type="paragraph" w:customStyle="1" w:styleId="FPBullet">
    <w:name w:val="FPBullet"/>
    <w:basedOn w:val="Body"/>
    <w:link w:val="FPBulletChar"/>
    <w:rsid w:val="00D31909"/>
    <w:pPr>
      <w:numPr>
        <w:numId w:val="42"/>
      </w:numPr>
      <w:spacing w:after="180"/>
      <w:ind w:left="187" w:right="3269" w:hanging="187"/>
      <w:jc w:val="both"/>
    </w:pPr>
    <w:rPr>
      <w:sz w:val="22"/>
    </w:rPr>
  </w:style>
  <w:style w:type="paragraph" w:customStyle="1" w:styleId="52807BB80E4E409F9A162793A918D5C65">
    <w:name w:val="52807BB80E4E409F9A162793A918D5C65"/>
    <w:rsid w:val="00D31909"/>
    <w:pPr>
      <w:numPr>
        <w:numId w:val="47"/>
      </w:numPr>
      <w:tabs>
        <w:tab w:val="num" w:pos="0"/>
      </w:tabs>
      <w:spacing w:after="180"/>
      <w:ind w:left="187" w:right="3272" w:hanging="187"/>
      <w:jc w:val="both"/>
    </w:pPr>
    <w:rPr>
      <w:rFonts w:ascii="Times New Roman" w:eastAsia="MS Mincho" w:hAnsi="Times New Roman" w:cs="Times New Roman"/>
      <w:lang w:val="en-US" w:eastAsia="en-US"/>
    </w:rPr>
  </w:style>
  <w:style w:type="paragraph" w:customStyle="1" w:styleId="TradeBullet">
    <w:name w:val="Trade Bullet"/>
    <w:next w:val="Tradeinner"/>
    <w:rsid w:val="00D31909"/>
    <w:pPr>
      <w:numPr>
        <w:numId w:val="48"/>
      </w:numPr>
      <w:tabs>
        <w:tab w:val="clear" w:pos="360"/>
      </w:tabs>
      <w:spacing w:after="0" w:line="240" w:lineRule="auto"/>
      <w:ind w:left="216" w:hanging="216"/>
    </w:pPr>
    <w:rPr>
      <w:rFonts w:ascii="Times New Roman" w:eastAsia="MS Mincho" w:hAnsi="Times New Roman" w:cs="Times New Roman"/>
      <w:b/>
      <w:sz w:val="20"/>
      <w:szCs w:val="24"/>
      <w:lang w:val="en-US" w:eastAsia="en-US"/>
    </w:rPr>
  </w:style>
  <w:style w:type="paragraph" w:customStyle="1" w:styleId="Tradeinner">
    <w:name w:val="Trade inner"/>
    <w:basedOn w:val="TradeBullet"/>
    <w:rsid w:val="00D31909"/>
    <w:pPr>
      <w:numPr>
        <w:numId w:val="0"/>
      </w:numPr>
      <w:ind w:left="181"/>
    </w:pPr>
    <w:rPr>
      <w:b w:val="0"/>
    </w:rPr>
  </w:style>
  <w:style w:type="paragraph" w:customStyle="1" w:styleId="Source-NoSpacingAfter">
    <w:name w:val="Source-NoSpacingAfter"/>
    <w:basedOn w:val="Source"/>
    <w:next w:val="Body"/>
    <w:rsid w:val="00D31909"/>
    <w:pPr>
      <w:spacing w:after="0"/>
    </w:pPr>
  </w:style>
  <w:style w:type="paragraph" w:customStyle="1" w:styleId="BBGText">
    <w:name w:val="BBGText"/>
    <w:next w:val="Normal"/>
    <w:rsid w:val="00D31909"/>
    <w:pPr>
      <w:spacing w:before="40" w:after="0" w:line="240" w:lineRule="auto"/>
    </w:pPr>
    <w:rPr>
      <w:rFonts w:ascii="Arial" w:eastAsia="MS Mincho" w:hAnsi="Arial" w:cs="Times New Roman"/>
      <w:b/>
      <w:noProof/>
      <w:sz w:val="14"/>
      <w:szCs w:val="24"/>
      <w:lang w:val="en-US" w:eastAsia="en-US"/>
    </w:rPr>
  </w:style>
  <w:style w:type="paragraph" w:customStyle="1" w:styleId="BBGValue">
    <w:name w:val="BBGValue"/>
    <w:next w:val="Normal"/>
    <w:rsid w:val="00D31909"/>
    <w:pPr>
      <w:spacing w:before="40" w:after="60" w:line="240" w:lineRule="auto"/>
    </w:pPr>
    <w:rPr>
      <w:rFonts w:ascii="Arial" w:eastAsia="MS Mincho" w:hAnsi="Arial" w:cs="Times New Roman"/>
      <w:noProof/>
      <w:sz w:val="14"/>
      <w:szCs w:val="24"/>
      <w:lang w:val="en-US" w:eastAsia="en-US"/>
    </w:rPr>
  </w:style>
  <w:style w:type="paragraph" w:customStyle="1" w:styleId="FPLegalEntityNamewithoutborder">
    <w:name w:val="FPLegalEntityName(without border)"/>
    <w:basedOn w:val="EMail"/>
    <w:next w:val="FPLegalEntityName"/>
    <w:rsid w:val="00D31909"/>
    <w:pPr>
      <w:spacing w:after="90"/>
    </w:pPr>
    <w:rPr>
      <w:color w:val="000000" w:themeColor="text1"/>
    </w:rPr>
  </w:style>
  <w:style w:type="character" w:customStyle="1" w:styleId="BodyChar">
    <w:name w:val="Body Char"/>
    <w:basedOn w:val="DefaultParagraphFont"/>
    <w:link w:val="Body"/>
    <w:rsid w:val="00D31909"/>
    <w:rPr>
      <w:rFonts w:ascii="Times New Roman" w:eastAsia="MS Mincho" w:hAnsi="Times New Roman" w:cs="Times New Roman"/>
      <w:sz w:val="20"/>
      <w:szCs w:val="24"/>
      <w:lang w:val="en-US" w:eastAsia="en-US"/>
    </w:rPr>
  </w:style>
  <w:style w:type="character" w:customStyle="1" w:styleId="Heading1CharCharCharCharChar">
    <w:name w:val="Heading 1 Char Char Char Char Char"/>
    <w:basedOn w:val="DefaultParagraphFont"/>
    <w:rsid w:val="002E61D7"/>
    <w:rPr>
      <w:rFonts w:ascii="Arial" w:eastAsia="MS Mincho" w:hAnsi="Arial" w:cs="Arial"/>
      <w:bCs/>
      <w:color w:val="4E8ABE"/>
      <w:kern w:val="32"/>
      <w:sz w:val="36"/>
      <w:szCs w:val="36"/>
      <w:lang w:val="en-US" w:eastAsia="en-US" w:bidi="ar-SA"/>
    </w:rPr>
  </w:style>
  <w:style w:type="paragraph" w:customStyle="1" w:styleId="NormalLatinArial">
    <w:name w:val="Normal + (Latin) Arial"/>
    <w:aliases w:val="8 pt"/>
    <w:basedOn w:val="Normal"/>
    <w:rsid w:val="002E61D7"/>
    <w:pPr>
      <w:autoSpaceDE w:val="0"/>
      <w:autoSpaceDN w:val="0"/>
      <w:adjustRightInd w:val="0"/>
    </w:pPr>
    <w:rPr>
      <w:rFonts w:ascii="Arial" w:eastAsia="Times New Roman" w:hAnsi="Arial" w:cs="Arial"/>
      <w:sz w:val="18"/>
      <w:szCs w:val="18"/>
    </w:rPr>
  </w:style>
  <w:style w:type="paragraph" w:customStyle="1" w:styleId="LastBullet">
    <w:name w:val="Last Bullet"/>
    <w:basedOn w:val="Bullet"/>
    <w:link w:val="LastBulletChar"/>
    <w:rsid w:val="00D31909"/>
    <w:pPr>
      <w:spacing w:after="240"/>
    </w:pPr>
  </w:style>
  <w:style w:type="character" w:customStyle="1" w:styleId="FPBulletChar">
    <w:name w:val="FPBullet Char"/>
    <w:basedOn w:val="BodyChar"/>
    <w:link w:val="FPBullet"/>
    <w:rsid w:val="00D31909"/>
  </w:style>
  <w:style w:type="character" w:customStyle="1" w:styleId="LastBulletChar">
    <w:name w:val="Last Bullet Char"/>
    <w:basedOn w:val="FPBulletChar"/>
    <w:link w:val="LastBullet"/>
    <w:rsid w:val="00D31909"/>
    <w:rPr>
      <w:sz w:val="20"/>
    </w:rPr>
  </w:style>
</w:styles>
</file>

<file path=word/webSettings.xml><?xml version="1.0" encoding="utf-8"?>
<w:webSettings xmlns:r="http://schemas.openxmlformats.org/officeDocument/2006/relationships" xmlns:w="http://schemas.openxmlformats.org/wordprocessingml/2006/main">
  <w:divs>
    <w:div w:id="442651424">
      <w:bodyDiv w:val="1"/>
      <w:marLeft w:val="0"/>
      <w:marRight w:val="0"/>
      <w:marTop w:val="0"/>
      <w:marBottom w:val="0"/>
      <w:divBdr>
        <w:top w:val="none" w:sz="0" w:space="0" w:color="auto"/>
        <w:left w:val="none" w:sz="0" w:space="0" w:color="auto"/>
        <w:bottom w:val="none" w:sz="0" w:space="0" w:color="auto"/>
        <w:right w:val="none" w:sz="0" w:space="0" w:color="auto"/>
      </w:divBdr>
      <w:divsChild>
        <w:div w:id="1371611183">
          <w:marLeft w:val="0"/>
          <w:marRight w:val="0"/>
          <w:marTop w:val="0"/>
          <w:marBottom w:val="0"/>
          <w:divBdr>
            <w:top w:val="none" w:sz="0" w:space="0" w:color="auto"/>
            <w:left w:val="none" w:sz="0" w:space="0" w:color="auto"/>
            <w:bottom w:val="none" w:sz="0" w:space="0" w:color="auto"/>
            <w:right w:val="none" w:sz="0" w:space="0" w:color="auto"/>
          </w:divBdr>
        </w:div>
        <w:div w:id="1170677857">
          <w:marLeft w:val="0"/>
          <w:marRight w:val="0"/>
          <w:marTop w:val="0"/>
          <w:marBottom w:val="0"/>
          <w:divBdr>
            <w:top w:val="none" w:sz="0" w:space="0" w:color="auto"/>
            <w:left w:val="none" w:sz="0" w:space="0" w:color="auto"/>
            <w:bottom w:val="none" w:sz="0" w:space="0" w:color="auto"/>
            <w:right w:val="none" w:sz="0" w:space="0" w:color="auto"/>
          </w:divBdr>
        </w:div>
        <w:div w:id="303388652">
          <w:marLeft w:val="0"/>
          <w:marRight w:val="0"/>
          <w:marTop w:val="0"/>
          <w:marBottom w:val="0"/>
          <w:divBdr>
            <w:top w:val="none" w:sz="0" w:space="0" w:color="auto"/>
            <w:left w:val="none" w:sz="0" w:space="0" w:color="auto"/>
            <w:bottom w:val="none" w:sz="0" w:space="0" w:color="auto"/>
            <w:right w:val="none" w:sz="0" w:space="0" w:color="auto"/>
          </w:divBdr>
        </w:div>
        <w:div w:id="452752304">
          <w:marLeft w:val="0"/>
          <w:marRight w:val="0"/>
          <w:marTop w:val="0"/>
          <w:marBottom w:val="0"/>
          <w:divBdr>
            <w:top w:val="none" w:sz="0" w:space="0" w:color="auto"/>
            <w:left w:val="none" w:sz="0" w:space="0" w:color="auto"/>
            <w:bottom w:val="none" w:sz="0" w:space="0" w:color="auto"/>
            <w:right w:val="none" w:sz="0" w:space="0" w:color="auto"/>
          </w:divBdr>
        </w:div>
        <w:div w:id="1364357324">
          <w:marLeft w:val="0"/>
          <w:marRight w:val="0"/>
          <w:marTop w:val="0"/>
          <w:marBottom w:val="0"/>
          <w:divBdr>
            <w:top w:val="none" w:sz="0" w:space="0" w:color="auto"/>
            <w:left w:val="none" w:sz="0" w:space="0" w:color="auto"/>
            <w:bottom w:val="none" w:sz="0" w:space="0" w:color="auto"/>
            <w:right w:val="none" w:sz="0" w:space="0" w:color="auto"/>
          </w:divBdr>
        </w:div>
        <w:div w:id="2086760786">
          <w:marLeft w:val="0"/>
          <w:marRight w:val="0"/>
          <w:marTop w:val="0"/>
          <w:marBottom w:val="0"/>
          <w:divBdr>
            <w:top w:val="none" w:sz="0" w:space="0" w:color="auto"/>
            <w:left w:val="none" w:sz="0" w:space="0" w:color="auto"/>
            <w:bottom w:val="none" w:sz="0" w:space="0" w:color="auto"/>
            <w:right w:val="none" w:sz="0" w:space="0" w:color="auto"/>
          </w:divBdr>
        </w:div>
        <w:div w:id="2011563524">
          <w:marLeft w:val="0"/>
          <w:marRight w:val="0"/>
          <w:marTop w:val="0"/>
          <w:marBottom w:val="0"/>
          <w:divBdr>
            <w:top w:val="none" w:sz="0" w:space="0" w:color="auto"/>
            <w:left w:val="none" w:sz="0" w:space="0" w:color="auto"/>
            <w:bottom w:val="none" w:sz="0" w:space="0" w:color="auto"/>
            <w:right w:val="none" w:sz="0" w:space="0" w:color="auto"/>
          </w:divBdr>
        </w:div>
        <w:div w:id="1045444296">
          <w:marLeft w:val="0"/>
          <w:marRight w:val="0"/>
          <w:marTop w:val="0"/>
          <w:marBottom w:val="0"/>
          <w:divBdr>
            <w:top w:val="none" w:sz="0" w:space="0" w:color="auto"/>
            <w:left w:val="none" w:sz="0" w:space="0" w:color="auto"/>
            <w:bottom w:val="none" w:sz="0" w:space="0" w:color="auto"/>
            <w:right w:val="none" w:sz="0" w:space="0" w:color="auto"/>
          </w:divBdr>
        </w:div>
        <w:div w:id="737169752">
          <w:marLeft w:val="0"/>
          <w:marRight w:val="0"/>
          <w:marTop w:val="0"/>
          <w:marBottom w:val="0"/>
          <w:divBdr>
            <w:top w:val="none" w:sz="0" w:space="0" w:color="auto"/>
            <w:left w:val="none" w:sz="0" w:space="0" w:color="auto"/>
            <w:bottom w:val="none" w:sz="0" w:space="0" w:color="auto"/>
            <w:right w:val="none" w:sz="0" w:space="0" w:color="auto"/>
          </w:divBdr>
        </w:div>
        <w:div w:id="1077241286">
          <w:marLeft w:val="0"/>
          <w:marRight w:val="0"/>
          <w:marTop w:val="0"/>
          <w:marBottom w:val="0"/>
          <w:divBdr>
            <w:top w:val="none" w:sz="0" w:space="0" w:color="auto"/>
            <w:left w:val="none" w:sz="0" w:space="0" w:color="auto"/>
            <w:bottom w:val="none" w:sz="0" w:space="0" w:color="auto"/>
            <w:right w:val="none" w:sz="0" w:space="0" w:color="auto"/>
          </w:divBdr>
        </w:div>
        <w:div w:id="46151706">
          <w:marLeft w:val="0"/>
          <w:marRight w:val="0"/>
          <w:marTop w:val="0"/>
          <w:marBottom w:val="0"/>
          <w:divBdr>
            <w:top w:val="none" w:sz="0" w:space="0" w:color="auto"/>
            <w:left w:val="none" w:sz="0" w:space="0" w:color="auto"/>
            <w:bottom w:val="none" w:sz="0" w:space="0" w:color="auto"/>
            <w:right w:val="none" w:sz="0" w:space="0" w:color="auto"/>
          </w:divBdr>
        </w:div>
        <w:div w:id="1468931541">
          <w:marLeft w:val="0"/>
          <w:marRight w:val="0"/>
          <w:marTop w:val="0"/>
          <w:marBottom w:val="0"/>
          <w:divBdr>
            <w:top w:val="none" w:sz="0" w:space="0" w:color="auto"/>
            <w:left w:val="none" w:sz="0" w:space="0" w:color="auto"/>
            <w:bottom w:val="none" w:sz="0" w:space="0" w:color="auto"/>
            <w:right w:val="none" w:sz="0" w:space="0" w:color="auto"/>
          </w:divBdr>
        </w:div>
        <w:div w:id="399835475">
          <w:marLeft w:val="0"/>
          <w:marRight w:val="0"/>
          <w:marTop w:val="0"/>
          <w:marBottom w:val="0"/>
          <w:divBdr>
            <w:top w:val="none" w:sz="0" w:space="0" w:color="auto"/>
            <w:left w:val="none" w:sz="0" w:space="0" w:color="auto"/>
            <w:bottom w:val="none" w:sz="0" w:space="0" w:color="auto"/>
            <w:right w:val="none" w:sz="0" w:space="0" w:color="auto"/>
          </w:divBdr>
        </w:div>
        <w:div w:id="1385905998">
          <w:marLeft w:val="0"/>
          <w:marRight w:val="0"/>
          <w:marTop w:val="0"/>
          <w:marBottom w:val="0"/>
          <w:divBdr>
            <w:top w:val="none" w:sz="0" w:space="0" w:color="auto"/>
            <w:left w:val="none" w:sz="0" w:space="0" w:color="auto"/>
            <w:bottom w:val="none" w:sz="0" w:space="0" w:color="auto"/>
            <w:right w:val="none" w:sz="0" w:space="0" w:color="auto"/>
          </w:divBdr>
        </w:div>
        <w:div w:id="668019629">
          <w:marLeft w:val="0"/>
          <w:marRight w:val="0"/>
          <w:marTop w:val="0"/>
          <w:marBottom w:val="0"/>
          <w:divBdr>
            <w:top w:val="none" w:sz="0" w:space="0" w:color="auto"/>
            <w:left w:val="none" w:sz="0" w:space="0" w:color="auto"/>
            <w:bottom w:val="none" w:sz="0" w:space="0" w:color="auto"/>
            <w:right w:val="none" w:sz="0" w:space="0" w:color="auto"/>
          </w:divBdr>
        </w:div>
        <w:div w:id="717363836">
          <w:marLeft w:val="0"/>
          <w:marRight w:val="0"/>
          <w:marTop w:val="0"/>
          <w:marBottom w:val="0"/>
          <w:divBdr>
            <w:top w:val="none" w:sz="0" w:space="0" w:color="auto"/>
            <w:left w:val="none" w:sz="0" w:space="0" w:color="auto"/>
            <w:bottom w:val="none" w:sz="0" w:space="0" w:color="auto"/>
            <w:right w:val="none" w:sz="0" w:space="0" w:color="auto"/>
          </w:divBdr>
        </w:div>
        <w:div w:id="183905771">
          <w:marLeft w:val="0"/>
          <w:marRight w:val="0"/>
          <w:marTop w:val="0"/>
          <w:marBottom w:val="0"/>
          <w:divBdr>
            <w:top w:val="none" w:sz="0" w:space="0" w:color="auto"/>
            <w:left w:val="none" w:sz="0" w:space="0" w:color="auto"/>
            <w:bottom w:val="none" w:sz="0" w:space="0" w:color="auto"/>
            <w:right w:val="none" w:sz="0" w:space="0" w:color="auto"/>
          </w:divBdr>
        </w:div>
      </w:divsChild>
    </w:div>
    <w:div w:id="1335180219">
      <w:bodyDiv w:val="1"/>
      <w:marLeft w:val="0"/>
      <w:marRight w:val="0"/>
      <w:marTop w:val="0"/>
      <w:marBottom w:val="0"/>
      <w:divBdr>
        <w:top w:val="none" w:sz="0" w:space="0" w:color="auto"/>
        <w:left w:val="none" w:sz="0" w:space="0" w:color="auto"/>
        <w:bottom w:val="none" w:sz="0" w:space="0" w:color="auto"/>
        <w:right w:val="none" w:sz="0" w:space="0" w:color="auto"/>
      </w:divBdr>
      <w:divsChild>
        <w:div w:id="1010641881">
          <w:marLeft w:val="0"/>
          <w:marRight w:val="0"/>
          <w:marTop w:val="0"/>
          <w:marBottom w:val="0"/>
          <w:divBdr>
            <w:top w:val="none" w:sz="0" w:space="0" w:color="auto"/>
            <w:left w:val="none" w:sz="0" w:space="0" w:color="auto"/>
            <w:bottom w:val="none" w:sz="0" w:space="0" w:color="auto"/>
            <w:right w:val="none" w:sz="0" w:space="0" w:color="auto"/>
          </w:divBdr>
        </w:div>
        <w:div w:id="1203520309">
          <w:marLeft w:val="0"/>
          <w:marRight w:val="0"/>
          <w:marTop w:val="0"/>
          <w:marBottom w:val="0"/>
          <w:divBdr>
            <w:top w:val="none" w:sz="0" w:space="0" w:color="auto"/>
            <w:left w:val="none" w:sz="0" w:space="0" w:color="auto"/>
            <w:bottom w:val="none" w:sz="0" w:space="0" w:color="auto"/>
            <w:right w:val="none" w:sz="0" w:space="0" w:color="auto"/>
          </w:divBdr>
        </w:div>
        <w:div w:id="1244682940">
          <w:marLeft w:val="0"/>
          <w:marRight w:val="0"/>
          <w:marTop w:val="0"/>
          <w:marBottom w:val="0"/>
          <w:divBdr>
            <w:top w:val="none" w:sz="0" w:space="0" w:color="auto"/>
            <w:left w:val="none" w:sz="0" w:space="0" w:color="auto"/>
            <w:bottom w:val="none" w:sz="0" w:space="0" w:color="auto"/>
            <w:right w:val="none" w:sz="0" w:space="0" w:color="auto"/>
          </w:divBdr>
        </w:div>
        <w:div w:id="59139494">
          <w:marLeft w:val="0"/>
          <w:marRight w:val="0"/>
          <w:marTop w:val="0"/>
          <w:marBottom w:val="0"/>
          <w:divBdr>
            <w:top w:val="none" w:sz="0" w:space="0" w:color="auto"/>
            <w:left w:val="none" w:sz="0" w:space="0" w:color="auto"/>
            <w:bottom w:val="none" w:sz="0" w:space="0" w:color="auto"/>
            <w:right w:val="none" w:sz="0" w:space="0" w:color="auto"/>
          </w:divBdr>
        </w:div>
        <w:div w:id="1148937480">
          <w:marLeft w:val="0"/>
          <w:marRight w:val="0"/>
          <w:marTop w:val="0"/>
          <w:marBottom w:val="0"/>
          <w:divBdr>
            <w:top w:val="none" w:sz="0" w:space="0" w:color="auto"/>
            <w:left w:val="none" w:sz="0" w:space="0" w:color="auto"/>
            <w:bottom w:val="none" w:sz="0" w:space="0" w:color="auto"/>
            <w:right w:val="none" w:sz="0" w:space="0" w:color="auto"/>
          </w:divBdr>
        </w:div>
        <w:div w:id="286742652">
          <w:marLeft w:val="0"/>
          <w:marRight w:val="0"/>
          <w:marTop w:val="0"/>
          <w:marBottom w:val="0"/>
          <w:divBdr>
            <w:top w:val="none" w:sz="0" w:space="0" w:color="auto"/>
            <w:left w:val="none" w:sz="0" w:space="0" w:color="auto"/>
            <w:bottom w:val="none" w:sz="0" w:space="0" w:color="auto"/>
            <w:right w:val="none" w:sz="0" w:space="0" w:color="auto"/>
          </w:divBdr>
        </w:div>
        <w:div w:id="874972054">
          <w:marLeft w:val="0"/>
          <w:marRight w:val="0"/>
          <w:marTop w:val="0"/>
          <w:marBottom w:val="0"/>
          <w:divBdr>
            <w:top w:val="none" w:sz="0" w:space="0" w:color="auto"/>
            <w:left w:val="none" w:sz="0" w:space="0" w:color="auto"/>
            <w:bottom w:val="none" w:sz="0" w:space="0" w:color="auto"/>
            <w:right w:val="none" w:sz="0" w:space="0" w:color="auto"/>
          </w:divBdr>
        </w:div>
        <w:div w:id="148981939">
          <w:marLeft w:val="0"/>
          <w:marRight w:val="0"/>
          <w:marTop w:val="0"/>
          <w:marBottom w:val="0"/>
          <w:divBdr>
            <w:top w:val="none" w:sz="0" w:space="0" w:color="auto"/>
            <w:left w:val="none" w:sz="0" w:space="0" w:color="auto"/>
            <w:bottom w:val="none" w:sz="0" w:space="0" w:color="auto"/>
            <w:right w:val="none" w:sz="0" w:space="0" w:color="auto"/>
          </w:divBdr>
        </w:div>
        <w:div w:id="337804889">
          <w:marLeft w:val="0"/>
          <w:marRight w:val="0"/>
          <w:marTop w:val="0"/>
          <w:marBottom w:val="0"/>
          <w:divBdr>
            <w:top w:val="none" w:sz="0" w:space="0" w:color="auto"/>
            <w:left w:val="none" w:sz="0" w:space="0" w:color="auto"/>
            <w:bottom w:val="none" w:sz="0" w:space="0" w:color="auto"/>
            <w:right w:val="none" w:sz="0" w:space="0" w:color="auto"/>
          </w:divBdr>
        </w:div>
        <w:div w:id="1071388915">
          <w:marLeft w:val="0"/>
          <w:marRight w:val="0"/>
          <w:marTop w:val="0"/>
          <w:marBottom w:val="0"/>
          <w:divBdr>
            <w:top w:val="none" w:sz="0" w:space="0" w:color="auto"/>
            <w:left w:val="none" w:sz="0" w:space="0" w:color="auto"/>
            <w:bottom w:val="none" w:sz="0" w:space="0" w:color="auto"/>
            <w:right w:val="none" w:sz="0" w:space="0" w:color="auto"/>
          </w:divBdr>
        </w:div>
        <w:div w:id="871259822">
          <w:marLeft w:val="0"/>
          <w:marRight w:val="0"/>
          <w:marTop w:val="0"/>
          <w:marBottom w:val="0"/>
          <w:divBdr>
            <w:top w:val="none" w:sz="0" w:space="0" w:color="auto"/>
            <w:left w:val="none" w:sz="0" w:space="0" w:color="auto"/>
            <w:bottom w:val="none" w:sz="0" w:space="0" w:color="auto"/>
            <w:right w:val="none" w:sz="0" w:space="0" w:color="auto"/>
          </w:divBdr>
        </w:div>
        <w:div w:id="1519930573">
          <w:marLeft w:val="0"/>
          <w:marRight w:val="0"/>
          <w:marTop w:val="0"/>
          <w:marBottom w:val="0"/>
          <w:divBdr>
            <w:top w:val="none" w:sz="0" w:space="0" w:color="auto"/>
            <w:left w:val="none" w:sz="0" w:space="0" w:color="auto"/>
            <w:bottom w:val="none" w:sz="0" w:space="0" w:color="auto"/>
            <w:right w:val="none" w:sz="0" w:space="0" w:color="auto"/>
          </w:divBdr>
        </w:div>
        <w:div w:id="1617519817">
          <w:marLeft w:val="0"/>
          <w:marRight w:val="0"/>
          <w:marTop w:val="0"/>
          <w:marBottom w:val="0"/>
          <w:divBdr>
            <w:top w:val="none" w:sz="0" w:space="0" w:color="auto"/>
            <w:left w:val="none" w:sz="0" w:space="0" w:color="auto"/>
            <w:bottom w:val="none" w:sz="0" w:space="0" w:color="auto"/>
            <w:right w:val="none" w:sz="0" w:space="0" w:color="auto"/>
          </w:divBdr>
        </w:div>
        <w:div w:id="598102290">
          <w:marLeft w:val="0"/>
          <w:marRight w:val="0"/>
          <w:marTop w:val="0"/>
          <w:marBottom w:val="0"/>
          <w:divBdr>
            <w:top w:val="none" w:sz="0" w:space="0" w:color="auto"/>
            <w:left w:val="none" w:sz="0" w:space="0" w:color="auto"/>
            <w:bottom w:val="none" w:sz="0" w:space="0" w:color="auto"/>
            <w:right w:val="none" w:sz="0" w:space="0" w:color="auto"/>
          </w:divBdr>
        </w:div>
        <w:div w:id="794981703">
          <w:marLeft w:val="0"/>
          <w:marRight w:val="0"/>
          <w:marTop w:val="0"/>
          <w:marBottom w:val="0"/>
          <w:divBdr>
            <w:top w:val="none" w:sz="0" w:space="0" w:color="auto"/>
            <w:left w:val="none" w:sz="0" w:space="0" w:color="auto"/>
            <w:bottom w:val="none" w:sz="0" w:space="0" w:color="auto"/>
            <w:right w:val="none" w:sz="0" w:space="0" w:color="auto"/>
          </w:divBdr>
        </w:div>
        <w:div w:id="1106778540">
          <w:marLeft w:val="0"/>
          <w:marRight w:val="0"/>
          <w:marTop w:val="0"/>
          <w:marBottom w:val="0"/>
          <w:divBdr>
            <w:top w:val="none" w:sz="0" w:space="0" w:color="auto"/>
            <w:left w:val="none" w:sz="0" w:space="0" w:color="auto"/>
            <w:bottom w:val="none" w:sz="0" w:space="0" w:color="auto"/>
            <w:right w:val="none" w:sz="0" w:space="0" w:color="auto"/>
          </w:divBdr>
        </w:div>
        <w:div w:id="1697921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0.emf" Id="rId26" /><Relationship Type="http://schemas.openxmlformats.org/officeDocument/2006/relationships/footer" Target="footer4.xml" Id="rId21" /><Relationship Type="http://schemas.openxmlformats.org/officeDocument/2006/relationships/image" Target="media/image26.emf" Id="rId42" /><Relationship Type="http://schemas.openxmlformats.org/officeDocument/2006/relationships/image" Target="media/image31.emf" Id="rId47" /><Relationship Type="http://schemas.openxmlformats.org/officeDocument/2006/relationships/hyperlink" Target="mailto:bram.kaplan@jpmorgan.com" TargetMode="External" Id="rId63" /><Relationship Type="http://schemas.openxmlformats.org/officeDocument/2006/relationships/hyperlink" Target="mailto:tony.sk.lee@jpmorgan.com" TargetMode="External" Id="rId68" /><Relationship Type="http://schemas.openxmlformats.org/officeDocument/2006/relationships/hyperlink" Target="mailto:berowne.d.hlavaty@jpmorgan.com" TargetMode="External" Id="rId84" /><Relationship Type="http://schemas.openxmlformats.org/officeDocument/2006/relationships/footer" Target="footer5.xml" Id="rId89" /><Relationship Type="http://schemas.openxmlformats.org/officeDocument/2006/relationships/numbering" Target="numbering.xml" Id="rId7" /><Relationship Type="http://schemas.openxmlformats.org/officeDocument/2006/relationships/hyperlink" Target="mailto:haoshun.liu@jpmorgan.com" TargetMode="External" Id="rId71" /><Relationship Type="http://schemas.openxmlformats.org/officeDocument/2006/relationships/hyperlink" Target="mailto:research.disclosure.inquiries@jpmorgan.com" TargetMode="External" Id="rId92" /><Relationship Type="http://schemas.openxmlformats.org/officeDocument/2006/relationships/footer" Target="footer1.xml" Id="rId16" /><Relationship Type="http://schemas.openxmlformats.org/officeDocument/2006/relationships/image" Target="media/image13.emf" Id="rId29" /><Relationship Type="http://schemas.openxmlformats.org/officeDocument/2006/relationships/footnotes" Target="footnotes.xml" Id="rId11" /><Relationship Type="http://schemas.openxmlformats.org/officeDocument/2006/relationships/image" Target="media/image8.emf" Id="rId24" /><Relationship Type="http://schemas.openxmlformats.org/officeDocument/2006/relationships/image" Target="media/image16.emf" Id="rId32" /><Relationship Type="http://schemas.openxmlformats.org/officeDocument/2006/relationships/image" Target="media/image21.emf" Id="rId37" /><Relationship Type="http://schemas.openxmlformats.org/officeDocument/2006/relationships/image" Target="media/image24.emf" Id="rId40" /><Relationship Type="http://schemas.openxmlformats.org/officeDocument/2006/relationships/image" Target="media/image29.emf" Id="rId45" /><Relationship Type="http://schemas.openxmlformats.org/officeDocument/2006/relationships/image" Target="media/image37.emf" Id="rId53" /><Relationship Type="http://schemas.openxmlformats.org/officeDocument/2006/relationships/image" Target="media/image42.emf" Id="rId58" /><Relationship Type="http://schemas.openxmlformats.org/officeDocument/2006/relationships/hyperlink" Target="mailto:peng.cheng@jpmorgan.com" TargetMode="External" Id="rId66" /><Relationship Type="http://schemas.openxmlformats.org/officeDocument/2006/relationships/hyperlink" Target="mailto:dubravko.lakos-bujas@jpmorgan.com" TargetMode="External" Id="rId74" /><Relationship Type="http://schemas.openxmlformats.org/officeDocument/2006/relationships/hyperlink" Target="mailto:michiro.naito@jpmorgan.com" TargetMode="External" Id="rId79" /><Relationship Type="http://schemas.openxmlformats.org/officeDocument/2006/relationships/hyperlink" Target="mailto:mkolanovic@jpmorgan.com" TargetMode="External" Id="rId87" /><Relationship Type="http://schemas.openxmlformats.org/officeDocument/2006/relationships/glossaryDocument" Target="glossary/document.xml" Id="rId102" /><Relationship Type="http://schemas.openxmlformats.org/officeDocument/2006/relationships/image" Target="media/image45.png" Id="rId61" /><Relationship Type="http://schemas.openxmlformats.org/officeDocument/2006/relationships/hyperlink" Target="mailto:sahil.manocha@jpmorgan.com" TargetMode="External" Id="rId82" /><Relationship Type="http://schemas.openxmlformats.org/officeDocument/2006/relationships/hyperlink" Target="https://jpmm.com/research/disclosures" TargetMode="External" Id="rId90" /><Relationship Type="http://schemas.openxmlformats.org/officeDocument/2006/relationships/hyperlink" Target="http://www.optionsclearing.com/publications/risks/riskstoc.pdf" TargetMode="External" Id="rId95" /><Relationship Type="http://schemas.openxmlformats.org/officeDocument/2006/relationships/footer" Target="footer3.xml" Id="rId19" /><Relationship Type="http://schemas.openxmlformats.org/officeDocument/2006/relationships/header" Target="header1.xml" Id="rId14" /><Relationship Type="http://schemas.openxmlformats.org/officeDocument/2006/relationships/image" Target="media/image7.emf" Id="rId22" /><Relationship Type="http://schemas.openxmlformats.org/officeDocument/2006/relationships/image" Target="media/image11.emf" Id="rId27" /><Relationship Type="http://schemas.openxmlformats.org/officeDocument/2006/relationships/image" Target="media/image14.emf" Id="rId30" /><Relationship Type="http://schemas.openxmlformats.org/officeDocument/2006/relationships/image" Target="media/image19.emf" Id="rId35" /><Relationship Type="http://schemas.openxmlformats.org/officeDocument/2006/relationships/image" Target="media/image27.emf" Id="rId43" /><Relationship Type="http://schemas.openxmlformats.org/officeDocument/2006/relationships/image" Target="media/image32.emf" Id="rId48" /><Relationship Type="http://schemas.openxmlformats.org/officeDocument/2006/relationships/image" Target="media/image40.emf" Id="rId56" /><Relationship Type="http://schemas.openxmlformats.org/officeDocument/2006/relationships/hyperlink" Target="mailto:arjun.mehra@jpmorgan.com" TargetMode="External" Id="rId64" /><Relationship Type="http://schemas.openxmlformats.org/officeDocument/2006/relationships/hyperlink" Target="mailto:michiro.naito@jpmorgan.com" TargetMode="External" Id="rId69" /><Relationship Type="http://schemas.openxmlformats.org/officeDocument/2006/relationships/hyperlink" Target="mailto:christopher.x.ma@jpmorgan.com" TargetMode="External" Id="rId77" /><Relationship Type="http://schemas.openxmlformats.org/officeDocument/2006/relationships/footer" Target="footer7.xml" Id="rId100" /><Relationship Type="http://schemas.openxmlformats.org/officeDocument/2006/relationships/styles" Target="styles.xml" Id="rId8" /><Relationship Type="http://schemas.openxmlformats.org/officeDocument/2006/relationships/image" Target="media/image35.emf" Id="rId51" /><Relationship Type="http://schemas.openxmlformats.org/officeDocument/2006/relationships/hyperlink" Target="mailto:viquar.x.shaikh@jpmorgan.com" TargetMode="External" Id="rId72" /><Relationship Type="http://schemas.openxmlformats.org/officeDocument/2006/relationships/hyperlink" Target="mailto:min.k.moon@jpmorgan.com" TargetMode="External" Id="rId80" /><Relationship Type="http://schemas.openxmlformats.org/officeDocument/2006/relationships/hyperlink" Target="mailto:haoshun.liu@jpmorgan.com" TargetMode="External" Id="rId85" /><Relationship Type="http://schemas.openxmlformats.org/officeDocument/2006/relationships/hyperlink" Target="http://www.jpmorganmarkets.com" TargetMode="External" Id="rId93" /><Relationship Type="http://schemas.openxmlformats.org/officeDocument/2006/relationships/footer" Target="footer6.xml" Id="rId98" /><Relationship Type="http://schemas.openxmlformats.org/officeDocument/2006/relationships/customXml" Target="../customXml/item3.xml" Id="rId3" /><Relationship Type="http://schemas.openxmlformats.org/officeDocument/2006/relationships/endnotes" Target="endnotes.xml" Id="rId12" /><Relationship Type="http://schemas.openxmlformats.org/officeDocument/2006/relationships/footer" Target="footer2.xml" Id="rId17" /><Relationship Type="http://schemas.openxmlformats.org/officeDocument/2006/relationships/image" Target="media/image9.emf" Id="rId25" /><Relationship Type="http://schemas.openxmlformats.org/officeDocument/2006/relationships/image" Target="media/image17.emf" Id="rId33" /><Relationship Type="http://schemas.openxmlformats.org/officeDocument/2006/relationships/image" Target="media/image22.emf" Id="rId38" /><Relationship Type="http://schemas.openxmlformats.org/officeDocument/2006/relationships/image" Target="media/image30.emf" Id="rId46" /><Relationship Type="http://schemas.openxmlformats.org/officeDocument/2006/relationships/image" Target="media/image43.emf" Id="rId59" /><Relationship Type="http://schemas.openxmlformats.org/officeDocument/2006/relationships/hyperlink" Target="mailto:sahil.manocha@jpmorgan.com" TargetMode="External" Id="rId67" /><Relationship Type="http://schemas.openxmlformats.org/officeDocument/2006/relationships/theme" Target="theme/theme1.xml" Id="rId103" /><Relationship Type="http://schemas.openxmlformats.org/officeDocument/2006/relationships/header" Target="header4.xml" Id="rId20" /><Relationship Type="http://schemas.openxmlformats.org/officeDocument/2006/relationships/image" Target="media/image25.emf" Id="rId41" /><Relationship Type="http://schemas.openxmlformats.org/officeDocument/2006/relationships/image" Target="media/image38.emf" Id="rId54" /><Relationship Type="http://schemas.openxmlformats.org/officeDocument/2006/relationships/hyperlink" Target="mailto:mkolanovic@jpmorgan.com" TargetMode="External" Id="rId62" /><Relationship Type="http://schemas.openxmlformats.org/officeDocument/2006/relationships/hyperlink" Target="mailto:sue.sj.lee@jpmorgan.com" TargetMode="External" Id="rId70" /><Relationship Type="http://schemas.openxmlformats.org/officeDocument/2006/relationships/hyperlink" Target="mailto:sang.h.han@jpmorgan.com" TargetMode="External" Id="rId75" /><Relationship Type="http://schemas.openxmlformats.org/officeDocument/2006/relationships/hyperlink" Target="mailto:sue.sj.lee@jpmorgan.com" TargetMode="External" Id="rId83" /><Relationship Type="http://schemas.openxmlformats.org/officeDocument/2006/relationships/header" Target="header5.xml" Id="rId88" /><Relationship Type="http://schemas.openxmlformats.org/officeDocument/2006/relationships/hyperlink" Target="mailto:research.disclosure.inquiries@jpmorgan.com" TargetMode="External" Id="rId91" /><Relationship Type="http://schemas.openxmlformats.org/officeDocument/2006/relationships/hyperlink" Target="http://www.jpmipl.com" TargetMode="External" Id="rId96" /><Relationship Type="http://schemas.openxmlformats.org/officeDocument/2006/relationships/customXml" Target="../customXml/item6.xml" Id="rId6" /><Relationship Type="http://schemas.openxmlformats.org/officeDocument/2006/relationships/header" Target="header2.xml" Id="rId15" /><Relationship Type="http://schemas.openxmlformats.org/officeDocument/2006/relationships/hyperlink" Target="mailto:quant_strategy@jpmorgan.com" TargetMode="External" Id="rId23" /><Relationship Type="http://schemas.openxmlformats.org/officeDocument/2006/relationships/image" Target="media/image12.emf" Id="rId28" /><Relationship Type="http://schemas.openxmlformats.org/officeDocument/2006/relationships/image" Target="media/image20.emf" Id="rId36" /><Relationship Type="http://schemas.openxmlformats.org/officeDocument/2006/relationships/image" Target="media/image33.emf" Id="rId49" /><Relationship Type="http://schemas.openxmlformats.org/officeDocument/2006/relationships/image" Target="media/image41.emf" Id="rId57" /><Relationship Type="http://schemas.openxmlformats.org/officeDocument/2006/relationships/webSettings" Target="webSettings.xml" Id="rId10" /><Relationship Type="http://schemas.openxmlformats.org/officeDocument/2006/relationships/image" Target="media/image15.emf" Id="rId31" /><Relationship Type="http://schemas.openxmlformats.org/officeDocument/2006/relationships/image" Target="media/image28.emf" Id="rId44" /><Relationship Type="http://schemas.openxmlformats.org/officeDocument/2006/relationships/image" Target="media/image36.emf" Id="rId52" /><Relationship Type="http://schemas.openxmlformats.org/officeDocument/2006/relationships/image" Target="media/image44.emf" Id="rId60" /><Relationship Type="http://schemas.openxmlformats.org/officeDocument/2006/relationships/hyperlink" Target="mailto:davide.silvestrini@jpmorgan.com" TargetMode="External" Id="rId65" /><Relationship Type="http://schemas.openxmlformats.org/officeDocument/2006/relationships/hyperlink" Target="mailto:angelo.pessaris@jpmorgan.com" TargetMode="External" Id="rId73" /><Relationship Type="http://schemas.openxmlformats.org/officeDocument/2006/relationships/hyperlink" Target="mailto:berowne.d.hlavaty@jpmorgan.com" TargetMode="External" Id="rId78" /><Relationship Type="http://schemas.openxmlformats.org/officeDocument/2006/relationships/hyperlink" Target="mailto:rahil.iqbal@jpmorgan.com" TargetMode="External" Id="rId81" /><Relationship Type="http://schemas.openxmlformats.org/officeDocument/2006/relationships/hyperlink" Target="mailto:zhen.wei@jpmorgan.com" TargetMode="External" Id="rId86" /><Relationship Type="http://schemas.openxmlformats.org/officeDocument/2006/relationships/hyperlink" Target="mailto:research.disclosure.inquiries@jpmorgan.com" TargetMode="External" Id="rId94" /><Relationship Type="http://schemas.openxmlformats.org/officeDocument/2006/relationships/header" Target="header7.xml" Id="rId99" /><Relationship Type="http://schemas.openxmlformats.org/officeDocument/2006/relationships/fontTable" Target="fontTable.xml" Id="rId101" /><Relationship Type="http://schemas.openxmlformats.org/officeDocument/2006/relationships/settings" Target="settings.xml" Id="rId9" /><Relationship Type="http://schemas.openxmlformats.org/officeDocument/2006/relationships/image" Target="media/image1.emf" Id="rId13" /><Relationship Type="http://schemas.openxmlformats.org/officeDocument/2006/relationships/header" Target="header3.xml" Id="rId18" /><Relationship Type="http://schemas.openxmlformats.org/officeDocument/2006/relationships/image" Target="media/image23.emf" Id="rId39" /><Relationship Type="http://schemas.openxmlformats.org/officeDocument/2006/relationships/image" Target="media/image18.emf" Id="rId34" /><Relationship Type="http://schemas.openxmlformats.org/officeDocument/2006/relationships/image" Target="media/image34.emf" Id="rId50" /><Relationship Type="http://schemas.openxmlformats.org/officeDocument/2006/relationships/image" Target="media/image39.emf" Id="rId55" /><Relationship Type="http://schemas.openxmlformats.org/officeDocument/2006/relationships/hyperlink" Target="mailto:robert.z.smith@jpmorgan.com" TargetMode="External" Id="rId76" /><Relationship Type="http://schemas.openxmlformats.org/officeDocument/2006/relationships/header" Target="header6.xml" Id="rId97" /><Relationship Type="http://schemas.openxmlformats.org/officeDocument/2006/relationships/customXml" Target="/customXML/item7.xml" Id="R8de850a2cd184ce9" /><Relationship Type="http://schemas.openxmlformats.org/officeDocument/2006/relationships/customXml" Target="/customXML/item8.xml" Id="Rd25e0e3b628c4d9d" /><Relationship Type="http://schemas.openxmlformats.org/officeDocument/2006/relationships/customXml" Target="/customXML/item9.xml" Id="Rc83f4f539d9d486e" /><Relationship Type="http://schemas.openxmlformats.org/officeDocument/2006/relationships/customXml" Target="/customXML/itema.xml" Id="R85d73767f6e944c8" /><Relationship Type="http://schemas.openxmlformats.org/officeDocument/2006/relationships/package" Target="/word/embeddings/package.bin" Id="TextFile" /><Relationship Type="http://schemas.openxmlformats.org/officeDocument/2006/relationships/image" Target="/media/image.bin" Id="STPlogo.gif" /><Relationship Type="http://schemas.openxmlformats.org/officeDocument/2006/relationships/image" Target="/media/image2.bin" Id="STPadobepdf.gif" /><Relationship Type="http://schemas.openxmlformats.org/officeDocument/2006/relationships/package" Target="/word/embeddings/package2.bin" Id="StpText" /><Relationship Type="http://schemas.openxmlformats.org/officeDocument/2006/relationships/package" Target="/word/embeddings/package3.bin" Id="StpHtml" /><Relationship Type="http://schemas.openxmlformats.org/officeDocument/2006/relationships/package" Target="/word/embeddings/package4.bin" Id="StpEmailJob" /></Relationships>
</file>

<file path=word/_rels/footer3.xml.rels><?xml version="1.0" encoding="UTF-8" standalone="yes"?>
<Relationships xmlns="http://schemas.openxmlformats.org/package/2006/relationships"><Relationship Id="rId1" Type="http://schemas.openxmlformats.org/officeDocument/2006/relationships/hyperlink" Target="http://www.jpmorganmarket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027873\AppData\Local\Temp\NonCompanyNot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D3363EAD2784C778F0CFDB71451F439"/>
        <w:category>
          <w:name w:val="General"/>
          <w:gallery w:val="placeholder"/>
        </w:category>
        <w:types>
          <w:type w:val="bbPlcHdr"/>
        </w:types>
        <w:behaviors>
          <w:behavior w:val="content"/>
        </w:behaviors>
        <w:guid w:val="{BAB9D071-75EA-4165-B2A8-41E80AE0D6BD}"/>
      </w:docPartPr>
      <w:docPartBody>
        <w:p w:rsidR="00DB7178" w:rsidRDefault="00DB7178"/>
      </w:docPartBody>
    </w:docPart>
    <w:docPart>
      <w:docPartPr>
        <w:name w:val="3102E6F85D7C4F579EB6717E6749FBCE"/>
        <w:category>
          <w:name w:val="General"/>
          <w:gallery w:val="placeholder"/>
        </w:category>
        <w:types>
          <w:type w:val="bbPlcHdr"/>
        </w:types>
        <w:behaviors>
          <w:behavior w:val="content"/>
        </w:behaviors>
        <w:guid w:val="{DB892FED-79A2-4704-9683-52087064C0BC}"/>
      </w:docPartPr>
      <w:docPartBody>
        <w:p w:rsidR="00000000" w:rsidRDefault="00AA55C2">
          <w:r w:rsidRPr="00501DE6">
            <w:rPr>
              <w:rStyle w:val="PlaceholderText"/>
            </w:rPr>
            <w:t xml:space="preserve"> </w:t>
          </w:r>
        </w:p>
      </w:docPartBody>
    </w:docPart>
    <w:docPart>
      <w:docPartPr>
        <w:name w:val="4383694DD4AD4B2FAFAB3B0285A96936"/>
        <w:category>
          <w:name w:val="General"/>
          <w:gallery w:val="placeholder"/>
        </w:category>
        <w:types>
          <w:type w:val="bbPlcHdr"/>
        </w:types>
        <w:behaviors>
          <w:behavior w:val="content"/>
        </w:behaviors>
        <w:guid w:val="{9C3DA920-04BF-409A-8F54-ACCC775FD136}"/>
      </w:docPartPr>
      <w:docPartBody>
        <w:p w:rsidR="00000000" w:rsidRDefault="00AA55C2">
          <w:r w:rsidRPr="00501DE6">
            <w:rPr>
              <w:rStyle w:val="PlaceholderText"/>
            </w:rPr>
            <w:t xml:space="preserve"> </w:t>
          </w:r>
        </w:p>
      </w:docPartBody>
    </w:docPart>
    <w:docPart>
      <w:docPartPr>
        <w:name w:val="9E7DF0D4BB484F5FA5D3B562C0861348"/>
        <w:category>
          <w:name w:val="General"/>
          <w:gallery w:val="placeholder"/>
        </w:category>
        <w:types>
          <w:type w:val="bbPlcHdr"/>
        </w:types>
        <w:behaviors>
          <w:behavior w:val="content"/>
        </w:behaviors>
        <w:guid w:val="{B5AE3090-9693-436E-AF3C-206FE01BFD30}"/>
      </w:docPartPr>
      <w:docPartBody>
        <w:p w:rsidR="00000000" w:rsidRDefault="00AA55C2">
          <w:r w:rsidRPr="00501DE6">
            <w:rPr>
              <w:rStyle w:val="PlaceholderText"/>
            </w:rPr>
            <w:t xml:space="preserve"> </w:t>
          </w:r>
        </w:p>
      </w:docPartBody>
    </w:docPart>
    <w:docPart>
      <w:docPartPr>
        <w:name w:val="8E4370ADD8A147BC9CEEDE8F8FF308E1"/>
        <w:category>
          <w:name w:val="General"/>
          <w:gallery w:val="placeholder"/>
        </w:category>
        <w:types>
          <w:type w:val="bbPlcHdr"/>
        </w:types>
        <w:behaviors>
          <w:behavior w:val="content"/>
        </w:behaviors>
        <w:guid w:val="{AEE70911-0B5E-4B0E-AC0E-705CD08E3257}"/>
      </w:docPartPr>
      <w:docPartBody>
        <w:p w:rsidR="00000000" w:rsidRDefault="00AA55C2">
          <w:r w:rsidRPr="00501DE6">
            <w:rPr>
              <w:rStyle w:val="PlaceholderText"/>
            </w:rPr>
            <w:t xml:space="preserve"> </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Bookdings">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83844"/>
    <w:rsid w:val="000B4DF7"/>
    <w:rsid w:val="00193960"/>
    <w:rsid w:val="00815BB8"/>
    <w:rsid w:val="00983844"/>
    <w:rsid w:val="00AA55C2"/>
    <w:rsid w:val="00B609E7"/>
    <w:rsid w:val="00BF6B1E"/>
    <w:rsid w:val="00C67F5C"/>
    <w:rsid w:val="00CF5410"/>
    <w:rsid w:val="00DB7178"/>
    <w:rsid w:val="00DC2F49"/>
    <w:rsid w:val="00F918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17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8BCFE4AEA04F7CBC4E7DF08329A05B">
    <w:name w:val="C78BCFE4AEA04F7CBC4E7DF08329A05B"/>
    <w:rsid w:val="00DB7178"/>
  </w:style>
  <w:style w:type="paragraph" w:customStyle="1" w:styleId="848FC18783A54B7D9AD0E45BC908DB1B">
    <w:name w:val="848FC18783A54B7D9AD0E45BC908DB1B"/>
    <w:rsid w:val="00DB7178"/>
  </w:style>
  <w:style w:type="character" w:styleId="PlaceholderText">
    <w:name w:val="Placeholder Text"/>
    <w:basedOn w:val="DefaultParagraphFont"/>
    <w:uiPriority w:val="99"/>
    <w:semiHidden/>
    <w:rsid w:val="00AA55C2"/>
    <w:rPr>
      <w:color w:val="808080"/>
    </w:rPr>
  </w:style>
  <w:style w:type="paragraph" w:customStyle="1" w:styleId="F1C8CC3C3CB8475DBAAD1847FED87711">
    <w:name w:val="F1C8CC3C3CB8475DBAAD1847FED87711"/>
    <w:rsid w:val="00DB7178"/>
  </w:style>
  <w:style w:type="paragraph" w:customStyle="1" w:styleId="3D0AD04268044778B8FF723D3D37FDC8">
    <w:name w:val="3D0AD04268044778B8FF723D3D37FDC8"/>
    <w:rsid w:val="00DB7178"/>
  </w:style>
  <w:style w:type="paragraph" w:customStyle="1" w:styleId="B597B20A9CBB45BF833B8F229BAABBE3">
    <w:name w:val="B597B20A9CBB45BF833B8F229BAABBE3"/>
    <w:rsid w:val="00DB7178"/>
  </w:style>
  <w:style w:type="paragraph" w:customStyle="1" w:styleId="DA3E5DEE6A734A449FAFD079E89DB21D">
    <w:name w:val="DA3E5DEE6A734A449FAFD079E89DB21D"/>
    <w:rsid w:val="00DB7178"/>
  </w:style>
  <w:style w:type="paragraph" w:customStyle="1" w:styleId="172E8E02F93F4597B13DD0187C9A7F43">
    <w:name w:val="172E8E02F93F4597B13DD0187C9A7F43"/>
    <w:rsid w:val="00DB7178"/>
  </w:style>
  <w:style w:type="paragraph" w:customStyle="1" w:styleId="9DB484A336864875AA52164B8B016A51">
    <w:name w:val="9DB484A336864875AA52164B8B016A51"/>
    <w:rsid w:val="00DB7178"/>
  </w:style>
  <w:style w:type="paragraph" w:customStyle="1" w:styleId="B5FCA4F28B374D6C864B6EBCA94E2287">
    <w:name w:val="B5FCA4F28B374D6C864B6EBCA94E2287"/>
    <w:rsid w:val="00DB7178"/>
  </w:style>
  <w:style w:type="paragraph" w:customStyle="1" w:styleId="34DA79C389BE46878529735FFCDA2443">
    <w:name w:val="34DA79C389BE46878529735FFCDA2443"/>
    <w:rsid w:val="00DB7178"/>
  </w:style>
  <w:style w:type="paragraph" w:customStyle="1" w:styleId="6F89B05D61AA49E583A6CF39831BCA8D">
    <w:name w:val="6F89B05D61AA49E583A6CF39831BCA8D"/>
    <w:rsid w:val="00DB7178"/>
  </w:style>
  <w:style w:type="paragraph" w:customStyle="1" w:styleId="4BC9E2BE3442447E94C4E79CE316D659">
    <w:name w:val="4BC9E2BE3442447E94C4E79CE316D659"/>
    <w:rsid w:val="00DB7178"/>
  </w:style>
  <w:style w:type="paragraph" w:customStyle="1" w:styleId="CC94B30BA0F645A9A43EDF9429D6B996">
    <w:name w:val="CC94B30BA0F645A9A43EDF9429D6B996"/>
    <w:rsid w:val="00DB7178"/>
  </w:style>
  <w:style w:type="paragraph" w:customStyle="1" w:styleId="2102412FE9CD4D1781684123C0C6A2EE">
    <w:name w:val="2102412FE9CD4D1781684123C0C6A2EE"/>
    <w:rsid w:val="00DB7178"/>
  </w:style>
  <w:style w:type="paragraph" w:customStyle="1" w:styleId="C13B28709E9440A496D71CD0F177633A">
    <w:name w:val="C13B28709E9440A496D71CD0F177633A"/>
    <w:rsid w:val="00DB7178"/>
  </w:style>
  <w:style w:type="paragraph" w:customStyle="1" w:styleId="1B12F980355A4ADEB4CADABC4B01D654">
    <w:name w:val="1B12F980355A4ADEB4CADABC4B01D654"/>
    <w:rsid w:val="00DB7178"/>
  </w:style>
  <w:style w:type="paragraph" w:customStyle="1" w:styleId="D00B35B4C90B47218761B85C971E3944">
    <w:name w:val="D00B35B4C90B47218761B85C971E3944"/>
    <w:rsid w:val="00DB7178"/>
  </w:style>
  <w:style w:type="paragraph" w:customStyle="1" w:styleId="C7CCC61DCF20401797B4C8D1196DC92E">
    <w:name w:val="C7CCC61DCF20401797B4C8D1196DC92E"/>
    <w:rsid w:val="00DB7178"/>
  </w:style>
  <w:style w:type="paragraph" w:customStyle="1" w:styleId="26C1DDF57EC049508ADA6F8DD188067B">
    <w:name w:val="26C1DDF57EC049508ADA6F8DD188067B"/>
    <w:rsid w:val="00DB7178"/>
  </w:style>
  <w:style w:type="paragraph" w:customStyle="1" w:styleId="86B7B073BFD14C74A56DA6A2EEA38590">
    <w:name w:val="86B7B073BFD14C74A56DA6A2EEA38590"/>
    <w:rsid w:val="00DB7178"/>
  </w:style>
  <w:style w:type="paragraph" w:customStyle="1" w:styleId="C2026835A19F4B34BACB4C570F5E8FD0">
    <w:name w:val="C2026835A19F4B34BACB4C570F5E8FD0"/>
    <w:rsid w:val="00DB7178"/>
  </w:style>
  <w:style w:type="paragraph" w:customStyle="1" w:styleId="CD3791455A394F2FBA7229E0EE594F45">
    <w:name w:val="CD3791455A394F2FBA7229E0EE594F45"/>
    <w:rsid w:val="00DB7178"/>
  </w:style>
  <w:style w:type="paragraph" w:customStyle="1" w:styleId="F870D635E96B451391B4CAE448EBFDF5">
    <w:name w:val="F870D635E96B451391B4CAE448EBFDF5"/>
    <w:rsid w:val="00DB7178"/>
  </w:style>
  <w:style w:type="paragraph" w:customStyle="1" w:styleId="613C3EFED4534348B904E376743DA94C">
    <w:name w:val="613C3EFED4534348B904E376743DA94C"/>
    <w:rsid w:val="00DB7178"/>
  </w:style>
  <w:style w:type="paragraph" w:customStyle="1" w:styleId="E607740B93F64C3580CD56EB3E99E7AD">
    <w:name w:val="E607740B93F64C3580CD56EB3E99E7AD"/>
    <w:rsid w:val="00DB7178"/>
  </w:style>
  <w:style w:type="paragraph" w:customStyle="1" w:styleId="69CCE3CD0E054A6EA84E37E58AF47C45">
    <w:name w:val="69CCE3CD0E054A6EA84E37E58AF47C45"/>
    <w:rsid w:val="00DB7178"/>
  </w:style>
  <w:style w:type="paragraph" w:customStyle="1" w:styleId="2A08965D6EDD42CA84CF48D638899D80">
    <w:name w:val="2A08965D6EDD42CA84CF48D638899D80"/>
    <w:rsid w:val="00DB7178"/>
  </w:style>
  <w:style w:type="paragraph" w:customStyle="1" w:styleId="6E26B10A701A4D82A9F4B4D2DAF7B2C5">
    <w:name w:val="6E26B10A701A4D82A9F4B4D2DAF7B2C5"/>
    <w:rsid w:val="00DB7178"/>
  </w:style>
  <w:style w:type="paragraph" w:customStyle="1" w:styleId="48AFD31F5E584635B32E6907FAA7CD26">
    <w:name w:val="48AFD31F5E584635B32E6907FAA7CD26"/>
    <w:rsid w:val="00DB7178"/>
  </w:style>
  <w:style w:type="paragraph" w:customStyle="1" w:styleId="6646E057B1B347BC86F9E941833A233F">
    <w:name w:val="6646E057B1B347BC86F9E941833A233F"/>
    <w:rsid w:val="00DB7178"/>
  </w:style>
  <w:style w:type="paragraph" w:customStyle="1" w:styleId="BEE30FAA221C413F91FC423AA7F0321C">
    <w:name w:val="BEE30FAA221C413F91FC423AA7F0321C"/>
    <w:rsid w:val="00AA55C2"/>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item7.xml><?xml version="1.0" encoding="utf-8"?>
<DocumentState xmlns="http://www.w3.org/2001/XMLSchema-instance">
  <Application>MS Word</Application>
  <SourceSubmissionTool/>
  <ApprovedAttachment>False</ApprovedAttachment>
  <NonApprovedAttachment>False</NonApprovedAttachment>
  <BlastVoiceMail>False</BlastVoiceMail>
  <PrintResearch>False</PrintResearch>
  <ContentType>Note</ContentType>
  <TemplateType>EquityStrategyNote</TemplateType>
  <PublicNote>False</PublicNote>
  <InsertAllFinancialsFired>False</InsertAllFinancialsFired>
  <DocumentId>1432016</DocumentId>
  <DocumentVersion>1</DocumentVersion>
  <SendEmail>True</SendEmail>
  <EmailRequiresApproval>False</EmailRequiresApproval>
  <EmailDistributionOnly>False</EmailDistributionOnly>
  <GPSDistributable>True</GPSDistributable>
  <InternalOnly>False</InternalOnly>
  <Language>1-0</Language>
  <NumberOfPages>48</NumberOfPages>
  <ReleaseDate>2014-07-02T23:15:00+00:00</ReleaseDate>
  <OriginalCreateDatetime>2013-10-02T00:49:11+00:00</OriginalCreateDatetime>
  <OriginalAuthor>1002987-4</OriginalAuthor>
  <RetractionDate/>
  <ApproveRelease>false</ApproveRelease>
  <SendToCompliance>false</SendToCompliance>
  <WorkflowState>0</WorkflowState>
  <SAApprove>false</SAApprove>
  <SAReviewed>false</SAReviewed>
  <SubmissionTool>GPS Author</SubmissionTool>
  <SubmittingUser>1003061-1</SubmittingUser>
  <FirstSubmittingUser>1003061-1</FirstSubmittingUser>
  <Title>Global Factor Performance Summary</Title>
  <SubTitle>June 2014</SubTitle>
  <Abstract>Earnings &amp; Sentiment Factors were top performers across the world, being particularly strong in Emerging Markets. Price Momentum continued to do well after the underperformance earlier in the year. It continues to struggle in Australia, though. Value was poor in Asia Ex but did well in other Emerging markets, Japan and Australia. It has failed for the second straight month in Europe. Quality continued to outperform in Europe and EM (x Asia) but was less impressive in rest of the developed world. A common theme emerging based on feedback from several clients suggests that 'Quality at a Reasonable Price' is gaining more traction, perhaps reflecting some of the uncertainty seen on the macro front.
Our generic multi-Factor Q-Score Model was strong in the Emerging Markets and Japan but struggled to impress in Europe, US and Australia. 
This monthly publication summarizes performance of a range of popular Quant factors. In all, nine (MSCI based) universes are included in the report: US, Europe, Japan, Australia, Asia ex Japan, GEM, EM ex Asia, Global Developed and All World.
For each universe we include a summary of performance over the last month, 12 months, QTD and YTD for four popular composite alpha sources that we refer to as the Value, Earnings, Quality and Price families.
We also include a table detailing performance over the last month for 42 popular alpha and risk factors.
</Abstract>
  <Filename>FactorPerf_20140701.docx</Filename>
  <Branding>Cazenove</Branding>
  <Focus>16-0</Focus>
  <Periodicity/>
  <Publication/>
  <BusinessGroupDocument>8-0</BusinessGroupDocument>
  <BusinessGroupAlias/>
  <WorkflowRegion>1-0</WorkflowRegion>
  <AnalystRegion>9-0</AnalystRegion>
  <GPSDraftMark>
    <GPSDraftMarkType>None</GPSDraftMarkType>
    <WaterMark/>
    <Dirty>False</Dirty>
  </GPSDraftMark>
  <AnalystDisplayMode>Group</AnalystDisplayMode>
  <ShowAnalystSelected>True</ShowAnalystSelected>
  <DocumentTitleReadOnly>False</DocumentTitleReadOnly>
  <SummaryStripInserted>False</SummaryStripInserted>
  <SummaryStripRemovedBySA>False</SummaryStripRemovedBySA>
  <SummaryStripMarketCapUnits>Millions</SummaryStripMarketCapUnits>
  <ShowSummaryStripOnSecondPage>False</ShowSummaryStripOnSecondPage>
  <ShowSummaryStrip>True</ShowSummaryStrip>
  <SummaryStripNeedsUpdating>False</SummaryStripNeedsUpdating>
  <SummaryStrip>
    <WordMLSummaryStrip/>
    <FootNote/>
    <ShowPriceInfo>True</ShowPriceInfo>
  </SummaryStrip>
  <FinancialLayoutType>NotApplicable</FinancialLayoutType>
  <VAndRLayoutType>NotApplicable</VAndRLayoutType>
  <CompanyPageFixedLayoutType>NotApplicable</CompanyPageFixedLayoutType>
  <GroupNameRenderOnInsideCPLs>False</GroupNameRenderOnInsideCPLs>
  <Companies/>
  <Analysts>
    <Analyst>
      <Key>1003061-1</Key>
      <Lead>lead</Lead>
      <Tagging>Static</Tagging>
      <BusinessGroup>8-0</BusinessGroup>
      <AC>CoverAutomatic</AC>
      <BBGPageCode>
        <Status>AutomaticON</Status>
        <IsRendered>False</IsRendered>
        <Value> </Value>
      </BBGPageCode>
      <EquityCoverage>True</EquityCoverage>
      <LegalEntity>JPMSL</LegalEntity>
      <AnalystGroupKey>2-1</AnalystGroupKey>
      <AnalystGroupName>Global Equity Quant Strategy</AnalystGroupName>
    </Analyst>
    <Analyst>
      <Key>1002831-2</Key>
      <Lead>secondary</Lead>
      <Tagging>Static</Tagging>
      <BusinessGroup>8-0</BusinessGroup>
      <AC>CoverManual</AC>
      <BBGPageCode>
        <Status>AutomaticON</Status>
        <IsRendered>False</IsRendered>
        <Value/>
      </BBGPageCode>
      <EquityCoverage>True</EquityCoverage>
      <LegalEntity>JPMS</LegalEntity>
      <AnalystGroupKey>2-1</AnalystGroupKey>
      <AnalystGroupName>Global Equity Quant Strategy</AnalystGroupName>
    </Analyst>
    <Analyst>
      <Key>500571-4</Key>
      <Lead>secondary</Lead>
      <Tagging>Static</Tagging>
      <BusinessGroup>8-0</BusinessGroup>
      <AC>CoverManual</AC>
      <BBGPageCode>
        <Status>ManualOFF</Status>
        <IsRendered>False</IsRendered>
        <Value>JPMA HLAVATY &lt;GO&gt;</Value>
      </BBGPageCode>
      <EquityCoverage>True</EquityCoverage>
      <LegalEntity>JPM Australia</LegalEntity>
      <AnalystGroupKey>2-1</AnalystGroupKey>
      <AnalystGroupName>Global Equity Quant Strategy</AnalystGroupName>
    </Analyst>
    <Analyst>
      <Key>500965-4</Key>
      <Lead>secondary</Lead>
      <Tagging>Static</Tagging>
      <BusinessGroup>8-0</BusinessGroup>
      <AC>CoverManual</AC>
      <BBGPageCode>
        <Status>ManualOFF</Status>
        <IsRendered>False</IsRendered>
        <Value>JPMA RSMITH &lt;GO&gt;</Value>
      </BBGPageCode>
      <EquityCoverage>True</EquityCoverage>
      <LegalEntity>JPMSAPL</LegalEntity>
      <AnalystGroupKey>2-1</AnalystGroupKey>
      <AnalystGroupName>Global Equity Quant Strategy</AnalystGroupName>
    </Analyst>
    <Analyst>
      <Key>500910-4</Key>
      <Lead>secondary</Lead>
      <Tagging>Static</Tagging>
      <BusinessGroup>8-0</BusinessGroup>
      <AC>CoverManual</AC>
      <BBGPageCode>
        <Status>ManualOFF</Status>
        <IsRendered>False</IsRendered>
        <Value>JPMA MA &lt;GO&gt;</Value>
      </BBGPageCode>
      <EquityCoverage>True</EquityCoverage>
      <LegalEntity>JPMSAPL</LegalEntity>
      <AnalystGroupKey>2-1</AnalystGroupKey>
      <AnalystGroupName>Global Equity Quant Strategy</AnalystGroupName>
    </Analyst>
  </Analysts>
  <TaggedAnalysts/>
  <Regions>
    <Region>
      <Key>1-0</Key>
      <Tagging>Static</Tagging>
    </Region>
    <Region>
      <Key>9-0</Key>
      <Tagging>Dynamic</Tagging>
    </Region>
  </Regions>
  <Countries/>
  <AssetClasses>
    <AssetClass>
      <Key>1-0</Key>
      <Tagging>Dynamic</Tagging>
    </AssetClass>
  </AssetClasses>
  <AssetTypes>
    <AssetType>
      <Key>1-0</Key>
      <Tagging>Dynamic</Tagging>
    </AssetType>
  </AssetTypes>
  <DistributionTargets>
    <DistributionTarget>
      <Key>7-0</Key>
    </DistributionTarget>
    <DistributionTarget>
      <Key>27-0</Key>
    </DistributionTarget>
    <DistributionTarget>
      <Key>25-0</Key>
    </DistributionTarget>
    <DistributionTarget>
      <Key>18-0</Key>
    </DistributionTarget>
    <DistributionTarget>
      <Key>42-0</Key>
    </DistributionTarget>
    <DistributionTarget>
      <Key>16-0</Key>
    </DistributionTarget>
    <DistributionTarget>
      <Key>28-0</Key>
    </DistributionTarget>
    <DistributionTarget>
      <Key>15-0</Key>
    </DistributionTarget>
    <DistributionTarget>
      <Key>39-0</Key>
    </DistributionTarget>
    <DistributionTarget>
      <Key>43-0</Key>
    </DistributionTarget>
    <DistributionTarget>
      <Key>50-0</Key>
    </DistributionTarget>
    <DistributionTarget>
      <Key>46-0</Key>
    </DistributionTarget>
    <DistributionTarget>
      <Key>41-0</Key>
    </DistributionTarget>
  </DistributionTargets>
  <AudienceEntitlements>
    <AudienceEntitlement>
      <Key>3-0</Key>
    </AudienceEntitlement>
    <AudienceEntitlement>
      <Key>2-0</Key>
    </AudienceEntitlement>
    <AudienceEntitlement>
      <Key>4-0</Key>
    </AudienceEntitlement>
    <AudienceEntitlement>
      <Key>5-0</Key>
    </AudienceEntitlement>
    <AudienceEntitlement>
      <Key>1-0</Key>
    </AudienceEntitlement>
  </AudienceEntitlements>
  <Contains144ASecurityContent>False</Contains144ASecurityContent>
  <Industries/>
  <Keywords>
    <Keyword>
      <Key>6-0</Key>
      <Tagging>Dynamic</Tagging>
    </Keyword>
  </Keywords>
  <MarketStrategies>
    <MarketStrategy>
      <Key>4-0</Key>
      <Tagging>Static</Tagging>
      <IsSubject>True</IsSubject>
    </MarketStrategy>
  </MarketStrategies>
  <Subjects/>
  <Email>
    <EmailSubject>Global Factor Performance Summary : June 2014</EmailSubject>
    <ReplyAddress/>
    <ReplyAddressDisplay/>
    <FromAddress>viquar.x.shaikh@jpmorgan.com</FromAddress>
    <FromAddressDisplay>Viquar Shaikh &lt;viquar.x.shaikh@jpmorgan.com&gt;</FromAddressDisplay>
    <IntroductionText/>
    <Personalization>None</Personalization>
    <EmailStyle>Cazenove</EmailStyle>
    <DeliveryDate>2014-07-03T09:48:47+00:00</DeliveryDate>
    <PasswordProtect>False</PasswordProtect>
    <HasSubjectChanged>False</HasSubjectChanged>
    <HasFromAddressDisplayChanged>False</HasFromAddressDisplayChanged>
    <EmailLists>
      <EmailList name="Lakos-Bujas, Dubravko - Core Email List" short=" ">4778-0</EmailList>
      <EmailList name="Lakos-Bujas, Dubravko - North American Email Distribution" short="North_American_Email_Dis">4956-0</EmailList>
      <EmailList name="Hlavaty, Berowne Daniel - Quant Distribution List" short="Quant_Distribution_List">4414-0</EmailList>
      <EmailList name="Smith, Robert - Core Asia Quant" short="Core_Asia_Quant">5981-0</EmailList>
      <EmailList name="Shaikh, Viquar Abdul Rauf - EMEA ER QUANT (BEM)" short="EMEA_ER_QUANT_BEM">1216-0</EmailList>
    </EmailLists>
  </Email>
  <Comments>
    <Public>
If issues contact at: (44-20) 7134-5908</Public>
    <Private/>
    <LockedDisclosures>False</LockedDisclosures>
    <LockedDisclosureDate>2014-07-03T10:47:56+01:00</LockedDisclosureDate>
    <LockedDisclosureSA/>
    <UpdateDisclosures>True</UpdateDisclosures>
    <EmailContact>False</EmailContact>
    <PhoneContact>True</PhoneContact>
    <EmailFreetext>viquar.x.shaikh@jpmorgan.com</EmailFreetext>
    <PhoneFreetext>(44-20) 7134-5908</PhoneFreetext>
  </Comments>
  <Disclosures>
    <CompendiumText>False</CompendiumText>
    <DisclosureDefaultingPerformed>True</DisclosureDefaultingPerformed>
    <PageStart>
      <DisclosureClause>
        <Id>5</Id>
        <Name>Disclosure ref, non US</Name>
        <Text>See page ${PAGESTART} for analyst certification and important disclosures, including non-US analyst disclosures.</Text>
      </DisclosureClause>
    </PageStart>
    <Page1Footer>
      <DisclosureClause>
        <Id>7</Id>
        <Name>JPM does and seeks</Name>
        <Text>J.P. Morgan does and seeks to do business with companies covered in its research reports. As a result, investors should be aware that the firm may have a conflict of interest that could affect the objectivity of this report. Investors should consider this report as only a single factor in making their investment decision.</Text>
      </DisclosureClause>
    </Page1Footer>
    <ShowFrontPageBannerClauseOnAllPages>False</ShowFrontPageBannerClauseOnAllPages>
  </Disclosures>
  <BulletList>
    <Bullet>
      <TagName>FRONT_PAGE_BULLET_P1</TagName>
      <PlainText>Earnings &amp; Sentiment Factors were top performers across the world, being particularly strong in Emerging Markets. Price Momentum continued to do well after the underperformance earlier in the year. It continues to struggle in Australia, though. Value was poor in Asia Ex but did well in other Emerging markets, Japan and Australia. It has failed for the second straight month in Europe. Quality continued to outperform in Europe and EM (x Asia) but was less impressive in rest of the developed world. A common theme emerging based on feedback from several clients suggests that 'Quality at a Reasonable Price' is gaining more traction, perhaps reflecting some of the uncertainty seen on the macro front.</PlainText>
      <HtmlText><![CDATA[Earnings & Sentiment Factors were top performers across the world, being particularly strong in Emerging Markets. Price Momentum continued to do well after the underperformance earlier in the year. It continues to struggle in Australia, though. Value was poor in Asia Ex but did well in other Emerging markets, Japan and Australia. It has failed for the second straight month in Europe. Quality continued to outperform in Europe and EM (x Asia) but was less impressive in rest of the developed world. A common theme emerging based on feedback from several clients suggests that 'Quality at a Reasonable Price' is gaining more traction, perhaps reflecting some of the uncertainty seen on the macro front.]]></HtmlText>
      <BulletVisual>False</BulletVisual>
    </Bullet>
    <Bullet>
      <TagName>FRONT_PAGE_BULLET_P2</TagName>
      <PlainText>Our generic multi-Factor Q-Score Model was strong in the Emerging Markets and Japan but struggled to impress in Europe, US and Australia. </PlainText>
      <HtmlText><![CDATA[Our generic multi-Factor Q-Score Model was strong in the Emerging Markets and Japan but struggled to impress in Europe, US and Australia. ]]></HtmlText>
      <BulletVisual>False</BulletVisual>
    </Bullet>
    <Bullet>
      <TagName>FRONT_PAGE_BULLET_P3</TagName>
      <PlainText>This monthly publication summarizes performance of a range of popular Quant factors. In all, nine (MSCI based) universes are included in the report: US, Europe, Japan, Australia, Asia ex Japan, GEM, EM ex Asia, Global Developed and All World.</PlainText>
      <HtmlText><![CDATA[This monthly publication summarizes performance of a range of popular Quant factors. In all, nine (MSCI based) universes are included in the report: US, Europe, Japan, Australia, Asia ex Japan, GEM, EM ex Asia, Global Developed and All World.]]></HtmlText>
      <BulletVisual>False</BulletVisual>
    </Bullet>
    <Bullet>
      <TagName>FRONT_PAGE_BULLET_P4</TagName>
      <PlainText>For each universe we include a summary of performance over the last month, 12 months, QTD and YTD for four popular composite alpha sources that we refer to as the Value, Earnings, Quality and Price families.</PlainText>
      <HtmlText><![CDATA[For each universe we include a summary of performance over the last month, 12 months, QTD and YTD for four popular composite alpha sources that we refer to as the Value, Earnings, Quality and Price families.]]></HtmlText>
      <BulletVisual>False</BulletVisual>
    </Bullet>
    <Bullet>
      <TagName>FRONT_PAGE_BULLET_P5</TagName>
      <PlainText>We also include a table detailing performance over the last month for 42 popular alpha and risk factors.</PlainText>
      <HtmlText><![CDATA[We also include a table detailing performance over the last month for 42 popular alpha and risk factors.]]></HtmlText>
      <BulletVisual>False</BulletVisual>
    </Bullet>
  </BulletList>
  <EditHeader>
    <HeaderType>jpAllHeaders</HeaderType>
    <IsEditHeaderRun>False</IsEditHeaderRun>
    <ShowAnalystAll>True</ShowAnalystAll>
    <AnalystText/>
    <ShowBusinessGroupAll>True</ShowBusinessGroupAll>
    <BusinessGroupText/>
    <ShowAnalystEven>False</ShowAnalystEven>
    <EvenAnalystText/>
    <ShowBusinessGroupEven>False</ShowBusinessGroupEven>
    <EvenBusinessGroupText/>
    <ShowAnalystOdd>False</ShowAnalystOdd>
    <OddAnalystText/>
    <ShowBusinessGroupOdd>False</ShowBusinessGroupOdd>
    <OddBusinessGroupText/>
    <ShowAnalystSection>False</ShowAnalystSection>
    <SectionAnalystText/>
    <ShowBusinessGroupSection>False</ShowBusinessGroupSection>
    <SectionBusinessGroupText/>
    <HeaderAllAnalysts/>
    <HeaderEvenAnalysts/>
    <HeaderOddAnalysts/>
    <HeaderSectionAnalysts/>
  </EditHeader>
  <STPImages>
    <STPImage>STPlogo.gif</STPImage>
    <STPImage>STPadobepdf.gif</STPImage>
  </STPImages>
  <CompanyDisclosureType>Equity</CompanyDisclosureType>
  <FxCurrencyGroups/>
  <AFLTracker/>
</DocumentState>
</file>

<file path=customXML/item8.xml><?xml version="1.0" encoding="utf-8"?>
<Research xmlns:rixmldt="http://www.rixml.org/2010/1/RIXML-datatypes" xmlns:xsi="http://www.w3.org/2001/XMLSchema-instance" xmlns="http://www.rixml.org/2010/1/RIXML" language="eng" createDateTime="2014-07-03T10:48:05+01:00" researchID="GPS-1432016-0" xsi:schemaLocation="http://www.rixml.org/2010/1/RIXML http://www.rixml.org/newsite/specifications/v231/RIXML-2_3_1.xsd">
  <Product productID="GPS-1432016-0">
    <StatusInfo currentStatusIndicator="Yes" statusDateTime="2014-07-03T10:48:05+01:00" statusType="Published">
      <Version>1</Version>
    </StatusInfo>
    <Source>
      <Organization primaryIndicator="Yes" type="SellSideFirm">
        <OrganizationID idType="VendorCode">JPM</OrganizationID>
        <OrganizationName nameType="Display">JPMorgan</OrganizationName>
        <PersonGroup>
          <PersonGroupMember primaryIndicator="Yes" sequence="1">
            <Person personID="V027873">
              <FamilyName>Shaikh</FamilyName>
              <GivenName>Viquar</GivenName>
              <DisplayName>Viquar Shaikh</DisplayName>
              <JobTitle>Analyst</JobTitle>
              <Division>EQUITY RESEARCH</Division>
            </Person>
          </PersonGroupMember>
          <ContactInfo nature="Business">
            <Email>viquar.x.shaikh@jpmorgan.com</Email>
            <Phone type="Voice">
              <CountryCode/>
              <Number>(44-20) 7134-5908</Number>
            </Phone>
          </ContactInfo>
        </PersonGroup>
        <PersonGroup>
          <PersonGroupMember primaryIndicator="No" sequence="2">
            <Person personID="R299886">
              <FamilyName>Lakos-Bujas</FamilyName>
              <GivenName>Dubravko</GivenName>
              <DisplayName>Dubravko Lakos-Bujas</DisplayName>
              <JobTitle>Analyst</JobTitle>
              <Division>EQUITY RESEARCH</Division>
            </Person>
          </PersonGroupMember>
          <ContactInfo nature="Business">
            <Email>dubravko.lakos-bujas@jpmorgan.com</Email>
            <Phone type="Voice">
              <CountryCode/>
              <Number>(1-212) 622-3601</Number>
            </Phone>
          </ContactInfo>
        </PersonGroup>
        <PersonGroup>
          <PersonGroupMember primaryIndicator="No" sequence="3">
            <Person personID="I015225">
              <FamilyName>Hlavaty</FamilyName>
              <GivenName>Berowne</GivenName>
              <DisplayName>Berowne Hlavaty</DisplayName>
              <JobTitle>Analyst</JobTitle>
              <Division>EQUITY RESEARCH</Division>
            </Person>
          </PersonGroupMember>
          <ContactInfo nature="Business">
            <Email>berowne.d.hlavaty@jpmorgan.com</Email>
            <Phone type="Voice">
              <CountryCode/>
              <Number>(61-2) 9003-8602</Number>
            </Phone>
          </ContactInfo>
        </PersonGroup>
        <PersonGroup>
          <PersonGroupMember primaryIndicator="No" sequence="4">
            <Person personID="N054214">
              <FamilyName>Smith</FamilyName>
              <GivenName>Robert</GivenName>
              <DisplayName>Robert Smith</DisplayName>
              <JobTitle>Analyst</JobTitle>
              <Division>EQUITY RESEARCH</Division>
            </Person>
          </PersonGroupMember>
          <ContactInfo nature="Business">
            <Email>robert.z.smith@jpmorgan.com</Email>
            <Phone type="Voice">
              <CountryCode/>
              <Number>(852) 2800 8569</Number>
            </Phone>
          </ContactInfo>
        </PersonGroup>
        <PersonGroup>
          <PersonGroupMember primaryIndicator="No" sequence="5">
            <Person personID="J963135">
              <FamilyName>Ma</FamilyName>
              <GivenName>Christopher</GivenName>
              <DisplayName>Christopher Ma</DisplayName>
              <JobTitle>Analyst</JobTitle>
              <Division>EQUITY RESEARCH</Division>
            </Person>
          </PersonGroupMember>
          <ContactInfo nature="Business">
            <Email>christopher.x.ma@jpmorgan.com</Email>
            <Phone type="Voice">
              <CountryCode/>
              <Number>(852) 2800-8530</Number>
            </Phone>
          </ContactInfo>
        </PersonGroup>
      </Organization>
    </Source>
    <Content>
      <Title>Global Factor Performance Summary</Title>
      <SubTitle>June 2014</SubTitle>
      <Abstract>Earnings &amp; Sentiment Factors were top performers across the world, being particularly strong in Emerging Markets. Price Momentum continued to do well after the underperformance earlier in the year. It continues to struggle in Australia, though. Value was poor in Asia Ex but did well in other Emerging markets, Japan and Australia. It has failed for the second straight month in Europe. Quality continued to outperform in Europe and EM (x Asia) but was less impressive in rest of the developed world. A common theme emerging based on feedback from several clients suggests that 'Quality at a Reasonable Price' is gaining more traction, perhaps reflecting some of the uncertainty seen on the macro front.
Our generic multi-Factor Q-Score Model was strong in the Emerging Markets and Japan but struggled to impress in Europe, US and Australia. 
This monthly publication summarizes performance of a range of popular Quant factors. In all, nine (MSCI based) universes are included in the report: US, Europe, Japan, Australia, Asia ex Japan, GEM, EM ex Asia, Global Developed and All World.
For each universe we include a summary of performance over the last month, 12 months, QTD and YTD for four popular composite alpha sources that we refer to as the Value, Earnings, Quality and Price families.
We also include a table detailing performance over the last month for 42 popular alpha and risk factors.
</Abstract>
      <Synopsis>Earnings &amp; Sentiment Factors were top performers across the world, being particularly strong in Emerging Markets. Price Momentum continued to do well after the underperformance earlier in the year. It continues to struggle in Australia, though. Value was poor in Asia Ex but did well in other Emer...</Synopsis>
    </Content>
    <Context external="Yes">
      <ProductDetails periodicalIndicator="No" publicationDateTime="2014-07-03T10:48:05+01:00">
        <ProductCategory productCategory="Report"/>
        <ProductFocus focus="Discipline" primaryIndicator="Yes"/>
        <EntitlementGroup>
          <Entitlement includeExcludeIndicator="Include" primaryIndicator="No">
            <AudienceTypeEntitlement audienceType="Institutional" external="Yes"/>
          </Entitlement>
        </EntitlementGroup>
        <EntitlementGroup>
          <Entitlement includeExcludeIndicator="Include" primaryIndicator="No">
            <AudienceTypeEntitlement audienceType="Retail" external="Yes"/>
          </Entitlement>
        </EntitlementGroup>
        <EntitlementGroup>
          <Entitlement includeExcludeIndicator="Include" primaryIndicator="No">
            <AudienceTypeEntitlement audienceType="QualifiedInstitutionalBuyer" external="Yes"/>
          </Entitlement>
        </EntitlementGroup>
      </ProductDetails>
      <ProductClassifications>
        <KeywordClassifications>
          <Keyword>JPMORGANCAZENOVE</Keyword>
        </KeywordClassifications>
        <Discipline disciplineType="Investment"/>
        <Region primaryIndicator="No" regionType="Europe" emergingIndicator="No"/>
        <Region primaryIndicator="No" regionType="Global" emergingIndicator="No"/>
        <AssetClass assetClass="Equity"/>
        <AssetType assetType="Stock"/>
      </ProductClassifications>
    </Context>
  </Product>
</Research>
</file>

<file path=customXML/item9.xml><?xml version="1.0" encoding="utf-8"?>
<JpmcExtensions>
  <EmailAlert>Y</EmailAlert>
  <Searchable>Y</Searchable>
  <SourceSystem>GPSAuthor</SourceSystem>
  <Permission>100</Permission>
  <BulletList>
    <component id="SUMMARY.ASCII.FORMATTEDBULLET" isBullet="Yes" order="1">Earnings &amp; Sentiment Factors were top performers across the world, being particularly strong in Emerging Markets. Price Momentum continued to do well after the underperformance earlier in the year. It continues to struggle in Australia, though. Value was poor in Asia Ex but did well in other Emerging markets, Japan and Australia. It has failed for the second straight month in Europe. Quality continued to outperform in Europe and EM (x Asia) but was less impressive in rest of the developed world. A common theme emerging based on feedback from several clients suggests that 'Quality at a Reasonable Price' is gaining more traction, perhaps reflecting some of the uncertainty seen on the macro front.</component>
    <component id="SUMMARY.ASCII.FORMATTEDBULLET" isBullet="Yes" order="2">Our generic multi-Factor Q-Score Model was strong in the Emerging Markets and Japan but struggled to impress in Europe, US and Australia. </component>
    <component id="SUMMARY.ASCII.FORMATTEDBULLET" isBullet="Yes" order="3">This monthly publication summarizes performance of a range of popular Quant factors. In all, nine (MSCI based) universes are included in the report: US, Europe, Japan, Australia, Asia ex Japan, GEM, EM ex Asia, Global Developed and All World.</component>
    <component id="SUMMARY.ASCII.FORMATTEDBULLET" isBullet="Yes" order="4">For each universe we include a summary of performance over the last month, 12 months, QTD and YTD for four popular composite alpha sources that we refer to as the Value, Earnings, Quality and Price families.</component>
    <component id="SUMMARY.ASCII.FORMATTEDBULLET" isBullet="Yes" order="5">We also include a table detailing performance over the last month for 42 popular alpha and risk factors.</component>
  </BulletList>
  <ContentTypeList>
    <ContentType>PUBNOT</ContentType>
  </ContentTypeList>
  <PrimaryAnalystList>
    <PrimaryAnalyst analystID="V027873">Viquar Shaikh</PrimaryAnalyst>
  </PrimaryAnalystList>
  <SecondaryAnalystList>
    <SecondaryAnalyst analystID="R299886">Dubravko Lakos-Bujas</SecondaryAnalyst>
    <SecondaryAnalyst analystID="I015225">Berowne Hlavaty</SecondaryAnalyst>
    <SecondaryAnalyst analystID="N054214">Robert Smith</SecondaryAnalyst>
    <SecondaryAnalyst analystID="J963135">Christopher Ma</SecondaryAnalyst>
  </SecondaryAnalystList>
  <PrimaryCompanyList/>
  <SecondaryCompanyList/>
  <ExpiryDate/>
  <RICList/>
  <RenderHtmlFlag>N</RenderHtmlFlag>
</JpmcExtensions>
</file>

<file path=customXML/itema.xml><?xml version="1.0" encoding="utf-8"?>
<economicsCharts xmlns="http://www.w3.org/2001/XMLSchema-instance"/>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3.xml><?xml version="1.0" encoding="utf-8"?>
<publishingControl xmlns="http://www.w3.org/2001/XMLSchema-instance">
  <action>Publish</action>
  <type>
    <primary>RESEARCH</primary>
  </type>
  <distribution>
    <destination>BLOOMBERG-EMEA</destination>
    <destination>GREENJAR</destination>
    <destination>VAULT</destination>
    <destination>MORGAN-MARKETS</destination>
    <destination>WSOD-RBC</destination>
    <destination>THOMSON-EQUITIES</destination>
    <destination>FACTSET</destination>
    <destination>REUTERS-EQUITIES</destination>
    <destination>CAPITAL-IQ-EQUITIES</destination>
    <destination>WSOD</destination>
    <destination>AMBA</destination>
    <destination>PRIVATEBANK</destination>
    <destination>WSOD-MorganOnline</destination>
  </distribution>
  <documentId/>
</publishingControl>
</file>

<file path=customXml/item6.xml><?xml version="1.0" encoding="utf-8"?>
<b:Sources xmlns:b="http://schemas.openxmlformats.org/officeDocument/2006/bibliography" xmlns="http://schemas.openxmlformats.org/officeDocument/2006/bibliography" SelectedStyle="\APA.XSL" StyleName="APA"/>
</file>

<file path=customXml/itemProps3.xml><?xml version="1.0" encoding="utf-8"?>
<ds:datastoreItem xmlns:ds="http://schemas.openxmlformats.org/officeDocument/2006/customXml" ds:itemID="{B8F22F64-EC83-4EED-AEF1-076786D3B386}">
  <ds:schemaRefs/>
</ds:datastoreItem>
</file>

<file path=customXml/itemProps6.xml><?xml version="1.0" encoding="utf-8"?>
<ds:datastoreItem xmlns:ds="http://schemas.openxmlformats.org/officeDocument/2006/customXml" ds:itemID="{C52A0494-9EDE-4D7C-AFBB-5015A1CDD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NonCompanyNote.dotm</Template>
  <TotalTime>1</TotalTime>
  <Pages>48</Pages>
  <Words>7091</Words>
  <Characters>38305</Characters>
  <Application>Microsoft Office Word</Application>
  <DocSecurity>0</DocSecurity>
  <Lines>790</Lines>
  <Paragraphs>301</Paragraphs>
  <ScaleCrop>false</ScaleCrop>
  <HeadingPairs>
    <vt:vector size="2" baseType="variant">
      <vt:variant>
        <vt:lpstr>Title</vt:lpstr>
      </vt:variant>
      <vt:variant>
        <vt:i4>1</vt:i4>
      </vt:variant>
    </vt:vector>
  </HeadingPairs>
  <TitlesOfParts>
    <vt:vector size="1" baseType="lpstr">
      <vt:lpstr/>
    </vt:vector>
  </TitlesOfParts>
  <Company>JPMorgan Chase and Co.</Company>
  <LinksUpToDate>false</LinksUpToDate>
  <CharactersWithSpaces>45298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JPMorgan Chase &amp; Co.</dc:creator>
  <cp:lastModifiedBy>JPMorgan Chase &amp; Co.</cp:lastModifiedBy>
  <cp:revision>2</cp:revision>
  <dcterms:created xsi:type="dcterms:W3CDTF">2014-07-03T09:48:00Z</dcterms:created>
  <dcterms:modified xsi:type="dcterms:W3CDTF">2014-07-03T09:48:00Z</dcterms:modified>
</cp:coreProperties>
</file>