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bin" ContentType="application/vnd.openxmlformats-officedocument.wordprocessingml.document"/>
  <Override PartName="/customXml/itemProps3.xml" ContentType="application/vnd.openxmlformats-officedocument.customXmlProperties+xml"/>
  <Override PartName="/word/footnotes.xml" ContentType="application/vnd.openxmlformats-officedocument.wordprocessingml.footnotes+xml"/>
  <Override PartName="/word/footer8.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glossary/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customXml/itemProps6.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66FE" w:rsidRPr="007F296F" w:rsidRDefault="00F866FE" w:rsidP="00F866FE">
      <w:pPr>
        <w:pStyle w:val="FPBody"/>
        <w:spacing w:after="240"/>
        <w:jc w:val="left"/>
        <w:rPr>
          <w:sz w:val="20"/>
          <w:szCs w:val="20"/>
        </w:rPr>
      </w:pPr>
      <w:r w:rsidRPr="007F296F">
        <w:rPr>
          <w:sz w:val="20"/>
          <w:szCs w:val="20"/>
        </w:rPr>
        <w:t xml:space="preserve">Our Global SMid Radar is a vehicle through which we consistently bring you our top ideas within the global universe of Small/Mid-Caps (mkt caps &lt; $5 Bill).  This long/short global model portfolio mixes our top-down strategic analysis with our bottom up stock selection. </w:t>
      </w:r>
      <w:r w:rsidR="001C2EEE">
        <w:rPr>
          <w:sz w:val="20"/>
          <w:szCs w:val="20"/>
        </w:rPr>
        <w:t>This quarter</w:t>
      </w:r>
      <w:r w:rsidRPr="007F296F">
        <w:rPr>
          <w:sz w:val="20"/>
          <w:szCs w:val="20"/>
        </w:rPr>
        <w:t xml:space="preserve"> we are adding </w:t>
      </w:r>
      <w:r w:rsidR="001C2EEE">
        <w:rPr>
          <w:sz w:val="20"/>
          <w:szCs w:val="20"/>
        </w:rPr>
        <w:t>4</w:t>
      </w:r>
      <w:r w:rsidRPr="007F296F">
        <w:rPr>
          <w:sz w:val="20"/>
          <w:szCs w:val="20"/>
        </w:rPr>
        <w:t xml:space="preserve"> new “Investment Opportunities” (see bullets below) and closing </w:t>
      </w:r>
      <w:r>
        <w:rPr>
          <w:sz w:val="20"/>
          <w:szCs w:val="20"/>
        </w:rPr>
        <w:t xml:space="preserve">4 (see Pg 4 for perf details) </w:t>
      </w:r>
      <w:r w:rsidRPr="007F296F">
        <w:rPr>
          <w:sz w:val="20"/>
          <w:szCs w:val="20"/>
        </w:rPr>
        <w:t xml:space="preserve">— </w:t>
      </w:r>
      <w:r w:rsidR="001C2EEE">
        <w:rPr>
          <w:sz w:val="20"/>
          <w:szCs w:val="20"/>
        </w:rPr>
        <w:t>Austal, Commercial Bank of Qatar, Multiplus and Yanbu Cement</w:t>
      </w:r>
      <w:r>
        <w:rPr>
          <w:sz w:val="20"/>
          <w:szCs w:val="20"/>
        </w:rPr>
        <w:t>.</w:t>
      </w:r>
    </w:p>
    <w:p w:rsidR="00F866FE" w:rsidRPr="007F296F" w:rsidRDefault="00F866FE" w:rsidP="00F866FE">
      <w:pPr>
        <w:pStyle w:val="FPBody"/>
        <w:spacing w:after="240"/>
        <w:jc w:val="left"/>
        <w:rPr>
          <w:sz w:val="20"/>
          <w:szCs w:val="20"/>
        </w:rPr>
      </w:pPr>
      <w:r w:rsidRPr="007F296F">
        <w:rPr>
          <w:sz w:val="20"/>
          <w:szCs w:val="20"/>
        </w:rPr>
        <w:t xml:space="preserve">In order to align our incentives with those of our clients (and as we’ve been doing for the last </w:t>
      </w:r>
      <w:r>
        <w:rPr>
          <w:sz w:val="20"/>
          <w:szCs w:val="20"/>
        </w:rPr>
        <w:t>6</w:t>
      </w:r>
      <w:r w:rsidRPr="007F296F">
        <w:rPr>
          <w:sz w:val="20"/>
          <w:szCs w:val="20"/>
        </w:rPr>
        <w:t xml:space="preserve"> yrs in our European SMid Radar, launched in Feb 2008), we run this model portfolio in as realistic a way as possible, following a pre-defined methodology with regards to portfolio composition, risk </w:t>
      </w:r>
      <w:r>
        <w:rPr>
          <w:sz w:val="20"/>
          <w:szCs w:val="20"/>
        </w:rPr>
        <w:t>mgmt</w:t>
      </w:r>
      <w:r w:rsidRPr="007F296F">
        <w:rPr>
          <w:sz w:val="20"/>
          <w:szCs w:val="20"/>
        </w:rPr>
        <w:t xml:space="preserve">, </w:t>
      </w:r>
      <w:r>
        <w:rPr>
          <w:sz w:val="20"/>
          <w:szCs w:val="20"/>
        </w:rPr>
        <w:t>&amp;</w:t>
      </w:r>
      <w:r w:rsidRPr="007F296F">
        <w:rPr>
          <w:sz w:val="20"/>
          <w:szCs w:val="20"/>
        </w:rPr>
        <w:t xml:space="preserve"> pe</w:t>
      </w:r>
      <w:r>
        <w:rPr>
          <w:sz w:val="20"/>
          <w:szCs w:val="20"/>
        </w:rPr>
        <w:t>rf. analysis (please see P</w:t>
      </w:r>
      <w:r w:rsidRPr="007F296F">
        <w:rPr>
          <w:sz w:val="20"/>
          <w:szCs w:val="20"/>
        </w:rPr>
        <w:t>g</w:t>
      </w:r>
      <w:r>
        <w:rPr>
          <w:sz w:val="20"/>
          <w:szCs w:val="20"/>
        </w:rPr>
        <w:t xml:space="preserve"> 2 </w:t>
      </w:r>
      <w:r w:rsidRPr="007F296F">
        <w:rPr>
          <w:sz w:val="20"/>
          <w:szCs w:val="20"/>
        </w:rPr>
        <w:t xml:space="preserve">for a detailed description of our investment methodology).  </w:t>
      </w:r>
    </w:p>
    <w:p w:rsidR="00F866FE" w:rsidRPr="007F296F" w:rsidRDefault="001C2EEE" w:rsidP="00F866FE">
      <w:pPr>
        <w:pStyle w:val="FPBody"/>
        <w:spacing w:after="80"/>
        <w:jc w:val="left"/>
        <w:rPr>
          <w:sz w:val="20"/>
          <w:szCs w:val="20"/>
          <w:u w:val="single"/>
        </w:rPr>
      </w:pPr>
      <w:r>
        <w:rPr>
          <w:sz w:val="20"/>
          <w:szCs w:val="20"/>
          <w:u w:val="single"/>
        </w:rPr>
        <w:t>4</w:t>
      </w:r>
      <w:r w:rsidR="00F866FE" w:rsidRPr="007F296F">
        <w:rPr>
          <w:sz w:val="20"/>
          <w:szCs w:val="20"/>
          <w:u w:val="single"/>
        </w:rPr>
        <w:t xml:space="preserve"> additions to the “Investment Opportunities” section</w:t>
      </w:r>
      <w:r w:rsidR="00F866FE">
        <w:rPr>
          <w:sz w:val="20"/>
          <w:szCs w:val="20"/>
          <w:u w:val="single"/>
        </w:rPr>
        <w:t xml:space="preserve"> of our Global Radar</w:t>
      </w:r>
      <w:r w:rsidR="00F866FE" w:rsidRPr="007F296F">
        <w:rPr>
          <w:sz w:val="20"/>
          <w:szCs w:val="20"/>
          <w:u w:val="single"/>
        </w:rPr>
        <w:t>:</w:t>
      </w:r>
    </w:p>
    <w:p w:rsidR="00F866FE" w:rsidRDefault="001C2EEE" w:rsidP="00F866FE">
      <w:pPr>
        <w:pStyle w:val="Body"/>
        <w:numPr>
          <w:ilvl w:val="0"/>
          <w:numId w:val="33"/>
        </w:numPr>
        <w:spacing w:after="40"/>
        <w:rPr>
          <w:u w:val="single"/>
        </w:rPr>
      </w:pPr>
      <w:r>
        <w:rPr>
          <w:u w:val="single"/>
        </w:rPr>
        <w:t>Beijing Capital Int’l Airport</w:t>
      </w:r>
      <w:r w:rsidR="00F866FE">
        <w:rPr>
          <w:u w:val="single"/>
        </w:rPr>
        <w:t xml:space="preserve"> </w:t>
      </w:r>
      <w:r w:rsidR="00F866FE" w:rsidRPr="00621079">
        <w:t>(</w:t>
      </w:r>
      <w:r>
        <w:t>694 HK</w:t>
      </w:r>
      <w:r w:rsidR="00F866FE" w:rsidRPr="00621079">
        <w:t xml:space="preserve"> — $</w:t>
      </w:r>
      <w:r>
        <w:t>2,951</w:t>
      </w:r>
      <w:r w:rsidR="00F866FE" w:rsidRPr="00621079">
        <w:t>m mkt cap)</w:t>
      </w:r>
    </w:p>
    <w:p w:rsidR="00F866FE" w:rsidRDefault="001C2EEE" w:rsidP="00F866FE">
      <w:pPr>
        <w:pStyle w:val="Body"/>
        <w:numPr>
          <w:ilvl w:val="1"/>
          <w:numId w:val="34"/>
        </w:numPr>
        <w:spacing w:after="120"/>
        <w:rPr>
          <w:i/>
        </w:rPr>
      </w:pPr>
      <w:r w:rsidRPr="001C2EEE">
        <w:rPr>
          <w:i/>
        </w:rPr>
        <w:t xml:space="preserve">Accelerating int’l traffic growth to drive profitability, valuation </w:t>
      </w:r>
      <w:r>
        <w:rPr>
          <w:i/>
        </w:rPr>
        <w:br/>
      </w:r>
      <w:r w:rsidRPr="001C2EEE">
        <w:rPr>
          <w:i/>
        </w:rPr>
        <w:t>discount to regional peers unjustified</w:t>
      </w:r>
    </w:p>
    <w:p w:rsidR="00F866FE" w:rsidRDefault="001C2EEE" w:rsidP="00F866FE">
      <w:pPr>
        <w:pStyle w:val="Body"/>
        <w:numPr>
          <w:ilvl w:val="0"/>
          <w:numId w:val="33"/>
        </w:numPr>
        <w:spacing w:after="40"/>
      </w:pPr>
      <w:r>
        <w:rPr>
          <w:u w:val="single"/>
        </w:rPr>
        <w:t>Even</w:t>
      </w:r>
      <w:r w:rsidR="00F866FE" w:rsidRPr="00621079">
        <w:t xml:space="preserve"> (</w:t>
      </w:r>
      <w:r>
        <w:t>EVEN3 BZ</w:t>
      </w:r>
      <w:r w:rsidR="00F866FE" w:rsidRPr="00621079">
        <w:t xml:space="preserve"> — $</w:t>
      </w:r>
      <w:r>
        <w:t>690</w:t>
      </w:r>
      <w:r w:rsidR="00F866FE" w:rsidRPr="00621079">
        <w:t>m mkt cap)</w:t>
      </w:r>
    </w:p>
    <w:p w:rsidR="00F866FE" w:rsidRDefault="001C2EEE" w:rsidP="00F866FE">
      <w:pPr>
        <w:pStyle w:val="Body"/>
        <w:numPr>
          <w:ilvl w:val="1"/>
          <w:numId w:val="34"/>
        </w:numPr>
        <w:spacing w:after="120"/>
        <w:rPr>
          <w:i/>
        </w:rPr>
      </w:pPr>
      <w:r w:rsidRPr="001C2EEE">
        <w:rPr>
          <w:i/>
        </w:rPr>
        <w:t>Improving results at an attractive valuation</w:t>
      </w:r>
    </w:p>
    <w:p w:rsidR="00F866FE" w:rsidRPr="002D752D" w:rsidRDefault="001C2EEE" w:rsidP="00F866FE">
      <w:pPr>
        <w:pStyle w:val="Body"/>
        <w:numPr>
          <w:ilvl w:val="0"/>
          <w:numId w:val="33"/>
        </w:numPr>
        <w:spacing w:after="40"/>
        <w:rPr>
          <w:u w:val="single"/>
        </w:rPr>
      </w:pPr>
      <w:r>
        <w:rPr>
          <w:u w:val="single"/>
        </w:rPr>
        <w:t>Gem Diamonds</w:t>
      </w:r>
      <w:r w:rsidR="00F866FE" w:rsidRPr="00621079">
        <w:t xml:space="preserve"> (</w:t>
      </w:r>
      <w:r>
        <w:t>GEMD LN</w:t>
      </w:r>
      <w:r w:rsidR="00F866FE" w:rsidRPr="002D752D">
        <w:t xml:space="preserve"> — $</w:t>
      </w:r>
      <w:r>
        <w:t>373</w:t>
      </w:r>
      <w:r w:rsidR="00F866FE" w:rsidRPr="002D752D">
        <w:t>m mkt cap)</w:t>
      </w:r>
    </w:p>
    <w:p w:rsidR="00F866FE" w:rsidRPr="002D752D" w:rsidRDefault="001C2EEE" w:rsidP="00F866FE">
      <w:pPr>
        <w:pStyle w:val="Body"/>
        <w:numPr>
          <w:ilvl w:val="1"/>
          <w:numId w:val="34"/>
        </w:numPr>
        <w:spacing w:after="120"/>
        <w:rPr>
          <w:i/>
        </w:rPr>
      </w:pPr>
      <w:r w:rsidRPr="001C2EEE">
        <w:rPr>
          <w:i/>
        </w:rPr>
        <w:t>A relatively safe play on positive outlook for diamonds</w:t>
      </w:r>
    </w:p>
    <w:p w:rsidR="00F866FE" w:rsidRPr="002D752D" w:rsidRDefault="001C2EEE" w:rsidP="00F866FE">
      <w:pPr>
        <w:pStyle w:val="Body"/>
        <w:numPr>
          <w:ilvl w:val="0"/>
          <w:numId w:val="33"/>
        </w:numPr>
        <w:spacing w:after="40"/>
      </w:pPr>
      <w:r>
        <w:rPr>
          <w:u w:val="single"/>
        </w:rPr>
        <w:t>WorleyParsons</w:t>
      </w:r>
      <w:r w:rsidR="00F866FE" w:rsidRPr="002D752D">
        <w:t xml:space="preserve"> (</w:t>
      </w:r>
      <w:r>
        <w:t>WOR AU</w:t>
      </w:r>
      <w:r w:rsidR="00F866FE" w:rsidRPr="002D752D">
        <w:t xml:space="preserve"> — $</w:t>
      </w:r>
      <w:r>
        <w:t>4,074</w:t>
      </w:r>
      <w:r w:rsidR="00F866FE" w:rsidRPr="002D752D">
        <w:t>m mkt cap)</w:t>
      </w:r>
    </w:p>
    <w:p w:rsidR="00F866FE" w:rsidRPr="001C2EEE" w:rsidRDefault="001C2EEE" w:rsidP="00F866FE">
      <w:pPr>
        <w:pStyle w:val="Body"/>
        <w:numPr>
          <w:ilvl w:val="1"/>
          <w:numId w:val="34"/>
        </w:numPr>
        <w:spacing w:after="120"/>
        <w:ind w:right="3363"/>
        <w:rPr>
          <w:i/>
        </w:rPr>
      </w:pPr>
      <w:r w:rsidRPr="001C2EEE">
        <w:rPr>
          <w:i/>
        </w:rPr>
        <w:t>Clear path to medium term earnings growth with oil linkage</w:t>
      </w:r>
    </w:p>
    <w:p w:rsidR="006C610B" w:rsidRDefault="006C610B" w:rsidP="00F866FE">
      <w:pPr>
        <w:pStyle w:val="FPBullet"/>
        <w:numPr>
          <w:ilvl w:val="0"/>
          <w:numId w:val="0"/>
        </w:numPr>
      </w:pPr>
    </w:p>
    <w:p w:rsidR="006C610B" w:rsidRDefault="006C610B" w:rsidP="00F866FE">
      <w:pPr>
        <w:pStyle w:val="FPBullet"/>
        <w:numPr>
          <w:ilvl w:val="0"/>
          <w:numId w:val="0"/>
        </w:numPr>
      </w:pPr>
    </w:p>
    <w:p w:rsidR="006C610B" w:rsidRDefault="006C610B" w:rsidP="00F866FE">
      <w:pPr>
        <w:pStyle w:val="FPBullet"/>
        <w:numPr>
          <w:ilvl w:val="0"/>
          <w:numId w:val="0"/>
        </w:numPr>
      </w:pPr>
    </w:p>
    <w:p w:rsidR="00FF5C9B" w:rsidRDefault="00FF5C9B" w:rsidP="00F866FE">
      <w:pPr>
        <w:pStyle w:val="FPBullet"/>
        <w:numPr>
          <w:ilvl w:val="0"/>
          <w:numId w:val="0"/>
        </w:numPr>
      </w:pPr>
    </w:p>
    <w:p w:rsidR="009D47AA" w:rsidRPr="00207CF8" w:rsidRDefault="009D47AA" w:rsidP="009F59FE">
      <w:pPr>
        <w:pStyle w:val="FPBody"/>
      </w:pPr>
    </w:p>
    <w:p w:rsidR="00096996" w:rsidRDefault="00096996" w:rsidP="00096996">
      <w:pPr>
        <w:pStyle w:val="Body"/>
        <w:spacing w:after="0" w:line="0" w:lineRule="atLeast"/>
        <w:rPr>
          <w:sz w:val="10"/>
        </w:rPr>
        <w:sectPr w:rsidR="00096996" w:rsidSect="00096996">
          <w:headerReference w:type="even" r:id="rId13"/>
          <w:headerReference w:type="default" r:id="rId14"/>
          <w:footerReference w:type="even" r:id="rId15"/>
          <w:footerReference w:type="default" r:id="rId16"/>
          <w:headerReference w:type="first" r:id="rId17"/>
          <w:footerReference w:type="first" r:id="rId18"/>
          <w:pgSz w:w="12240" w:h="15840" w:code="1"/>
          <w:pgMar w:top="2376" w:right="578" w:bottom="720" w:left="1729" w:header="431" w:footer="720" w:gutter="0"/>
          <w:cols w:space="720"/>
          <w:formProt w:val="0"/>
          <w:titlePg/>
          <w:docGrid w:linePitch="360"/>
        </w:sectPr>
      </w:pPr>
    </w:p>
    <w:p w:rsidR="00B11ED5" w:rsidRDefault="00B11ED5" w:rsidP="00096996">
      <w:pPr>
        <w:pStyle w:val="Body"/>
      </w:pPr>
    </w:p>
    <w:p w:rsidR="00BC1D60" w:rsidRPr="00E83B85" w:rsidRDefault="00BC1D60" w:rsidP="00BC1D60">
      <w:pPr>
        <w:pStyle w:val="Heading1"/>
      </w:pPr>
      <w:bookmarkStart w:id="0" w:name="_Toc392016333"/>
      <w:bookmarkStart w:id="1" w:name="_Toc392081800"/>
      <w:bookmarkStart w:id="2" w:name="_Toc392081863"/>
      <w:r w:rsidRPr="00E83B85">
        <w:t>The Global SMid Radar Methodology</w:t>
      </w:r>
      <w:bookmarkEnd w:id="0"/>
      <w:bookmarkEnd w:id="1"/>
      <w:bookmarkEnd w:id="2"/>
    </w:p>
    <w:p w:rsidR="00BC1D60" w:rsidRPr="00E83B85" w:rsidRDefault="00BC1D60" w:rsidP="00BC1D60">
      <w:pPr>
        <w:pStyle w:val="Sidecomments"/>
        <w:framePr w:w="2770" w:wrap="around" w:y="10"/>
        <w:rPr>
          <w:rFonts w:ascii="Arial Narrow" w:hAnsi="Arial Narrow"/>
          <w:i/>
          <w:iCs/>
          <w:color w:val="800000"/>
          <w:sz w:val="20"/>
          <w:szCs w:val="20"/>
        </w:rPr>
      </w:pPr>
    </w:p>
    <w:p w:rsidR="00BC1D60" w:rsidRPr="00E83B85" w:rsidRDefault="00BC1D60" w:rsidP="00BC1D60">
      <w:pPr>
        <w:pStyle w:val="Sidecomments"/>
        <w:framePr w:w="2770" w:wrap="around" w:y="10"/>
        <w:rPr>
          <w:rFonts w:ascii="Arial Narrow" w:hAnsi="Arial Narrow"/>
          <w:i/>
          <w:iCs/>
          <w:color w:val="800000"/>
          <w:sz w:val="20"/>
          <w:szCs w:val="20"/>
        </w:rPr>
      </w:pPr>
    </w:p>
    <w:p w:rsidR="00BC1D60" w:rsidRPr="00E83B85" w:rsidRDefault="00BC1D60" w:rsidP="00BC1D60">
      <w:pPr>
        <w:pStyle w:val="Sidecomments"/>
        <w:framePr w:w="2770" w:wrap="around" w:y="10"/>
        <w:rPr>
          <w:rFonts w:ascii="Arial Narrow" w:hAnsi="Arial Narrow"/>
          <w:i/>
          <w:iCs/>
          <w:color w:val="800000"/>
          <w:sz w:val="20"/>
          <w:szCs w:val="20"/>
        </w:rPr>
      </w:pPr>
    </w:p>
    <w:p w:rsidR="00BC1D60" w:rsidRPr="00E83B85" w:rsidRDefault="00BC1D60" w:rsidP="00BC1D60">
      <w:pPr>
        <w:pStyle w:val="Sidecomments"/>
        <w:framePr w:w="2770" w:wrap="around" w:y="10"/>
        <w:rPr>
          <w:rFonts w:ascii="Arial Narrow" w:hAnsi="Arial Narrow"/>
          <w:i/>
          <w:iCs/>
          <w:color w:val="800000"/>
          <w:sz w:val="20"/>
          <w:szCs w:val="20"/>
        </w:rPr>
      </w:pPr>
    </w:p>
    <w:p w:rsidR="00BC1D60" w:rsidRPr="00E83B85" w:rsidRDefault="00BC1D60" w:rsidP="00BC1D60">
      <w:pPr>
        <w:pStyle w:val="Sidecomments"/>
        <w:framePr w:w="2770" w:wrap="around" w:y="10"/>
        <w:rPr>
          <w:rFonts w:ascii="Arial Narrow" w:hAnsi="Arial Narrow"/>
          <w:i/>
          <w:iCs/>
          <w:color w:val="800000"/>
          <w:sz w:val="20"/>
          <w:szCs w:val="20"/>
        </w:rPr>
      </w:pPr>
    </w:p>
    <w:p w:rsidR="00BC1D60" w:rsidRPr="00E83B85" w:rsidRDefault="00BC1D60" w:rsidP="00BC1D60">
      <w:pPr>
        <w:pStyle w:val="Sidecomments"/>
        <w:framePr w:w="2770" w:wrap="around" w:y="10"/>
        <w:rPr>
          <w:rFonts w:ascii="Arial Narrow" w:hAnsi="Arial Narrow"/>
          <w:i/>
          <w:iCs/>
          <w:color w:val="800000"/>
          <w:sz w:val="20"/>
          <w:szCs w:val="20"/>
        </w:rPr>
      </w:pPr>
    </w:p>
    <w:p w:rsidR="00BC1D60" w:rsidRPr="00E83B85" w:rsidRDefault="00BC1D60" w:rsidP="00BC1D60">
      <w:pPr>
        <w:pStyle w:val="Sidecomments"/>
        <w:framePr w:w="2770" w:wrap="around" w:y="10"/>
        <w:rPr>
          <w:rFonts w:ascii="Arial Narrow" w:hAnsi="Arial Narrow"/>
          <w:i/>
          <w:iCs/>
          <w:color w:val="800000"/>
          <w:sz w:val="20"/>
          <w:szCs w:val="20"/>
        </w:rPr>
      </w:pPr>
    </w:p>
    <w:p w:rsidR="00BC1D60" w:rsidRPr="00E83B85" w:rsidRDefault="00BC1D60" w:rsidP="00BC1D60">
      <w:pPr>
        <w:pStyle w:val="Sidecomments"/>
        <w:framePr w:w="2770" w:wrap="around" w:y="10"/>
        <w:rPr>
          <w:rFonts w:ascii="Arial Narrow" w:hAnsi="Arial Narrow"/>
          <w:i/>
          <w:iCs/>
          <w:color w:val="800000"/>
          <w:sz w:val="20"/>
          <w:szCs w:val="20"/>
        </w:rPr>
      </w:pPr>
    </w:p>
    <w:p w:rsidR="00BC1D60" w:rsidRPr="00E83B85" w:rsidRDefault="00BC1D60" w:rsidP="00BC1D60">
      <w:pPr>
        <w:pStyle w:val="Sidecomments"/>
        <w:framePr w:w="2770" w:wrap="around" w:y="10"/>
        <w:rPr>
          <w:rFonts w:ascii="Arial Narrow" w:hAnsi="Arial Narrow"/>
          <w:i/>
          <w:iCs/>
          <w:color w:val="800000"/>
          <w:sz w:val="20"/>
          <w:szCs w:val="20"/>
        </w:rPr>
      </w:pPr>
    </w:p>
    <w:p w:rsidR="00BC1D60" w:rsidRPr="00E83B85" w:rsidRDefault="00BC1D60" w:rsidP="00BC1D60">
      <w:pPr>
        <w:pStyle w:val="Sidecomments"/>
        <w:framePr w:w="2770" w:wrap="around" w:y="10"/>
        <w:rPr>
          <w:rFonts w:ascii="Arial Narrow" w:hAnsi="Arial Narrow"/>
          <w:i/>
          <w:iCs/>
          <w:color w:val="800000"/>
          <w:sz w:val="20"/>
          <w:szCs w:val="20"/>
        </w:rPr>
      </w:pPr>
    </w:p>
    <w:p w:rsidR="00BC1D60" w:rsidRPr="00D06F5D" w:rsidRDefault="00BC1D60" w:rsidP="00BC1D60">
      <w:pPr>
        <w:pStyle w:val="FigureTitle"/>
        <w:framePr w:w="2770" w:h="403" w:hSpace="187" w:wrap="around" w:vAnchor="text" w:hAnchor="text" w:x="-3124" w:y="10"/>
      </w:pPr>
      <w:bookmarkStart w:id="3" w:name="_Ref323654250"/>
      <w:r w:rsidRPr="00D06F5D">
        <w:t xml:space="preserve">Figure </w:t>
      </w:r>
      <w:fldSimple w:instr=" SEQ Figure \* ARABIC ">
        <w:r w:rsidR="002705B4">
          <w:rPr>
            <w:noProof/>
          </w:rPr>
          <w:t>1</w:t>
        </w:r>
      </w:fldSimple>
      <w:bookmarkEnd w:id="3"/>
      <w:r w:rsidRPr="00D06F5D">
        <w:t>: Perf Stats —Radar vs MSCI AC World Small Cap Europe Index</w:t>
      </w:r>
    </w:p>
    <w:p w:rsidR="00BC1D60" w:rsidRPr="00D06F5D" w:rsidRDefault="00BC1D60" w:rsidP="00BC1D60">
      <w:pPr>
        <w:pStyle w:val="Sidecomments"/>
        <w:framePr w:w="2770" w:wrap="around" w:y="10"/>
        <w:rPr>
          <w:rFonts w:ascii="Arial Narrow" w:hAnsi="Arial Narrow"/>
          <w:i/>
          <w:iCs/>
          <w:color w:val="800000"/>
          <w:sz w:val="20"/>
          <w:szCs w:val="20"/>
        </w:rPr>
      </w:pPr>
      <w:r w:rsidRPr="00BD67E6">
        <w:rPr>
          <w:noProof/>
          <w:szCs w:val="20"/>
        </w:rPr>
        <w:drawing>
          <wp:inline distT="0" distB="0" distL="0" distR="0">
            <wp:extent cx="1758950" cy="1601534"/>
            <wp:effectExtent l="19050" t="0" r="0" b="0"/>
            <wp:docPr id="96"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9"/>
                    <a:srcRect/>
                    <a:stretch>
                      <a:fillRect/>
                    </a:stretch>
                  </pic:blipFill>
                  <pic:spPr bwMode="auto">
                    <a:xfrm>
                      <a:off x="0" y="0"/>
                      <a:ext cx="1758950" cy="1601534"/>
                    </a:xfrm>
                    <a:prstGeom prst="rect">
                      <a:avLst/>
                    </a:prstGeom>
                    <a:noFill/>
                    <a:ln w="9525">
                      <a:noFill/>
                      <a:miter lim="800000"/>
                      <a:headEnd/>
                      <a:tailEnd/>
                    </a:ln>
                  </pic:spPr>
                </pic:pic>
              </a:graphicData>
            </a:graphic>
          </wp:inline>
        </w:drawing>
      </w:r>
    </w:p>
    <w:p w:rsidR="00BC1D60" w:rsidRPr="00E83B85" w:rsidRDefault="00BC1D60" w:rsidP="00BC1D60">
      <w:pPr>
        <w:pStyle w:val="Source"/>
        <w:framePr w:w="2770" w:h="403" w:hSpace="187" w:wrap="around" w:vAnchor="text" w:hAnchor="text" w:x="-3124" w:y="10"/>
      </w:pPr>
      <w:r w:rsidRPr="00D06F5D">
        <w:t>Source: Bloomberg, Datastream, Factset and J.P.</w:t>
      </w:r>
      <w:r>
        <w:t> </w:t>
      </w:r>
      <w:r w:rsidRPr="00D06F5D">
        <w:t>Morgan calculations.</w:t>
      </w:r>
      <w:r>
        <w:t xml:space="preserve"> </w:t>
      </w:r>
    </w:p>
    <w:p w:rsidR="00BC1D60" w:rsidRPr="00E83B85" w:rsidRDefault="00BC1D60" w:rsidP="00BC1D60">
      <w:pPr>
        <w:pStyle w:val="Body"/>
        <w:spacing w:after="60"/>
      </w:pPr>
      <w:r w:rsidRPr="00E83B85">
        <w:t>The Global SMid Radar is our list of top stock ideas, which we run as a hypothetical long/short portfolio in accordance with the following methodology:</w:t>
      </w:r>
    </w:p>
    <w:p w:rsidR="00BC1D60" w:rsidRPr="00E83B85" w:rsidRDefault="00BC1D60" w:rsidP="00BC1D60">
      <w:pPr>
        <w:pStyle w:val="Bullet"/>
      </w:pPr>
      <w:r w:rsidRPr="00E83B85">
        <w:t xml:space="preserve">Those stocks labeled </w:t>
      </w:r>
      <w:r>
        <w:t>“</w:t>
      </w:r>
      <w:r w:rsidRPr="00E83B85">
        <w:t>Investment Opportunities</w:t>
      </w:r>
      <w:r>
        <w:t>”</w:t>
      </w:r>
      <w:r w:rsidRPr="00E83B85">
        <w:t xml:space="preserve"> will be treated as longs, while those labeled </w:t>
      </w:r>
      <w:r>
        <w:t>“</w:t>
      </w:r>
      <w:r w:rsidRPr="00E83B85">
        <w:t>Stocks to Avoid</w:t>
      </w:r>
      <w:r>
        <w:t>”</w:t>
      </w:r>
      <w:r w:rsidRPr="00E83B85">
        <w:t xml:space="preserve"> will be treated as shorts.</w:t>
      </w:r>
    </w:p>
    <w:p w:rsidR="00BC1D60" w:rsidRPr="00E83B85" w:rsidRDefault="00BC1D60" w:rsidP="00BC1D60">
      <w:pPr>
        <w:pStyle w:val="Bullet"/>
      </w:pPr>
      <w:r w:rsidRPr="00E83B85">
        <w:t>Shares are bought and sold at the avg Bloomberg VWAP price of the trading session prior to AND following the publication of the investment decision.</w:t>
      </w:r>
    </w:p>
    <w:p w:rsidR="00BC1D60" w:rsidRPr="00E83B85" w:rsidRDefault="00BC1D60" w:rsidP="00BC1D60">
      <w:pPr>
        <w:pStyle w:val="Bullet"/>
        <w:rPr>
          <w:rFonts w:ascii="Times" w:eastAsiaTheme="minorEastAsia" w:hAnsi="Times" w:cs="Times"/>
          <w:szCs w:val="20"/>
          <w:lang w:val="en-GB" w:eastAsia="ja-JP"/>
        </w:rPr>
      </w:pPr>
      <w:r w:rsidRPr="00E83B85">
        <w:t>New positions will have the weight of 1/25th of the current portfolio</w:t>
      </w:r>
      <w:r>
        <w:t>’s</w:t>
      </w:r>
      <w:r w:rsidRPr="00E83B85">
        <w:t xml:space="preserve"> NAV. Once the portfolio runs out of cash, new positions will be funded by selling existing ones, with each new investment equal to the total exposure of the portfolio (long + short positions) divided by the number of stocks in it (longs + shorts).</w:t>
      </w:r>
    </w:p>
    <w:p w:rsidR="00BC1D60" w:rsidRPr="00E83B85" w:rsidRDefault="00BC1D60" w:rsidP="00BC1D60">
      <w:pPr>
        <w:pStyle w:val="Bullet"/>
      </w:pPr>
      <w:r w:rsidRPr="00E83B85">
        <w:t xml:space="preserve">Those stocks treated as shorts will be assigned a borrowing cost/annum equal to 80 bps, and a 10% haircut (i.e. 90% of the position will be a source of cash). </w:t>
      </w:r>
    </w:p>
    <w:p w:rsidR="00BC1D60" w:rsidRPr="00E83B85" w:rsidRDefault="00BC1D60" w:rsidP="00BC1D60">
      <w:pPr>
        <w:pStyle w:val="Bullet"/>
      </w:pPr>
      <w:r w:rsidRPr="00E83B85">
        <w:t xml:space="preserve">The residual cash balance will be invested in </w:t>
      </w:r>
      <w:r>
        <w:t>global/regional MSCI Small Cap benchmark indices according to our regional allocation preferences.</w:t>
      </w:r>
      <w:r w:rsidRPr="00E83B85">
        <w:t xml:space="preserve"> </w:t>
      </w:r>
    </w:p>
    <w:p w:rsidR="00BC1D60" w:rsidRPr="00E83B85" w:rsidRDefault="00BC1D60" w:rsidP="00BC1D60">
      <w:pPr>
        <w:pStyle w:val="Bullet"/>
      </w:pPr>
      <w:r w:rsidRPr="00E83B85">
        <w:t>Returns will be calculated in local currency</w:t>
      </w:r>
      <w:r w:rsidRPr="00E83B85">
        <w:rPr>
          <w:i/>
        </w:rPr>
        <w:t>.</w:t>
      </w:r>
    </w:p>
    <w:p w:rsidR="00BC1D60" w:rsidRPr="00E83B85" w:rsidRDefault="00BC1D60" w:rsidP="00BC1D60">
      <w:pPr>
        <w:pStyle w:val="Bullet"/>
      </w:pPr>
      <w:r w:rsidRPr="00E83B85">
        <w:t>Performance will include a 50 bps/annum deduction as a proxy for trading costs</w:t>
      </w:r>
      <w:r w:rsidRPr="00E83B85">
        <w:rPr>
          <w:i/>
        </w:rPr>
        <w:t xml:space="preserve">. </w:t>
      </w:r>
      <w:r w:rsidRPr="00E83B85">
        <w:t>Our European SMid model portfolio (launched in Feb ’08) suggests our investment horizon is &gt;12mths, thus limiting trading costs — we have turned the portfolio over only ~1.6x since launch!</w:t>
      </w:r>
    </w:p>
    <w:p w:rsidR="00BC1D60" w:rsidRPr="00E83B85" w:rsidRDefault="00BC1D60" w:rsidP="00BC1D60">
      <w:pPr>
        <w:pStyle w:val="Bullet"/>
      </w:pPr>
      <w:r w:rsidRPr="00E83B85">
        <w:t xml:space="preserve">We will impose a 25% stop-loss </w:t>
      </w:r>
      <w:r>
        <w:t xml:space="preserve">(relative to MSCI AC World SC index) </w:t>
      </w:r>
      <w:r w:rsidRPr="00E83B85">
        <w:t>on all positions.</w:t>
      </w:r>
    </w:p>
    <w:p w:rsidR="00BC1D60" w:rsidRPr="00E83B85" w:rsidRDefault="00BC1D60" w:rsidP="00BC1D60">
      <w:pPr>
        <w:pStyle w:val="Bullet"/>
      </w:pPr>
      <w:r w:rsidRPr="00E83B85">
        <w:t>Lastly, risk management is at the core of our investment approach, and therefore we will look to limit volatility via: 3mth Beta and VAR analysis, liquidity constraints, maximum weightings per holding, limited portfolio turnover etc.).</w:t>
      </w:r>
      <w:r>
        <w:t xml:space="preserve"> </w:t>
      </w:r>
    </w:p>
    <w:p w:rsidR="00BC1D60" w:rsidRDefault="00BC1D60" w:rsidP="00BC1D60">
      <w:pPr>
        <w:pStyle w:val="Body"/>
        <w:spacing w:after="0"/>
        <w:rPr>
          <w:highlight w:val="yellow"/>
        </w:rPr>
      </w:pPr>
    </w:p>
    <w:p w:rsidR="00BC1D60" w:rsidRPr="00ED1A4F" w:rsidRDefault="00BC1D60" w:rsidP="00BC1D60">
      <w:pPr>
        <w:pStyle w:val="Body"/>
        <w:spacing w:after="0"/>
        <w:rPr>
          <w:highlight w:val="yellow"/>
        </w:rPr>
      </w:pPr>
    </w:p>
    <w:p w:rsidR="00BC1D60" w:rsidRPr="00ED1A4F" w:rsidRDefault="00BC1D60" w:rsidP="00BC1D60">
      <w:pPr>
        <w:pStyle w:val="Body"/>
        <w:spacing w:after="0"/>
        <w:rPr>
          <w:highlight w:val="yellow"/>
        </w:rPr>
      </w:pPr>
    </w:p>
    <w:p w:rsidR="00BC1D60" w:rsidRPr="00ED1A4F" w:rsidRDefault="00BC1D60" w:rsidP="00BC1D60">
      <w:pPr>
        <w:pStyle w:val="FigureTitle"/>
        <w:ind w:left="-3125"/>
        <w:rPr>
          <w:highlight w:val="yellow"/>
        </w:rPr>
      </w:pPr>
      <w:bookmarkStart w:id="4" w:name="_Ref217382808"/>
    </w:p>
    <w:p w:rsidR="00BC1D60" w:rsidRPr="00D06F5D" w:rsidRDefault="00BC1D60" w:rsidP="00BC1D60">
      <w:pPr>
        <w:pStyle w:val="FigureTitle"/>
        <w:ind w:left="-3125"/>
      </w:pPr>
      <w:bookmarkStart w:id="5" w:name="_Ref227750309"/>
      <w:bookmarkStart w:id="6" w:name="_Ref236825916"/>
      <w:bookmarkEnd w:id="4"/>
      <w:r w:rsidRPr="00E83B85">
        <w:t xml:space="preserve">Figure </w:t>
      </w:r>
      <w:fldSimple w:instr=" SEQ Figure \* ARABIC ">
        <w:r w:rsidR="002705B4">
          <w:rPr>
            <w:noProof/>
          </w:rPr>
          <w:t>2</w:t>
        </w:r>
      </w:fldSimple>
      <w:bookmarkEnd w:id="5"/>
      <w:r w:rsidRPr="00D06F5D">
        <w:t xml:space="preserve">: Cumulative Performance </w:t>
      </w:r>
      <w:r w:rsidRPr="00D06F5D">
        <w:rPr>
          <w:rFonts w:ascii="Segoe UI" w:hAnsi="Segoe UI" w:cs="Segoe UI"/>
        </w:rPr>
        <w:t>—</w:t>
      </w:r>
      <w:r w:rsidRPr="00D06F5D">
        <w:t xml:space="preserve"> J.P. Morgan SMid Radar vs MSCI AC World Small Cap Europe Index</w:t>
      </w:r>
      <w:bookmarkEnd w:id="6"/>
    </w:p>
    <w:p w:rsidR="00BC1D60" w:rsidRPr="00D06F5D" w:rsidRDefault="00BC1D60" w:rsidP="00BC1D60">
      <w:pPr>
        <w:ind w:left="-3125"/>
        <w:rPr>
          <w:sz w:val="2"/>
          <w:szCs w:val="2"/>
        </w:rPr>
      </w:pPr>
      <w:r w:rsidRPr="00BD67E6">
        <w:rPr>
          <w:noProof/>
          <w:szCs w:val="2"/>
        </w:rPr>
        <w:drawing>
          <wp:inline distT="0" distB="0" distL="0" distR="0">
            <wp:extent cx="6766560" cy="1554680"/>
            <wp:effectExtent l="0" t="0" r="0" b="0"/>
            <wp:docPr id="9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srcRect/>
                    <a:stretch>
                      <a:fillRect/>
                    </a:stretch>
                  </pic:blipFill>
                  <pic:spPr bwMode="auto">
                    <a:xfrm>
                      <a:off x="0" y="0"/>
                      <a:ext cx="6766560" cy="1554680"/>
                    </a:xfrm>
                    <a:prstGeom prst="rect">
                      <a:avLst/>
                    </a:prstGeom>
                    <a:noFill/>
                    <a:ln w="9525">
                      <a:noFill/>
                      <a:miter lim="800000"/>
                      <a:headEnd/>
                      <a:tailEnd/>
                    </a:ln>
                  </pic:spPr>
                </pic:pic>
              </a:graphicData>
            </a:graphic>
          </wp:inline>
        </w:drawing>
      </w:r>
    </w:p>
    <w:p w:rsidR="00BC1D60" w:rsidRDefault="00BC1D60" w:rsidP="00BC1D60">
      <w:pPr>
        <w:pStyle w:val="Source"/>
        <w:spacing w:before="0" w:after="200"/>
        <w:ind w:left="-3125"/>
        <w:sectPr w:rsidR="00BC1D60" w:rsidSect="009339A1">
          <w:pgSz w:w="12240" w:h="15840" w:code="1"/>
          <w:pgMar w:top="1843" w:right="1138" w:bottom="936" w:left="4248" w:header="936" w:footer="576" w:gutter="0"/>
          <w:cols w:space="720"/>
          <w:formProt w:val="0"/>
          <w:docGrid w:linePitch="360"/>
        </w:sectPr>
      </w:pPr>
      <w:r w:rsidRPr="00D06F5D">
        <w:t>Source: Bloomberg, Datastream, Factset and J.P. Morgan calculations.</w:t>
      </w:r>
      <w:r>
        <w:t xml:space="preserve"> </w:t>
      </w:r>
      <w:r w:rsidRPr="00D06F5D">
        <w:t xml:space="preserve">Prices as of COB </w:t>
      </w:r>
      <w:r>
        <w:t>30 June</w:t>
      </w:r>
      <w:r w:rsidRPr="00D06F5D">
        <w:t xml:space="preserve"> 201</w:t>
      </w:r>
      <w:r>
        <w:t>4</w:t>
      </w:r>
      <w:r w:rsidRPr="00D06F5D">
        <w:t>.</w:t>
      </w:r>
      <w:r>
        <w:br/>
      </w:r>
    </w:p>
    <w:p w:rsidR="00BC1D60" w:rsidRDefault="00BC1D60" w:rsidP="00BC1D60">
      <w:pPr>
        <w:pStyle w:val="Source"/>
        <w:spacing w:before="0" w:after="200"/>
        <w:ind w:left="-3125"/>
      </w:pPr>
    </w:p>
    <w:p w:rsidR="00BC1D60" w:rsidRPr="0028044E" w:rsidRDefault="00BC1D60" w:rsidP="00BC1D60">
      <w:pPr>
        <w:spacing w:after="480" w:line="0" w:lineRule="auto"/>
        <w:rPr>
          <w:rFonts w:ascii="Arial" w:hAnsi="Arial" w:cs="Arial"/>
          <w:bCs/>
          <w:color w:val="4E8ABE"/>
          <w:kern w:val="32"/>
          <w:sz w:val="36"/>
          <w:szCs w:val="36"/>
        </w:rPr>
      </w:pPr>
      <w:bookmarkStart w:id="7" w:name="_Toc323651588"/>
      <w:bookmarkStart w:id="8" w:name="_Toc323660640"/>
      <w:bookmarkStart w:id="9" w:name="_Toc323661045"/>
      <w:bookmarkStart w:id="10" w:name="_Toc323664708"/>
      <w:bookmarkStart w:id="11" w:name="_Toc326238818"/>
      <w:bookmarkStart w:id="12" w:name="_Toc326238868"/>
      <w:bookmarkStart w:id="13" w:name="_Toc326246124"/>
      <w:bookmarkStart w:id="14" w:name="_Toc326247634"/>
      <w:bookmarkStart w:id="15" w:name="_Toc326252313"/>
      <w:bookmarkStart w:id="16" w:name="_Toc328653705"/>
      <w:bookmarkStart w:id="17" w:name="_Toc328673063"/>
      <w:bookmarkStart w:id="18" w:name="_Toc328684363"/>
      <w:bookmarkStart w:id="19" w:name="_Toc328731251"/>
      <w:bookmarkStart w:id="20" w:name="_Toc336526065"/>
      <w:r w:rsidRPr="006C5874">
        <w:br/>
      </w:r>
      <w:bookmarkStart w:id="21" w:name="_Toc336584837"/>
      <w:bookmarkStart w:id="22" w:name="_Toc345009128"/>
      <w:bookmarkStart w:id="23" w:name="_Toc352249247"/>
    </w:p>
    <w:p w:rsidR="00BC1D60" w:rsidRDefault="00BC1D60" w:rsidP="00BC1D60">
      <w:pPr>
        <w:pStyle w:val="Heading1"/>
        <w:spacing w:before="0" w:after="40"/>
        <w:ind w:left="-3124"/>
        <w:sectPr w:rsidR="00BC1D60" w:rsidSect="009339A1">
          <w:type w:val="continuous"/>
          <w:pgSz w:w="12240" w:h="15840" w:code="1"/>
          <w:pgMar w:top="1843" w:right="1138" w:bottom="936" w:left="4248" w:header="936" w:footer="576" w:gutter="0"/>
          <w:cols w:space="720"/>
          <w:formProt w:val="0"/>
          <w:docGrid w:linePitch="360"/>
        </w:sectPr>
      </w:pPr>
    </w:p>
    <w:p w:rsidR="00BC1D60" w:rsidRPr="0008364E" w:rsidRDefault="00BC1D60" w:rsidP="00BC1D60">
      <w:pPr>
        <w:pStyle w:val="Heading1"/>
        <w:spacing w:before="0" w:after="120"/>
        <w:ind w:left="-360"/>
      </w:pPr>
      <w:bookmarkStart w:id="24" w:name="_Toc345073454"/>
      <w:bookmarkStart w:id="25" w:name="_Toc345081622"/>
      <w:bookmarkStart w:id="26" w:name="_Toc392016334"/>
      <w:bookmarkStart w:id="27" w:name="_Toc392099052"/>
      <w:bookmarkStart w:id="28" w:name="_Toc392081801"/>
      <w:bookmarkStart w:id="29" w:name="_Toc392081864"/>
      <w:bookmarkStart w:id="30" w:name="_Toc323651590"/>
      <w:bookmarkStart w:id="31" w:name="_Toc323660220"/>
      <w:bookmarkStart w:id="32" w:name="_Toc323660642"/>
      <w:bookmarkStart w:id="33" w:name="_Toc323661047"/>
      <w:bookmarkStart w:id="34" w:name="_Toc323664710"/>
      <w:bookmarkStart w:id="35" w:name="_Toc326238820"/>
      <w:bookmarkStart w:id="36" w:name="_Toc326238870"/>
      <w:bookmarkStart w:id="37" w:name="_Toc326245909"/>
      <w:bookmarkStart w:id="38" w:name="_Toc326246126"/>
      <w:bookmarkStart w:id="39" w:name="_Toc326247636"/>
      <w:bookmarkStart w:id="40" w:name="_Toc326252315"/>
      <w:bookmarkStart w:id="41" w:name="_Toc328731253"/>
      <w:bookmarkStart w:id="42" w:name="_Toc336526067"/>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lastRenderedPageBreak/>
        <w:t xml:space="preserve">Global </w:t>
      </w:r>
      <w:r w:rsidRPr="0008364E">
        <w:t>Radar — Investment Opportunities</w:t>
      </w:r>
      <w:bookmarkEnd w:id="24"/>
      <w:bookmarkEnd w:id="25"/>
      <w:bookmarkEnd w:id="26"/>
      <w:bookmarkEnd w:id="27"/>
      <w:bookmarkEnd w:id="28"/>
      <w:bookmarkEnd w:id="29"/>
    </w:p>
    <w:p w:rsidR="00BC1D60" w:rsidRPr="0008364E" w:rsidRDefault="00BC1D60" w:rsidP="00BC1D60">
      <w:pPr>
        <w:pStyle w:val="FigureTitle"/>
        <w:spacing w:before="120"/>
        <w:ind w:left="-360"/>
      </w:pPr>
      <w:bookmarkStart w:id="43" w:name="_Ref323581462"/>
      <w:r w:rsidRPr="0008364E">
        <w:t xml:space="preserve"> </w:t>
      </w:r>
      <w:bookmarkStart w:id="44" w:name="_Ref336538191"/>
      <w:r w:rsidRPr="0008364E">
        <w:t xml:space="preserve">Figure </w:t>
      </w:r>
      <w:fldSimple w:instr=" SEQ Figure \* ARABIC ">
        <w:r w:rsidR="002705B4">
          <w:rPr>
            <w:noProof/>
          </w:rPr>
          <w:t>3</w:t>
        </w:r>
      </w:fldSimple>
      <w:bookmarkEnd w:id="44"/>
      <w:r w:rsidRPr="0008364E">
        <w:t>: The Global SMid Radar — Investment Opportunities</w:t>
      </w:r>
      <w:bookmarkEnd w:id="43"/>
      <w:r>
        <w:t xml:space="preserve"> </w:t>
      </w:r>
    </w:p>
    <w:p w:rsidR="00BC1D60" w:rsidRDefault="00BC1D60" w:rsidP="00BC1D60">
      <w:pPr>
        <w:pStyle w:val="Body"/>
        <w:spacing w:after="0"/>
        <w:ind w:left="-360"/>
      </w:pPr>
      <w:r>
        <w:rPr>
          <w:noProof/>
        </w:rPr>
        <w:drawing>
          <wp:inline distT="0" distB="0" distL="0" distR="0">
            <wp:extent cx="4391025" cy="5400675"/>
            <wp:effectExtent l="19050" t="0" r="9525" b="0"/>
            <wp:docPr id="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b="6126"/>
                    <a:stretch>
                      <a:fillRect/>
                    </a:stretch>
                  </pic:blipFill>
                  <pic:spPr bwMode="auto">
                    <a:xfrm>
                      <a:off x="0" y="0"/>
                      <a:ext cx="4391025" cy="5400675"/>
                    </a:xfrm>
                    <a:prstGeom prst="rect">
                      <a:avLst/>
                    </a:prstGeom>
                    <a:noFill/>
                    <a:ln w="9525">
                      <a:noFill/>
                      <a:miter lim="800000"/>
                      <a:headEnd/>
                      <a:tailEnd/>
                    </a:ln>
                  </pic:spPr>
                </pic:pic>
              </a:graphicData>
            </a:graphic>
          </wp:inline>
        </w:drawing>
      </w:r>
      <w:r w:rsidRPr="00642CD8" w:rsidDel="00642CD8">
        <w:t xml:space="preserve"> </w:t>
      </w:r>
    </w:p>
    <w:p w:rsidR="00BC1D60" w:rsidRPr="0008364E" w:rsidRDefault="00BC1D60" w:rsidP="00BC1D60">
      <w:pPr>
        <w:pStyle w:val="Body"/>
        <w:ind w:left="-360"/>
      </w:pPr>
      <w:r>
        <w:rPr>
          <w:noProof/>
        </w:rPr>
        <w:drawing>
          <wp:inline distT="0" distB="0" distL="0" distR="0">
            <wp:extent cx="4391025" cy="200025"/>
            <wp:effectExtent l="19050" t="0" r="9525" b="0"/>
            <wp:docPr id="411" name="Picture 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t="96494"/>
                    <a:stretch>
                      <a:fillRect/>
                    </a:stretch>
                  </pic:blipFill>
                  <pic:spPr bwMode="auto">
                    <a:xfrm>
                      <a:off x="0" y="0"/>
                      <a:ext cx="4391025" cy="200025"/>
                    </a:xfrm>
                    <a:prstGeom prst="rect">
                      <a:avLst/>
                    </a:prstGeom>
                    <a:noFill/>
                    <a:ln w="9525">
                      <a:noFill/>
                      <a:miter lim="800000"/>
                      <a:headEnd/>
                      <a:tailEnd/>
                    </a:ln>
                  </pic:spPr>
                </pic:pic>
              </a:graphicData>
            </a:graphic>
          </wp:inline>
        </w:drawing>
      </w:r>
    </w:p>
    <w:p w:rsidR="00BC1D60" w:rsidRDefault="00BC1D60" w:rsidP="00BC1D60">
      <w:pPr>
        <w:pStyle w:val="Source"/>
        <w:spacing w:before="0" w:after="0"/>
        <w:ind w:left="-360"/>
        <w:sectPr w:rsidR="00BC1D60" w:rsidSect="009339A1">
          <w:headerReference w:type="first" r:id="rId22"/>
          <w:footerReference w:type="first" r:id="rId23"/>
          <w:pgSz w:w="12240" w:h="15840" w:code="1"/>
          <w:pgMar w:top="1710" w:right="1138" w:bottom="936" w:left="4248" w:header="936" w:footer="576" w:gutter="0"/>
          <w:cols w:space="720"/>
          <w:formProt w:val="0"/>
          <w:docGrid w:linePitch="360"/>
        </w:sectPr>
      </w:pPr>
      <w:r w:rsidRPr="0008364E">
        <w:t>Source</w:t>
      </w:r>
      <w:r>
        <w:t xml:space="preserve"> for </w:t>
      </w:r>
      <w:r w:rsidR="003B051F">
        <w:fldChar w:fldCharType="begin"/>
      </w:r>
      <w:r>
        <w:instrText xml:space="preserve"> REF _Ref336538191 \h </w:instrText>
      </w:r>
      <w:r w:rsidR="003B051F">
        <w:fldChar w:fldCharType="separate"/>
      </w:r>
      <w:r w:rsidR="002705B4" w:rsidRPr="0008364E">
        <w:t xml:space="preserve">Figure </w:t>
      </w:r>
      <w:r w:rsidR="002705B4">
        <w:rPr>
          <w:noProof/>
        </w:rPr>
        <w:t>3</w:t>
      </w:r>
      <w:r w:rsidR="003B051F">
        <w:fldChar w:fldCharType="end"/>
      </w:r>
      <w:r w:rsidRPr="0008364E">
        <w:t xml:space="preserve">: Factset and J.P. Morgan Calculations. Notes: </w:t>
      </w:r>
      <w:r>
        <w:t>“</w:t>
      </w:r>
      <w:r w:rsidRPr="0008364E">
        <w:t xml:space="preserve">Price </w:t>
      </w:r>
      <w:r>
        <w:t>Added/Removed”</w:t>
      </w:r>
      <w:r w:rsidRPr="0008364E">
        <w:t xml:space="preserve"> is calculated as the volume-weighted average price (VWAP) of the trading session prior to and following the publication of the investment decision.</w:t>
      </w:r>
      <w:r>
        <w:t xml:space="preserve"> </w:t>
      </w:r>
      <w:r w:rsidRPr="0008364E">
        <w:t xml:space="preserve">1) Past performance may not be indicative of future performance. </w:t>
      </w:r>
      <w:r>
        <w:t>2)</w:t>
      </w:r>
      <w:r w:rsidRPr="0008364E">
        <w:t xml:space="preserve"> </w:t>
      </w:r>
      <w:r>
        <w:t>“</w:t>
      </w:r>
      <w:r w:rsidRPr="0008364E">
        <w:t>Div Paid</w:t>
      </w:r>
      <w:r>
        <w:t>”</w:t>
      </w:r>
      <w:r w:rsidRPr="0008364E">
        <w:t xml:space="preserve"> includes proceeds from rights issues.</w:t>
      </w:r>
      <w:bookmarkStart w:id="45" w:name="_Toc336584839"/>
    </w:p>
    <w:p w:rsidR="00BC1D60" w:rsidRDefault="00BC1D60" w:rsidP="00BC1D60">
      <w:pPr>
        <w:pStyle w:val="Heading1"/>
        <w:spacing w:before="0" w:after="60"/>
        <w:ind w:left="-3124"/>
      </w:pPr>
      <w:bookmarkStart w:id="46" w:name="_Toc392016335"/>
      <w:bookmarkStart w:id="47" w:name="_Toc392099053"/>
      <w:bookmarkStart w:id="48" w:name="_Toc392081802"/>
      <w:bookmarkStart w:id="49" w:name="_Toc392081865"/>
      <w:r>
        <w:lastRenderedPageBreak/>
        <w:t>Global Radar — Historical Deletions</w:t>
      </w:r>
      <w:bookmarkEnd w:id="30"/>
      <w:bookmarkEnd w:id="31"/>
      <w:bookmarkEnd w:id="32"/>
      <w:bookmarkEnd w:id="33"/>
      <w:bookmarkEnd w:id="34"/>
      <w:bookmarkEnd w:id="35"/>
      <w:bookmarkEnd w:id="36"/>
      <w:bookmarkEnd w:id="37"/>
      <w:bookmarkEnd w:id="38"/>
      <w:bookmarkEnd w:id="39"/>
      <w:bookmarkEnd w:id="40"/>
      <w:bookmarkEnd w:id="41"/>
      <w:bookmarkEnd w:id="42"/>
      <w:bookmarkEnd w:id="45"/>
      <w:bookmarkEnd w:id="46"/>
      <w:bookmarkEnd w:id="47"/>
      <w:bookmarkEnd w:id="48"/>
      <w:bookmarkEnd w:id="49"/>
      <w:r>
        <w:t xml:space="preserve"> </w:t>
      </w:r>
    </w:p>
    <w:p w:rsidR="00BC1D60" w:rsidRPr="00E123D4" w:rsidRDefault="003B051F" w:rsidP="00BC1D60">
      <w:pPr>
        <w:pStyle w:val="Body"/>
        <w:spacing w:after="0"/>
        <w:ind w:left="-3125"/>
      </w:pPr>
      <w:r>
        <w:rPr>
          <w:highlight w:val="yellow"/>
        </w:rPr>
        <w:fldChar w:fldCharType="begin"/>
      </w:r>
      <w:r w:rsidR="00BC1D60">
        <w:instrText xml:space="preserve"> REF _Ref323581500 \h </w:instrText>
      </w:r>
      <w:r>
        <w:rPr>
          <w:highlight w:val="yellow"/>
        </w:rPr>
      </w:r>
      <w:r>
        <w:rPr>
          <w:highlight w:val="yellow"/>
        </w:rPr>
        <w:fldChar w:fldCharType="separate"/>
      </w:r>
      <w:r w:rsidR="002705B4" w:rsidRPr="00A9018F">
        <w:t xml:space="preserve">Figure </w:t>
      </w:r>
      <w:r w:rsidR="002705B4">
        <w:rPr>
          <w:noProof/>
        </w:rPr>
        <w:t>4</w:t>
      </w:r>
      <w:r>
        <w:rPr>
          <w:highlight w:val="yellow"/>
        </w:rPr>
        <w:fldChar w:fldCharType="end"/>
      </w:r>
      <w:r w:rsidR="00BC1D60">
        <w:t xml:space="preserve"> below </w:t>
      </w:r>
      <w:r w:rsidR="00BC1D60" w:rsidRPr="007251CA">
        <w:t xml:space="preserve">provides the historical deletions from the </w:t>
      </w:r>
      <w:r w:rsidR="00BC1D60">
        <w:t xml:space="preserve">Global </w:t>
      </w:r>
      <w:r w:rsidR="00BC1D60" w:rsidRPr="007251CA">
        <w:t>Radar to help investors keep track of performance.</w:t>
      </w:r>
    </w:p>
    <w:p w:rsidR="00BC1D60" w:rsidRDefault="00BC1D60" w:rsidP="00BC1D60">
      <w:pPr>
        <w:pStyle w:val="FigureTitle"/>
        <w:ind w:left="-3125"/>
        <w:rPr>
          <w:b w:val="0"/>
          <w:color w:val="auto"/>
          <w:sz w:val="14"/>
          <w:szCs w:val="24"/>
        </w:rPr>
      </w:pPr>
      <w:bookmarkStart w:id="50" w:name="_Ref323581500"/>
      <w:r w:rsidRPr="00A9018F">
        <w:t xml:space="preserve">Figure </w:t>
      </w:r>
      <w:fldSimple w:instr=" SEQ Figure \* ARABIC ">
        <w:r w:rsidR="002705B4">
          <w:rPr>
            <w:noProof/>
          </w:rPr>
          <w:t>4</w:t>
        </w:r>
      </w:fldSimple>
      <w:bookmarkEnd w:id="50"/>
      <w:r w:rsidRPr="00A9018F">
        <w:rPr>
          <w:noProof/>
          <w:lang w:eastAsia="ja-JP"/>
        </w:rPr>
        <w:t xml:space="preserve">: The SMid Radar — Historical Deletions </w:t>
      </w:r>
    </w:p>
    <w:p w:rsidR="00BC1D60" w:rsidRDefault="00BC1D60" w:rsidP="00BC1D60">
      <w:pPr>
        <w:pStyle w:val="Source"/>
        <w:spacing w:before="0" w:after="0"/>
        <w:ind w:left="-3124"/>
      </w:pPr>
      <w:r>
        <w:rPr>
          <w:noProof/>
        </w:rPr>
        <w:drawing>
          <wp:inline distT="0" distB="0" distL="0" distR="0">
            <wp:extent cx="5486400" cy="7455261"/>
            <wp:effectExtent l="19050" t="0" r="0" b="0"/>
            <wp:docPr id="4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486400" cy="7455261"/>
                    </a:xfrm>
                    <a:prstGeom prst="rect">
                      <a:avLst/>
                    </a:prstGeom>
                    <a:noFill/>
                    <a:ln w="9525">
                      <a:noFill/>
                      <a:miter lim="800000"/>
                      <a:headEnd/>
                      <a:tailEnd/>
                    </a:ln>
                  </pic:spPr>
                </pic:pic>
              </a:graphicData>
            </a:graphic>
          </wp:inline>
        </w:drawing>
      </w:r>
    </w:p>
    <w:p w:rsidR="00BC1D60" w:rsidRPr="004F1ABB" w:rsidRDefault="00BC1D60" w:rsidP="00BC1D60">
      <w:pPr>
        <w:pStyle w:val="Source"/>
        <w:spacing w:before="0" w:after="0"/>
        <w:ind w:left="-3124"/>
        <w:rPr>
          <w:highlight w:val="yellow"/>
        </w:rPr>
      </w:pPr>
      <w:r w:rsidRPr="0008364E">
        <w:t xml:space="preserve">Source: Factset and J.P. Morgan Calculations. Notes: </w:t>
      </w:r>
      <w:r>
        <w:t>“</w:t>
      </w:r>
      <w:r w:rsidRPr="0008364E">
        <w:t xml:space="preserve">Price </w:t>
      </w:r>
      <w:r>
        <w:t>Added/Removed”</w:t>
      </w:r>
      <w:r w:rsidRPr="0008364E">
        <w:t xml:space="preserve"> is calculated as the volume-weighted average price (VWAP) of the trading session prior to and following the publication of the investment decision.</w:t>
      </w:r>
      <w:r>
        <w:t xml:space="preserve"> </w:t>
      </w:r>
      <w:r w:rsidRPr="0008364E">
        <w:t xml:space="preserve">1) Past performance may not be indicative of future performance. </w:t>
      </w:r>
      <w:r>
        <w:t>2)</w:t>
      </w:r>
      <w:r w:rsidRPr="0008364E">
        <w:t xml:space="preserve"> </w:t>
      </w:r>
      <w:r>
        <w:t>“</w:t>
      </w:r>
      <w:r w:rsidRPr="0008364E">
        <w:t>Div Paid</w:t>
      </w:r>
      <w:r>
        <w:t>”</w:t>
      </w:r>
      <w:r w:rsidRPr="0008364E">
        <w:t xml:space="preserve"> includes proceeds from rights issues.</w:t>
      </w:r>
    </w:p>
    <w:p w:rsidR="00BC1D60" w:rsidRPr="004F1ABB" w:rsidRDefault="00BC1D60" w:rsidP="00BC1D60">
      <w:pPr>
        <w:spacing w:after="480" w:line="0" w:lineRule="auto"/>
        <w:rPr>
          <w:sz w:val="20"/>
          <w:highlight w:val="yellow"/>
        </w:rPr>
      </w:pPr>
      <w:r w:rsidRPr="004F1ABB">
        <w:rPr>
          <w:highlight w:val="yellow"/>
        </w:rPr>
        <w:br w:type="page"/>
      </w:r>
    </w:p>
    <w:p w:rsidR="00BC1D60" w:rsidRPr="004D7FF8" w:rsidRDefault="00BC1D60" w:rsidP="00BC1D60">
      <w:pPr>
        <w:pStyle w:val="TitlesforContents0"/>
        <w:spacing w:after="0"/>
        <w:rPr>
          <w:sz w:val="28"/>
          <w:szCs w:val="28"/>
        </w:rPr>
      </w:pPr>
      <w:r w:rsidRPr="00CE7051">
        <w:rPr>
          <w:sz w:val="28"/>
          <w:szCs w:val="28"/>
        </w:rPr>
        <w:lastRenderedPageBreak/>
        <w:t>Company Cheat Sheets</w:t>
      </w:r>
    </w:p>
    <w:p w:rsidR="00BC1D60" w:rsidRDefault="00BC1D60" w:rsidP="00BC1D60">
      <w:pPr>
        <w:pStyle w:val="TOC1"/>
        <w:rPr>
          <w:rFonts w:asciiTheme="minorHAnsi" w:eastAsiaTheme="minorEastAsia" w:hAnsiTheme="minorHAnsi" w:cstheme="minorBidi"/>
          <w:b w:val="0"/>
          <w:noProof/>
          <w:color w:val="auto"/>
          <w:sz w:val="22"/>
          <w:szCs w:val="22"/>
        </w:rPr>
      </w:pPr>
      <w:bookmarkStart w:id="51" w:name="_Toc328673065"/>
      <w:bookmarkStart w:id="52" w:name="_Toc328684365"/>
      <w:bookmarkStart w:id="53" w:name="_Toc328731254"/>
      <w:bookmarkStart w:id="54" w:name="_Toc336526068"/>
      <w:bookmarkStart w:id="55" w:name="_Toc336584840"/>
      <w:bookmarkStart w:id="56" w:name="_Toc345009131"/>
      <w:bookmarkStart w:id="57" w:name="_Toc352249249"/>
      <w:bookmarkStart w:id="58" w:name="_Ref352259194"/>
      <w:bookmarkStart w:id="59" w:name="_Toc352262670"/>
      <w:bookmarkStart w:id="60" w:name="_Toc352262844"/>
      <w:bookmarkStart w:id="61" w:name="_Toc360569089"/>
      <w:r w:rsidRPr="00CE7051">
        <w:rPr>
          <w:u w:val="single"/>
        </w:rPr>
        <w:t>Investment Opportunities</w:t>
      </w:r>
      <w:bookmarkEnd w:id="51"/>
      <w:bookmarkEnd w:id="52"/>
      <w:bookmarkEnd w:id="53"/>
      <w:bookmarkEnd w:id="54"/>
      <w:bookmarkEnd w:id="55"/>
      <w:bookmarkEnd w:id="56"/>
      <w:bookmarkEnd w:id="57"/>
      <w:bookmarkEnd w:id="58"/>
      <w:bookmarkEnd w:id="59"/>
      <w:bookmarkEnd w:id="60"/>
      <w:bookmarkEnd w:id="61"/>
      <w:r w:rsidR="003B051F" w:rsidRPr="003B051F">
        <w:rPr>
          <w:noProof/>
        </w:rPr>
        <w:fldChar w:fldCharType="begin"/>
      </w:r>
      <w:r w:rsidRPr="00CE7051">
        <w:instrText xml:space="preserve"> TOC \h \t "Heading 1,1, Heading 1 -PB Before,1, CompanyDescriptionHeader,1" </w:instrText>
      </w:r>
      <w:r w:rsidR="003B051F" w:rsidRPr="003B051F">
        <w:rPr>
          <w:noProof/>
        </w:rPr>
        <w:fldChar w:fldCharType="separate"/>
      </w:r>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66" w:history="1">
        <w:r w:rsidR="00BC1D60" w:rsidRPr="0033619E">
          <w:rPr>
            <w:rStyle w:val="Hyperlink"/>
            <w:noProof/>
          </w:rPr>
          <w:t>Beijing Capital Int’l Airport (694 HK / OW / HK$5.30)</w:t>
        </w:r>
        <w:r w:rsidR="00BC1D60">
          <w:rPr>
            <w:noProof/>
          </w:rPr>
          <w:tab/>
        </w:r>
        <w:r>
          <w:rPr>
            <w:noProof/>
          </w:rPr>
          <w:fldChar w:fldCharType="begin"/>
        </w:r>
        <w:r w:rsidR="00BC1D60">
          <w:rPr>
            <w:noProof/>
          </w:rPr>
          <w:instrText xml:space="preserve"> PAGEREF _Toc392081866 \h </w:instrText>
        </w:r>
        <w:r>
          <w:rPr>
            <w:noProof/>
          </w:rPr>
        </w:r>
        <w:r>
          <w:rPr>
            <w:noProof/>
          </w:rPr>
          <w:fldChar w:fldCharType="separate"/>
        </w:r>
        <w:r w:rsidR="002705B4">
          <w:rPr>
            <w:noProof/>
          </w:rPr>
          <w:t>8</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67" w:history="1">
        <w:r w:rsidR="00BC1D60" w:rsidRPr="0033619E">
          <w:rPr>
            <w:rStyle w:val="Hyperlink"/>
            <w:noProof/>
          </w:rPr>
          <w:t>Bellway (LRD LN / OW / GBp 1,570)</w:t>
        </w:r>
        <w:r w:rsidR="00BC1D60">
          <w:rPr>
            <w:noProof/>
          </w:rPr>
          <w:tab/>
        </w:r>
        <w:r>
          <w:rPr>
            <w:noProof/>
          </w:rPr>
          <w:fldChar w:fldCharType="begin"/>
        </w:r>
        <w:r w:rsidR="00BC1D60">
          <w:rPr>
            <w:noProof/>
          </w:rPr>
          <w:instrText xml:space="preserve"> PAGEREF _Toc392081867 \h </w:instrText>
        </w:r>
        <w:r>
          <w:rPr>
            <w:noProof/>
          </w:rPr>
        </w:r>
        <w:r>
          <w:rPr>
            <w:noProof/>
          </w:rPr>
          <w:fldChar w:fldCharType="separate"/>
        </w:r>
        <w:r w:rsidR="002705B4">
          <w:rPr>
            <w:noProof/>
          </w:rPr>
          <w:t>10</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68" w:history="1">
        <w:r w:rsidR="00BC1D60" w:rsidRPr="0033619E">
          <w:rPr>
            <w:rStyle w:val="Hyperlink"/>
            <w:noProof/>
          </w:rPr>
          <w:t>Cadence Design (CDNS US / OW / $17.34)</w:t>
        </w:r>
        <w:r w:rsidR="00BC1D60">
          <w:rPr>
            <w:noProof/>
          </w:rPr>
          <w:tab/>
        </w:r>
        <w:r>
          <w:rPr>
            <w:noProof/>
          </w:rPr>
          <w:fldChar w:fldCharType="begin"/>
        </w:r>
        <w:r w:rsidR="00BC1D60">
          <w:rPr>
            <w:noProof/>
          </w:rPr>
          <w:instrText xml:space="preserve"> PAGEREF _Toc392081868 \h </w:instrText>
        </w:r>
        <w:r>
          <w:rPr>
            <w:noProof/>
          </w:rPr>
        </w:r>
        <w:r>
          <w:rPr>
            <w:noProof/>
          </w:rPr>
          <w:fldChar w:fldCharType="separate"/>
        </w:r>
        <w:r w:rsidR="002705B4">
          <w:rPr>
            <w:noProof/>
          </w:rPr>
          <w:t>12</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69" w:history="1">
        <w:r w:rsidR="00BC1D60" w:rsidRPr="0033619E">
          <w:rPr>
            <w:rStyle w:val="Hyperlink"/>
            <w:noProof/>
          </w:rPr>
          <w:t>Cape (CIU LN / OW / GBp 294.50)</w:t>
        </w:r>
        <w:r w:rsidR="00BC1D60">
          <w:rPr>
            <w:noProof/>
          </w:rPr>
          <w:tab/>
        </w:r>
        <w:r>
          <w:rPr>
            <w:noProof/>
          </w:rPr>
          <w:fldChar w:fldCharType="begin"/>
        </w:r>
        <w:r w:rsidR="00BC1D60">
          <w:rPr>
            <w:noProof/>
          </w:rPr>
          <w:instrText xml:space="preserve"> PAGEREF _Toc392081869 \h </w:instrText>
        </w:r>
        <w:r>
          <w:rPr>
            <w:noProof/>
          </w:rPr>
        </w:r>
        <w:r>
          <w:rPr>
            <w:noProof/>
          </w:rPr>
          <w:fldChar w:fldCharType="separate"/>
        </w:r>
        <w:r w:rsidR="002705B4">
          <w:rPr>
            <w:noProof/>
          </w:rPr>
          <w:t>14</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70" w:history="1">
        <w:r w:rsidR="00BC1D60" w:rsidRPr="0033619E">
          <w:rPr>
            <w:rStyle w:val="Hyperlink"/>
            <w:noProof/>
          </w:rPr>
          <w:t>Cineworld (CINE LN / OW / GBp 328.0)</w:t>
        </w:r>
        <w:r w:rsidR="00BC1D60">
          <w:rPr>
            <w:noProof/>
          </w:rPr>
          <w:tab/>
        </w:r>
        <w:r>
          <w:rPr>
            <w:noProof/>
          </w:rPr>
          <w:fldChar w:fldCharType="begin"/>
        </w:r>
        <w:r w:rsidR="00BC1D60">
          <w:rPr>
            <w:noProof/>
          </w:rPr>
          <w:instrText xml:space="preserve"> PAGEREF _Toc392081870 \h </w:instrText>
        </w:r>
        <w:r>
          <w:rPr>
            <w:noProof/>
          </w:rPr>
        </w:r>
        <w:r>
          <w:rPr>
            <w:noProof/>
          </w:rPr>
          <w:fldChar w:fldCharType="separate"/>
        </w:r>
        <w:r w:rsidR="002705B4">
          <w:rPr>
            <w:noProof/>
          </w:rPr>
          <w:t>16</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71" w:history="1">
        <w:r w:rsidR="00BC1D60" w:rsidRPr="0033619E">
          <w:rPr>
            <w:rStyle w:val="Hyperlink"/>
            <w:noProof/>
            <w:lang w:val="fr-FR"/>
          </w:rPr>
          <w:t>CSG Ltd (CSV AU / OW / $1.00)</w:t>
        </w:r>
        <w:r w:rsidR="00BC1D60">
          <w:rPr>
            <w:noProof/>
          </w:rPr>
          <w:tab/>
        </w:r>
        <w:r>
          <w:rPr>
            <w:noProof/>
          </w:rPr>
          <w:fldChar w:fldCharType="begin"/>
        </w:r>
        <w:r w:rsidR="00BC1D60">
          <w:rPr>
            <w:noProof/>
          </w:rPr>
          <w:instrText xml:space="preserve"> PAGEREF _Toc392081871 \h </w:instrText>
        </w:r>
        <w:r>
          <w:rPr>
            <w:noProof/>
          </w:rPr>
        </w:r>
        <w:r>
          <w:rPr>
            <w:noProof/>
          </w:rPr>
          <w:fldChar w:fldCharType="separate"/>
        </w:r>
        <w:r w:rsidR="002705B4">
          <w:rPr>
            <w:noProof/>
          </w:rPr>
          <w:t>18</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72" w:history="1">
        <w:r w:rsidR="00BC1D60" w:rsidRPr="0033619E">
          <w:rPr>
            <w:rStyle w:val="Hyperlink"/>
            <w:noProof/>
            <w:lang w:val="es-ES_tradnl"/>
          </w:rPr>
          <w:t>CTT – Correios de Portugal (CTT PL/N/€7.09)</w:t>
        </w:r>
        <w:r w:rsidR="00BC1D60">
          <w:rPr>
            <w:noProof/>
          </w:rPr>
          <w:tab/>
        </w:r>
        <w:r>
          <w:rPr>
            <w:noProof/>
          </w:rPr>
          <w:fldChar w:fldCharType="begin"/>
        </w:r>
        <w:r w:rsidR="00BC1D60">
          <w:rPr>
            <w:noProof/>
          </w:rPr>
          <w:instrText xml:space="preserve"> PAGEREF _Toc392081872 \h </w:instrText>
        </w:r>
        <w:r>
          <w:rPr>
            <w:noProof/>
          </w:rPr>
        </w:r>
        <w:r>
          <w:rPr>
            <w:noProof/>
          </w:rPr>
          <w:fldChar w:fldCharType="separate"/>
        </w:r>
        <w:r w:rsidR="002705B4">
          <w:rPr>
            <w:noProof/>
          </w:rPr>
          <w:t>20</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73" w:history="1">
        <w:r w:rsidR="00BC1D60" w:rsidRPr="0033619E">
          <w:rPr>
            <w:rStyle w:val="Hyperlink"/>
            <w:noProof/>
            <w:lang w:val="fr-FR"/>
          </w:rPr>
          <w:t>EnQuest (ENQ LN / OW / GBp140.4)</w:t>
        </w:r>
        <w:r w:rsidR="00BC1D60">
          <w:rPr>
            <w:noProof/>
          </w:rPr>
          <w:tab/>
        </w:r>
        <w:r>
          <w:rPr>
            <w:noProof/>
          </w:rPr>
          <w:fldChar w:fldCharType="begin"/>
        </w:r>
        <w:r w:rsidR="00BC1D60">
          <w:rPr>
            <w:noProof/>
          </w:rPr>
          <w:instrText xml:space="preserve"> PAGEREF _Toc392081873 \h </w:instrText>
        </w:r>
        <w:r>
          <w:rPr>
            <w:noProof/>
          </w:rPr>
        </w:r>
        <w:r>
          <w:rPr>
            <w:noProof/>
          </w:rPr>
          <w:fldChar w:fldCharType="separate"/>
        </w:r>
        <w:r w:rsidR="002705B4">
          <w:rPr>
            <w:noProof/>
          </w:rPr>
          <w:t>22</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74" w:history="1">
        <w:r w:rsidR="00BC1D60" w:rsidRPr="0033619E">
          <w:rPr>
            <w:rStyle w:val="Hyperlink"/>
            <w:noProof/>
          </w:rPr>
          <w:t>Even (EVEN3 BZ / OW / R$6.57)</w:t>
        </w:r>
        <w:r w:rsidR="00BC1D60">
          <w:rPr>
            <w:noProof/>
          </w:rPr>
          <w:tab/>
        </w:r>
        <w:r>
          <w:rPr>
            <w:noProof/>
          </w:rPr>
          <w:fldChar w:fldCharType="begin"/>
        </w:r>
        <w:r w:rsidR="00BC1D60">
          <w:rPr>
            <w:noProof/>
          </w:rPr>
          <w:instrText xml:space="preserve"> PAGEREF _Toc392081874 \h </w:instrText>
        </w:r>
        <w:r>
          <w:rPr>
            <w:noProof/>
          </w:rPr>
        </w:r>
        <w:r>
          <w:rPr>
            <w:noProof/>
          </w:rPr>
          <w:fldChar w:fldCharType="separate"/>
        </w:r>
        <w:r w:rsidR="002705B4">
          <w:rPr>
            <w:noProof/>
          </w:rPr>
          <w:t>24</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75" w:history="1">
        <w:r w:rsidR="00BC1D60" w:rsidRPr="0033619E">
          <w:rPr>
            <w:rStyle w:val="Hyperlink"/>
            <w:noProof/>
          </w:rPr>
          <w:t>Faurecia (EO FP / OW / €27.98)</w:t>
        </w:r>
        <w:r w:rsidR="00BC1D60">
          <w:rPr>
            <w:noProof/>
          </w:rPr>
          <w:tab/>
        </w:r>
        <w:r>
          <w:rPr>
            <w:noProof/>
          </w:rPr>
          <w:fldChar w:fldCharType="begin"/>
        </w:r>
        <w:r w:rsidR="00BC1D60">
          <w:rPr>
            <w:noProof/>
          </w:rPr>
          <w:instrText xml:space="preserve"> PAGEREF _Toc392081875 \h </w:instrText>
        </w:r>
        <w:r>
          <w:rPr>
            <w:noProof/>
          </w:rPr>
        </w:r>
        <w:r>
          <w:rPr>
            <w:noProof/>
          </w:rPr>
          <w:fldChar w:fldCharType="separate"/>
        </w:r>
        <w:r w:rsidR="002705B4">
          <w:rPr>
            <w:noProof/>
          </w:rPr>
          <w:t>26</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76" w:history="1">
        <w:r w:rsidR="00BC1D60" w:rsidRPr="0033619E">
          <w:rPr>
            <w:rStyle w:val="Hyperlink"/>
            <w:noProof/>
          </w:rPr>
          <w:t>Gameloft (GFT FP / OW / €6.60)</w:t>
        </w:r>
        <w:r w:rsidR="00BC1D60">
          <w:rPr>
            <w:noProof/>
          </w:rPr>
          <w:tab/>
        </w:r>
        <w:r>
          <w:rPr>
            <w:noProof/>
          </w:rPr>
          <w:fldChar w:fldCharType="begin"/>
        </w:r>
        <w:r w:rsidR="00BC1D60">
          <w:rPr>
            <w:noProof/>
          </w:rPr>
          <w:instrText xml:space="preserve"> PAGEREF _Toc392081876 \h </w:instrText>
        </w:r>
        <w:r>
          <w:rPr>
            <w:noProof/>
          </w:rPr>
        </w:r>
        <w:r>
          <w:rPr>
            <w:noProof/>
          </w:rPr>
          <w:fldChar w:fldCharType="separate"/>
        </w:r>
        <w:r w:rsidR="002705B4">
          <w:rPr>
            <w:noProof/>
          </w:rPr>
          <w:t>28</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77" w:history="1">
        <w:r w:rsidR="00BC1D60" w:rsidRPr="0033619E">
          <w:rPr>
            <w:rStyle w:val="Hyperlink"/>
            <w:noProof/>
          </w:rPr>
          <w:t>Gem Diamonds (GEMD LN/OW/GBp143)</w:t>
        </w:r>
        <w:r w:rsidR="00BC1D60">
          <w:rPr>
            <w:noProof/>
          </w:rPr>
          <w:tab/>
        </w:r>
        <w:r>
          <w:rPr>
            <w:noProof/>
          </w:rPr>
          <w:fldChar w:fldCharType="begin"/>
        </w:r>
        <w:r w:rsidR="00BC1D60">
          <w:rPr>
            <w:noProof/>
          </w:rPr>
          <w:instrText xml:space="preserve"> PAGEREF _Toc392081877 \h </w:instrText>
        </w:r>
        <w:r>
          <w:rPr>
            <w:noProof/>
          </w:rPr>
        </w:r>
        <w:r>
          <w:rPr>
            <w:noProof/>
          </w:rPr>
          <w:fldChar w:fldCharType="separate"/>
        </w:r>
        <w:r w:rsidR="002705B4">
          <w:rPr>
            <w:noProof/>
          </w:rPr>
          <w:t>30</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78" w:history="1">
        <w:r w:rsidR="00BC1D60" w:rsidRPr="0033619E">
          <w:rPr>
            <w:rStyle w:val="Hyperlink"/>
            <w:noProof/>
          </w:rPr>
          <w:t>Havas (HAV FP/N/€6.01)</w:t>
        </w:r>
        <w:r w:rsidR="00BC1D60">
          <w:rPr>
            <w:noProof/>
          </w:rPr>
          <w:tab/>
        </w:r>
        <w:r>
          <w:rPr>
            <w:noProof/>
          </w:rPr>
          <w:fldChar w:fldCharType="begin"/>
        </w:r>
        <w:r w:rsidR="00BC1D60">
          <w:rPr>
            <w:noProof/>
          </w:rPr>
          <w:instrText xml:space="preserve"> PAGEREF _Toc392081878 \h </w:instrText>
        </w:r>
        <w:r>
          <w:rPr>
            <w:noProof/>
          </w:rPr>
        </w:r>
        <w:r>
          <w:rPr>
            <w:noProof/>
          </w:rPr>
          <w:fldChar w:fldCharType="separate"/>
        </w:r>
        <w:r w:rsidR="002705B4">
          <w:rPr>
            <w:noProof/>
          </w:rPr>
          <w:t>32</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79" w:history="1">
        <w:r w:rsidR="00BC1D60" w:rsidRPr="0033619E">
          <w:rPr>
            <w:rStyle w:val="Hyperlink"/>
            <w:noProof/>
            <w:lang w:val="en-GB"/>
          </w:rPr>
          <w:t>Jupiter Fund Mgmt (JUP LN/OW/GBp 400.7)</w:t>
        </w:r>
        <w:r w:rsidR="00BC1D60">
          <w:rPr>
            <w:noProof/>
          </w:rPr>
          <w:tab/>
        </w:r>
        <w:r>
          <w:rPr>
            <w:noProof/>
          </w:rPr>
          <w:fldChar w:fldCharType="begin"/>
        </w:r>
        <w:r w:rsidR="00BC1D60">
          <w:rPr>
            <w:noProof/>
          </w:rPr>
          <w:instrText xml:space="preserve"> PAGEREF _Toc392081879 \h </w:instrText>
        </w:r>
        <w:r>
          <w:rPr>
            <w:noProof/>
          </w:rPr>
        </w:r>
        <w:r>
          <w:rPr>
            <w:noProof/>
          </w:rPr>
          <w:fldChar w:fldCharType="separate"/>
        </w:r>
        <w:r w:rsidR="002705B4">
          <w:rPr>
            <w:noProof/>
          </w:rPr>
          <w:t>34</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80" w:history="1">
        <w:r w:rsidR="00BC1D60" w:rsidRPr="0033619E">
          <w:rPr>
            <w:rStyle w:val="Hyperlink"/>
            <w:noProof/>
            <w:lang w:val="fr-FR"/>
          </w:rPr>
          <w:t>Laird (LRD LN / OW / GBp 288.0)</w:t>
        </w:r>
        <w:r w:rsidR="00BC1D60">
          <w:rPr>
            <w:noProof/>
          </w:rPr>
          <w:tab/>
        </w:r>
        <w:r>
          <w:rPr>
            <w:noProof/>
          </w:rPr>
          <w:fldChar w:fldCharType="begin"/>
        </w:r>
        <w:r w:rsidR="00BC1D60">
          <w:rPr>
            <w:noProof/>
          </w:rPr>
          <w:instrText xml:space="preserve"> PAGEREF _Toc392081880 \h </w:instrText>
        </w:r>
        <w:r>
          <w:rPr>
            <w:noProof/>
          </w:rPr>
        </w:r>
        <w:r>
          <w:rPr>
            <w:noProof/>
          </w:rPr>
          <w:fldChar w:fldCharType="separate"/>
        </w:r>
        <w:r w:rsidR="002705B4">
          <w:rPr>
            <w:noProof/>
          </w:rPr>
          <w:t>36</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81" w:history="1">
        <w:r w:rsidR="00BC1D60" w:rsidRPr="0033619E">
          <w:rPr>
            <w:rStyle w:val="Hyperlink"/>
            <w:noProof/>
            <w:lang w:val="en-GB"/>
          </w:rPr>
          <w:t>M6 (MMT FP / OW / €14.67)</w:t>
        </w:r>
        <w:r w:rsidR="00BC1D60">
          <w:rPr>
            <w:noProof/>
          </w:rPr>
          <w:tab/>
        </w:r>
        <w:r>
          <w:rPr>
            <w:noProof/>
          </w:rPr>
          <w:fldChar w:fldCharType="begin"/>
        </w:r>
        <w:r w:rsidR="00BC1D60">
          <w:rPr>
            <w:noProof/>
          </w:rPr>
          <w:instrText xml:space="preserve"> PAGEREF _Toc392081881 \h </w:instrText>
        </w:r>
        <w:r>
          <w:rPr>
            <w:noProof/>
          </w:rPr>
        </w:r>
        <w:r>
          <w:rPr>
            <w:noProof/>
          </w:rPr>
          <w:fldChar w:fldCharType="separate"/>
        </w:r>
        <w:r w:rsidR="002705B4">
          <w:rPr>
            <w:noProof/>
          </w:rPr>
          <w:t>38</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82" w:history="1">
        <w:r w:rsidR="00BC1D60" w:rsidRPr="0033619E">
          <w:rPr>
            <w:rStyle w:val="Hyperlink"/>
            <w:noProof/>
            <w:lang w:val="en-GB"/>
          </w:rPr>
          <w:t>Makalot (1477 TT / Not Covered / NT$160.5)</w:t>
        </w:r>
        <w:r w:rsidR="00BC1D60">
          <w:rPr>
            <w:noProof/>
          </w:rPr>
          <w:tab/>
        </w:r>
        <w:r>
          <w:rPr>
            <w:noProof/>
          </w:rPr>
          <w:fldChar w:fldCharType="begin"/>
        </w:r>
        <w:r w:rsidR="00BC1D60">
          <w:rPr>
            <w:noProof/>
          </w:rPr>
          <w:instrText xml:space="preserve"> PAGEREF _Toc392081882 \h </w:instrText>
        </w:r>
        <w:r>
          <w:rPr>
            <w:noProof/>
          </w:rPr>
        </w:r>
        <w:r>
          <w:rPr>
            <w:noProof/>
          </w:rPr>
          <w:fldChar w:fldCharType="separate"/>
        </w:r>
        <w:r w:rsidR="002705B4">
          <w:rPr>
            <w:noProof/>
          </w:rPr>
          <w:t>40</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83" w:history="1">
        <w:r w:rsidR="00BC1D60" w:rsidRPr="0033619E">
          <w:rPr>
            <w:rStyle w:val="Hyperlink"/>
            <w:noProof/>
            <w:lang w:val="es-ES_tradnl"/>
          </w:rPr>
          <w:t>Media Prima (MPR MK/N/ M$2.61)</w:t>
        </w:r>
        <w:r w:rsidR="00BC1D60">
          <w:rPr>
            <w:noProof/>
          </w:rPr>
          <w:tab/>
        </w:r>
        <w:r>
          <w:rPr>
            <w:noProof/>
          </w:rPr>
          <w:fldChar w:fldCharType="begin"/>
        </w:r>
        <w:r w:rsidR="00BC1D60">
          <w:rPr>
            <w:noProof/>
          </w:rPr>
          <w:instrText xml:space="preserve"> PAGEREF _Toc392081883 \h </w:instrText>
        </w:r>
        <w:r>
          <w:rPr>
            <w:noProof/>
          </w:rPr>
        </w:r>
        <w:r>
          <w:rPr>
            <w:noProof/>
          </w:rPr>
          <w:fldChar w:fldCharType="separate"/>
        </w:r>
        <w:r w:rsidR="002705B4">
          <w:rPr>
            <w:noProof/>
          </w:rPr>
          <w:t>42</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84" w:history="1">
        <w:r w:rsidR="00BC1D60" w:rsidRPr="0033619E">
          <w:rPr>
            <w:rStyle w:val="Hyperlink"/>
            <w:noProof/>
            <w:lang w:eastAsia="ko-KR"/>
          </w:rPr>
          <w:t>Mediobanca</w:t>
        </w:r>
        <w:r w:rsidR="00BC1D60" w:rsidRPr="0033619E">
          <w:rPr>
            <w:rStyle w:val="Hyperlink"/>
            <w:noProof/>
          </w:rPr>
          <w:t xml:space="preserve"> (MB IM/Not Covered</w:t>
        </w:r>
        <w:r w:rsidR="00BC1D60" w:rsidRPr="0033619E">
          <w:rPr>
            <w:rStyle w:val="Hyperlink"/>
            <w:noProof/>
            <w:lang w:eastAsia="ko-KR"/>
          </w:rPr>
          <w:t>/€7.82</w:t>
        </w:r>
        <w:r w:rsidR="00BC1D60" w:rsidRPr="0033619E">
          <w:rPr>
            <w:rStyle w:val="Hyperlink"/>
            <w:noProof/>
          </w:rPr>
          <w:t>)</w:t>
        </w:r>
        <w:r w:rsidR="00BC1D60">
          <w:rPr>
            <w:noProof/>
          </w:rPr>
          <w:tab/>
        </w:r>
        <w:r>
          <w:rPr>
            <w:noProof/>
          </w:rPr>
          <w:fldChar w:fldCharType="begin"/>
        </w:r>
        <w:r w:rsidR="00BC1D60">
          <w:rPr>
            <w:noProof/>
          </w:rPr>
          <w:instrText xml:space="preserve"> PAGEREF _Toc392081884 \h </w:instrText>
        </w:r>
        <w:r>
          <w:rPr>
            <w:noProof/>
          </w:rPr>
        </w:r>
        <w:r>
          <w:rPr>
            <w:noProof/>
          </w:rPr>
          <w:fldChar w:fldCharType="separate"/>
        </w:r>
        <w:r w:rsidR="002705B4">
          <w:rPr>
            <w:noProof/>
          </w:rPr>
          <w:t>44</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85" w:history="1">
        <w:r w:rsidR="00BC1D60" w:rsidRPr="0033619E">
          <w:rPr>
            <w:rStyle w:val="Hyperlink"/>
            <w:noProof/>
            <w:lang w:eastAsia="ja-JP"/>
          </w:rPr>
          <w:t xml:space="preserve">Nihon Kohden (6849 JT / OW / </w:t>
        </w:r>
        <w:r w:rsidR="00BC1D60" w:rsidRPr="0033619E">
          <w:rPr>
            <w:rStyle w:val="Hyperlink"/>
            <w:noProof/>
          </w:rPr>
          <w:t>¥</w:t>
        </w:r>
        <w:r w:rsidR="00BC1D60" w:rsidRPr="0033619E">
          <w:rPr>
            <w:rStyle w:val="Hyperlink"/>
            <w:noProof/>
            <w:lang w:eastAsia="ja-JP"/>
          </w:rPr>
          <w:t>4,945)</w:t>
        </w:r>
        <w:r w:rsidR="00BC1D60">
          <w:rPr>
            <w:noProof/>
          </w:rPr>
          <w:tab/>
        </w:r>
        <w:r>
          <w:rPr>
            <w:noProof/>
          </w:rPr>
          <w:fldChar w:fldCharType="begin"/>
        </w:r>
        <w:r w:rsidR="00BC1D60">
          <w:rPr>
            <w:noProof/>
          </w:rPr>
          <w:instrText xml:space="preserve"> PAGEREF _Toc392081885 \h </w:instrText>
        </w:r>
        <w:r>
          <w:rPr>
            <w:noProof/>
          </w:rPr>
        </w:r>
        <w:r>
          <w:rPr>
            <w:noProof/>
          </w:rPr>
          <w:fldChar w:fldCharType="separate"/>
        </w:r>
        <w:r w:rsidR="002705B4">
          <w:rPr>
            <w:noProof/>
          </w:rPr>
          <w:t>46</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86" w:history="1">
        <w:r w:rsidR="00BC1D60" w:rsidRPr="0033619E">
          <w:rPr>
            <w:rStyle w:val="Hyperlink"/>
            <w:noProof/>
          </w:rPr>
          <w:t>Novatek Micro (3034 TT/OW/NT$138.50)</w:t>
        </w:r>
        <w:r w:rsidR="00BC1D60">
          <w:rPr>
            <w:noProof/>
          </w:rPr>
          <w:tab/>
        </w:r>
        <w:r>
          <w:rPr>
            <w:noProof/>
          </w:rPr>
          <w:fldChar w:fldCharType="begin"/>
        </w:r>
        <w:r w:rsidR="00BC1D60">
          <w:rPr>
            <w:noProof/>
          </w:rPr>
          <w:instrText xml:space="preserve"> PAGEREF _Toc392081886 \h </w:instrText>
        </w:r>
        <w:r>
          <w:rPr>
            <w:noProof/>
          </w:rPr>
        </w:r>
        <w:r>
          <w:rPr>
            <w:noProof/>
          </w:rPr>
          <w:fldChar w:fldCharType="separate"/>
        </w:r>
        <w:r w:rsidR="002705B4">
          <w:rPr>
            <w:noProof/>
          </w:rPr>
          <w:t>48</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87" w:history="1">
        <w:r w:rsidR="00BC1D60" w:rsidRPr="0033619E">
          <w:rPr>
            <w:rStyle w:val="Hyperlink"/>
            <w:noProof/>
          </w:rPr>
          <w:t>Omantel (OTEL OM / OW / RO1.62)</w:t>
        </w:r>
        <w:r w:rsidR="00BC1D60">
          <w:rPr>
            <w:noProof/>
          </w:rPr>
          <w:tab/>
        </w:r>
        <w:r>
          <w:rPr>
            <w:noProof/>
          </w:rPr>
          <w:fldChar w:fldCharType="begin"/>
        </w:r>
        <w:r w:rsidR="00BC1D60">
          <w:rPr>
            <w:noProof/>
          </w:rPr>
          <w:instrText xml:space="preserve"> PAGEREF _Toc392081887 \h </w:instrText>
        </w:r>
        <w:r>
          <w:rPr>
            <w:noProof/>
          </w:rPr>
        </w:r>
        <w:r>
          <w:rPr>
            <w:noProof/>
          </w:rPr>
          <w:fldChar w:fldCharType="separate"/>
        </w:r>
        <w:r w:rsidR="002705B4">
          <w:rPr>
            <w:noProof/>
          </w:rPr>
          <w:t>50</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88" w:history="1">
        <w:r w:rsidR="00BC1D60" w:rsidRPr="0033619E">
          <w:rPr>
            <w:rStyle w:val="Hyperlink"/>
            <w:noProof/>
          </w:rPr>
          <w:t>Pirelli (PC IM / OW / €11.80)</w:t>
        </w:r>
        <w:r w:rsidR="00BC1D60">
          <w:rPr>
            <w:noProof/>
          </w:rPr>
          <w:tab/>
        </w:r>
        <w:r>
          <w:rPr>
            <w:noProof/>
          </w:rPr>
          <w:fldChar w:fldCharType="begin"/>
        </w:r>
        <w:r w:rsidR="00BC1D60">
          <w:rPr>
            <w:noProof/>
          </w:rPr>
          <w:instrText xml:space="preserve"> PAGEREF _Toc392081888 \h </w:instrText>
        </w:r>
        <w:r>
          <w:rPr>
            <w:noProof/>
          </w:rPr>
        </w:r>
        <w:r>
          <w:rPr>
            <w:noProof/>
          </w:rPr>
          <w:fldChar w:fldCharType="separate"/>
        </w:r>
        <w:r w:rsidR="002705B4">
          <w:rPr>
            <w:noProof/>
          </w:rPr>
          <w:t>52</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89" w:history="1">
        <w:r w:rsidR="00BC1D60" w:rsidRPr="0033619E">
          <w:rPr>
            <w:rStyle w:val="Hyperlink"/>
            <w:noProof/>
          </w:rPr>
          <w:t>Prosegur (PSG SM / N / €5.24)</w:t>
        </w:r>
        <w:r w:rsidR="00BC1D60">
          <w:rPr>
            <w:noProof/>
          </w:rPr>
          <w:tab/>
        </w:r>
        <w:r>
          <w:rPr>
            <w:noProof/>
          </w:rPr>
          <w:fldChar w:fldCharType="begin"/>
        </w:r>
        <w:r w:rsidR="00BC1D60">
          <w:rPr>
            <w:noProof/>
          </w:rPr>
          <w:instrText xml:space="preserve"> PAGEREF _Toc392081889 \h </w:instrText>
        </w:r>
        <w:r>
          <w:rPr>
            <w:noProof/>
          </w:rPr>
        </w:r>
        <w:r>
          <w:rPr>
            <w:noProof/>
          </w:rPr>
          <w:fldChar w:fldCharType="separate"/>
        </w:r>
        <w:r w:rsidR="002705B4">
          <w:rPr>
            <w:noProof/>
          </w:rPr>
          <w:t>54</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90" w:history="1">
        <w:r w:rsidR="00BC1D60" w:rsidRPr="0033619E">
          <w:rPr>
            <w:rStyle w:val="Hyperlink"/>
            <w:noProof/>
            <w:lang w:val="en-GB"/>
          </w:rPr>
          <w:t>Quintain (QED LN / OW / GBp 88.25)</w:t>
        </w:r>
        <w:r w:rsidR="00BC1D60">
          <w:rPr>
            <w:noProof/>
          </w:rPr>
          <w:tab/>
        </w:r>
        <w:r>
          <w:rPr>
            <w:noProof/>
          </w:rPr>
          <w:fldChar w:fldCharType="begin"/>
        </w:r>
        <w:r w:rsidR="00BC1D60">
          <w:rPr>
            <w:noProof/>
          </w:rPr>
          <w:instrText xml:space="preserve"> PAGEREF _Toc392081890 \h </w:instrText>
        </w:r>
        <w:r>
          <w:rPr>
            <w:noProof/>
          </w:rPr>
        </w:r>
        <w:r>
          <w:rPr>
            <w:noProof/>
          </w:rPr>
          <w:fldChar w:fldCharType="separate"/>
        </w:r>
        <w:r w:rsidR="002705B4">
          <w:rPr>
            <w:noProof/>
          </w:rPr>
          <w:t>56</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91" w:history="1">
        <w:r w:rsidR="00BC1D60" w:rsidRPr="0033619E">
          <w:rPr>
            <w:rStyle w:val="Hyperlink"/>
            <w:noProof/>
          </w:rPr>
          <w:t>Salzgitter (SZG GY/OW/€30.70)</w:t>
        </w:r>
        <w:r w:rsidR="00BC1D60">
          <w:rPr>
            <w:noProof/>
          </w:rPr>
          <w:tab/>
        </w:r>
        <w:r>
          <w:rPr>
            <w:noProof/>
          </w:rPr>
          <w:fldChar w:fldCharType="begin"/>
        </w:r>
        <w:r w:rsidR="00BC1D60">
          <w:rPr>
            <w:noProof/>
          </w:rPr>
          <w:instrText xml:space="preserve"> PAGEREF _Toc392081891 \h </w:instrText>
        </w:r>
        <w:r>
          <w:rPr>
            <w:noProof/>
          </w:rPr>
        </w:r>
        <w:r>
          <w:rPr>
            <w:noProof/>
          </w:rPr>
          <w:fldChar w:fldCharType="separate"/>
        </w:r>
        <w:r w:rsidR="002705B4">
          <w:rPr>
            <w:noProof/>
          </w:rPr>
          <w:t>58</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92" w:history="1">
        <w:r w:rsidR="00BC1D60" w:rsidRPr="0033619E">
          <w:rPr>
            <w:rStyle w:val="Hyperlink"/>
            <w:noProof/>
          </w:rPr>
          <w:t>Synaptics Inc. (SYNA US / OW / $89.38)</w:t>
        </w:r>
        <w:r w:rsidR="00BC1D60">
          <w:rPr>
            <w:noProof/>
          </w:rPr>
          <w:tab/>
        </w:r>
        <w:r>
          <w:rPr>
            <w:noProof/>
          </w:rPr>
          <w:fldChar w:fldCharType="begin"/>
        </w:r>
        <w:r w:rsidR="00BC1D60">
          <w:rPr>
            <w:noProof/>
          </w:rPr>
          <w:instrText xml:space="preserve"> PAGEREF _Toc392081892 \h </w:instrText>
        </w:r>
        <w:r>
          <w:rPr>
            <w:noProof/>
          </w:rPr>
        </w:r>
        <w:r>
          <w:rPr>
            <w:noProof/>
          </w:rPr>
          <w:fldChar w:fldCharType="separate"/>
        </w:r>
        <w:r w:rsidR="002705B4">
          <w:rPr>
            <w:noProof/>
          </w:rPr>
          <w:t>60</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93" w:history="1">
        <w:r w:rsidR="00BC1D60" w:rsidRPr="0033619E">
          <w:rPr>
            <w:rStyle w:val="Hyperlink"/>
            <w:noProof/>
          </w:rPr>
          <w:t>Techtronic Industries (669 HK / OW / HK$24.35)</w:t>
        </w:r>
        <w:r w:rsidR="00BC1D60">
          <w:rPr>
            <w:noProof/>
          </w:rPr>
          <w:tab/>
        </w:r>
        <w:r>
          <w:rPr>
            <w:noProof/>
          </w:rPr>
          <w:fldChar w:fldCharType="begin"/>
        </w:r>
        <w:r w:rsidR="00BC1D60">
          <w:rPr>
            <w:noProof/>
          </w:rPr>
          <w:instrText xml:space="preserve"> PAGEREF _Toc392081893 \h </w:instrText>
        </w:r>
        <w:r>
          <w:rPr>
            <w:noProof/>
          </w:rPr>
        </w:r>
        <w:r>
          <w:rPr>
            <w:noProof/>
          </w:rPr>
          <w:fldChar w:fldCharType="separate"/>
        </w:r>
        <w:r w:rsidR="002705B4">
          <w:rPr>
            <w:noProof/>
          </w:rPr>
          <w:t>62</w:t>
        </w:r>
        <w:r>
          <w:rPr>
            <w:noProof/>
          </w:rPr>
          <w:fldChar w:fldCharType="end"/>
        </w:r>
      </w:hyperlink>
    </w:p>
    <w:p w:rsidR="00BC1D60" w:rsidRDefault="003B051F" w:rsidP="00BC1D60">
      <w:pPr>
        <w:pStyle w:val="TOC1"/>
        <w:rPr>
          <w:rFonts w:asciiTheme="minorHAnsi" w:eastAsiaTheme="minorEastAsia" w:hAnsiTheme="minorHAnsi" w:cstheme="minorBidi"/>
          <w:b w:val="0"/>
          <w:noProof/>
          <w:color w:val="auto"/>
          <w:sz w:val="22"/>
          <w:szCs w:val="22"/>
        </w:rPr>
      </w:pPr>
      <w:hyperlink w:anchor="_Toc392081894" w:history="1">
        <w:r w:rsidR="00BC1D60" w:rsidRPr="0033619E">
          <w:rPr>
            <w:rStyle w:val="Hyperlink"/>
            <w:noProof/>
          </w:rPr>
          <w:t>Worley Parsons (WOR AU / OW / A$17.3)</w:t>
        </w:r>
        <w:r w:rsidR="00BC1D60">
          <w:rPr>
            <w:noProof/>
          </w:rPr>
          <w:tab/>
        </w:r>
        <w:r>
          <w:rPr>
            <w:noProof/>
          </w:rPr>
          <w:fldChar w:fldCharType="begin"/>
        </w:r>
        <w:r w:rsidR="00BC1D60">
          <w:rPr>
            <w:noProof/>
          </w:rPr>
          <w:instrText xml:space="preserve"> PAGEREF _Toc392081894 \h </w:instrText>
        </w:r>
        <w:r>
          <w:rPr>
            <w:noProof/>
          </w:rPr>
        </w:r>
        <w:r>
          <w:rPr>
            <w:noProof/>
          </w:rPr>
          <w:fldChar w:fldCharType="separate"/>
        </w:r>
        <w:r w:rsidR="002705B4">
          <w:rPr>
            <w:noProof/>
          </w:rPr>
          <w:t>64</w:t>
        </w:r>
        <w:r>
          <w:rPr>
            <w:noProof/>
          </w:rPr>
          <w:fldChar w:fldCharType="end"/>
        </w:r>
      </w:hyperlink>
    </w:p>
    <w:p w:rsidR="00BC1D60" w:rsidRDefault="00BC1D60" w:rsidP="00BC1D60">
      <w:pPr>
        <w:pStyle w:val="TOC1"/>
        <w:rPr>
          <w:rFonts w:asciiTheme="minorHAnsi" w:eastAsiaTheme="minorEastAsia" w:hAnsiTheme="minorHAnsi" w:cstheme="minorBidi"/>
          <w:b w:val="0"/>
          <w:noProof/>
          <w:color w:val="auto"/>
          <w:sz w:val="22"/>
          <w:szCs w:val="22"/>
        </w:rPr>
      </w:pPr>
    </w:p>
    <w:p w:rsidR="00BC1D60" w:rsidRPr="004F1ABB" w:rsidRDefault="003B051F" w:rsidP="00BC1D60">
      <w:pPr>
        <w:rPr>
          <w:sz w:val="21"/>
          <w:szCs w:val="21"/>
          <w:highlight w:val="yellow"/>
        </w:rPr>
      </w:pPr>
      <w:r w:rsidRPr="00CE7051">
        <w:rPr>
          <w:sz w:val="21"/>
          <w:szCs w:val="21"/>
        </w:rPr>
        <w:fldChar w:fldCharType="end"/>
      </w:r>
    </w:p>
    <w:p w:rsidR="00BC1D60" w:rsidRPr="004F1ABB" w:rsidRDefault="00BC1D60" w:rsidP="00BC1D60">
      <w:pPr>
        <w:spacing w:after="480" w:line="0" w:lineRule="auto"/>
        <w:rPr>
          <w:color w:val="FF0000"/>
          <w:sz w:val="20"/>
          <w:highlight w:val="yellow"/>
        </w:rPr>
      </w:pPr>
      <w:r w:rsidRPr="004F1ABB">
        <w:rPr>
          <w:color w:val="FF0000"/>
          <w:highlight w:val="yellow"/>
        </w:rPr>
        <w:br w:type="page"/>
      </w:r>
    </w:p>
    <w:p w:rsidR="00BC1D60" w:rsidRPr="004F1ABB" w:rsidRDefault="00BC1D60" w:rsidP="00BC1D60">
      <w:pPr>
        <w:pStyle w:val="Heading1"/>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818C2" w:rsidRDefault="00BC1D60" w:rsidP="00BC1D60">
      <w:pPr>
        <w:pStyle w:val="Body"/>
        <w:rPr>
          <w:color w:val="FFFFFF" w:themeColor="background1"/>
        </w:rPr>
      </w:pPr>
    </w:p>
    <w:p w:rsidR="00BC1D60" w:rsidRPr="004818C2" w:rsidRDefault="00BC1D60" w:rsidP="00BC1D60">
      <w:pPr>
        <w:pStyle w:val="Body"/>
        <w:rPr>
          <w:color w:val="FFFFFF" w:themeColor="background1"/>
        </w:rPr>
      </w:pPr>
    </w:p>
    <w:p w:rsidR="00BC1D60" w:rsidRPr="004818C2" w:rsidRDefault="00BC1D60" w:rsidP="00BC1D60">
      <w:pPr>
        <w:pStyle w:val="Body"/>
        <w:rPr>
          <w:color w:val="FFFFFF" w:themeColor="background1"/>
        </w:rPr>
      </w:pPr>
    </w:p>
    <w:p w:rsidR="00BC1D60" w:rsidRPr="004818C2" w:rsidRDefault="00BC1D60" w:rsidP="00BC1D60">
      <w:pPr>
        <w:spacing w:line="240" w:lineRule="atLeast"/>
        <w:ind w:left="357" w:hanging="357"/>
        <w:rPr>
          <w:color w:val="FFFFFF" w:themeColor="background1"/>
        </w:rPr>
        <w:sectPr w:rsidR="00BC1D60" w:rsidRPr="004818C2" w:rsidSect="009339A1">
          <w:headerReference w:type="first" r:id="rId25"/>
          <w:footerReference w:type="first" r:id="rId26"/>
          <w:pgSz w:w="12240" w:h="15840" w:code="1"/>
          <w:pgMar w:top="1620" w:right="1138" w:bottom="936" w:left="4248" w:header="936" w:footer="576" w:gutter="0"/>
          <w:cols w:space="720"/>
          <w:formProt w:val="0"/>
          <w:docGrid w:linePitch="360"/>
        </w:sectPr>
      </w:pPr>
      <w:r w:rsidRPr="004818C2">
        <w:rPr>
          <w:i/>
        </w:rPr>
        <w:t>This page is intentionally left blank</w:t>
      </w:r>
    </w:p>
    <w:p w:rsidR="00BC1D60" w:rsidRPr="004F1ABB" w:rsidRDefault="003B051F" w:rsidP="00BC1D60">
      <w:pPr>
        <w:pStyle w:val="Body"/>
        <w:rPr>
          <w:color w:val="FFFFFF" w:themeColor="background1"/>
          <w:highlight w:val="yellow"/>
        </w:rPr>
      </w:pPr>
      <w:r w:rsidRPr="003B051F">
        <w:rPr>
          <w:noProof/>
          <w:color w:val="FFFFFF" w:themeColor="background1"/>
          <w:highlight w:val="yellow"/>
          <w:lang w:eastAsia="en-GB"/>
        </w:rPr>
        <w:lastRenderedPageBreak/>
        <w:pict>
          <v:group id="_x0000_s1026" style="position:absolute;margin-left:195.75pt;margin-top:-85.8pt;width:204.35pt;height:803.05pt;z-index:251660288" coordorigin="8836" coordsize="3452,15840">
            <v:rect id="_x0000_s1027" style="position:absolute;left:8836;width:3452;height:15840;mso-position-horizontal-relative:page;mso-position-vertical-relative:page" fillcolor="#6d6e71" stroked="f"/>
            <v:line id="_x0000_s1028" style="position:absolute;mso-position-horizontal-relative:page;mso-position-vertical-relative:page" from="9000,0" to="9000,15840" strokecolor="white" strokeweight="2pt"/>
            <v:shapetype id="_x0000_t202" coordsize="21600,21600" o:spt="202" path="m,l,21600r21600,l21600,xe">
              <v:stroke joinstyle="miter"/>
              <v:path gradientshapeok="t" o:connecttype="rect"/>
            </v:shapetype>
            <v:shape id="_x0000_s1029" type="#_x0000_t202" style="position:absolute;left:10128;top:756;width:1440;height:14220;mso-position-horizontal-relative:page;mso-position-vertical-relative:page" filled="f" stroked="f">
              <v:textbox style="layout-flow:vertical;mso-layout-flow-alt:bottom-to-top;mso-next-textbox:#_x0000_s1029">
                <w:txbxContent>
                  <w:p w:rsidR="00BC1D60" w:rsidRPr="00B2607E" w:rsidRDefault="00BC1D60" w:rsidP="00BC1D60">
                    <w:pPr>
                      <w:rPr>
                        <w:rFonts w:ascii="Arial" w:hAnsi="Arial"/>
                        <w:color w:val="FFFFFF"/>
                        <w:spacing w:val="20"/>
                        <w:sz w:val="64"/>
                        <w:szCs w:val="64"/>
                      </w:rPr>
                    </w:pPr>
                    <w:r>
                      <w:rPr>
                        <w:rFonts w:ascii="Arial" w:hAnsi="Arial"/>
                        <w:color w:val="FFFFFF"/>
                        <w:spacing w:val="20"/>
                        <w:sz w:val="64"/>
                        <w:szCs w:val="64"/>
                      </w:rPr>
                      <w:t>Investment Opportunities</w:t>
                    </w:r>
                  </w:p>
                </w:txbxContent>
              </v:textbox>
            </v:shape>
          </v:group>
        </w:pict>
      </w:r>
    </w:p>
    <w:p w:rsidR="00BC1D60" w:rsidRPr="004F1ABB" w:rsidRDefault="00BC1D60" w:rsidP="00BC1D60">
      <w:pPr>
        <w:spacing w:after="480" w:line="0" w:lineRule="auto"/>
        <w:rPr>
          <w:color w:val="FFFFFF" w:themeColor="background1"/>
          <w:sz w:val="20"/>
          <w:highlight w:val="yellow"/>
        </w:rPr>
      </w:pPr>
      <w:r w:rsidRPr="004F1ABB">
        <w:rPr>
          <w:color w:val="FFFFFF" w:themeColor="background1"/>
          <w:highlight w:val="yellow"/>
        </w:rPr>
        <w:br w:type="page"/>
      </w:r>
    </w:p>
    <w:p w:rsidR="00BC1D60" w:rsidRPr="004F1ABB" w:rsidRDefault="00BC1D60" w:rsidP="00BC1D60">
      <w:pPr>
        <w:pStyle w:val="Sidecomments"/>
        <w:framePr w:w="0" w:hRule="auto" w:wrap="around"/>
        <w:rPr>
          <w:highlight w:val="yellow"/>
        </w:rPr>
      </w:pPr>
      <w:r w:rsidRPr="004F6A3B">
        <w:rPr>
          <w:noProof/>
        </w:rPr>
        <w:lastRenderedPageBreak/>
        <w:drawing>
          <wp:inline distT="0" distB="0" distL="0" distR="0">
            <wp:extent cx="1737360" cy="7723698"/>
            <wp:effectExtent l="19050" t="0" r="0" b="0"/>
            <wp:docPr id="10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srcRect/>
                    <a:stretch>
                      <a:fillRect/>
                    </a:stretch>
                  </pic:blipFill>
                  <pic:spPr bwMode="auto">
                    <a:xfrm>
                      <a:off x="0" y="0"/>
                      <a:ext cx="1737360" cy="7723698"/>
                    </a:xfrm>
                    <a:prstGeom prst="rect">
                      <a:avLst/>
                    </a:prstGeom>
                    <a:noFill/>
                    <a:ln w="9525">
                      <a:noFill/>
                      <a:miter lim="800000"/>
                      <a:headEnd/>
                      <a:tailEnd/>
                    </a:ln>
                  </pic:spPr>
                </pic:pic>
              </a:graphicData>
            </a:graphic>
          </wp:inline>
        </w:drawing>
      </w:r>
    </w:p>
    <w:p w:rsidR="00BC1D60" w:rsidRPr="009D41AB" w:rsidRDefault="00BC1D60" w:rsidP="00BC1D60">
      <w:pPr>
        <w:pStyle w:val="Heading1"/>
        <w:spacing w:before="0" w:after="120"/>
      </w:pPr>
      <w:bookmarkStart w:id="62" w:name="_Ref352248447"/>
      <w:bookmarkStart w:id="63" w:name="_Toc352262677"/>
      <w:bookmarkStart w:id="64" w:name="_Toc352262851"/>
      <w:bookmarkStart w:id="65" w:name="_Toc360569880"/>
      <w:bookmarkStart w:id="66" w:name="_Toc368081327"/>
      <w:bookmarkStart w:id="67" w:name="_Toc376802051"/>
      <w:bookmarkStart w:id="68" w:name="_Toc384135975"/>
      <w:bookmarkStart w:id="69" w:name="_Toc392099054"/>
      <w:bookmarkStart w:id="70" w:name="_Toc392081803"/>
      <w:bookmarkStart w:id="71" w:name="_Toc392081866"/>
      <w:r w:rsidRPr="009D41AB">
        <w:t>Beijing Capital Int</w:t>
      </w:r>
      <w:r>
        <w:t>’</w:t>
      </w:r>
      <w:r w:rsidRPr="009D41AB">
        <w:t>l Airport (694 HK / OW / HK$5.30)</w:t>
      </w:r>
      <w:bookmarkEnd w:id="62"/>
      <w:bookmarkEnd w:id="63"/>
      <w:bookmarkEnd w:id="64"/>
      <w:bookmarkEnd w:id="65"/>
      <w:bookmarkEnd w:id="66"/>
      <w:bookmarkEnd w:id="67"/>
      <w:bookmarkEnd w:id="68"/>
      <w:bookmarkEnd w:id="69"/>
      <w:bookmarkEnd w:id="70"/>
      <w:bookmarkEnd w:id="71"/>
    </w:p>
    <w:p w:rsidR="00BC1D60" w:rsidRPr="009D41AB" w:rsidRDefault="00BC1D60" w:rsidP="00BC1D60">
      <w:pPr>
        <w:pStyle w:val="Heading2"/>
        <w:spacing w:after="80"/>
        <w:rPr>
          <w:i/>
        </w:rPr>
      </w:pPr>
      <w:r w:rsidRPr="009D41AB">
        <w:rPr>
          <w:i/>
        </w:rPr>
        <w:t>Accelerating int’l traffic growth to drive profitability, valuation discount to regional peers unjustified</w:t>
      </w:r>
    </w:p>
    <w:p w:rsidR="00BC1D60" w:rsidRPr="009D41AB" w:rsidRDefault="00BC1D60" w:rsidP="00BC1D60">
      <w:pPr>
        <w:pStyle w:val="Heading3"/>
        <w:spacing w:after="0" w:line="220" w:lineRule="exact"/>
      </w:pPr>
      <w:r w:rsidRPr="009D41AB">
        <w:t>Investment Highlights:</w:t>
      </w:r>
    </w:p>
    <w:p w:rsidR="00BC1D60" w:rsidRPr="009D41AB" w:rsidRDefault="00BC1D60" w:rsidP="00BC1D60">
      <w:pPr>
        <w:pStyle w:val="Bullet"/>
        <w:tabs>
          <w:tab w:val="clear" w:pos="288"/>
          <w:tab w:val="left" w:pos="360"/>
        </w:tabs>
        <w:spacing w:after="40" w:line="220" w:lineRule="exact"/>
        <w:ind w:left="180" w:right="-58" w:hanging="180"/>
      </w:pPr>
      <w:r w:rsidRPr="009D41AB">
        <w:t xml:space="preserve">We believe the capital’s airport assets are undervalued, while its </w:t>
      </w:r>
      <w:r>
        <w:t>grw</w:t>
      </w:r>
      <w:r w:rsidRPr="009D41AB">
        <w:t xml:space="preserve"> potential is underestimated despite its distinctive business model </w:t>
      </w:r>
      <w:r>
        <w:t xml:space="preserve">&amp; </w:t>
      </w:r>
      <w:r w:rsidRPr="009D41AB">
        <w:t>still-young maturity profile.</w:t>
      </w:r>
    </w:p>
    <w:p w:rsidR="00BC1D60" w:rsidRPr="009D41AB" w:rsidRDefault="00BC1D60" w:rsidP="00BC1D60">
      <w:pPr>
        <w:pStyle w:val="Bullet"/>
        <w:tabs>
          <w:tab w:val="clear" w:pos="288"/>
          <w:tab w:val="left" w:pos="360"/>
        </w:tabs>
        <w:spacing w:after="40" w:line="220" w:lineRule="exact"/>
        <w:ind w:left="180" w:right="-76" w:hanging="180"/>
      </w:pPr>
      <w:r w:rsidRPr="009D41AB">
        <w:t>We expect the impending approval of Beijing’s second airport project to act as a positive price catalyst.</w:t>
      </w:r>
    </w:p>
    <w:p w:rsidR="00BC1D60" w:rsidRPr="009D41AB" w:rsidRDefault="00BC1D60" w:rsidP="00BC1D60">
      <w:pPr>
        <w:pStyle w:val="Bullet"/>
        <w:tabs>
          <w:tab w:val="clear" w:pos="288"/>
          <w:tab w:val="left" w:pos="360"/>
        </w:tabs>
        <w:spacing w:after="40" w:line="220" w:lineRule="exact"/>
        <w:ind w:left="180" w:right="-76" w:hanging="180"/>
      </w:pPr>
      <w:r w:rsidRPr="009D41AB">
        <w:t xml:space="preserve">Capacity bottlenecks seem relieved by reallocation of landing slots to the more profitable int'l routes. With supply less </w:t>
      </w:r>
      <w:r>
        <w:t xml:space="preserve">of </w:t>
      </w:r>
      <w:r w:rsidRPr="009D41AB">
        <w:t>a constraint, we expect a virtuous cycle of demand-driven growth for int’l air travel.</w:t>
      </w:r>
    </w:p>
    <w:p w:rsidR="00BC1D60" w:rsidRPr="009D41AB" w:rsidRDefault="00BC1D60" w:rsidP="00BC1D60">
      <w:pPr>
        <w:pStyle w:val="Bullet"/>
        <w:tabs>
          <w:tab w:val="clear" w:pos="288"/>
          <w:tab w:val="left" w:pos="360"/>
        </w:tabs>
        <w:spacing w:after="40" w:line="220" w:lineRule="exact"/>
        <w:ind w:left="180" w:right="-76" w:hanging="180"/>
      </w:pPr>
      <w:r w:rsidRPr="009D41AB">
        <w:t>An increase in payout is conceivable from 2015, in our view, which we believe should further enhance BCIA’s attraction.</w:t>
      </w:r>
    </w:p>
    <w:p w:rsidR="00BC1D60" w:rsidRPr="009D41AB" w:rsidRDefault="00BC1D60" w:rsidP="00BC1D60">
      <w:pPr>
        <w:pStyle w:val="Bullet"/>
        <w:tabs>
          <w:tab w:val="clear" w:pos="288"/>
          <w:tab w:val="left" w:pos="360"/>
        </w:tabs>
        <w:spacing w:after="40" w:line="220" w:lineRule="exact"/>
        <w:ind w:left="180" w:right="-76" w:hanging="180"/>
      </w:pPr>
      <w:r w:rsidRPr="009D41AB">
        <w:t>BCIA appears attractively valued at current levels, particularly relative to other regional airports of similar operational scale, namely MAHB and AOT, both of which have held intriguingly well despite weaker-than-expected operational results YTD.</w:t>
      </w:r>
    </w:p>
    <w:p w:rsidR="00BC1D60" w:rsidRPr="009D41AB" w:rsidRDefault="00BC1D60" w:rsidP="00BC1D60">
      <w:pPr>
        <w:pStyle w:val="Body"/>
        <w:spacing w:after="80" w:line="220" w:lineRule="exact"/>
        <w:rPr>
          <w:rFonts w:cs="Arial"/>
          <w:bCs/>
          <w:szCs w:val="26"/>
        </w:rPr>
      </w:pPr>
      <w:r w:rsidRPr="009D41AB">
        <w:rPr>
          <w:b/>
        </w:rPr>
        <w:t xml:space="preserve">Valuation / Risks to our View: </w:t>
      </w:r>
      <w:r w:rsidRPr="009D41AB">
        <w:rPr>
          <w:rFonts w:cs="Arial"/>
          <w:bCs/>
          <w:szCs w:val="26"/>
        </w:rPr>
        <w:t xml:space="preserve">Our </w:t>
      </w:r>
      <w:r>
        <w:rPr>
          <w:rFonts w:cs="Arial"/>
          <w:bCs/>
          <w:szCs w:val="26"/>
        </w:rPr>
        <w:t xml:space="preserve">DCF-derived </w:t>
      </w:r>
      <w:r w:rsidRPr="009D41AB">
        <w:rPr>
          <w:rFonts w:cs="Arial"/>
          <w:bCs/>
          <w:szCs w:val="26"/>
        </w:rPr>
        <w:t xml:space="preserve">Dec-14 PT of HK$8.3 translates into a </w:t>
      </w:r>
      <w:r>
        <w:rPr>
          <w:rFonts w:cs="Arial"/>
          <w:bCs/>
          <w:szCs w:val="26"/>
        </w:rPr>
        <w:t>tgt</w:t>
      </w:r>
      <w:r w:rsidRPr="009D41AB">
        <w:rPr>
          <w:rFonts w:cs="Arial"/>
          <w:bCs/>
          <w:szCs w:val="26"/>
        </w:rPr>
        <w:t xml:space="preserve"> P/B of 1.7x/1.6x, Op-CF to EV </w:t>
      </w:r>
      <w:r>
        <w:rPr>
          <w:rFonts w:cs="Arial"/>
          <w:bCs/>
          <w:szCs w:val="26"/>
        </w:rPr>
        <w:t>yld</w:t>
      </w:r>
      <w:r w:rsidRPr="009D41AB">
        <w:rPr>
          <w:rFonts w:cs="Arial"/>
          <w:bCs/>
          <w:szCs w:val="26"/>
        </w:rPr>
        <w:t xml:space="preserve"> of 9.6%/9.9%, and E</w:t>
      </w:r>
      <w:r>
        <w:rPr>
          <w:rFonts w:cs="Arial"/>
          <w:bCs/>
          <w:szCs w:val="26"/>
        </w:rPr>
        <w:t>V/EBITDA of 9.2x/8.3x on FY14/</w:t>
      </w:r>
      <w:r w:rsidRPr="009D41AB">
        <w:rPr>
          <w:rFonts w:cs="Arial"/>
          <w:bCs/>
          <w:szCs w:val="26"/>
        </w:rPr>
        <w:t xml:space="preserve">15E. Our DCF-based </w:t>
      </w:r>
      <w:r>
        <w:rPr>
          <w:rFonts w:cs="Arial"/>
          <w:bCs/>
          <w:szCs w:val="26"/>
        </w:rPr>
        <w:t>val.</w:t>
      </w:r>
      <w:r w:rsidRPr="009D41AB">
        <w:rPr>
          <w:rFonts w:cs="Arial"/>
          <w:bCs/>
          <w:szCs w:val="26"/>
        </w:rPr>
        <w:t xml:space="preserve"> continues to include the potential capex related to the Beijing </w:t>
      </w:r>
      <w:r>
        <w:rPr>
          <w:rFonts w:cs="Arial"/>
          <w:bCs/>
          <w:szCs w:val="26"/>
        </w:rPr>
        <w:t>2nd</w:t>
      </w:r>
      <w:r w:rsidRPr="009D41AB">
        <w:rPr>
          <w:rFonts w:cs="Arial"/>
          <w:bCs/>
          <w:szCs w:val="26"/>
        </w:rPr>
        <w:t xml:space="preserve"> airport without incremental benefits. Removing all the capex associated would lift our PT to HK$14.0. </w:t>
      </w:r>
      <w:r w:rsidRPr="009D41AB">
        <w:t xml:space="preserve">Downside risks to our view: weaker-than-expected traffic growth, faster-than-expected increase in costs, and untimely launch, or cost overrun of the new capex project – i.e., investment in the Beijing second </w:t>
      </w:r>
      <w:r>
        <w:t>a</w:t>
      </w:r>
      <w:r w:rsidRPr="009D41AB">
        <w:t>irport, if the company does choose to participate in an asset-heavy way.</w:t>
      </w:r>
    </w:p>
    <w:p w:rsidR="00BC1D60" w:rsidRPr="009D41AB" w:rsidRDefault="00BC1D60" w:rsidP="00BC1D60">
      <w:pPr>
        <w:pStyle w:val="Heading3"/>
        <w:spacing w:after="80" w:line="220" w:lineRule="exact"/>
        <w:rPr>
          <w:b w:val="0"/>
        </w:rPr>
      </w:pPr>
      <w:r w:rsidRPr="009D41AB">
        <w:t xml:space="preserve">BCIA in a Nutshell: </w:t>
      </w:r>
      <w:r w:rsidRPr="009D41AB">
        <w:rPr>
          <w:b w:val="0"/>
        </w:rPr>
        <w:t xml:space="preserve">Beijing Capital International Airport Company Limited was incorporated as a joint stock company with limited liability in China on 15 October 1999 to own and manage the aeronautical operations and certain ancillary commercial businesses at the international airport in Beijing. The </w:t>
      </w:r>
      <w:r>
        <w:rPr>
          <w:b w:val="0"/>
        </w:rPr>
        <w:t>c</w:t>
      </w:r>
      <w:r w:rsidRPr="009D41AB">
        <w:rPr>
          <w:b w:val="0"/>
        </w:rPr>
        <w:t>ompany was listed on 1 February 2000 on the HKSE.</w:t>
      </w:r>
      <w:r>
        <w:rPr>
          <w:b w:val="0"/>
        </w:rPr>
        <w:t xml:space="preserve"> </w:t>
      </w:r>
    </w:p>
    <w:p w:rsidR="00BC1D60" w:rsidRPr="004F6A3B" w:rsidRDefault="00BC1D60" w:rsidP="00BC1D60">
      <w:pPr>
        <w:pStyle w:val="Heading3"/>
      </w:pPr>
      <w:r w:rsidRPr="004F6A3B">
        <w:t>Price Perf vs MSCI Small Cap Europe (rebased as of 1-year ago)</w:t>
      </w:r>
    </w:p>
    <w:p w:rsidR="00BC1D60" w:rsidRPr="004F1ABB" w:rsidRDefault="00BC1D60" w:rsidP="00BC1D60">
      <w:pPr>
        <w:pStyle w:val="Body"/>
        <w:spacing w:after="0"/>
        <w:rPr>
          <w:noProof/>
          <w:highlight w:val="yellow"/>
          <w:lang w:eastAsia="en-GB"/>
        </w:rPr>
      </w:pPr>
      <w:r w:rsidRPr="004F6A3B">
        <w:rPr>
          <w:noProof/>
        </w:rPr>
        <w:drawing>
          <wp:inline distT="0" distB="0" distL="0" distR="0">
            <wp:extent cx="4352925" cy="1485900"/>
            <wp:effectExtent l="19050" t="0" r="9525" b="0"/>
            <wp:docPr id="102"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8"/>
                    <a:srcRect t="5714" b="5143"/>
                    <a:stretch>
                      <a:fillRect/>
                    </a:stretch>
                  </pic:blipFill>
                  <pic:spPr bwMode="auto">
                    <a:xfrm>
                      <a:off x="0" y="0"/>
                      <a:ext cx="4352925" cy="1485900"/>
                    </a:xfrm>
                    <a:prstGeom prst="rect">
                      <a:avLst/>
                    </a:prstGeom>
                    <a:noFill/>
                    <a:ln w="9525">
                      <a:noFill/>
                      <a:miter lim="800000"/>
                      <a:headEnd/>
                      <a:tailEnd/>
                    </a:ln>
                  </pic:spPr>
                </pic:pic>
              </a:graphicData>
            </a:graphic>
          </wp:inline>
        </w:drawing>
      </w:r>
    </w:p>
    <w:p w:rsidR="00BC1D60" w:rsidRPr="00FF1987" w:rsidRDefault="00BC1D60" w:rsidP="00BC1D60">
      <w:pPr>
        <w:pStyle w:val="Body"/>
        <w:spacing w:after="60"/>
        <w:rPr>
          <w:b/>
        </w:rPr>
      </w:pPr>
      <w:r w:rsidRPr="00FF1987">
        <w:rPr>
          <w:b/>
        </w:rPr>
        <w:t>J.P. Morgan Estimates</w:t>
      </w:r>
    </w:p>
    <w:tbl>
      <w:tblPr>
        <w:tblW w:w="5000" w:type="pct"/>
        <w:tblCellMar>
          <w:left w:w="0" w:type="dxa"/>
          <w:right w:w="43" w:type="dxa"/>
        </w:tblCellMar>
        <w:tblLook w:val="01E0"/>
      </w:tblPr>
      <w:tblGrid>
        <w:gridCol w:w="1782"/>
        <w:gridCol w:w="1023"/>
        <w:gridCol w:w="1023"/>
        <w:gridCol w:w="1023"/>
        <w:gridCol w:w="1023"/>
        <w:gridCol w:w="1023"/>
      </w:tblGrid>
      <w:tr w:rsidR="00BC1D60" w:rsidTr="00BC5B38">
        <w:trPr>
          <w:cantSplit/>
        </w:trPr>
        <w:tc>
          <w:tcPr>
            <w:tcW w:w="1782" w:type="dxa"/>
            <w:tcBorders>
              <w:top w:val="single" w:sz="4" w:space="0" w:color="auto"/>
            </w:tcBorders>
          </w:tcPr>
          <w:p w:rsidR="00BC1D60" w:rsidRDefault="00BC1D60" w:rsidP="00BC5B38">
            <w:pPr>
              <w:pStyle w:val="ESTableRow"/>
              <w:keepNext/>
            </w:pPr>
            <w:r>
              <w:rPr>
                <w:rFonts w:ascii="Arial Narrow"/>
                <w:b/>
              </w:rPr>
              <w:t>Rmb in mn, year-end Dec</w:t>
            </w:r>
          </w:p>
        </w:tc>
        <w:tc>
          <w:tcPr>
            <w:tcW w:w="1023" w:type="dxa"/>
            <w:tcBorders>
              <w:top w:val="single" w:sz="4" w:space="0" w:color="auto"/>
            </w:tcBorders>
          </w:tcPr>
          <w:p w:rsidR="00BC1D60" w:rsidRDefault="00BC1D60" w:rsidP="00BC5B38">
            <w:pPr>
              <w:pStyle w:val="ESTableRow"/>
              <w:keepNext/>
              <w:jc w:val="right"/>
            </w:pPr>
            <w:r>
              <w:rPr>
                <w:rFonts w:ascii="Arial Narrow"/>
                <w:b/>
              </w:rPr>
              <w:t>FY12A</w:t>
            </w:r>
          </w:p>
        </w:tc>
        <w:tc>
          <w:tcPr>
            <w:tcW w:w="1023" w:type="dxa"/>
            <w:tcBorders>
              <w:top w:val="single" w:sz="4" w:space="0" w:color="auto"/>
            </w:tcBorders>
          </w:tcPr>
          <w:p w:rsidR="00BC1D60" w:rsidRDefault="00BC1D60" w:rsidP="00BC5B38">
            <w:pPr>
              <w:pStyle w:val="ESTableRow"/>
              <w:keepNext/>
              <w:jc w:val="right"/>
            </w:pPr>
            <w:r>
              <w:rPr>
                <w:rFonts w:ascii="Arial Narrow"/>
                <w:b/>
              </w:rPr>
              <w:t>FY13A</w:t>
            </w:r>
          </w:p>
        </w:tc>
        <w:tc>
          <w:tcPr>
            <w:tcW w:w="1023" w:type="dxa"/>
            <w:tcBorders>
              <w:top w:val="single" w:sz="4" w:space="0" w:color="auto"/>
            </w:tcBorders>
          </w:tcPr>
          <w:p w:rsidR="00BC1D60" w:rsidRDefault="00BC1D60" w:rsidP="00BC5B38">
            <w:pPr>
              <w:pStyle w:val="ESTableRow"/>
              <w:keepNext/>
              <w:jc w:val="right"/>
            </w:pPr>
            <w:r>
              <w:rPr>
                <w:rFonts w:ascii="Arial Narrow"/>
                <w:b/>
              </w:rPr>
              <w:t>FY14E</w:t>
            </w:r>
          </w:p>
        </w:tc>
        <w:tc>
          <w:tcPr>
            <w:tcW w:w="1023" w:type="dxa"/>
            <w:tcBorders>
              <w:top w:val="single" w:sz="4" w:space="0" w:color="auto"/>
            </w:tcBorders>
          </w:tcPr>
          <w:p w:rsidR="00BC1D60" w:rsidRDefault="00BC1D60" w:rsidP="00BC5B38">
            <w:pPr>
              <w:pStyle w:val="ESTableRow"/>
              <w:keepNext/>
              <w:jc w:val="right"/>
            </w:pPr>
            <w:r>
              <w:rPr>
                <w:rFonts w:ascii="Arial Narrow"/>
                <w:b/>
              </w:rPr>
              <w:t>FY15E</w:t>
            </w:r>
          </w:p>
        </w:tc>
        <w:tc>
          <w:tcPr>
            <w:tcW w:w="1023" w:type="dxa"/>
            <w:tcBorders>
              <w:top w:val="single" w:sz="4" w:space="0" w:color="auto"/>
            </w:tcBorders>
          </w:tcPr>
          <w:p w:rsidR="00BC1D60" w:rsidRDefault="00BC1D60" w:rsidP="00BC5B38">
            <w:pPr>
              <w:pStyle w:val="ESTableRow"/>
              <w:keepNext/>
              <w:jc w:val="right"/>
            </w:pPr>
            <w:r>
              <w:rPr>
                <w:rFonts w:ascii="Arial Narrow"/>
                <w:b/>
              </w:rPr>
              <w:t>FY16E</w:t>
            </w:r>
          </w:p>
        </w:tc>
      </w:tr>
      <w:tr w:rsidR="00BC1D60" w:rsidTr="00BC5B38">
        <w:trPr>
          <w:cantSplit/>
        </w:trPr>
        <w:tc>
          <w:tcPr>
            <w:tcW w:w="1782" w:type="dxa"/>
            <w:tcBorders>
              <w:top w:val="single" w:sz="4" w:space="0" w:color="auto"/>
            </w:tcBorders>
          </w:tcPr>
          <w:p w:rsidR="00BC1D60" w:rsidRDefault="00BC1D60" w:rsidP="00BC5B38">
            <w:pPr>
              <w:pStyle w:val="ESTableRow"/>
              <w:keepNext/>
            </w:pPr>
            <w:r>
              <w:rPr>
                <w:rFonts w:ascii="Arial Narrow"/>
              </w:rPr>
              <w:t>Total Revenue (Rmb mn)</w:t>
            </w:r>
          </w:p>
        </w:tc>
        <w:tc>
          <w:tcPr>
            <w:tcW w:w="1023" w:type="dxa"/>
            <w:tcBorders>
              <w:top w:val="single" w:sz="4" w:space="0" w:color="auto"/>
            </w:tcBorders>
          </w:tcPr>
          <w:p w:rsidR="00BC1D60" w:rsidRDefault="00BC1D60" w:rsidP="00BC5B38">
            <w:pPr>
              <w:pStyle w:val="ESTableRow"/>
              <w:keepNext/>
              <w:jc w:val="right"/>
            </w:pPr>
            <w:r>
              <w:rPr>
                <w:rFonts w:ascii="Arial Narrow"/>
              </w:rPr>
              <w:t>6,623</w:t>
            </w:r>
          </w:p>
        </w:tc>
        <w:tc>
          <w:tcPr>
            <w:tcW w:w="1023" w:type="dxa"/>
            <w:tcBorders>
              <w:top w:val="single" w:sz="4" w:space="0" w:color="auto"/>
            </w:tcBorders>
          </w:tcPr>
          <w:p w:rsidR="00BC1D60" w:rsidRDefault="00BC1D60" w:rsidP="00BC5B38">
            <w:pPr>
              <w:pStyle w:val="ESTableRow"/>
              <w:keepNext/>
              <w:jc w:val="right"/>
            </w:pPr>
            <w:r>
              <w:rPr>
                <w:rFonts w:ascii="Arial Narrow"/>
              </w:rPr>
              <w:t>7,131</w:t>
            </w:r>
          </w:p>
        </w:tc>
        <w:tc>
          <w:tcPr>
            <w:tcW w:w="1023" w:type="dxa"/>
            <w:tcBorders>
              <w:top w:val="single" w:sz="4" w:space="0" w:color="auto"/>
            </w:tcBorders>
          </w:tcPr>
          <w:p w:rsidR="00BC1D60" w:rsidRDefault="00BC1D60" w:rsidP="00BC5B38">
            <w:pPr>
              <w:pStyle w:val="ESTableRow"/>
              <w:keepNext/>
              <w:jc w:val="right"/>
            </w:pPr>
            <w:r>
              <w:rPr>
                <w:rFonts w:ascii="Arial Narrow"/>
              </w:rPr>
              <w:t>7,632</w:t>
            </w:r>
          </w:p>
        </w:tc>
        <w:tc>
          <w:tcPr>
            <w:tcW w:w="1023" w:type="dxa"/>
            <w:tcBorders>
              <w:top w:val="single" w:sz="4" w:space="0" w:color="auto"/>
            </w:tcBorders>
          </w:tcPr>
          <w:p w:rsidR="00BC1D60" w:rsidRDefault="00BC1D60" w:rsidP="00BC5B38">
            <w:pPr>
              <w:pStyle w:val="ESTableRow"/>
              <w:keepNext/>
              <w:jc w:val="right"/>
            </w:pPr>
            <w:r>
              <w:rPr>
                <w:rFonts w:ascii="Arial Narrow"/>
              </w:rPr>
              <w:t>8,021</w:t>
            </w:r>
          </w:p>
        </w:tc>
        <w:tc>
          <w:tcPr>
            <w:tcW w:w="1023" w:type="dxa"/>
            <w:tcBorders>
              <w:top w:val="single" w:sz="4" w:space="0" w:color="auto"/>
            </w:tcBorders>
          </w:tcPr>
          <w:p w:rsidR="00BC1D60" w:rsidRDefault="00BC1D60" w:rsidP="00BC5B38">
            <w:pPr>
              <w:pStyle w:val="ESTableRow"/>
              <w:keepNext/>
              <w:jc w:val="right"/>
            </w:pPr>
            <w:r>
              <w:rPr>
                <w:rFonts w:ascii="Arial Narrow"/>
              </w:rPr>
              <w:t>8,411</w:t>
            </w:r>
          </w:p>
        </w:tc>
      </w:tr>
      <w:tr w:rsidR="00BC1D60" w:rsidTr="00BC5B38">
        <w:trPr>
          <w:cantSplit/>
        </w:trPr>
        <w:tc>
          <w:tcPr>
            <w:tcW w:w="1782" w:type="dxa"/>
          </w:tcPr>
          <w:p w:rsidR="00BC1D60" w:rsidRDefault="00BC1D60" w:rsidP="00BC5B38">
            <w:pPr>
              <w:pStyle w:val="ESTableRow"/>
              <w:keepNext/>
            </w:pPr>
            <w:r>
              <w:rPr>
                <w:rFonts w:ascii="Arial Narrow"/>
              </w:rPr>
              <w:t>Net Profit (Rmb mn)</w:t>
            </w:r>
          </w:p>
        </w:tc>
        <w:tc>
          <w:tcPr>
            <w:tcW w:w="1023" w:type="dxa"/>
          </w:tcPr>
          <w:p w:rsidR="00BC1D60" w:rsidRDefault="00BC1D60" w:rsidP="00BC5B38">
            <w:pPr>
              <w:pStyle w:val="ESTableRow"/>
              <w:keepNext/>
              <w:jc w:val="right"/>
            </w:pPr>
            <w:r>
              <w:rPr>
                <w:rFonts w:ascii="Arial Narrow"/>
              </w:rPr>
              <w:t>1,149</w:t>
            </w:r>
          </w:p>
        </w:tc>
        <w:tc>
          <w:tcPr>
            <w:tcW w:w="1023" w:type="dxa"/>
          </w:tcPr>
          <w:p w:rsidR="00BC1D60" w:rsidRDefault="00BC1D60" w:rsidP="00BC5B38">
            <w:pPr>
              <w:pStyle w:val="ESTableRow"/>
              <w:keepNext/>
              <w:jc w:val="right"/>
            </w:pPr>
            <w:r>
              <w:rPr>
                <w:rFonts w:ascii="Arial Narrow"/>
              </w:rPr>
              <w:t>1,329</w:t>
            </w:r>
          </w:p>
        </w:tc>
        <w:tc>
          <w:tcPr>
            <w:tcW w:w="1023" w:type="dxa"/>
          </w:tcPr>
          <w:p w:rsidR="00BC1D60" w:rsidRDefault="00BC1D60" w:rsidP="00BC5B38">
            <w:pPr>
              <w:pStyle w:val="ESTableRow"/>
              <w:keepNext/>
              <w:jc w:val="right"/>
            </w:pPr>
            <w:r>
              <w:rPr>
                <w:rFonts w:ascii="Arial Narrow"/>
              </w:rPr>
              <w:t>1,617</w:t>
            </w:r>
          </w:p>
        </w:tc>
        <w:tc>
          <w:tcPr>
            <w:tcW w:w="1023" w:type="dxa"/>
          </w:tcPr>
          <w:p w:rsidR="00BC1D60" w:rsidRDefault="00BC1D60" w:rsidP="00BC5B38">
            <w:pPr>
              <w:pStyle w:val="ESTableRow"/>
              <w:keepNext/>
              <w:jc w:val="right"/>
            </w:pPr>
            <w:r>
              <w:rPr>
                <w:rFonts w:ascii="Arial Narrow"/>
              </w:rPr>
              <w:t>1,924</w:t>
            </w:r>
          </w:p>
        </w:tc>
        <w:tc>
          <w:tcPr>
            <w:tcW w:w="1023" w:type="dxa"/>
          </w:tcPr>
          <w:p w:rsidR="00BC1D60" w:rsidRDefault="00BC1D60" w:rsidP="00BC5B38">
            <w:pPr>
              <w:pStyle w:val="ESTableRow"/>
              <w:keepNext/>
              <w:jc w:val="right"/>
            </w:pPr>
            <w:r>
              <w:rPr>
                <w:rFonts w:ascii="Arial Narrow"/>
              </w:rPr>
              <w:t>2,055</w:t>
            </w:r>
          </w:p>
        </w:tc>
      </w:tr>
      <w:tr w:rsidR="00BC1D60" w:rsidTr="00BC5B38">
        <w:trPr>
          <w:cantSplit/>
        </w:trPr>
        <w:tc>
          <w:tcPr>
            <w:tcW w:w="1782" w:type="dxa"/>
          </w:tcPr>
          <w:p w:rsidR="00BC1D60" w:rsidRDefault="00BC1D60" w:rsidP="00BC5B38">
            <w:pPr>
              <w:pStyle w:val="ESTableRow"/>
              <w:keepNext/>
            </w:pPr>
            <w:r>
              <w:rPr>
                <w:rFonts w:ascii="Arial Narrow"/>
              </w:rPr>
              <w:t>EPS (Rmb)</w:t>
            </w:r>
          </w:p>
        </w:tc>
        <w:tc>
          <w:tcPr>
            <w:tcW w:w="1023" w:type="dxa"/>
          </w:tcPr>
          <w:p w:rsidR="00BC1D60" w:rsidRDefault="00BC1D60" w:rsidP="00BC5B38">
            <w:pPr>
              <w:pStyle w:val="ESTableRow"/>
              <w:keepNext/>
              <w:jc w:val="right"/>
            </w:pPr>
            <w:r>
              <w:rPr>
                <w:rFonts w:ascii="Arial Narrow"/>
              </w:rPr>
              <w:t>0.27</w:t>
            </w:r>
          </w:p>
        </w:tc>
        <w:tc>
          <w:tcPr>
            <w:tcW w:w="1023" w:type="dxa"/>
          </w:tcPr>
          <w:p w:rsidR="00BC1D60" w:rsidRDefault="00BC1D60" w:rsidP="00BC5B38">
            <w:pPr>
              <w:pStyle w:val="ESTableRow"/>
              <w:keepNext/>
              <w:jc w:val="right"/>
            </w:pPr>
            <w:r>
              <w:rPr>
                <w:rFonts w:ascii="Arial Narrow"/>
              </w:rPr>
              <w:t>0.31</w:t>
            </w:r>
          </w:p>
        </w:tc>
        <w:tc>
          <w:tcPr>
            <w:tcW w:w="1023" w:type="dxa"/>
          </w:tcPr>
          <w:p w:rsidR="00BC1D60" w:rsidRDefault="00BC1D60" w:rsidP="00BC5B38">
            <w:pPr>
              <w:pStyle w:val="ESTableRow"/>
              <w:keepNext/>
              <w:jc w:val="right"/>
            </w:pPr>
            <w:r>
              <w:rPr>
                <w:rFonts w:ascii="Arial Narrow"/>
              </w:rPr>
              <w:t>0.37</w:t>
            </w:r>
          </w:p>
        </w:tc>
        <w:tc>
          <w:tcPr>
            <w:tcW w:w="1023" w:type="dxa"/>
          </w:tcPr>
          <w:p w:rsidR="00BC1D60" w:rsidRDefault="00BC1D60" w:rsidP="00BC5B38">
            <w:pPr>
              <w:pStyle w:val="ESTableRow"/>
              <w:keepNext/>
              <w:jc w:val="right"/>
            </w:pPr>
            <w:r>
              <w:rPr>
                <w:rFonts w:ascii="Arial Narrow"/>
              </w:rPr>
              <w:t>0.44</w:t>
            </w:r>
          </w:p>
        </w:tc>
        <w:tc>
          <w:tcPr>
            <w:tcW w:w="1023" w:type="dxa"/>
          </w:tcPr>
          <w:p w:rsidR="00BC1D60" w:rsidRDefault="00BC1D60" w:rsidP="00BC5B38">
            <w:pPr>
              <w:pStyle w:val="ESTableRow"/>
              <w:keepNext/>
              <w:jc w:val="right"/>
            </w:pPr>
            <w:r>
              <w:rPr>
                <w:rFonts w:ascii="Arial Narrow"/>
              </w:rPr>
              <w:t>0.47</w:t>
            </w:r>
          </w:p>
        </w:tc>
      </w:tr>
      <w:tr w:rsidR="00BC1D60" w:rsidTr="00BC5B38">
        <w:trPr>
          <w:cantSplit/>
        </w:trPr>
        <w:tc>
          <w:tcPr>
            <w:tcW w:w="1782" w:type="dxa"/>
          </w:tcPr>
          <w:p w:rsidR="00BC1D60" w:rsidRDefault="00BC1D60" w:rsidP="00BC5B38">
            <w:pPr>
              <w:pStyle w:val="ESTableRow"/>
              <w:keepNext/>
            </w:pPr>
            <w:r>
              <w:rPr>
                <w:rFonts w:ascii="Arial Narrow"/>
              </w:rPr>
              <w:t>DPS (Rmb)</w:t>
            </w:r>
          </w:p>
        </w:tc>
        <w:tc>
          <w:tcPr>
            <w:tcW w:w="1023" w:type="dxa"/>
          </w:tcPr>
          <w:p w:rsidR="00BC1D60" w:rsidRDefault="00BC1D60" w:rsidP="00BC5B38">
            <w:pPr>
              <w:pStyle w:val="ESTableRow"/>
              <w:keepNext/>
              <w:jc w:val="right"/>
            </w:pPr>
            <w:r>
              <w:rPr>
                <w:rFonts w:ascii="Arial Narrow"/>
              </w:rPr>
              <w:t>0.11</w:t>
            </w:r>
          </w:p>
        </w:tc>
        <w:tc>
          <w:tcPr>
            <w:tcW w:w="1023" w:type="dxa"/>
          </w:tcPr>
          <w:p w:rsidR="00BC1D60" w:rsidRDefault="00BC1D60" w:rsidP="00BC5B38">
            <w:pPr>
              <w:pStyle w:val="ESTableRow"/>
              <w:keepNext/>
              <w:jc w:val="right"/>
            </w:pPr>
            <w:r>
              <w:rPr>
                <w:rFonts w:ascii="Arial Narrow"/>
              </w:rPr>
              <w:t>0.12</w:t>
            </w:r>
          </w:p>
        </w:tc>
        <w:tc>
          <w:tcPr>
            <w:tcW w:w="1023" w:type="dxa"/>
          </w:tcPr>
          <w:p w:rsidR="00BC1D60" w:rsidRDefault="00BC1D60" w:rsidP="00BC5B38">
            <w:pPr>
              <w:pStyle w:val="ESTableRow"/>
              <w:keepNext/>
              <w:jc w:val="right"/>
            </w:pPr>
            <w:r>
              <w:rPr>
                <w:rFonts w:ascii="Arial Narrow"/>
              </w:rPr>
              <w:t>0.15</w:t>
            </w:r>
          </w:p>
        </w:tc>
        <w:tc>
          <w:tcPr>
            <w:tcW w:w="1023" w:type="dxa"/>
          </w:tcPr>
          <w:p w:rsidR="00BC1D60" w:rsidRDefault="00BC1D60" w:rsidP="00BC5B38">
            <w:pPr>
              <w:pStyle w:val="ESTableRow"/>
              <w:keepNext/>
              <w:jc w:val="right"/>
            </w:pPr>
            <w:r>
              <w:rPr>
                <w:rFonts w:ascii="Arial Narrow"/>
              </w:rPr>
              <w:t>0.18</w:t>
            </w:r>
          </w:p>
        </w:tc>
        <w:tc>
          <w:tcPr>
            <w:tcW w:w="1023" w:type="dxa"/>
          </w:tcPr>
          <w:p w:rsidR="00BC1D60" w:rsidRDefault="00BC1D60" w:rsidP="00BC5B38">
            <w:pPr>
              <w:pStyle w:val="ESTableRow"/>
              <w:keepNext/>
              <w:jc w:val="right"/>
            </w:pPr>
            <w:r>
              <w:rPr>
                <w:rFonts w:ascii="Arial Narrow"/>
              </w:rPr>
              <w:t>0.19</w:t>
            </w:r>
          </w:p>
        </w:tc>
      </w:tr>
      <w:tr w:rsidR="00BC1D60" w:rsidTr="00BC5B38">
        <w:trPr>
          <w:cantSplit/>
        </w:trPr>
        <w:tc>
          <w:tcPr>
            <w:tcW w:w="1782" w:type="dxa"/>
          </w:tcPr>
          <w:p w:rsidR="00BC1D60" w:rsidRDefault="00BC1D60" w:rsidP="00BC5B38">
            <w:pPr>
              <w:pStyle w:val="ESTableRow"/>
              <w:keepNext/>
            </w:pPr>
            <w:r>
              <w:rPr>
                <w:rFonts w:ascii="Arial Narrow"/>
              </w:rPr>
              <w:t xml:space="preserve">Revenue growth (%) </w:t>
            </w:r>
          </w:p>
        </w:tc>
        <w:tc>
          <w:tcPr>
            <w:tcW w:w="1023" w:type="dxa"/>
          </w:tcPr>
          <w:p w:rsidR="00BC1D60" w:rsidRDefault="00BC1D60" w:rsidP="00BC5B38">
            <w:pPr>
              <w:pStyle w:val="ESTableRow"/>
              <w:keepNext/>
              <w:jc w:val="right"/>
            </w:pPr>
            <w:r>
              <w:rPr>
                <w:rFonts w:ascii="Arial Narrow"/>
              </w:rPr>
              <w:t>6.6%</w:t>
            </w:r>
          </w:p>
        </w:tc>
        <w:tc>
          <w:tcPr>
            <w:tcW w:w="1023" w:type="dxa"/>
          </w:tcPr>
          <w:p w:rsidR="00BC1D60" w:rsidRDefault="00BC1D60" w:rsidP="00BC5B38">
            <w:pPr>
              <w:pStyle w:val="ESTableRow"/>
              <w:keepNext/>
              <w:jc w:val="right"/>
            </w:pPr>
            <w:r>
              <w:rPr>
                <w:rFonts w:ascii="Arial Narrow"/>
              </w:rPr>
              <w:t>7.7%</w:t>
            </w:r>
          </w:p>
        </w:tc>
        <w:tc>
          <w:tcPr>
            <w:tcW w:w="1023" w:type="dxa"/>
          </w:tcPr>
          <w:p w:rsidR="00BC1D60" w:rsidRDefault="00BC1D60" w:rsidP="00BC5B38">
            <w:pPr>
              <w:pStyle w:val="ESTableRow"/>
              <w:keepNext/>
              <w:jc w:val="right"/>
            </w:pPr>
            <w:r>
              <w:rPr>
                <w:rFonts w:ascii="Arial Narrow"/>
              </w:rPr>
              <w:t>7.0%</w:t>
            </w:r>
          </w:p>
        </w:tc>
        <w:tc>
          <w:tcPr>
            <w:tcW w:w="1023" w:type="dxa"/>
          </w:tcPr>
          <w:p w:rsidR="00BC1D60" w:rsidRDefault="00BC1D60" w:rsidP="00BC5B38">
            <w:pPr>
              <w:pStyle w:val="ESTableRow"/>
              <w:keepNext/>
              <w:jc w:val="right"/>
            </w:pPr>
            <w:r>
              <w:rPr>
                <w:rFonts w:ascii="Arial Narrow"/>
              </w:rPr>
              <w:t>5.1%</w:t>
            </w:r>
          </w:p>
        </w:tc>
        <w:tc>
          <w:tcPr>
            <w:tcW w:w="1023" w:type="dxa"/>
          </w:tcPr>
          <w:p w:rsidR="00BC1D60" w:rsidRDefault="00BC1D60" w:rsidP="00BC5B38">
            <w:pPr>
              <w:pStyle w:val="ESTableRow"/>
              <w:keepNext/>
              <w:jc w:val="right"/>
            </w:pPr>
            <w:r>
              <w:rPr>
                <w:rFonts w:ascii="Arial Narrow"/>
              </w:rPr>
              <w:t>4.9%</w:t>
            </w:r>
          </w:p>
        </w:tc>
      </w:tr>
      <w:tr w:rsidR="00BC1D60" w:rsidTr="00BC5B38">
        <w:trPr>
          <w:cantSplit/>
        </w:trPr>
        <w:tc>
          <w:tcPr>
            <w:tcW w:w="1782" w:type="dxa"/>
          </w:tcPr>
          <w:p w:rsidR="00BC1D60" w:rsidRDefault="00BC1D60" w:rsidP="00BC5B38">
            <w:pPr>
              <w:pStyle w:val="ESTableRow"/>
              <w:keepNext/>
            </w:pPr>
            <w:r>
              <w:rPr>
                <w:rFonts w:ascii="Arial Narrow"/>
              </w:rPr>
              <w:t xml:space="preserve">EPS growth (%) </w:t>
            </w:r>
          </w:p>
        </w:tc>
        <w:tc>
          <w:tcPr>
            <w:tcW w:w="1023" w:type="dxa"/>
          </w:tcPr>
          <w:p w:rsidR="00BC1D60" w:rsidRDefault="00BC1D60" w:rsidP="00BC5B38">
            <w:pPr>
              <w:pStyle w:val="ESTableRow"/>
              <w:keepNext/>
              <w:jc w:val="right"/>
            </w:pPr>
            <w:r>
              <w:rPr>
                <w:rFonts w:ascii="Arial Narrow"/>
              </w:rPr>
              <w:t>3.2%</w:t>
            </w:r>
          </w:p>
        </w:tc>
        <w:tc>
          <w:tcPr>
            <w:tcW w:w="1023" w:type="dxa"/>
          </w:tcPr>
          <w:p w:rsidR="00BC1D60" w:rsidRDefault="00BC1D60" w:rsidP="00BC5B38">
            <w:pPr>
              <w:pStyle w:val="ESTableRow"/>
              <w:keepNext/>
              <w:jc w:val="right"/>
            </w:pPr>
            <w:r>
              <w:rPr>
                <w:rFonts w:ascii="Arial Narrow"/>
              </w:rPr>
              <w:t>15.7%</w:t>
            </w:r>
          </w:p>
        </w:tc>
        <w:tc>
          <w:tcPr>
            <w:tcW w:w="1023" w:type="dxa"/>
          </w:tcPr>
          <w:p w:rsidR="00BC1D60" w:rsidRDefault="00BC1D60" w:rsidP="00BC5B38">
            <w:pPr>
              <w:pStyle w:val="ESTableRow"/>
              <w:keepNext/>
              <w:jc w:val="right"/>
            </w:pPr>
            <w:r>
              <w:rPr>
                <w:rFonts w:ascii="Arial Narrow"/>
              </w:rPr>
              <w:t>21.6%</w:t>
            </w:r>
          </w:p>
        </w:tc>
        <w:tc>
          <w:tcPr>
            <w:tcW w:w="1023" w:type="dxa"/>
          </w:tcPr>
          <w:p w:rsidR="00BC1D60" w:rsidRDefault="00BC1D60" w:rsidP="00BC5B38">
            <w:pPr>
              <w:pStyle w:val="ESTableRow"/>
              <w:keepNext/>
              <w:jc w:val="right"/>
            </w:pPr>
            <w:r>
              <w:rPr>
                <w:rFonts w:ascii="Arial Narrow"/>
              </w:rPr>
              <w:t>19.0%</w:t>
            </w:r>
          </w:p>
        </w:tc>
        <w:tc>
          <w:tcPr>
            <w:tcW w:w="1023" w:type="dxa"/>
          </w:tcPr>
          <w:p w:rsidR="00BC1D60" w:rsidRDefault="00BC1D60" w:rsidP="00BC5B38">
            <w:pPr>
              <w:pStyle w:val="ESTableRow"/>
              <w:keepNext/>
              <w:jc w:val="right"/>
            </w:pPr>
            <w:r>
              <w:rPr>
                <w:rFonts w:ascii="Arial Narrow"/>
              </w:rPr>
              <w:t>6.8%</w:t>
            </w:r>
          </w:p>
        </w:tc>
      </w:tr>
      <w:tr w:rsidR="00BC1D60" w:rsidTr="00BC5B38">
        <w:trPr>
          <w:cantSplit/>
        </w:trPr>
        <w:tc>
          <w:tcPr>
            <w:tcW w:w="1782" w:type="dxa"/>
          </w:tcPr>
          <w:p w:rsidR="00BC1D60" w:rsidRDefault="00BC1D60" w:rsidP="00BC5B38">
            <w:pPr>
              <w:pStyle w:val="ESTableRow"/>
              <w:keepNext/>
            </w:pPr>
            <w:r>
              <w:rPr>
                <w:rFonts w:ascii="Arial Narrow"/>
              </w:rPr>
              <w:t xml:space="preserve">ROCE </w:t>
            </w:r>
          </w:p>
        </w:tc>
        <w:tc>
          <w:tcPr>
            <w:tcW w:w="1023" w:type="dxa"/>
          </w:tcPr>
          <w:p w:rsidR="00BC1D60" w:rsidRDefault="00BC1D60" w:rsidP="00BC5B38">
            <w:pPr>
              <w:pStyle w:val="ESTableRow"/>
              <w:keepNext/>
              <w:jc w:val="right"/>
            </w:pPr>
            <w:r>
              <w:rPr>
                <w:rFonts w:ascii="Arial Narrow"/>
              </w:rPr>
              <w:t>5.2%</w:t>
            </w:r>
          </w:p>
        </w:tc>
        <w:tc>
          <w:tcPr>
            <w:tcW w:w="1023" w:type="dxa"/>
          </w:tcPr>
          <w:p w:rsidR="00BC1D60" w:rsidRDefault="00BC1D60" w:rsidP="00BC5B38">
            <w:pPr>
              <w:pStyle w:val="ESTableRow"/>
              <w:keepNext/>
              <w:jc w:val="right"/>
            </w:pPr>
            <w:r>
              <w:rPr>
                <w:rFonts w:ascii="Arial Narrow"/>
              </w:rPr>
              <w:t>5.6%</w:t>
            </w:r>
          </w:p>
        </w:tc>
        <w:tc>
          <w:tcPr>
            <w:tcW w:w="1023" w:type="dxa"/>
          </w:tcPr>
          <w:p w:rsidR="00BC1D60" w:rsidRDefault="00BC1D60" w:rsidP="00BC5B38">
            <w:pPr>
              <w:pStyle w:val="ESTableRow"/>
              <w:keepNext/>
              <w:jc w:val="right"/>
            </w:pPr>
            <w:r>
              <w:rPr>
                <w:rFonts w:ascii="Arial Narrow"/>
              </w:rPr>
              <w:t>6.8%</w:t>
            </w:r>
          </w:p>
        </w:tc>
        <w:tc>
          <w:tcPr>
            <w:tcW w:w="1023" w:type="dxa"/>
          </w:tcPr>
          <w:p w:rsidR="00BC1D60" w:rsidRDefault="00BC1D60" w:rsidP="00BC5B38">
            <w:pPr>
              <w:pStyle w:val="ESTableRow"/>
              <w:keepNext/>
              <w:jc w:val="right"/>
            </w:pPr>
            <w:r>
              <w:rPr>
                <w:rFonts w:ascii="Arial Narrow"/>
              </w:rPr>
              <w:t>7.4%</w:t>
            </w:r>
          </w:p>
        </w:tc>
        <w:tc>
          <w:tcPr>
            <w:tcW w:w="1023" w:type="dxa"/>
          </w:tcPr>
          <w:p w:rsidR="00BC1D60" w:rsidRDefault="00BC1D60" w:rsidP="00BC5B38">
            <w:pPr>
              <w:pStyle w:val="ESTableRow"/>
              <w:keepNext/>
              <w:jc w:val="right"/>
            </w:pPr>
            <w:r>
              <w:rPr>
                <w:rFonts w:ascii="Arial Narrow"/>
              </w:rPr>
              <w:t>7.0%</w:t>
            </w:r>
          </w:p>
        </w:tc>
      </w:tr>
      <w:tr w:rsidR="00BC1D60" w:rsidTr="00BC5B38">
        <w:trPr>
          <w:cantSplit/>
        </w:trPr>
        <w:tc>
          <w:tcPr>
            <w:tcW w:w="1782" w:type="dxa"/>
          </w:tcPr>
          <w:p w:rsidR="00BC1D60" w:rsidRDefault="00BC1D60" w:rsidP="00BC5B38">
            <w:pPr>
              <w:pStyle w:val="ESTableRow"/>
              <w:keepNext/>
            </w:pPr>
            <w:r>
              <w:rPr>
                <w:rFonts w:ascii="Arial Narrow"/>
              </w:rPr>
              <w:t xml:space="preserve">ROE </w:t>
            </w:r>
          </w:p>
        </w:tc>
        <w:tc>
          <w:tcPr>
            <w:tcW w:w="1023" w:type="dxa"/>
          </w:tcPr>
          <w:p w:rsidR="00BC1D60" w:rsidRDefault="00BC1D60" w:rsidP="00BC5B38">
            <w:pPr>
              <w:pStyle w:val="ESTableRow"/>
              <w:keepNext/>
              <w:jc w:val="right"/>
            </w:pPr>
            <w:r>
              <w:rPr>
                <w:rFonts w:ascii="Arial Narrow"/>
              </w:rPr>
              <w:t>7.7%</w:t>
            </w:r>
          </w:p>
        </w:tc>
        <w:tc>
          <w:tcPr>
            <w:tcW w:w="1023" w:type="dxa"/>
          </w:tcPr>
          <w:p w:rsidR="00BC1D60" w:rsidRDefault="00BC1D60" w:rsidP="00BC5B38">
            <w:pPr>
              <w:pStyle w:val="ESTableRow"/>
              <w:keepNext/>
              <w:jc w:val="right"/>
            </w:pPr>
            <w:r>
              <w:rPr>
                <w:rFonts w:ascii="Arial Narrow"/>
              </w:rPr>
              <w:t>8.5%</w:t>
            </w:r>
          </w:p>
        </w:tc>
        <w:tc>
          <w:tcPr>
            <w:tcW w:w="1023" w:type="dxa"/>
          </w:tcPr>
          <w:p w:rsidR="00BC1D60" w:rsidRDefault="00BC1D60" w:rsidP="00BC5B38">
            <w:pPr>
              <w:pStyle w:val="ESTableRow"/>
              <w:keepNext/>
              <w:jc w:val="right"/>
            </w:pPr>
            <w:r>
              <w:rPr>
                <w:rFonts w:ascii="Arial Narrow"/>
              </w:rPr>
              <w:t>9.7%</w:t>
            </w:r>
          </w:p>
        </w:tc>
        <w:tc>
          <w:tcPr>
            <w:tcW w:w="1023" w:type="dxa"/>
          </w:tcPr>
          <w:p w:rsidR="00BC1D60" w:rsidRDefault="00BC1D60" w:rsidP="00BC5B38">
            <w:pPr>
              <w:pStyle w:val="ESTableRow"/>
              <w:keepNext/>
              <w:jc w:val="right"/>
            </w:pPr>
            <w:r>
              <w:rPr>
                <w:rFonts w:ascii="Arial Narrow"/>
              </w:rPr>
              <w:t>10.8%</w:t>
            </w:r>
          </w:p>
        </w:tc>
        <w:tc>
          <w:tcPr>
            <w:tcW w:w="1023" w:type="dxa"/>
          </w:tcPr>
          <w:p w:rsidR="00BC1D60" w:rsidRDefault="00BC1D60" w:rsidP="00BC5B38">
            <w:pPr>
              <w:pStyle w:val="ESTableRow"/>
              <w:keepNext/>
              <w:jc w:val="right"/>
            </w:pPr>
            <w:r>
              <w:rPr>
                <w:rFonts w:ascii="Arial Narrow"/>
              </w:rPr>
              <w:t>10.8%</w:t>
            </w:r>
          </w:p>
        </w:tc>
      </w:tr>
      <w:tr w:rsidR="00BC1D60" w:rsidTr="00BC5B38">
        <w:trPr>
          <w:cantSplit/>
        </w:trPr>
        <w:tc>
          <w:tcPr>
            <w:tcW w:w="1782" w:type="dxa"/>
          </w:tcPr>
          <w:p w:rsidR="00BC1D60" w:rsidRDefault="00BC1D60" w:rsidP="00BC5B38">
            <w:pPr>
              <w:pStyle w:val="ESTableRow"/>
              <w:keepNext/>
            </w:pPr>
            <w:r>
              <w:rPr>
                <w:rFonts w:ascii="Arial Narrow"/>
              </w:rPr>
              <w:t xml:space="preserve">P/E (x) </w:t>
            </w:r>
          </w:p>
        </w:tc>
        <w:tc>
          <w:tcPr>
            <w:tcW w:w="1023" w:type="dxa"/>
          </w:tcPr>
          <w:p w:rsidR="00BC1D60" w:rsidRDefault="00BC1D60" w:rsidP="00BC5B38">
            <w:pPr>
              <w:pStyle w:val="ESTableRow"/>
              <w:keepNext/>
              <w:jc w:val="right"/>
            </w:pPr>
            <w:r>
              <w:rPr>
                <w:rFonts w:ascii="Arial Narrow"/>
              </w:rPr>
              <w:t>16.1</w:t>
            </w:r>
          </w:p>
        </w:tc>
        <w:tc>
          <w:tcPr>
            <w:tcW w:w="1023" w:type="dxa"/>
          </w:tcPr>
          <w:p w:rsidR="00BC1D60" w:rsidRDefault="00BC1D60" w:rsidP="00BC5B38">
            <w:pPr>
              <w:pStyle w:val="ESTableRow"/>
              <w:keepNext/>
              <w:jc w:val="right"/>
            </w:pPr>
            <w:r>
              <w:rPr>
                <w:rFonts w:ascii="Arial Narrow"/>
              </w:rPr>
              <w:t>13.9</w:t>
            </w:r>
          </w:p>
        </w:tc>
        <w:tc>
          <w:tcPr>
            <w:tcW w:w="1023" w:type="dxa"/>
          </w:tcPr>
          <w:p w:rsidR="00BC1D60" w:rsidRDefault="00BC1D60" w:rsidP="00BC5B38">
            <w:pPr>
              <w:pStyle w:val="ESTableRow"/>
              <w:keepNext/>
              <w:jc w:val="right"/>
            </w:pPr>
            <w:r>
              <w:rPr>
                <w:rFonts w:ascii="Arial Narrow"/>
              </w:rPr>
              <w:t>11.5</w:t>
            </w:r>
          </w:p>
        </w:tc>
        <w:tc>
          <w:tcPr>
            <w:tcW w:w="1023" w:type="dxa"/>
          </w:tcPr>
          <w:p w:rsidR="00BC1D60" w:rsidRDefault="00BC1D60" w:rsidP="00BC5B38">
            <w:pPr>
              <w:pStyle w:val="ESTableRow"/>
              <w:keepNext/>
              <w:jc w:val="right"/>
            </w:pPr>
            <w:r>
              <w:rPr>
                <w:rFonts w:ascii="Arial Narrow"/>
              </w:rPr>
              <w:t>9.6</w:t>
            </w:r>
          </w:p>
        </w:tc>
        <w:tc>
          <w:tcPr>
            <w:tcW w:w="1023" w:type="dxa"/>
          </w:tcPr>
          <w:p w:rsidR="00BC1D60" w:rsidRDefault="00BC1D60" w:rsidP="00BC5B38">
            <w:pPr>
              <w:pStyle w:val="ESTableRow"/>
              <w:keepNext/>
              <w:jc w:val="right"/>
            </w:pPr>
            <w:r>
              <w:rPr>
                <w:rFonts w:ascii="Arial Narrow"/>
              </w:rPr>
              <w:t>9.0</w:t>
            </w:r>
          </w:p>
        </w:tc>
      </w:tr>
      <w:tr w:rsidR="00BC1D60" w:rsidTr="00BC5B38">
        <w:trPr>
          <w:cantSplit/>
        </w:trPr>
        <w:tc>
          <w:tcPr>
            <w:tcW w:w="1782" w:type="dxa"/>
          </w:tcPr>
          <w:p w:rsidR="00BC1D60" w:rsidRDefault="00BC1D60" w:rsidP="00BC5B38">
            <w:pPr>
              <w:pStyle w:val="ESTableRow"/>
              <w:keepNext/>
            </w:pPr>
            <w:r>
              <w:rPr>
                <w:rFonts w:ascii="Arial Narrow"/>
              </w:rPr>
              <w:t xml:space="preserve">P/BV (x) </w:t>
            </w:r>
          </w:p>
        </w:tc>
        <w:tc>
          <w:tcPr>
            <w:tcW w:w="1023" w:type="dxa"/>
          </w:tcPr>
          <w:p w:rsidR="00BC1D60" w:rsidRDefault="00BC1D60" w:rsidP="00BC5B38">
            <w:pPr>
              <w:pStyle w:val="ESTableRow"/>
              <w:keepNext/>
              <w:jc w:val="right"/>
            </w:pPr>
            <w:r>
              <w:rPr>
                <w:rFonts w:ascii="Arial Narrow"/>
              </w:rPr>
              <w:t>1.2</w:t>
            </w:r>
          </w:p>
        </w:tc>
        <w:tc>
          <w:tcPr>
            <w:tcW w:w="1023" w:type="dxa"/>
          </w:tcPr>
          <w:p w:rsidR="00BC1D60" w:rsidRDefault="00BC1D60" w:rsidP="00BC5B38">
            <w:pPr>
              <w:pStyle w:val="ESTableRow"/>
              <w:keepNext/>
              <w:jc w:val="right"/>
            </w:pPr>
            <w:r>
              <w:rPr>
                <w:rFonts w:ascii="Arial Narrow"/>
              </w:rPr>
              <w:t>1.1</w:t>
            </w:r>
          </w:p>
        </w:tc>
        <w:tc>
          <w:tcPr>
            <w:tcW w:w="1023" w:type="dxa"/>
          </w:tcPr>
          <w:p w:rsidR="00BC1D60" w:rsidRDefault="00BC1D60" w:rsidP="00BC5B38">
            <w:pPr>
              <w:pStyle w:val="ESTableRow"/>
              <w:keepNext/>
              <w:jc w:val="right"/>
            </w:pPr>
            <w:r>
              <w:rPr>
                <w:rFonts w:ascii="Arial Narrow"/>
              </w:rPr>
              <w:t>1.1</w:t>
            </w:r>
          </w:p>
        </w:tc>
        <w:tc>
          <w:tcPr>
            <w:tcW w:w="1023" w:type="dxa"/>
          </w:tcPr>
          <w:p w:rsidR="00BC1D60" w:rsidRDefault="00BC1D60" w:rsidP="00BC5B38">
            <w:pPr>
              <w:pStyle w:val="ESTableRow"/>
              <w:keepNext/>
              <w:jc w:val="right"/>
            </w:pPr>
            <w:r>
              <w:rPr>
                <w:rFonts w:ascii="Arial Narrow"/>
              </w:rPr>
              <w:t>1.0</w:t>
            </w:r>
          </w:p>
        </w:tc>
        <w:tc>
          <w:tcPr>
            <w:tcW w:w="1023" w:type="dxa"/>
          </w:tcPr>
          <w:p w:rsidR="00BC1D60" w:rsidRDefault="00BC1D60" w:rsidP="00BC5B38">
            <w:pPr>
              <w:pStyle w:val="ESTableRow"/>
              <w:keepNext/>
              <w:jc w:val="right"/>
            </w:pPr>
            <w:r>
              <w:rPr>
                <w:rFonts w:ascii="Arial Narrow"/>
              </w:rPr>
              <w:t>0.9</w:t>
            </w:r>
          </w:p>
        </w:tc>
      </w:tr>
      <w:tr w:rsidR="00BC1D60" w:rsidTr="00BC5B38">
        <w:trPr>
          <w:cantSplit/>
        </w:trPr>
        <w:tc>
          <w:tcPr>
            <w:tcW w:w="1782" w:type="dxa"/>
          </w:tcPr>
          <w:p w:rsidR="00BC1D60" w:rsidRDefault="00BC1D60" w:rsidP="00BC5B38">
            <w:pPr>
              <w:pStyle w:val="ESTableRow"/>
              <w:keepNext/>
            </w:pPr>
            <w:r>
              <w:rPr>
                <w:rFonts w:ascii="Arial Narrow"/>
              </w:rPr>
              <w:t xml:space="preserve">EV/EBITDA (x) </w:t>
            </w:r>
          </w:p>
        </w:tc>
        <w:tc>
          <w:tcPr>
            <w:tcW w:w="1023" w:type="dxa"/>
          </w:tcPr>
          <w:p w:rsidR="00BC1D60" w:rsidRDefault="00BC1D60" w:rsidP="00BC5B38">
            <w:pPr>
              <w:pStyle w:val="ESTableRow"/>
              <w:keepNext/>
              <w:jc w:val="right"/>
            </w:pPr>
            <w:r>
              <w:rPr>
                <w:rFonts w:ascii="Arial Narrow"/>
              </w:rPr>
              <w:t>8.9</w:t>
            </w:r>
          </w:p>
        </w:tc>
        <w:tc>
          <w:tcPr>
            <w:tcW w:w="1023" w:type="dxa"/>
          </w:tcPr>
          <w:p w:rsidR="00BC1D60" w:rsidRDefault="00BC1D60" w:rsidP="00BC5B38">
            <w:pPr>
              <w:pStyle w:val="ESTableRow"/>
              <w:keepNext/>
              <w:jc w:val="right"/>
            </w:pPr>
            <w:r>
              <w:rPr>
                <w:rFonts w:ascii="Arial Narrow"/>
              </w:rPr>
              <w:t>8.1</w:t>
            </w:r>
          </w:p>
        </w:tc>
        <w:tc>
          <w:tcPr>
            <w:tcW w:w="1023" w:type="dxa"/>
          </w:tcPr>
          <w:p w:rsidR="00BC1D60" w:rsidRDefault="00BC1D60" w:rsidP="00BC5B38">
            <w:pPr>
              <w:pStyle w:val="ESTableRow"/>
              <w:keepNext/>
              <w:jc w:val="right"/>
            </w:pPr>
            <w:r>
              <w:rPr>
                <w:rFonts w:ascii="Arial Narrow"/>
              </w:rPr>
              <w:t>6.9</w:t>
            </w:r>
          </w:p>
        </w:tc>
        <w:tc>
          <w:tcPr>
            <w:tcW w:w="1023" w:type="dxa"/>
          </w:tcPr>
          <w:p w:rsidR="00BC1D60" w:rsidRDefault="00BC1D60" w:rsidP="00BC5B38">
            <w:pPr>
              <w:pStyle w:val="ESTableRow"/>
              <w:keepNext/>
              <w:jc w:val="right"/>
            </w:pPr>
            <w:r>
              <w:rPr>
                <w:rFonts w:ascii="Arial Narrow"/>
              </w:rPr>
              <w:t>7.3</w:t>
            </w:r>
          </w:p>
        </w:tc>
        <w:tc>
          <w:tcPr>
            <w:tcW w:w="1023" w:type="dxa"/>
          </w:tcPr>
          <w:p w:rsidR="00BC1D60" w:rsidRDefault="00BC1D60" w:rsidP="00BC5B38">
            <w:pPr>
              <w:pStyle w:val="ESTableRow"/>
              <w:keepNext/>
              <w:jc w:val="right"/>
            </w:pPr>
            <w:r>
              <w:rPr>
                <w:rFonts w:ascii="Arial Narrow"/>
              </w:rPr>
              <w:t>7.3</w:t>
            </w:r>
          </w:p>
        </w:tc>
      </w:tr>
      <w:tr w:rsidR="00BC1D60" w:rsidTr="00BC5B38">
        <w:trPr>
          <w:cantSplit/>
        </w:trPr>
        <w:tc>
          <w:tcPr>
            <w:tcW w:w="1782" w:type="dxa"/>
            <w:tcBorders>
              <w:bottom w:val="single" w:sz="4" w:space="0" w:color="auto"/>
            </w:tcBorders>
          </w:tcPr>
          <w:p w:rsidR="00BC1D60" w:rsidRDefault="00BC1D60" w:rsidP="00BC5B38">
            <w:pPr>
              <w:pStyle w:val="ESTableRow"/>
              <w:keepNext/>
            </w:pPr>
            <w:r>
              <w:rPr>
                <w:rFonts w:ascii="Arial Narrow"/>
              </w:rPr>
              <w:t xml:space="preserve">Dividend Yield </w:t>
            </w:r>
          </w:p>
        </w:tc>
        <w:tc>
          <w:tcPr>
            <w:tcW w:w="1023" w:type="dxa"/>
            <w:tcBorders>
              <w:bottom w:val="single" w:sz="4" w:space="0" w:color="auto"/>
            </w:tcBorders>
          </w:tcPr>
          <w:p w:rsidR="00BC1D60" w:rsidRDefault="00BC1D60" w:rsidP="00BC5B38">
            <w:pPr>
              <w:pStyle w:val="ESTableRow"/>
              <w:keepNext/>
              <w:jc w:val="right"/>
            </w:pPr>
            <w:r>
              <w:rPr>
                <w:rFonts w:ascii="Arial Narrow"/>
              </w:rPr>
              <w:t>2.5%</w:t>
            </w:r>
          </w:p>
        </w:tc>
        <w:tc>
          <w:tcPr>
            <w:tcW w:w="1023" w:type="dxa"/>
            <w:tcBorders>
              <w:bottom w:val="single" w:sz="4" w:space="0" w:color="auto"/>
            </w:tcBorders>
          </w:tcPr>
          <w:p w:rsidR="00BC1D60" w:rsidRDefault="00BC1D60" w:rsidP="00BC5B38">
            <w:pPr>
              <w:pStyle w:val="ESTableRow"/>
              <w:keepNext/>
              <w:jc w:val="right"/>
            </w:pPr>
            <w:r>
              <w:rPr>
                <w:rFonts w:ascii="Arial Narrow"/>
              </w:rPr>
              <w:t>2.9%</w:t>
            </w:r>
          </w:p>
        </w:tc>
        <w:tc>
          <w:tcPr>
            <w:tcW w:w="1023" w:type="dxa"/>
            <w:tcBorders>
              <w:bottom w:val="single" w:sz="4" w:space="0" w:color="auto"/>
            </w:tcBorders>
          </w:tcPr>
          <w:p w:rsidR="00BC1D60" w:rsidRDefault="00BC1D60" w:rsidP="00BC5B38">
            <w:pPr>
              <w:pStyle w:val="ESTableRow"/>
              <w:keepNext/>
              <w:jc w:val="right"/>
            </w:pPr>
            <w:r>
              <w:rPr>
                <w:rFonts w:ascii="Arial Narrow"/>
              </w:rPr>
              <w:t>3.5%</w:t>
            </w:r>
          </w:p>
        </w:tc>
        <w:tc>
          <w:tcPr>
            <w:tcW w:w="1023" w:type="dxa"/>
            <w:tcBorders>
              <w:bottom w:val="single" w:sz="4" w:space="0" w:color="auto"/>
            </w:tcBorders>
          </w:tcPr>
          <w:p w:rsidR="00BC1D60" w:rsidRDefault="00BC1D60" w:rsidP="00BC5B38">
            <w:pPr>
              <w:pStyle w:val="ESTableRow"/>
              <w:keepNext/>
              <w:jc w:val="right"/>
            </w:pPr>
            <w:r>
              <w:rPr>
                <w:rFonts w:ascii="Arial Narrow"/>
              </w:rPr>
              <w:t>4.2%</w:t>
            </w:r>
          </w:p>
        </w:tc>
        <w:tc>
          <w:tcPr>
            <w:tcW w:w="1023" w:type="dxa"/>
            <w:tcBorders>
              <w:bottom w:val="single" w:sz="4" w:space="0" w:color="auto"/>
            </w:tcBorders>
          </w:tcPr>
          <w:p w:rsidR="00BC1D60" w:rsidRDefault="00BC1D60" w:rsidP="00BC5B38">
            <w:pPr>
              <w:pStyle w:val="ESTableRow"/>
              <w:keepNext/>
              <w:jc w:val="right"/>
            </w:pPr>
            <w:r>
              <w:rPr>
                <w:rFonts w:ascii="Arial Narrow"/>
              </w:rPr>
              <w:t>4.4%</w:t>
            </w:r>
          </w:p>
        </w:tc>
      </w:tr>
    </w:tbl>
    <w:p w:rsidR="00BC1D60" w:rsidRDefault="00BC1D60" w:rsidP="00BC1D60">
      <w:pPr>
        <w:pStyle w:val="Source"/>
      </w:pPr>
      <w:r>
        <w:t>Source: Company data, Bloomberg, J.P. Morgan estimates.</w:t>
      </w:r>
    </w:p>
    <w:p w:rsidR="00BC1D60" w:rsidRPr="00053456" w:rsidRDefault="00BC1D60" w:rsidP="00BC1D60">
      <w:pPr>
        <w:pStyle w:val="Body"/>
        <w:rPr>
          <w:highlight w:val="yellow"/>
        </w:rPr>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8E6BD5" w:rsidTr="00BC5B38">
        <w:tc>
          <w:tcPr>
            <w:tcW w:w="10604" w:type="dxa"/>
            <w:gridSpan w:val="3"/>
            <w:shd w:val="clear" w:color="auto" w:fill="auto"/>
          </w:tcPr>
          <w:p w:rsidR="00BC1D60" w:rsidRPr="008E6BD5" w:rsidRDefault="00BC1D60" w:rsidP="00BC5B38">
            <w:pPr>
              <w:pStyle w:val="Heading1-NoTOC"/>
            </w:pPr>
            <w:bookmarkStart w:id="72" w:name="_Toc352249257"/>
            <w:bookmarkStart w:id="73" w:name="_Toc352262678"/>
            <w:bookmarkStart w:id="74" w:name="_Toc352262852"/>
            <w:bookmarkStart w:id="75" w:name="_Toc360569097"/>
            <w:bookmarkStart w:id="76" w:name="_Toc360569881"/>
            <w:bookmarkStart w:id="77" w:name="_Toc368054103"/>
            <w:bookmarkStart w:id="78" w:name="_Toc368081328"/>
            <w:bookmarkStart w:id="79" w:name="_Toc376756067"/>
            <w:bookmarkStart w:id="80" w:name="_Toc376801390"/>
            <w:bookmarkStart w:id="81" w:name="_Toc376802052"/>
            <w:bookmarkStart w:id="82" w:name="_Toc384044952"/>
            <w:bookmarkStart w:id="83" w:name="_Toc384135976"/>
            <w:bookmarkStart w:id="84" w:name="_Toc384136943"/>
            <w:bookmarkStart w:id="85" w:name="_Toc392016337"/>
            <w:bookmarkStart w:id="86" w:name="_Toc392099055"/>
            <w:r w:rsidRPr="008E6BD5">
              <w:t>Getting to know our SMid Analysts…</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tc>
      </w:tr>
      <w:tr w:rsidR="00BC1D60" w:rsidRPr="008E6BD5" w:rsidTr="00BC5B38">
        <w:trPr>
          <w:trHeight w:val="3427"/>
        </w:trPr>
        <w:tc>
          <w:tcPr>
            <w:tcW w:w="2666" w:type="dxa"/>
            <w:shd w:val="clear" w:color="auto" w:fill="auto"/>
          </w:tcPr>
          <w:p w:rsidR="00BC1D60" w:rsidRPr="008E6BD5" w:rsidRDefault="00BC1D60" w:rsidP="00BC5B38">
            <w:pPr>
              <w:pStyle w:val="Body"/>
              <w:spacing w:after="120"/>
            </w:pPr>
            <w:r w:rsidRPr="008E6BD5">
              <w:rPr>
                <w:noProof/>
              </w:rPr>
              <w:drawing>
                <wp:inline distT="0" distB="0" distL="0" distR="0">
                  <wp:extent cx="1451610" cy="1600200"/>
                  <wp:effectExtent l="19050" t="0" r="0" b="0"/>
                  <wp:docPr id="103" name="Picture 7" descr="Karen Li, C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aren Li, CFA"/>
                          <pic:cNvPicPr>
                            <a:picLocks noChangeAspect="1" noChangeArrowheads="1"/>
                          </pic:cNvPicPr>
                        </pic:nvPicPr>
                        <pic:blipFill>
                          <a:blip r:embed="rId29"/>
                          <a:srcRect l="23214" r="20089"/>
                          <a:stretch>
                            <a:fillRect/>
                          </a:stretch>
                        </pic:blipFill>
                        <pic:spPr bwMode="auto">
                          <a:xfrm>
                            <a:off x="0" y="0"/>
                            <a:ext cx="1451610" cy="1600200"/>
                          </a:xfrm>
                          <a:prstGeom prst="rect">
                            <a:avLst/>
                          </a:prstGeom>
                          <a:noFill/>
                          <a:ln w="9525">
                            <a:noFill/>
                            <a:miter lim="800000"/>
                            <a:headEnd/>
                            <a:tailEnd/>
                          </a:ln>
                        </pic:spPr>
                      </pic:pic>
                    </a:graphicData>
                  </a:graphic>
                </wp:inline>
              </w:drawing>
            </w:r>
          </w:p>
        </w:tc>
        <w:tc>
          <w:tcPr>
            <w:tcW w:w="3544" w:type="dxa"/>
            <w:shd w:val="clear" w:color="auto" w:fill="auto"/>
          </w:tcPr>
          <w:p w:rsidR="00BC1D60" w:rsidRPr="008E6BD5" w:rsidRDefault="00BC1D60" w:rsidP="00BC5B38">
            <w:pPr>
              <w:pStyle w:val="Heading2"/>
              <w:outlineLvl w:val="1"/>
            </w:pPr>
            <w:r w:rsidRPr="008E6BD5">
              <w:t>Karen Li</w:t>
            </w:r>
          </w:p>
          <w:p w:rsidR="00BC1D60" w:rsidRPr="008E6BD5" w:rsidRDefault="003B051F" w:rsidP="00BC5B38">
            <w:pPr>
              <w:pStyle w:val="Body"/>
              <w:spacing w:after="120"/>
              <w:rPr>
                <w:rStyle w:val="txtblackbld1"/>
                <w:rFonts w:ascii="Arial Narrow" w:hAnsi="Arial Narrow"/>
                <w:b w:val="0"/>
                <w:bCs w:val="0"/>
                <w:szCs w:val="20"/>
              </w:rPr>
            </w:pPr>
            <w:hyperlink r:id="rId30" w:history="1">
              <w:r w:rsidR="00BC1D60" w:rsidRPr="008E6BD5">
                <w:rPr>
                  <w:rStyle w:val="Hyperlink"/>
                  <w:rFonts w:ascii="Arial Narrow" w:hAnsi="Arial Narrow" w:cs="Arial"/>
                  <w:szCs w:val="20"/>
                </w:rPr>
                <w:t>karen.yy.li@jpmorgan.com</w:t>
              </w:r>
            </w:hyperlink>
          </w:p>
          <w:p w:rsidR="00BC1D60" w:rsidRPr="008E6BD5" w:rsidRDefault="00BC1D60" w:rsidP="00BC5B38">
            <w:pPr>
              <w:pStyle w:val="Body"/>
              <w:spacing w:after="120"/>
              <w:rPr>
                <w:rFonts w:ascii="Arial Narrow" w:hAnsi="Arial Narrow"/>
              </w:rPr>
            </w:pPr>
            <w:r w:rsidRPr="008E6BD5">
              <w:rPr>
                <w:rFonts w:ascii="Arial Narrow" w:hAnsi="Arial Narrow"/>
              </w:rPr>
              <w:t>(852) 2800-8589</w:t>
            </w:r>
          </w:p>
          <w:p w:rsidR="00BC1D60" w:rsidRPr="008E6BD5" w:rsidRDefault="00BC1D60" w:rsidP="00BC5B38">
            <w:pPr>
              <w:pStyle w:val="Body"/>
              <w:spacing w:after="120"/>
              <w:rPr>
                <w:rFonts w:ascii="Arial Narrow" w:hAnsi="Arial Narrow"/>
              </w:rPr>
            </w:pPr>
          </w:p>
          <w:p w:rsidR="00BC1D60" w:rsidRPr="008E6BD5" w:rsidRDefault="00BC1D60" w:rsidP="00BC5B38">
            <w:pPr>
              <w:pStyle w:val="Body"/>
              <w:spacing w:after="120"/>
              <w:rPr>
                <w:rFonts w:ascii="Arial Narrow" w:hAnsi="Arial Narrow"/>
              </w:rPr>
            </w:pPr>
            <w:r w:rsidRPr="008E6BD5">
              <w:rPr>
                <w:rFonts w:ascii="Arial Narrow" w:hAnsi="Arial Narrow"/>
                <w:b/>
              </w:rPr>
              <w:t>Region:</w:t>
            </w:r>
            <w:r w:rsidRPr="008E6BD5">
              <w:rPr>
                <w:rFonts w:ascii="Arial Narrow" w:hAnsi="Arial Narrow"/>
              </w:rPr>
              <w:t xml:space="preserve"> Asia ex-J — China / HK</w:t>
            </w:r>
          </w:p>
          <w:p w:rsidR="00BC1D60" w:rsidRPr="008E6BD5" w:rsidRDefault="00BC1D60" w:rsidP="00BC5B38">
            <w:pPr>
              <w:pStyle w:val="Body"/>
              <w:spacing w:after="120"/>
              <w:rPr>
                <w:rFonts w:ascii="Arial Narrow" w:hAnsi="Arial Narrow"/>
              </w:rPr>
            </w:pPr>
            <w:r w:rsidRPr="008E6BD5">
              <w:rPr>
                <w:rFonts w:ascii="Arial Narrow" w:hAnsi="Arial Narrow"/>
                <w:b/>
              </w:rPr>
              <w:t>Sector:</w:t>
            </w:r>
            <w:r w:rsidRPr="008E6BD5">
              <w:rPr>
                <w:rFonts w:ascii="Arial Narrow" w:hAnsi="Arial Narrow"/>
              </w:rPr>
              <w:t xml:space="preserve"> Infrastructure &amp; Industrial</w:t>
            </w:r>
          </w:p>
          <w:p w:rsidR="00BC1D60" w:rsidRPr="008E6BD5" w:rsidRDefault="00BC1D60" w:rsidP="00BC5B38">
            <w:pPr>
              <w:pStyle w:val="Body"/>
            </w:pPr>
          </w:p>
        </w:tc>
        <w:tc>
          <w:tcPr>
            <w:tcW w:w="4394" w:type="dxa"/>
            <w:shd w:val="clear" w:color="auto" w:fill="auto"/>
          </w:tcPr>
          <w:p w:rsidR="00BC1D60" w:rsidRPr="008E6BD5" w:rsidRDefault="00BC1D60" w:rsidP="00BC5B38">
            <w:pPr>
              <w:pStyle w:val="Body"/>
              <w:jc w:val="right"/>
            </w:pPr>
            <w:r w:rsidRPr="008E6BD5">
              <w:rPr>
                <w:noProof/>
              </w:rPr>
              <w:drawing>
                <wp:inline distT="0" distB="0" distL="0" distR="0">
                  <wp:extent cx="2505456" cy="1856561"/>
                  <wp:effectExtent l="19050" t="0" r="9144" b="0"/>
                  <wp:docPr id="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2505456" cy="1856561"/>
                          </a:xfrm>
                          <a:prstGeom prst="rect">
                            <a:avLst/>
                          </a:prstGeom>
                          <a:noFill/>
                          <a:ln w="9525">
                            <a:noFill/>
                            <a:miter lim="800000"/>
                            <a:headEnd/>
                            <a:tailEnd/>
                          </a:ln>
                        </pic:spPr>
                      </pic:pic>
                    </a:graphicData>
                  </a:graphic>
                </wp:inline>
              </w:drawing>
            </w:r>
          </w:p>
        </w:tc>
      </w:tr>
    </w:tbl>
    <w:p w:rsidR="00BC1D60" w:rsidRPr="008E6BD5" w:rsidRDefault="00BC1D60" w:rsidP="00BC1D60">
      <w:pPr>
        <w:pStyle w:val="Source"/>
        <w:spacing w:before="0"/>
        <w:ind w:left="-3124" w:hanging="137"/>
      </w:pPr>
      <w:r w:rsidRPr="008E6BD5">
        <w:rPr>
          <w:noProof/>
        </w:rPr>
        <w:drawing>
          <wp:inline distT="0" distB="0" distL="0" distR="0">
            <wp:extent cx="6702552" cy="2097297"/>
            <wp:effectExtent l="19050" t="0" r="3048" b="0"/>
            <wp:docPr id="1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6702552" cy="2097297"/>
                    </a:xfrm>
                    <a:prstGeom prst="rect">
                      <a:avLst/>
                    </a:prstGeom>
                    <a:noFill/>
                    <a:ln w="9525">
                      <a:noFill/>
                      <a:miter lim="800000"/>
                      <a:headEnd/>
                      <a:tailEnd/>
                    </a:ln>
                  </pic:spPr>
                </pic:pic>
              </a:graphicData>
            </a:graphic>
          </wp:inline>
        </w:drawing>
      </w:r>
      <w:r w:rsidRPr="008E6BD5">
        <w:t xml:space="preserve"> Source: Bloomberg, Datastream, Factset, J.P. Morgan</w:t>
      </w:r>
      <w:r w:rsidRPr="008E6BD5">
        <w:br/>
      </w:r>
      <w:r w:rsidRPr="0087013D">
        <w:t>Prices as of 24 June 2014</w:t>
      </w:r>
    </w:p>
    <w:p w:rsidR="00BC1D60" w:rsidRPr="004F1ABB" w:rsidRDefault="00BC1D60" w:rsidP="00BC1D60">
      <w:pPr>
        <w:spacing w:line="264" w:lineRule="atLeast"/>
        <w:ind w:left="-3125"/>
        <w:rPr>
          <w:rFonts w:ascii="Arial Narrow" w:hAnsi="Arial Narrow" w:cs="Arial"/>
          <w:sz w:val="16"/>
          <w:szCs w:val="16"/>
          <w:highlight w:val="yellow"/>
        </w:rPr>
      </w:pPr>
    </w:p>
    <w:p w:rsidR="00BC1D60" w:rsidRPr="004F1ABB" w:rsidRDefault="00BC1D60" w:rsidP="00BC1D60">
      <w:pPr>
        <w:pStyle w:val="Sidecomments"/>
        <w:framePr w:w="0" w:hRule="auto" w:wrap="around"/>
        <w:rPr>
          <w:highlight w:val="yellow"/>
        </w:rPr>
      </w:pPr>
      <w:r w:rsidRPr="00255D8F">
        <w:rPr>
          <w:noProof/>
        </w:rPr>
        <w:lastRenderedPageBreak/>
        <w:drawing>
          <wp:inline distT="0" distB="0" distL="0" distR="0">
            <wp:extent cx="1737360" cy="7873354"/>
            <wp:effectExtent l="19050" t="0" r="0" b="0"/>
            <wp:docPr id="10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a:srcRect/>
                    <a:stretch>
                      <a:fillRect/>
                    </a:stretch>
                  </pic:blipFill>
                  <pic:spPr bwMode="auto">
                    <a:xfrm>
                      <a:off x="0" y="0"/>
                      <a:ext cx="1737360" cy="7873354"/>
                    </a:xfrm>
                    <a:prstGeom prst="rect">
                      <a:avLst/>
                    </a:prstGeom>
                    <a:noFill/>
                    <a:ln w="9525">
                      <a:noFill/>
                      <a:miter lim="800000"/>
                      <a:headEnd/>
                      <a:tailEnd/>
                    </a:ln>
                  </pic:spPr>
                </pic:pic>
              </a:graphicData>
            </a:graphic>
          </wp:inline>
        </w:drawing>
      </w:r>
    </w:p>
    <w:p w:rsidR="00BC1D60" w:rsidRPr="007A4ECF" w:rsidRDefault="00BC1D60" w:rsidP="00BC1D60">
      <w:pPr>
        <w:pStyle w:val="Heading1"/>
        <w:spacing w:before="0" w:after="80"/>
      </w:pPr>
      <w:bookmarkStart w:id="87" w:name="_Toc392099056"/>
      <w:bookmarkStart w:id="88" w:name="_Toc392081804"/>
      <w:bookmarkStart w:id="89" w:name="_Toc392081867"/>
      <w:r w:rsidRPr="007A4ECF">
        <w:t>Bellway (LRD LN / OW / GBp 1,570)</w:t>
      </w:r>
      <w:bookmarkEnd w:id="87"/>
      <w:bookmarkEnd w:id="88"/>
      <w:bookmarkEnd w:id="89"/>
    </w:p>
    <w:p w:rsidR="00BC1D60" w:rsidRPr="007A4ECF" w:rsidRDefault="00BC1D60" w:rsidP="00BC1D60">
      <w:pPr>
        <w:pStyle w:val="Heading2"/>
        <w:spacing w:after="40"/>
        <w:rPr>
          <w:rFonts w:eastAsia="Times New Roman"/>
          <w:bCs/>
          <w:i/>
          <w:iCs/>
          <w:sz w:val="19"/>
          <w:szCs w:val="19"/>
          <w:highlight w:val="yellow"/>
        </w:rPr>
      </w:pPr>
      <w:r w:rsidRPr="007A4ECF">
        <w:rPr>
          <w:rFonts w:eastAsia="Times New Roman"/>
          <w:bCs/>
          <w:i/>
          <w:iCs/>
          <w:sz w:val="19"/>
          <w:szCs w:val="19"/>
        </w:rPr>
        <w:t>High-quality, relatively undervalued play on a sector that has further to go</w:t>
      </w:r>
    </w:p>
    <w:p w:rsidR="00BC1D60" w:rsidRPr="00255D8F" w:rsidRDefault="00BC1D60" w:rsidP="00BC1D60">
      <w:pPr>
        <w:pStyle w:val="Heading3"/>
        <w:spacing w:after="0"/>
        <w:rPr>
          <w:rFonts w:eastAsia="Times New Roman"/>
        </w:rPr>
      </w:pPr>
      <w:r w:rsidRPr="00255D8F">
        <w:rPr>
          <w:rFonts w:eastAsia="Times New Roman"/>
          <w:bCs w:val="0"/>
        </w:rPr>
        <w:t>Investment Highlights:</w:t>
      </w:r>
    </w:p>
    <w:p w:rsidR="00BC1D60" w:rsidRDefault="00BC1D60" w:rsidP="00BC1D60">
      <w:pPr>
        <w:pStyle w:val="Bullet"/>
        <w:tabs>
          <w:tab w:val="clear" w:pos="288"/>
          <w:tab w:val="left" w:pos="360"/>
        </w:tabs>
        <w:spacing w:after="40"/>
        <w:ind w:left="180" w:hanging="198"/>
        <w:rPr>
          <w:lang w:val="en-GB" w:eastAsia="ja-JP"/>
        </w:rPr>
      </w:pPr>
      <w:r w:rsidRPr="001E25C9">
        <w:rPr>
          <w:szCs w:val="21"/>
          <w:lang w:val="en-GB"/>
        </w:rPr>
        <w:t xml:space="preserve">Bellway fits our preference </w:t>
      </w:r>
      <w:r>
        <w:rPr>
          <w:szCs w:val="21"/>
          <w:lang w:val="en-GB"/>
        </w:rPr>
        <w:t>“</w:t>
      </w:r>
      <w:r w:rsidRPr="001E25C9">
        <w:rPr>
          <w:szCs w:val="21"/>
          <w:lang w:val="en-GB"/>
        </w:rPr>
        <w:t>Rerating</w:t>
      </w:r>
      <w:r>
        <w:rPr>
          <w:szCs w:val="21"/>
          <w:lang w:val="en-GB"/>
        </w:rPr>
        <w:t>”</w:t>
      </w:r>
      <w:r w:rsidRPr="001E25C9">
        <w:rPr>
          <w:szCs w:val="21"/>
          <w:lang w:val="en-GB"/>
        </w:rPr>
        <w:t xml:space="preserve"> rather than pure "Recovery" — P/E 15E of 7.5x vs sector avg 8.1x and 1.1x tNAV vs sector avg of 1.5x… despite sporting higher than sector avg ROCE (14% vs 12% based on JPM’s ’15 ests).  Bellway has the 3</w:t>
      </w:r>
      <w:r w:rsidRPr="001E25C9">
        <w:rPr>
          <w:szCs w:val="21"/>
          <w:vertAlign w:val="superscript"/>
          <w:lang w:val="en-GB"/>
        </w:rPr>
        <w:t>rd</w:t>
      </w:r>
      <w:r w:rsidRPr="001E25C9">
        <w:rPr>
          <w:szCs w:val="21"/>
          <w:lang w:val="en-GB"/>
        </w:rPr>
        <w:t xml:space="preserve"> highest return on tNAV but is the 2</w:t>
      </w:r>
      <w:r w:rsidRPr="001E25C9">
        <w:rPr>
          <w:szCs w:val="21"/>
          <w:vertAlign w:val="superscript"/>
          <w:lang w:val="en-GB"/>
        </w:rPr>
        <w:t>nd</w:t>
      </w:r>
      <w:r w:rsidRPr="001E25C9">
        <w:rPr>
          <w:szCs w:val="21"/>
          <w:lang w:val="en-GB"/>
        </w:rPr>
        <w:t xml:space="preserve"> cheapest in its universe on P/tNAV 14E (1.3x vs 1.6x sector avg).  </w:t>
      </w:r>
    </w:p>
    <w:p w:rsidR="00BC1D60" w:rsidRDefault="00BC1D60" w:rsidP="00BC1D60">
      <w:pPr>
        <w:pStyle w:val="Bullet"/>
        <w:tabs>
          <w:tab w:val="clear" w:pos="288"/>
          <w:tab w:val="left" w:pos="360"/>
        </w:tabs>
        <w:spacing w:after="40"/>
        <w:ind w:left="180" w:hanging="198"/>
        <w:rPr>
          <w:lang w:val="en-GB" w:eastAsia="ja-JP"/>
        </w:rPr>
      </w:pPr>
      <w:r w:rsidRPr="001E25C9">
        <w:rPr>
          <w:lang w:val="en-GB" w:eastAsia="ja-JP"/>
        </w:rPr>
        <w:t xml:space="preserve">Strong FCF story with solid balance sheet, where the CF can be employed in accretive ways (i.e. dividends/ reinvestment in the biz). While FCF for a home builder is clearly a very cyclical metric, we believe that our ests can provide investors with a sense of the value proposition we see, forecasting 34% of mkt cap generated in FCF in over FY14/15, with Div Yld reaching </w:t>
      </w:r>
      <w:r>
        <w:rPr>
          <w:lang w:val="en-GB" w:eastAsia="ja-JP"/>
        </w:rPr>
        <w:t>4.4</w:t>
      </w:r>
      <w:r w:rsidRPr="001E25C9">
        <w:rPr>
          <w:lang w:val="en-GB" w:eastAsia="ja-JP"/>
        </w:rPr>
        <w:t>% in FY15.  We note that the company exited FY13 with a net cash position of £24m.</w:t>
      </w:r>
    </w:p>
    <w:p w:rsidR="00BC1D60" w:rsidRPr="00892C5F" w:rsidRDefault="00BC1D60" w:rsidP="00BC1D60">
      <w:pPr>
        <w:pStyle w:val="Bullet"/>
        <w:tabs>
          <w:tab w:val="clear" w:pos="288"/>
          <w:tab w:val="left" w:pos="360"/>
        </w:tabs>
        <w:spacing w:after="60"/>
        <w:ind w:left="180" w:hanging="198"/>
        <w:rPr>
          <w:lang w:val="en-GB" w:eastAsia="ja-JP"/>
        </w:rPr>
      </w:pPr>
      <w:r w:rsidRPr="001E25C9">
        <w:rPr>
          <w:lang w:val="en-GB" w:eastAsia="ja-JP"/>
        </w:rPr>
        <w:t xml:space="preserve">A growth story for today rather than if and when the economy is firing on all </w:t>
      </w:r>
      <w:r w:rsidRPr="00EB49A0">
        <w:rPr>
          <w:szCs w:val="21"/>
          <w:lang w:val="en-GB"/>
        </w:rPr>
        <w:t>cylinders</w:t>
      </w:r>
      <w:r w:rsidRPr="001E25C9">
        <w:rPr>
          <w:lang w:val="en-GB" w:eastAsia="ja-JP"/>
        </w:rPr>
        <w:t>.  JPMe calls for Bellway to deliver rev grw &gt;20% in FY14 and FY15, with EPS grw of 59% and 29%.  We see structural tailwinds that c</w:t>
      </w:r>
      <w:r>
        <w:rPr>
          <w:lang w:val="en-GB" w:eastAsia="ja-JP"/>
        </w:rPr>
        <w:t>ould</w:t>
      </w:r>
      <w:r w:rsidRPr="001E25C9">
        <w:rPr>
          <w:lang w:val="en-GB" w:eastAsia="ja-JP"/>
        </w:rPr>
        <w:t xml:space="preserve"> keep the grw rate far above that of the broader economy — a lasting imbalance of supply and demand in the UK and interest rates that are likely to remain at depressed levels for an extended period of time. </w:t>
      </w:r>
      <w:r w:rsidRPr="00EB49A0">
        <w:rPr>
          <w:lang w:val="en-GB" w:eastAsia="ja-JP"/>
        </w:rPr>
        <w:t xml:space="preserve">We believe recent concerns are overdone around the potential impact of an earlier rate rise and new BoE measures intended to reduce riskier mortgage lending; we continue to see upside risk to earnings estimates and still believe we are in the early stages of a UK housing </w:t>
      </w:r>
      <w:r>
        <w:rPr>
          <w:lang w:val="en-GB" w:eastAsia="ja-JP"/>
        </w:rPr>
        <w:t>mkt</w:t>
      </w:r>
      <w:r w:rsidRPr="00EB49A0">
        <w:rPr>
          <w:lang w:val="en-GB" w:eastAsia="ja-JP"/>
        </w:rPr>
        <w:t xml:space="preserve"> recovery</w:t>
      </w:r>
      <w:r>
        <w:rPr>
          <w:lang w:val="en-GB" w:eastAsia="ja-JP"/>
        </w:rPr>
        <w:t>.</w:t>
      </w:r>
      <w:r w:rsidRPr="001E25C9">
        <w:rPr>
          <w:lang w:val="en-GB" w:eastAsia="ja-JP"/>
        </w:rPr>
        <w:t xml:space="preserve"> </w:t>
      </w:r>
    </w:p>
    <w:p w:rsidR="00BC1D60" w:rsidRPr="004F1ABB" w:rsidRDefault="00BC1D60" w:rsidP="00BC1D60">
      <w:pPr>
        <w:pStyle w:val="Body"/>
        <w:spacing w:after="40"/>
        <w:rPr>
          <w:highlight w:val="yellow"/>
        </w:rPr>
      </w:pPr>
      <w:r w:rsidRPr="00255D8F">
        <w:rPr>
          <w:b/>
        </w:rPr>
        <w:t xml:space="preserve">Valuation / Risks to our View: </w:t>
      </w:r>
      <w:r w:rsidRPr="00255D8F">
        <w:rPr>
          <w:szCs w:val="20"/>
        </w:rPr>
        <w:t>Our</w:t>
      </w:r>
      <w:r>
        <w:rPr>
          <w:szCs w:val="20"/>
        </w:rPr>
        <w:t xml:space="preserve"> Jan-15 PT of GBp 2,000 is based on the following weighted P/Es</w:t>
      </w:r>
      <w:r w:rsidRPr="00892C5F">
        <w:rPr>
          <w:szCs w:val="20"/>
        </w:rPr>
        <w:t xml:space="preserve">: </w:t>
      </w:r>
      <w:r>
        <w:rPr>
          <w:szCs w:val="20"/>
        </w:rPr>
        <w:t xml:space="preserve">i) </w:t>
      </w:r>
      <w:r w:rsidRPr="00892C5F">
        <w:rPr>
          <w:szCs w:val="20"/>
        </w:rPr>
        <w:t>our base case EPS 2016 on a multiple of 10-11X (a 10% premium to</w:t>
      </w:r>
      <w:r>
        <w:rPr>
          <w:szCs w:val="20"/>
        </w:rPr>
        <w:t xml:space="preserve"> </w:t>
      </w:r>
      <w:r w:rsidRPr="00892C5F">
        <w:rPr>
          <w:szCs w:val="20"/>
        </w:rPr>
        <w:t>historic levels</w:t>
      </w:r>
      <w:r>
        <w:rPr>
          <w:szCs w:val="20"/>
        </w:rPr>
        <w:t>);</w:t>
      </w:r>
      <w:r w:rsidRPr="00892C5F">
        <w:rPr>
          <w:szCs w:val="20"/>
        </w:rPr>
        <w:t xml:space="preserve"> </w:t>
      </w:r>
      <w:r>
        <w:rPr>
          <w:szCs w:val="20"/>
        </w:rPr>
        <w:t xml:space="preserve">ii) </w:t>
      </w:r>
      <w:r w:rsidRPr="00892C5F">
        <w:rPr>
          <w:szCs w:val="20"/>
        </w:rPr>
        <w:t>our ‘sustainable bull case’ estimates on a multiple of 9.0-9.9x</w:t>
      </w:r>
      <w:r>
        <w:rPr>
          <w:szCs w:val="20"/>
        </w:rPr>
        <w:t>. W</w:t>
      </w:r>
      <w:r w:rsidRPr="00892C5F">
        <w:rPr>
          <w:szCs w:val="20"/>
        </w:rPr>
        <w:t>e weight our price targets 2/3 towards our base case EPS, 1/3 towards our</w:t>
      </w:r>
      <w:r>
        <w:rPr>
          <w:szCs w:val="20"/>
        </w:rPr>
        <w:t xml:space="preserve"> </w:t>
      </w:r>
      <w:r w:rsidRPr="00892C5F">
        <w:rPr>
          <w:szCs w:val="20"/>
        </w:rPr>
        <w:t xml:space="preserve">‘sustainable bull case’, and discount by one year. </w:t>
      </w:r>
      <w:r>
        <w:rPr>
          <w:szCs w:val="20"/>
        </w:rPr>
        <w:t>Risks include: a slower UK consumer recovery than anticipated; a deterioration in mortgage availability; a sentiment overhang if mkt assigns improvements to Help to Buy rather than genuine recovery, or concerns over mkt stability in an interest growth environment.</w:t>
      </w:r>
    </w:p>
    <w:p w:rsidR="00BC1D60" w:rsidRPr="00255D8F" w:rsidRDefault="00BC1D60" w:rsidP="00BC1D60">
      <w:pPr>
        <w:pStyle w:val="Heading3"/>
        <w:spacing w:after="80"/>
        <w:rPr>
          <w:b w:val="0"/>
        </w:rPr>
      </w:pPr>
      <w:r w:rsidRPr="00892C5F">
        <w:t xml:space="preserve">Bellway in a Nutshell: </w:t>
      </w:r>
      <w:r w:rsidRPr="00892C5F">
        <w:rPr>
          <w:b w:val="0"/>
          <w:lang w:val="en-GB"/>
        </w:rPr>
        <w:t>Bellway is one of the leading UK housebuilders with national presence and 2,000 employees.  In</w:t>
      </w:r>
      <w:r>
        <w:rPr>
          <w:b w:val="0"/>
          <w:lang w:val="en-GB"/>
        </w:rPr>
        <w:t xml:space="preserve"> 2013, the company delivered 5.7</w:t>
      </w:r>
      <w:r w:rsidRPr="00892C5F">
        <w:rPr>
          <w:b w:val="0"/>
          <w:lang w:val="en-GB"/>
        </w:rPr>
        <w:t xml:space="preserve">K completed homes, at an avg selling price of £193K, a total group revenue of £1.1bn, with </w:t>
      </w:r>
      <w:r w:rsidRPr="00255D8F">
        <w:rPr>
          <w:b w:val="0"/>
          <w:lang w:val="en-GB"/>
        </w:rPr>
        <w:t>operating margins of 13.6%, and RoCE of 12.3%</w:t>
      </w:r>
      <w:r w:rsidRPr="00255D8F">
        <w:rPr>
          <w:b w:val="0"/>
          <w:szCs w:val="20"/>
        </w:rPr>
        <w:t>.</w:t>
      </w:r>
      <w:r w:rsidRPr="00255D8F">
        <w:rPr>
          <w:szCs w:val="20"/>
        </w:rPr>
        <w:t xml:space="preserve">  </w:t>
      </w:r>
    </w:p>
    <w:p w:rsidR="00BC1D60" w:rsidRDefault="00BC1D60" w:rsidP="00BC1D60">
      <w:pPr>
        <w:pStyle w:val="Heading3"/>
        <w:spacing w:after="0"/>
      </w:pPr>
      <w:r w:rsidRPr="00255D8F">
        <w:t>Price Perf vs MSCI All Country World Small Cap (rebased as of 1-year ago)</w:t>
      </w:r>
    </w:p>
    <w:p w:rsidR="00BC1D60" w:rsidRDefault="00BC1D60" w:rsidP="00BC1D60">
      <w:pPr>
        <w:pStyle w:val="Body"/>
        <w:spacing w:after="0"/>
      </w:pPr>
      <w:r w:rsidRPr="00255D8F">
        <w:rPr>
          <w:noProof/>
        </w:rPr>
        <w:drawing>
          <wp:inline distT="0" distB="0" distL="0" distR="0">
            <wp:extent cx="4352232" cy="1305098"/>
            <wp:effectExtent l="19050" t="0" r="0" b="0"/>
            <wp:docPr id="10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a:srcRect t="6286" b="5143"/>
                    <a:stretch>
                      <a:fillRect/>
                    </a:stretch>
                  </pic:blipFill>
                  <pic:spPr bwMode="auto">
                    <a:xfrm>
                      <a:off x="0" y="0"/>
                      <a:ext cx="4352232" cy="1305098"/>
                    </a:xfrm>
                    <a:prstGeom prst="rect">
                      <a:avLst/>
                    </a:prstGeom>
                    <a:noFill/>
                    <a:ln w="9525">
                      <a:noFill/>
                      <a:miter lim="800000"/>
                      <a:headEnd/>
                      <a:tailEnd/>
                    </a:ln>
                  </pic:spPr>
                </pic:pic>
              </a:graphicData>
            </a:graphic>
          </wp:inline>
        </w:drawing>
      </w:r>
    </w:p>
    <w:p w:rsidR="00BC1D60" w:rsidRPr="00FF1987" w:rsidRDefault="00BC1D60" w:rsidP="00BC1D60">
      <w:pPr>
        <w:pStyle w:val="Body"/>
        <w:spacing w:after="0"/>
        <w:rPr>
          <w:noProof/>
          <w:lang w:val="en-GB" w:eastAsia="en-GB"/>
        </w:rPr>
      </w:pPr>
      <w:r w:rsidRPr="00FF1987">
        <w:rPr>
          <w:rFonts w:ascii="Arial" w:hAnsi="Arial" w:cs="Arial"/>
          <w:b/>
          <w:noProof/>
          <w:sz w:val="18"/>
          <w:szCs w:val="18"/>
        </w:rPr>
        <w:t>J.P. Morgan Estimates</w:t>
      </w:r>
    </w:p>
    <w:p w:rsidR="00BC1D60" w:rsidRDefault="00BC1D60" w:rsidP="00BC1D60">
      <w:pPr>
        <w:pStyle w:val="ESTableCaption"/>
        <w:keepNext/>
      </w:pPr>
      <w:r>
        <w:rPr>
          <w:sz w:val="16"/>
        </w:rPr>
        <w:t>Bellway (BWY.L;BWY LN)</w:t>
      </w:r>
    </w:p>
    <w:tbl>
      <w:tblPr>
        <w:tblW w:w="5000" w:type="pct"/>
        <w:tblCellMar>
          <w:left w:w="0" w:type="dxa"/>
          <w:right w:w="43" w:type="dxa"/>
        </w:tblCellMar>
        <w:tblLook w:val="01E0"/>
      </w:tblPr>
      <w:tblGrid>
        <w:gridCol w:w="2013"/>
        <w:gridCol w:w="1221"/>
        <w:gridCol w:w="1221"/>
        <w:gridCol w:w="1221"/>
        <w:gridCol w:w="1221"/>
      </w:tblGrid>
      <w:tr w:rsidR="00BC1D60" w:rsidTr="00BC5B38">
        <w:trPr>
          <w:cantSplit/>
        </w:trPr>
        <w:tc>
          <w:tcPr>
            <w:tcW w:w="2000" w:type="dxa"/>
            <w:tcBorders>
              <w:top w:val="single" w:sz="4" w:space="0" w:color="auto"/>
            </w:tcBorders>
          </w:tcPr>
          <w:p w:rsidR="00BC1D60" w:rsidRDefault="00BC1D60" w:rsidP="00BC5B38">
            <w:pPr>
              <w:pStyle w:val="ESTableRow"/>
              <w:keepNext/>
            </w:pPr>
            <w:r>
              <w:rPr>
                <w:b/>
              </w:rPr>
              <w:t>FYE Jul</w:t>
            </w:r>
          </w:p>
        </w:tc>
        <w:tc>
          <w:tcPr>
            <w:tcW w:w="1212" w:type="dxa"/>
            <w:tcBorders>
              <w:top w:val="single" w:sz="4" w:space="0" w:color="auto"/>
            </w:tcBorders>
          </w:tcPr>
          <w:p w:rsidR="00BC1D60" w:rsidRDefault="00BC1D60" w:rsidP="00BC5B38">
            <w:pPr>
              <w:pStyle w:val="ESTableRow"/>
              <w:keepNext/>
              <w:jc w:val="right"/>
            </w:pPr>
            <w:r>
              <w:rPr>
                <w:b/>
              </w:rPr>
              <w:t>2012A</w:t>
            </w:r>
          </w:p>
        </w:tc>
        <w:tc>
          <w:tcPr>
            <w:tcW w:w="1212" w:type="dxa"/>
            <w:tcBorders>
              <w:top w:val="single" w:sz="4" w:space="0" w:color="auto"/>
            </w:tcBorders>
          </w:tcPr>
          <w:p w:rsidR="00BC1D60" w:rsidRDefault="00BC1D60" w:rsidP="00BC5B38">
            <w:pPr>
              <w:pStyle w:val="ESTableRow"/>
              <w:keepNext/>
              <w:jc w:val="right"/>
            </w:pPr>
            <w:r>
              <w:rPr>
                <w:b/>
              </w:rPr>
              <w:t>2013A</w:t>
            </w:r>
          </w:p>
        </w:tc>
        <w:tc>
          <w:tcPr>
            <w:tcW w:w="1212" w:type="dxa"/>
            <w:tcBorders>
              <w:top w:val="single" w:sz="4" w:space="0" w:color="auto"/>
            </w:tcBorders>
          </w:tcPr>
          <w:p w:rsidR="00BC1D60" w:rsidRDefault="00BC1D60" w:rsidP="00BC5B38">
            <w:pPr>
              <w:pStyle w:val="ESTableRow"/>
              <w:keepNext/>
              <w:jc w:val="right"/>
            </w:pPr>
            <w:r>
              <w:rPr>
                <w:b/>
              </w:rPr>
              <w:t>2014E</w:t>
            </w:r>
          </w:p>
        </w:tc>
        <w:tc>
          <w:tcPr>
            <w:tcW w:w="1212" w:type="dxa"/>
            <w:tcBorders>
              <w:top w:val="single" w:sz="4" w:space="0" w:color="auto"/>
            </w:tcBorders>
          </w:tcPr>
          <w:p w:rsidR="00BC1D60" w:rsidRDefault="00BC1D60" w:rsidP="00BC5B38">
            <w:pPr>
              <w:pStyle w:val="ESTableRow"/>
              <w:keepNext/>
              <w:jc w:val="right"/>
            </w:pPr>
            <w:r>
              <w:rPr>
                <w:b/>
              </w:rPr>
              <w:t>2015E</w:t>
            </w:r>
          </w:p>
        </w:tc>
      </w:tr>
      <w:tr w:rsidR="00BC1D60" w:rsidTr="00BC5B38">
        <w:trPr>
          <w:cantSplit/>
        </w:trPr>
        <w:tc>
          <w:tcPr>
            <w:tcW w:w="2000" w:type="dxa"/>
            <w:tcBorders>
              <w:top w:val="single" w:sz="4" w:space="0" w:color="auto"/>
            </w:tcBorders>
          </w:tcPr>
          <w:p w:rsidR="00BC1D60" w:rsidRDefault="00BC1D60" w:rsidP="00BC5B38">
            <w:pPr>
              <w:pStyle w:val="ESTableRow"/>
              <w:keepNext/>
            </w:pPr>
            <w:r>
              <w:t>Adj. EPS FY (p)</w:t>
            </w:r>
          </w:p>
        </w:tc>
        <w:tc>
          <w:tcPr>
            <w:tcW w:w="1212" w:type="dxa"/>
            <w:tcBorders>
              <w:top w:val="single" w:sz="4" w:space="0" w:color="auto"/>
            </w:tcBorders>
          </w:tcPr>
          <w:p w:rsidR="00BC1D60" w:rsidRDefault="00BC1D60" w:rsidP="00BC5B38">
            <w:pPr>
              <w:pStyle w:val="ESTableRow"/>
              <w:keepNext/>
              <w:jc w:val="right"/>
            </w:pPr>
            <w:r>
              <w:t>65.50</w:t>
            </w:r>
          </w:p>
        </w:tc>
        <w:tc>
          <w:tcPr>
            <w:tcW w:w="1212" w:type="dxa"/>
            <w:tcBorders>
              <w:top w:val="single" w:sz="4" w:space="0" w:color="auto"/>
            </w:tcBorders>
          </w:tcPr>
          <w:p w:rsidR="00BC1D60" w:rsidRDefault="00BC1D60" w:rsidP="00BC5B38">
            <w:pPr>
              <w:pStyle w:val="ESTableRow"/>
              <w:keepNext/>
              <w:jc w:val="right"/>
            </w:pPr>
            <w:r>
              <w:t>89.31</w:t>
            </w:r>
          </w:p>
        </w:tc>
        <w:tc>
          <w:tcPr>
            <w:tcW w:w="1212" w:type="dxa"/>
            <w:tcBorders>
              <w:top w:val="single" w:sz="4" w:space="0" w:color="auto"/>
            </w:tcBorders>
          </w:tcPr>
          <w:p w:rsidR="00BC1D60" w:rsidRDefault="00BC1D60" w:rsidP="00BC5B38">
            <w:pPr>
              <w:pStyle w:val="ESTableRow"/>
              <w:keepNext/>
              <w:jc w:val="right"/>
            </w:pPr>
            <w:r>
              <w:t>151.82</w:t>
            </w:r>
          </w:p>
        </w:tc>
        <w:tc>
          <w:tcPr>
            <w:tcW w:w="1212" w:type="dxa"/>
            <w:tcBorders>
              <w:top w:val="single" w:sz="4" w:space="0" w:color="auto"/>
            </w:tcBorders>
          </w:tcPr>
          <w:p w:rsidR="00BC1D60" w:rsidRDefault="00BC1D60" w:rsidP="00BC5B38">
            <w:pPr>
              <w:pStyle w:val="ESTableRow"/>
              <w:keepNext/>
              <w:jc w:val="right"/>
            </w:pPr>
            <w:r>
              <w:t>190.26</w:t>
            </w:r>
          </w:p>
        </w:tc>
      </w:tr>
      <w:tr w:rsidR="00BC1D60" w:rsidTr="00BC5B38">
        <w:trPr>
          <w:cantSplit/>
        </w:trPr>
        <w:tc>
          <w:tcPr>
            <w:tcW w:w="2000" w:type="dxa"/>
          </w:tcPr>
          <w:p w:rsidR="00BC1D60" w:rsidRDefault="00BC1D60" w:rsidP="00BC5B38">
            <w:pPr>
              <w:pStyle w:val="ESTableRow"/>
              <w:keepNext/>
            </w:pPr>
            <w:r>
              <w:t>Revenue FY (£ mn)</w:t>
            </w:r>
          </w:p>
        </w:tc>
        <w:tc>
          <w:tcPr>
            <w:tcW w:w="1212" w:type="dxa"/>
          </w:tcPr>
          <w:p w:rsidR="00BC1D60" w:rsidRDefault="00BC1D60" w:rsidP="00BC5B38">
            <w:pPr>
              <w:pStyle w:val="ESTableRow"/>
              <w:keepNext/>
              <w:jc w:val="right"/>
            </w:pPr>
            <w:r>
              <w:t>1,004</w:t>
            </w:r>
          </w:p>
        </w:tc>
        <w:tc>
          <w:tcPr>
            <w:tcW w:w="1212" w:type="dxa"/>
          </w:tcPr>
          <w:p w:rsidR="00BC1D60" w:rsidRDefault="00BC1D60" w:rsidP="00BC5B38">
            <w:pPr>
              <w:pStyle w:val="ESTableRow"/>
              <w:keepNext/>
              <w:jc w:val="right"/>
            </w:pPr>
            <w:r>
              <w:t>1,111</w:t>
            </w:r>
          </w:p>
        </w:tc>
        <w:tc>
          <w:tcPr>
            <w:tcW w:w="1212" w:type="dxa"/>
          </w:tcPr>
          <w:p w:rsidR="00BC1D60" w:rsidRDefault="00BC1D60" w:rsidP="00BC5B38">
            <w:pPr>
              <w:pStyle w:val="ESTableRow"/>
              <w:keepNext/>
              <w:jc w:val="right"/>
            </w:pPr>
            <w:r>
              <w:t>1,464</w:t>
            </w:r>
          </w:p>
        </w:tc>
        <w:tc>
          <w:tcPr>
            <w:tcW w:w="1212" w:type="dxa"/>
          </w:tcPr>
          <w:p w:rsidR="00BC1D60" w:rsidRDefault="00BC1D60" w:rsidP="00BC5B38">
            <w:pPr>
              <w:pStyle w:val="ESTableRow"/>
              <w:keepNext/>
              <w:jc w:val="right"/>
            </w:pPr>
            <w:r>
              <w:t>1,736</w:t>
            </w:r>
          </w:p>
        </w:tc>
      </w:tr>
      <w:tr w:rsidR="00BC1D60" w:rsidTr="00BC5B38">
        <w:trPr>
          <w:cantSplit/>
        </w:trPr>
        <w:tc>
          <w:tcPr>
            <w:tcW w:w="2000" w:type="dxa"/>
          </w:tcPr>
          <w:p w:rsidR="00BC1D60" w:rsidRDefault="00BC1D60" w:rsidP="00BC5B38">
            <w:pPr>
              <w:pStyle w:val="ESTableRow"/>
              <w:keepNext/>
            </w:pPr>
            <w:r>
              <w:t>Gross Profit FY (£ mn)</w:t>
            </w:r>
          </w:p>
        </w:tc>
        <w:tc>
          <w:tcPr>
            <w:tcW w:w="1212" w:type="dxa"/>
          </w:tcPr>
          <w:p w:rsidR="00BC1D60" w:rsidRDefault="00BC1D60" w:rsidP="00BC5B38">
            <w:pPr>
              <w:pStyle w:val="ESTableRow"/>
              <w:keepNext/>
              <w:jc w:val="right"/>
            </w:pPr>
            <w:r>
              <w:t>162</w:t>
            </w:r>
          </w:p>
        </w:tc>
        <w:tc>
          <w:tcPr>
            <w:tcW w:w="1212" w:type="dxa"/>
          </w:tcPr>
          <w:p w:rsidR="00BC1D60" w:rsidRDefault="00BC1D60" w:rsidP="00BC5B38">
            <w:pPr>
              <w:pStyle w:val="ESTableRow"/>
              <w:keepNext/>
              <w:jc w:val="right"/>
            </w:pPr>
            <w:r>
              <w:t>203</w:t>
            </w:r>
          </w:p>
        </w:tc>
        <w:tc>
          <w:tcPr>
            <w:tcW w:w="1212" w:type="dxa"/>
          </w:tcPr>
          <w:p w:rsidR="00BC1D60" w:rsidRDefault="00BC1D60" w:rsidP="00BC5B38">
            <w:pPr>
              <w:pStyle w:val="ESTableRow"/>
              <w:keepNext/>
              <w:jc w:val="right"/>
            </w:pPr>
            <w:r>
              <w:t>307</w:t>
            </w:r>
          </w:p>
        </w:tc>
        <w:tc>
          <w:tcPr>
            <w:tcW w:w="1212" w:type="dxa"/>
          </w:tcPr>
          <w:p w:rsidR="00BC1D60" w:rsidRDefault="00BC1D60" w:rsidP="00BC5B38">
            <w:pPr>
              <w:pStyle w:val="ESTableRow"/>
              <w:keepNext/>
              <w:jc w:val="right"/>
            </w:pPr>
            <w:r>
              <w:t>373</w:t>
            </w:r>
          </w:p>
        </w:tc>
      </w:tr>
      <w:tr w:rsidR="00BC1D60" w:rsidTr="00BC5B38">
        <w:trPr>
          <w:cantSplit/>
        </w:trPr>
        <w:tc>
          <w:tcPr>
            <w:tcW w:w="2000" w:type="dxa"/>
          </w:tcPr>
          <w:p w:rsidR="00BC1D60" w:rsidRDefault="00BC1D60" w:rsidP="00BC5B38">
            <w:pPr>
              <w:pStyle w:val="ESTableRow"/>
              <w:keepNext/>
            </w:pPr>
            <w:r>
              <w:t xml:space="preserve">Gross Margin FY </w:t>
            </w:r>
          </w:p>
        </w:tc>
        <w:tc>
          <w:tcPr>
            <w:tcW w:w="1212" w:type="dxa"/>
          </w:tcPr>
          <w:p w:rsidR="00BC1D60" w:rsidRDefault="00BC1D60" w:rsidP="00BC5B38">
            <w:pPr>
              <w:pStyle w:val="ESTableRow"/>
              <w:keepNext/>
              <w:jc w:val="right"/>
            </w:pPr>
            <w:r>
              <w:t>16.1%</w:t>
            </w:r>
          </w:p>
        </w:tc>
        <w:tc>
          <w:tcPr>
            <w:tcW w:w="1212" w:type="dxa"/>
          </w:tcPr>
          <w:p w:rsidR="00BC1D60" w:rsidRDefault="00BC1D60" w:rsidP="00BC5B38">
            <w:pPr>
              <w:pStyle w:val="ESTableRow"/>
              <w:keepNext/>
              <w:jc w:val="right"/>
            </w:pPr>
            <w:r>
              <w:t>18.3%</w:t>
            </w:r>
          </w:p>
        </w:tc>
        <w:tc>
          <w:tcPr>
            <w:tcW w:w="1212" w:type="dxa"/>
          </w:tcPr>
          <w:p w:rsidR="00BC1D60" w:rsidRDefault="00BC1D60" w:rsidP="00BC5B38">
            <w:pPr>
              <w:pStyle w:val="ESTableRow"/>
              <w:keepNext/>
              <w:jc w:val="right"/>
            </w:pPr>
            <w:r>
              <w:t>21.0%</w:t>
            </w:r>
          </w:p>
        </w:tc>
        <w:tc>
          <w:tcPr>
            <w:tcW w:w="1212" w:type="dxa"/>
          </w:tcPr>
          <w:p w:rsidR="00BC1D60" w:rsidRDefault="00BC1D60" w:rsidP="00BC5B38">
            <w:pPr>
              <w:pStyle w:val="ESTableRow"/>
              <w:keepNext/>
              <w:jc w:val="right"/>
            </w:pPr>
            <w:r>
              <w:t>21.5%</w:t>
            </w:r>
          </w:p>
        </w:tc>
      </w:tr>
      <w:tr w:rsidR="00BC1D60" w:rsidTr="00BC5B38">
        <w:trPr>
          <w:cantSplit/>
        </w:trPr>
        <w:tc>
          <w:tcPr>
            <w:tcW w:w="2000" w:type="dxa"/>
          </w:tcPr>
          <w:p w:rsidR="00BC1D60" w:rsidRDefault="00BC1D60" w:rsidP="00BC5B38">
            <w:pPr>
              <w:pStyle w:val="ESTableRow"/>
              <w:keepNext/>
            </w:pPr>
            <w:r>
              <w:t>EBIT FY (£ mn)</w:t>
            </w:r>
          </w:p>
        </w:tc>
        <w:tc>
          <w:tcPr>
            <w:tcW w:w="1212" w:type="dxa"/>
          </w:tcPr>
          <w:p w:rsidR="00BC1D60" w:rsidRDefault="00BC1D60" w:rsidP="00BC5B38">
            <w:pPr>
              <w:pStyle w:val="ESTableRow"/>
              <w:keepNext/>
              <w:jc w:val="right"/>
            </w:pPr>
            <w:r>
              <w:t>115</w:t>
            </w:r>
          </w:p>
        </w:tc>
        <w:tc>
          <w:tcPr>
            <w:tcW w:w="1212" w:type="dxa"/>
          </w:tcPr>
          <w:p w:rsidR="00BC1D60" w:rsidRDefault="00BC1D60" w:rsidP="00BC5B38">
            <w:pPr>
              <w:pStyle w:val="ESTableRow"/>
              <w:keepNext/>
              <w:jc w:val="right"/>
            </w:pPr>
            <w:r>
              <w:t>151</w:t>
            </w:r>
          </w:p>
        </w:tc>
        <w:tc>
          <w:tcPr>
            <w:tcW w:w="1212" w:type="dxa"/>
          </w:tcPr>
          <w:p w:rsidR="00BC1D60" w:rsidRDefault="00BC1D60" w:rsidP="00BC5B38">
            <w:pPr>
              <w:pStyle w:val="ESTableRow"/>
              <w:keepNext/>
              <w:jc w:val="right"/>
            </w:pPr>
            <w:r>
              <w:t>250</w:t>
            </w:r>
          </w:p>
        </w:tc>
        <w:tc>
          <w:tcPr>
            <w:tcW w:w="1212" w:type="dxa"/>
          </w:tcPr>
          <w:p w:rsidR="00BC1D60" w:rsidRDefault="00BC1D60" w:rsidP="00BC5B38">
            <w:pPr>
              <w:pStyle w:val="ESTableRow"/>
              <w:keepNext/>
              <w:jc w:val="right"/>
            </w:pPr>
            <w:r>
              <w:t>310</w:t>
            </w:r>
          </w:p>
        </w:tc>
      </w:tr>
      <w:tr w:rsidR="00BC1D60" w:rsidTr="00BC5B38">
        <w:trPr>
          <w:cantSplit/>
        </w:trPr>
        <w:tc>
          <w:tcPr>
            <w:tcW w:w="2000" w:type="dxa"/>
          </w:tcPr>
          <w:p w:rsidR="00BC1D60" w:rsidRDefault="00BC1D60" w:rsidP="00BC5B38">
            <w:pPr>
              <w:pStyle w:val="ESTableRow"/>
              <w:keepNext/>
            </w:pPr>
            <w:r>
              <w:t xml:space="preserve">EBIT margin FY </w:t>
            </w:r>
          </w:p>
        </w:tc>
        <w:tc>
          <w:tcPr>
            <w:tcW w:w="1212" w:type="dxa"/>
          </w:tcPr>
          <w:p w:rsidR="00BC1D60" w:rsidRDefault="00BC1D60" w:rsidP="00BC5B38">
            <w:pPr>
              <w:pStyle w:val="ESTableRow"/>
              <w:keepNext/>
              <w:jc w:val="right"/>
            </w:pPr>
            <w:r>
              <w:t>11.4%</w:t>
            </w:r>
          </w:p>
        </w:tc>
        <w:tc>
          <w:tcPr>
            <w:tcW w:w="1212" w:type="dxa"/>
          </w:tcPr>
          <w:p w:rsidR="00BC1D60" w:rsidRDefault="00BC1D60" w:rsidP="00BC5B38">
            <w:pPr>
              <w:pStyle w:val="ESTableRow"/>
              <w:keepNext/>
              <w:jc w:val="right"/>
            </w:pPr>
            <w:r>
              <w:t>13.6%</w:t>
            </w:r>
          </w:p>
        </w:tc>
        <w:tc>
          <w:tcPr>
            <w:tcW w:w="1212" w:type="dxa"/>
          </w:tcPr>
          <w:p w:rsidR="00BC1D60" w:rsidRDefault="00BC1D60" w:rsidP="00BC5B38">
            <w:pPr>
              <w:pStyle w:val="ESTableRow"/>
              <w:keepNext/>
              <w:jc w:val="right"/>
            </w:pPr>
            <w:r>
              <w:t>17.1%</w:t>
            </w:r>
          </w:p>
        </w:tc>
        <w:tc>
          <w:tcPr>
            <w:tcW w:w="1212" w:type="dxa"/>
          </w:tcPr>
          <w:p w:rsidR="00BC1D60" w:rsidRDefault="00BC1D60" w:rsidP="00BC5B38">
            <w:pPr>
              <w:pStyle w:val="ESTableRow"/>
              <w:keepNext/>
              <w:jc w:val="right"/>
            </w:pPr>
            <w:r>
              <w:t>17.9%</w:t>
            </w:r>
          </w:p>
        </w:tc>
      </w:tr>
      <w:tr w:rsidR="00BC1D60" w:rsidTr="00BC5B38">
        <w:trPr>
          <w:cantSplit/>
        </w:trPr>
        <w:tc>
          <w:tcPr>
            <w:tcW w:w="2000" w:type="dxa"/>
          </w:tcPr>
          <w:p w:rsidR="00BC1D60" w:rsidRDefault="00BC1D60" w:rsidP="00BC5B38">
            <w:pPr>
              <w:pStyle w:val="ESTableRow"/>
              <w:keepNext/>
            </w:pPr>
            <w:r>
              <w:t>Pre Tax Income FY (£ mn)</w:t>
            </w:r>
          </w:p>
        </w:tc>
        <w:tc>
          <w:tcPr>
            <w:tcW w:w="1212" w:type="dxa"/>
          </w:tcPr>
          <w:p w:rsidR="00BC1D60" w:rsidRDefault="00BC1D60" w:rsidP="00BC5B38">
            <w:pPr>
              <w:pStyle w:val="ESTableRow"/>
              <w:keepNext/>
              <w:jc w:val="right"/>
            </w:pPr>
            <w:r>
              <w:t>105</w:t>
            </w:r>
          </w:p>
        </w:tc>
        <w:tc>
          <w:tcPr>
            <w:tcW w:w="1212" w:type="dxa"/>
          </w:tcPr>
          <w:p w:rsidR="00BC1D60" w:rsidRDefault="00BC1D60" w:rsidP="00BC5B38">
            <w:pPr>
              <w:pStyle w:val="ESTableRow"/>
              <w:keepNext/>
              <w:jc w:val="right"/>
            </w:pPr>
            <w:r>
              <w:t>141</w:t>
            </w:r>
          </w:p>
        </w:tc>
        <w:tc>
          <w:tcPr>
            <w:tcW w:w="1212" w:type="dxa"/>
          </w:tcPr>
          <w:p w:rsidR="00BC1D60" w:rsidRDefault="00BC1D60" w:rsidP="00BC5B38">
            <w:pPr>
              <w:pStyle w:val="ESTableRow"/>
              <w:keepNext/>
              <w:jc w:val="right"/>
            </w:pPr>
            <w:r>
              <w:t>238</w:t>
            </w:r>
          </w:p>
        </w:tc>
        <w:tc>
          <w:tcPr>
            <w:tcW w:w="1212" w:type="dxa"/>
          </w:tcPr>
          <w:p w:rsidR="00BC1D60" w:rsidRDefault="00BC1D60" w:rsidP="00BC5B38">
            <w:pPr>
              <w:pStyle w:val="ESTableRow"/>
              <w:keepNext/>
              <w:jc w:val="right"/>
            </w:pPr>
            <w:r>
              <w:t>298</w:t>
            </w:r>
          </w:p>
        </w:tc>
      </w:tr>
      <w:tr w:rsidR="00BC1D60" w:rsidTr="00BC5B38">
        <w:trPr>
          <w:cantSplit/>
        </w:trPr>
        <w:tc>
          <w:tcPr>
            <w:tcW w:w="2000" w:type="dxa"/>
          </w:tcPr>
          <w:p w:rsidR="00BC1D60" w:rsidRDefault="00BC1D60" w:rsidP="00BC5B38">
            <w:pPr>
              <w:pStyle w:val="ESTableRow"/>
              <w:keepNext/>
            </w:pPr>
            <w:r>
              <w:t xml:space="preserve">P/E (x) FY </w:t>
            </w:r>
          </w:p>
        </w:tc>
        <w:tc>
          <w:tcPr>
            <w:tcW w:w="1212" w:type="dxa"/>
          </w:tcPr>
          <w:p w:rsidR="00BC1D60" w:rsidRDefault="00BC1D60" w:rsidP="00BC5B38">
            <w:pPr>
              <w:pStyle w:val="ESTableRow"/>
              <w:keepNext/>
              <w:jc w:val="right"/>
            </w:pPr>
            <w:r>
              <w:t>24.0</w:t>
            </w:r>
          </w:p>
        </w:tc>
        <w:tc>
          <w:tcPr>
            <w:tcW w:w="1212" w:type="dxa"/>
          </w:tcPr>
          <w:p w:rsidR="00BC1D60" w:rsidRDefault="00BC1D60" w:rsidP="00BC5B38">
            <w:pPr>
              <w:pStyle w:val="ESTableRow"/>
              <w:keepNext/>
              <w:jc w:val="right"/>
            </w:pPr>
            <w:r>
              <w:t>17.6</w:t>
            </w:r>
          </w:p>
        </w:tc>
        <w:tc>
          <w:tcPr>
            <w:tcW w:w="1212" w:type="dxa"/>
          </w:tcPr>
          <w:p w:rsidR="00BC1D60" w:rsidRDefault="00BC1D60" w:rsidP="00BC5B38">
            <w:pPr>
              <w:pStyle w:val="ESTableRow"/>
              <w:keepNext/>
              <w:jc w:val="right"/>
            </w:pPr>
            <w:r>
              <w:t>10.3</w:t>
            </w:r>
          </w:p>
        </w:tc>
        <w:tc>
          <w:tcPr>
            <w:tcW w:w="1212" w:type="dxa"/>
          </w:tcPr>
          <w:p w:rsidR="00BC1D60" w:rsidRDefault="00BC1D60" w:rsidP="00BC5B38">
            <w:pPr>
              <w:pStyle w:val="ESTableRow"/>
              <w:keepNext/>
              <w:jc w:val="right"/>
            </w:pPr>
            <w:r>
              <w:t>8.3</w:t>
            </w:r>
          </w:p>
        </w:tc>
      </w:tr>
      <w:tr w:rsidR="00BC1D60" w:rsidTr="00BC5B38">
        <w:trPr>
          <w:cantSplit/>
        </w:trPr>
        <w:tc>
          <w:tcPr>
            <w:tcW w:w="2000" w:type="dxa"/>
            <w:tcBorders>
              <w:bottom w:val="single" w:sz="4" w:space="0" w:color="auto"/>
            </w:tcBorders>
          </w:tcPr>
          <w:p w:rsidR="00BC1D60" w:rsidRDefault="00BC1D60" w:rsidP="00BC5B38">
            <w:pPr>
              <w:pStyle w:val="ESTableRow"/>
              <w:keepNext/>
            </w:pPr>
            <w:r>
              <w:t>Net debt / (cash) FY (£ mn)</w:t>
            </w:r>
          </w:p>
        </w:tc>
        <w:tc>
          <w:tcPr>
            <w:tcW w:w="1212" w:type="dxa"/>
            <w:tcBorders>
              <w:bottom w:val="single" w:sz="4" w:space="0" w:color="auto"/>
            </w:tcBorders>
          </w:tcPr>
          <w:p w:rsidR="00BC1D60" w:rsidRDefault="00BC1D60" w:rsidP="00BC5B38">
            <w:pPr>
              <w:pStyle w:val="ESTableRow"/>
              <w:keepNext/>
              <w:jc w:val="right"/>
            </w:pPr>
            <w:r>
              <w:t>61</w:t>
            </w:r>
          </w:p>
        </w:tc>
        <w:tc>
          <w:tcPr>
            <w:tcW w:w="1212" w:type="dxa"/>
            <w:tcBorders>
              <w:bottom w:val="single" w:sz="4" w:space="0" w:color="auto"/>
            </w:tcBorders>
          </w:tcPr>
          <w:p w:rsidR="00BC1D60" w:rsidRDefault="00BC1D60" w:rsidP="00BC5B38">
            <w:pPr>
              <w:pStyle w:val="ESTableRow"/>
              <w:keepNext/>
              <w:jc w:val="right"/>
            </w:pPr>
            <w:r>
              <w:t>26</w:t>
            </w:r>
          </w:p>
        </w:tc>
        <w:tc>
          <w:tcPr>
            <w:tcW w:w="1212" w:type="dxa"/>
            <w:tcBorders>
              <w:bottom w:val="single" w:sz="4" w:space="0" w:color="auto"/>
            </w:tcBorders>
          </w:tcPr>
          <w:p w:rsidR="00BC1D60" w:rsidRDefault="00BC1D60" w:rsidP="00BC5B38">
            <w:pPr>
              <w:pStyle w:val="ESTableRow"/>
              <w:keepNext/>
              <w:jc w:val="right"/>
            </w:pPr>
            <w:r>
              <w:t>63</w:t>
            </w:r>
          </w:p>
        </w:tc>
        <w:tc>
          <w:tcPr>
            <w:tcW w:w="1212" w:type="dxa"/>
            <w:tcBorders>
              <w:bottom w:val="single" w:sz="4" w:space="0" w:color="auto"/>
            </w:tcBorders>
          </w:tcPr>
          <w:p w:rsidR="00BC1D60" w:rsidRDefault="00BC1D60" w:rsidP="00BC5B38">
            <w:pPr>
              <w:pStyle w:val="ESTableRow"/>
              <w:keepNext/>
              <w:jc w:val="right"/>
            </w:pPr>
            <w:r>
              <w:t>41</w:t>
            </w:r>
          </w:p>
        </w:tc>
      </w:tr>
    </w:tbl>
    <w:p w:rsidR="00BC1D60" w:rsidRDefault="00BC1D60" w:rsidP="00BC1D60">
      <w:pPr>
        <w:pStyle w:val="Source"/>
        <w:spacing w:after="0"/>
        <w:rPr>
          <w:highlight w:val="yellow"/>
        </w:rPr>
      </w:pPr>
      <w:r>
        <w:t>Source: Company data, Bloomberg, J.P. Morgan estimates.</w:t>
      </w:r>
    </w:p>
    <w:p w:rsidR="00BC1D60" w:rsidRPr="004F1ABB" w:rsidRDefault="00BC1D60" w:rsidP="00BC1D60">
      <w:pPr>
        <w:pStyle w:val="Body"/>
        <w:rPr>
          <w:highlight w:val="yellow"/>
        </w:rPr>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2C1C39" w:rsidTr="00BC5B38">
        <w:tc>
          <w:tcPr>
            <w:tcW w:w="10604" w:type="dxa"/>
            <w:gridSpan w:val="3"/>
            <w:shd w:val="clear" w:color="auto" w:fill="auto"/>
          </w:tcPr>
          <w:p w:rsidR="00BC1D60" w:rsidRPr="002C1C39" w:rsidRDefault="00BC1D60" w:rsidP="00BC5B38">
            <w:pPr>
              <w:pStyle w:val="Heading1-NoTOC"/>
            </w:pPr>
            <w:bookmarkStart w:id="90" w:name="_Toc392016339"/>
            <w:bookmarkStart w:id="91" w:name="_Toc392099057"/>
            <w:r w:rsidRPr="002C1C39">
              <w:t>Getting to know our SMid Analysts…</w:t>
            </w:r>
            <w:bookmarkEnd w:id="90"/>
            <w:bookmarkEnd w:id="91"/>
          </w:p>
        </w:tc>
      </w:tr>
      <w:tr w:rsidR="00BC1D60" w:rsidRPr="002C1C39" w:rsidTr="00BC5B38">
        <w:trPr>
          <w:trHeight w:val="3427"/>
        </w:trPr>
        <w:tc>
          <w:tcPr>
            <w:tcW w:w="2666" w:type="dxa"/>
            <w:shd w:val="clear" w:color="auto" w:fill="auto"/>
          </w:tcPr>
          <w:p w:rsidR="00BC1D60" w:rsidRPr="002C1C39" w:rsidRDefault="00BC1D60" w:rsidP="00BC5B38">
            <w:pPr>
              <w:shd w:val="clear" w:color="auto" w:fill="F6F6F6"/>
              <w:spacing w:line="336" w:lineRule="atLeast"/>
              <w:jc w:val="center"/>
              <w:rPr>
                <w:rFonts w:ascii="Arial" w:hAnsi="Arial" w:cs="Arial"/>
                <w:color w:val="666666"/>
                <w:sz w:val="15"/>
                <w:szCs w:val="15"/>
              </w:rPr>
            </w:pPr>
            <w:r>
              <w:rPr>
                <w:rFonts w:ascii="Arial" w:hAnsi="Arial" w:cs="Arial"/>
                <w:noProof/>
                <w:color w:val="716F63"/>
                <w:sz w:val="17"/>
                <w:szCs w:val="17"/>
              </w:rPr>
              <w:drawing>
                <wp:inline distT="0" distB="0" distL="0" distR="0">
                  <wp:extent cx="1476375" cy="1542481"/>
                  <wp:effectExtent l="19050" t="0" r="9525" b="0"/>
                  <wp:docPr id="109" name="Picture 87" descr="Emily Biddul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mily Biddulph"/>
                          <pic:cNvPicPr>
                            <a:picLocks noChangeAspect="1" noChangeArrowheads="1"/>
                          </pic:cNvPicPr>
                        </pic:nvPicPr>
                        <pic:blipFill>
                          <a:blip r:embed="rId35"/>
                          <a:srcRect l="21875" r="18304"/>
                          <a:stretch>
                            <a:fillRect/>
                          </a:stretch>
                        </pic:blipFill>
                        <pic:spPr bwMode="auto">
                          <a:xfrm>
                            <a:off x="0" y="0"/>
                            <a:ext cx="1479046" cy="1545272"/>
                          </a:xfrm>
                          <a:prstGeom prst="rect">
                            <a:avLst/>
                          </a:prstGeom>
                          <a:noFill/>
                          <a:ln w="9525">
                            <a:noFill/>
                            <a:miter lim="800000"/>
                            <a:headEnd/>
                            <a:tailEnd/>
                          </a:ln>
                        </pic:spPr>
                      </pic:pic>
                    </a:graphicData>
                  </a:graphic>
                </wp:inline>
              </w:drawing>
            </w:r>
          </w:p>
          <w:p w:rsidR="00BC1D60" w:rsidRPr="002C1C39" w:rsidRDefault="00BC1D60" w:rsidP="00BC5B38">
            <w:pPr>
              <w:pStyle w:val="Body"/>
              <w:spacing w:after="120"/>
            </w:pPr>
          </w:p>
        </w:tc>
        <w:tc>
          <w:tcPr>
            <w:tcW w:w="3544" w:type="dxa"/>
            <w:shd w:val="clear" w:color="auto" w:fill="auto"/>
          </w:tcPr>
          <w:p w:rsidR="00BC1D60" w:rsidRPr="002C1C39" w:rsidRDefault="00BC1D60" w:rsidP="00BC5B38">
            <w:pPr>
              <w:pStyle w:val="Heading2"/>
              <w:outlineLvl w:val="1"/>
            </w:pPr>
            <w:r w:rsidRPr="002C1C39">
              <w:t>Emily Biddulph</w:t>
            </w:r>
          </w:p>
          <w:p w:rsidR="00BC1D60" w:rsidRPr="002C1C39" w:rsidRDefault="003B051F" w:rsidP="00BC5B38">
            <w:pPr>
              <w:pStyle w:val="Body"/>
              <w:spacing w:after="120"/>
              <w:rPr>
                <w:rStyle w:val="txtblackbld1"/>
                <w:rFonts w:ascii="Arial Narrow" w:hAnsi="Arial Narrow"/>
                <w:b w:val="0"/>
                <w:bCs w:val="0"/>
                <w:szCs w:val="20"/>
              </w:rPr>
            </w:pPr>
            <w:hyperlink r:id="rId36" w:history="1">
              <w:r w:rsidR="00BC1D60" w:rsidRPr="002C1C39">
                <w:rPr>
                  <w:rStyle w:val="Hyperlink"/>
                  <w:rFonts w:ascii="Arial Narrow" w:hAnsi="Arial Narrow" w:cs="Arial"/>
                  <w:szCs w:val="20"/>
                </w:rPr>
                <w:t>emily.biddulph@jpmorgan.com</w:t>
              </w:r>
            </w:hyperlink>
          </w:p>
          <w:p w:rsidR="00BC1D60" w:rsidRPr="002C1C39" w:rsidRDefault="00BC1D60" w:rsidP="00BC5B38">
            <w:pPr>
              <w:pStyle w:val="Body"/>
              <w:spacing w:after="120"/>
              <w:rPr>
                <w:rFonts w:ascii="Arial Narrow" w:hAnsi="Arial Narrow"/>
              </w:rPr>
            </w:pPr>
            <w:r w:rsidRPr="002C1C39">
              <w:rPr>
                <w:rFonts w:ascii="Arial Narrow" w:hAnsi="Arial Narrow"/>
              </w:rPr>
              <w:t>(44-20) 7134-5906</w:t>
            </w:r>
          </w:p>
          <w:p w:rsidR="00BC1D60" w:rsidRPr="002C1C39" w:rsidRDefault="00BC1D60" w:rsidP="00BC5B38">
            <w:pPr>
              <w:pStyle w:val="Body"/>
              <w:spacing w:after="120"/>
              <w:rPr>
                <w:rFonts w:ascii="Arial Narrow" w:hAnsi="Arial Narrow"/>
              </w:rPr>
            </w:pPr>
          </w:p>
          <w:p w:rsidR="00BC1D60" w:rsidRPr="002C1C39" w:rsidRDefault="00BC1D60" w:rsidP="00BC5B38">
            <w:pPr>
              <w:pStyle w:val="Body"/>
              <w:spacing w:after="120"/>
              <w:rPr>
                <w:rFonts w:ascii="Arial Narrow" w:hAnsi="Arial Narrow"/>
              </w:rPr>
            </w:pPr>
            <w:r w:rsidRPr="002C1C39">
              <w:rPr>
                <w:rFonts w:ascii="Arial Narrow" w:hAnsi="Arial Narrow"/>
                <w:b/>
              </w:rPr>
              <w:t>Region:</w:t>
            </w:r>
            <w:r w:rsidRPr="002C1C39">
              <w:rPr>
                <w:rFonts w:ascii="Arial Narrow" w:hAnsi="Arial Narrow"/>
              </w:rPr>
              <w:t xml:space="preserve"> W. Europe</w:t>
            </w:r>
          </w:p>
          <w:p w:rsidR="00BC1D60" w:rsidRPr="002C1C39" w:rsidRDefault="00BC1D60" w:rsidP="00BC5B38">
            <w:pPr>
              <w:pStyle w:val="Body"/>
              <w:spacing w:after="120"/>
              <w:rPr>
                <w:rFonts w:ascii="Arial Narrow" w:hAnsi="Arial Narrow"/>
              </w:rPr>
            </w:pPr>
            <w:r w:rsidRPr="002C1C39">
              <w:rPr>
                <w:rFonts w:ascii="Arial Narrow" w:hAnsi="Arial Narrow"/>
                <w:b/>
              </w:rPr>
              <w:t>Sector:</w:t>
            </w:r>
            <w:r w:rsidRPr="002C1C39">
              <w:rPr>
                <w:rFonts w:ascii="Arial Narrow" w:hAnsi="Arial Narrow"/>
              </w:rPr>
              <w:t xml:space="preserve"> Construction, Building Materials &amp; Infrastructure</w:t>
            </w:r>
          </w:p>
          <w:p w:rsidR="00BC1D60" w:rsidRPr="002C1C39" w:rsidRDefault="00BC1D60" w:rsidP="00BC5B38">
            <w:pPr>
              <w:pStyle w:val="Body"/>
            </w:pPr>
          </w:p>
        </w:tc>
        <w:tc>
          <w:tcPr>
            <w:tcW w:w="4394" w:type="dxa"/>
            <w:shd w:val="clear" w:color="auto" w:fill="auto"/>
          </w:tcPr>
          <w:p w:rsidR="00BC1D60" w:rsidRPr="002C1C39" w:rsidRDefault="00BC1D60" w:rsidP="00BC5B38">
            <w:pPr>
              <w:pStyle w:val="Body"/>
              <w:jc w:val="right"/>
            </w:pPr>
            <w:r w:rsidRPr="002C1C39">
              <w:rPr>
                <w:noProof/>
              </w:rPr>
              <w:drawing>
                <wp:inline distT="0" distB="0" distL="0" distR="0">
                  <wp:extent cx="2505456" cy="1414952"/>
                  <wp:effectExtent l="19050" t="0" r="9144" b="0"/>
                  <wp:docPr id="1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2505456" cy="1414952"/>
                          </a:xfrm>
                          <a:prstGeom prst="rect">
                            <a:avLst/>
                          </a:prstGeom>
                          <a:noFill/>
                          <a:ln w="9525">
                            <a:noFill/>
                            <a:miter lim="800000"/>
                            <a:headEnd/>
                            <a:tailEnd/>
                          </a:ln>
                        </pic:spPr>
                      </pic:pic>
                    </a:graphicData>
                  </a:graphic>
                </wp:inline>
              </w:drawing>
            </w:r>
            <w:r w:rsidRPr="002C1C39">
              <w:t xml:space="preserve"> </w:t>
            </w:r>
          </w:p>
        </w:tc>
      </w:tr>
    </w:tbl>
    <w:p w:rsidR="00BC1D60" w:rsidRPr="002C1C39" w:rsidRDefault="00BC1D60" w:rsidP="00BC1D60">
      <w:pPr>
        <w:pStyle w:val="Source"/>
        <w:spacing w:before="0"/>
        <w:ind w:left="-3124" w:hanging="137"/>
      </w:pPr>
      <w:r w:rsidRPr="002C1C39">
        <w:rPr>
          <w:noProof/>
        </w:rPr>
        <w:drawing>
          <wp:inline distT="0" distB="0" distL="0" distR="0">
            <wp:extent cx="6702552" cy="1671971"/>
            <wp:effectExtent l="19050" t="0" r="3048" b="0"/>
            <wp:docPr id="1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6702552" cy="1671971"/>
                    </a:xfrm>
                    <a:prstGeom prst="rect">
                      <a:avLst/>
                    </a:prstGeom>
                    <a:noFill/>
                    <a:ln w="9525">
                      <a:noFill/>
                      <a:miter lim="800000"/>
                      <a:headEnd/>
                      <a:tailEnd/>
                    </a:ln>
                  </pic:spPr>
                </pic:pic>
              </a:graphicData>
            </a:graphic>
          </wp:inline>
        </w:drawing>
      </w:r>
      <w:r>
        <w:t xml:space="preserve"> </w:t>
      </w:r>
      <w:r w:rsidRPr="002C1C39">
        <w:t>Source: Bloomberg, Datastream, Factset, J.P. Morgan</w:t>
      </w:r>
      <w:r w:rsidRPr="002C1C39">
        <w:br/>
      </w:r>
      <w:r w:rsidRPr="0087013D">
        <w:t>Prices as of 24 June 2014</w:t>
      </w:r>
    </w:p>
    <w:p w:rsidR="00BC1D60" w:rsidRPr="004F1ABB" w:rsidRDefault="00BC1D60" w:rsidP="00BC1D60">
      <w:pPr>
        <w:spacing w:line="264" w:lineRule="atLeast"/>
        <w:ind w:left="-3125"/>
        <w:rPr>
          <w:rFonts w:ascii="Arial Narrow" w:hAnsi="Arial Narrow" w:cs="Arial"/>
          <w:sz w:val="16"/>
          <w:szCs w:val="16"/>
          <w:highlight w:val="yellow"/>
        </w:rPr>
      </w:pPr>
    </w:p>
    <w:p w:rsidR="00BC1D60" w:rsidRPr="004F1ABB" w:rsidRDefault="00BC1D60" w:rsidP="00BC1D60">
      <w:pPr>
        <w:spacing w:after="480" w:line="0" w:lineRule="auto"/>
        <w:rPr>
          <w:sz w:val="20"/>
          <w:highlight w:val="yellow"/>
        </w:rPr>
      </w:pPr>
    </w:p>
    <w:p w:rsidR="00BC1D60" w:rsidRPr="004F1ABB" w:rsidRDefault="00BC1D60" w:rsidP="00BC1D60">
      <w:pPr>
        <w:pStyle w:val="Sidecomments"/>
        <w:framePr w:w="0" w:hRule="auto" w:wrap="around"/>
        <w:rPr>
          <w:highlight w:val="yellow"/>
        </w:rPr>
      </w:pPr>
      <w:r w:rsidRPr="00FE50F5">
        <w:rPr>
          <w:noProof/>
        </w:rPr>
        <w:lastRenderedPageBreak/>
        <w:drawing>
          <wp:inline distT="0" distB="0" distL="0" distR="0">
            <wp:extent cx="1737360" cy="7712673"/>
            <wp:effectExtent l="19050" t="0" r="0" b="0"/>
            <wp:docPr id="11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9"/>
                    <a:srcRect/>
                    <a:stretch>
                      <a:fillRect/>
                    </a:stretch>
                  </pic:blipFill>
                  <pic:spPr bwMode="auto">
                    <a:xfrm>
                      <a:off x="0" y="0"/>
                      <a:ext cx="1737360" cy="7712673"/>
                    </a:xfrm>
                    <a:prstGeom prst="rect">
                      <a:avLst/>
                    </a:prstGeom>
                    <a:noFill/>
                    <a:ln w="9525">
                      <a:noFill/>
                      <a:miter lim="800000"/>
                      <a:headEnd/>
                      <a:tailEnd/>
                    </a:ln>
                  </pic:spPr>
                </pic:pic>
              </a:graphicData>
            </a:graphic>
          </wp:inline>
        </w:drawing>
      </w:r>
    </w:p>
    <w:p w:rsidR="00BC1D60" w:rsidRPr="00FE50F5" w:rsidRDefault="00BC1D60" w:rsidP="00BC1D60">
      <w:pPr>
        <w:pStyle w:val="Heading1"/>
        <w:spacing w:before="0" w:after="60"/>
        <w:ind w:right="-166"/>
      </w:pPr>
      <w:bookmarkStart w:id="92" w:name="_Ref336439321"/>
      <w:bookmarkStart w:id="93" w:name="_Toc336526069"/>
      <w:bookmarkStart w:id="94" w:name="_Toc352262683"/>
      <w:bookmarkStart w:id="95" w:name="_Toc352262857"/>
      <w:bookmarkStart w:id="96" w:name="_Toc360569882"/>
      <w:bookmarkStart w:id="97" w:name="_Toc368081330"/>
      <w:bookmarkStart w:id="98" w:name="_Toc376802053"/>
      <w:bookmarkStart w:id="99" w:name="_Toc384135977"/>
      <w:bookmarkStart w:id="100" w:name="_Toc392099058"/>
      <w:bookmarkStart w:id="101" w:name="_Toc392081805"/>
      <w:bookmarkStart w:id="102" w:name="_Toc392081868"/>
      <w:r w:rsidRPr="00FE50F5">
        <w:t>Cadence Design (CDNS US / OW / $17.34)</w:t>
      </w:r>
      <w:bookmarkEnd w:id="92"/>
      <w:bookmarkEnd w:id="93"/>
      <w:bookmarkEnd w:id="94"/>
      <w:bookmarkEnd w:id="95"/>
      <w:bookmarkEnd w:id="96"/>
      <w:bookmarkEnd w:id="97"/>
      <w:bookmarkEnd w:id="98"/>
      <w:bookmarkEnd w:id="99"/>
      <w:bookmarkEnd w:id="100"/>
      <w:bookmarkEnd w:id="101"/>
      <w:bookmarkEnd w:id="102"/>
    </w:p>
    <w:p w:rsidR="00BC1D60" w:rsidRPr="00CB0480" w:rsidRDefault="00BC1D60" w:rsidP="00BC1D60">
      <w:pPr>
        <w:pStyle w:val="Heading2"/>
        <w:spacing w:after="60"/>
        <w:rPr>
          <w:i/>
        </w:rPr>
      </w:pPr>
      <w:r w:rsidRPr="00FE50F5">
        <w:rPr>
          <w:i/>
        </w:rPr>
        <w:t>Solid Fundamentals + Cash Flow</w:t>
      </w:r>
      <w:r>
        <w:rPr>
          <w:i/>
        </w:rPr>
        <w:t xml:space="preserve"> Deserve Parity Multiple</w:t>
      </w:r>
    </w:p>
    <w:p w:rsidR="00BC1D60" w:rsidRDefault="00BC1D60" w:rsidP="00BC1D60">
      <w:pPr>
        <w:pStyle w:val="Heading3"/>
        <w:spacing w:after="0"/>
      </w:pPr>
      <w:r w:rsidRPr="00245646">
        <w:t>Investment Highlights:</w:t>
      </w:r>
    </w:p>
    <w:p w:rsidR="00BC1D60" w:rsidRPr="00AE2FCF" w:rsidRDefault="00BC1D60" w:rsidP="00BC1D60">
      <w:pPr>
        <w:pStyle w:val="Bullet"/>
        <w:spacing w:after="40"/>
        <w:rPr>
          <w:lang w:val="en-GB" w:eastAsia="ja-JP"/>
        </w:rPr>
      </w:pPr>
      <w:r>
        <w:rPr>
          <w:b/>
          <w:lang w:val="en-GB" w:eastAsia="ja-JP"/>
        </w:rPr>
        <w:t xml:space="preserve">Semi R&amp;D spending provides the environment for bookings growth. </w:t>
      </w:r>
      <w:r w:rsidRPr="0080514E">
        <w:rPr>
          <w:lang w:val="en-GB" w:eastAsia="ja-JP"/>
        </w:rPr>
        <w:t>Despite the choppy semiconductor end-</w:t>
      </w:r>
      <w:r>
        <w:rPr>
          <w:lang w:val="en-GB" w:eastAsia="ja-JP"/>
        </w:rPr>
        <w:t>mkt through FY12-</w:t>
      </w:r>
      <w:r w:rsidRPr="0080514E">
        <w:rPr>
          <w:lang w:val="en-GB" w:eastAsia="ja-JP"/>
        </w:rPr>
        <w:t xml:space="preserve">13 </w:t>
      </w:r>
      <w:r>
        <w:rPr>
          <w:lang w:val="en-GB" w:eastAsia="ja-JP"/>
        </w:rPr>
        <w:t xml:space="preserve">with </w:t>
      </w:r>
      <w:r w:rsidRPr="0080514E">
        <w:rPr>
          <w:lang w:val="en-GB" w:eastAsia="ja-JP"/>
        </w:rPr>
        <w:t xml:space="preserve">the inconsistent macro environment, we see </w:t>
      </w:r>
      <w:r>
        <w:rPr>
          <w:lang w:val="en-GB" w:eastAsia="ja-JP"/>
        </w:rPr>
        <w:t xml:space="preserve">EDA revenue </w:t>
      </w:r>
      <w:r w:rsidRPr="0080514E">
        <w:rPr>
          <w:lang w:val="en-GB" w:eastAsia="ja-JP"/>
        </w:rPr>
        <w:t xml:space="preserve">growing </w:t>
      </w:r>
      <w:r>
        <w:rPr>
          <w:lang w:val="en-GB" w:eastAsia="ja-JP"/>
        </w:rPr>
        <w:t>~6% in FY14E</w:t>
      </w:r>
      <w:r w:rsidRPr="0080514E">
        <w:rPr>
          <w:lang w:val="en-GB" w:eastAsia="ja-JP"/>
        </w:rPr>
        <w:t xml:space="preserve"> as semi </w:t>
      </w:r>
      <w:r>
        <w:rPr>
          <w:lang w:val="en-GB" w:eastAsia="ja-JP"/>
        </w:rPr>
        <w:t>cos</w:t>
      </w:r>
      <w:r w:rsidRPr="0080514E">
        <w:rPr>
          <w:lang w:val="en-GB" w:eastAsia="ja-JP"/>
        </w:rPr>
        <w:t xml:space="preserve"> continue to adopt smaller geometries </w:t>
      </w:r>
      <w:r>
        <w:rPr>
          <w:lang w:val="en-GB" w:eastAsia="ja-JP"/>
        </w:rPr>
        <w:t>&amp;</w:t>
      </w:r>
      <w:r w:rsidRPr="0080514E">
        <w:rPr>
          <w:lang w:val="en-GB" w:eastAsia="ja-JP"/>
        </w:rPr>
        <w:t xml:space="preserve"> new FinFet transistor architecture.</w:t>
      </w:r>
      <w:r>
        <w:rPr>
          <w:b/>
          <w:lang w:val="en-GB" w:eastAsia="ja-JP"/>
        </w:rPr>
        <w:t xml:space="preserve"> </w:t>
      </w:r>
      <w:r w:rsidRPr="0080514E">
        <w:rPr>
          <w:lang w:val="en-GB" w:eastAsia="ja-JP"/>
        </w:rPr>
        <w:t>While this end-</w:t>
      </w:r>
      <w:r>
        <w:rPr>
          <w:lang w:val="en-GB" w:eastAsia="ja-JP"/>
        </w:rPr>
        <w:t>mkt</w:t>
      </w:r>
      <w:r w:rsidRPr="0080514E">
        <w:rPr>
          <w:lang w:val="en-GB" w:eastAsia="ja-JP"/>
        </w:rPr>
        <w:t xml:space="preserve"> has not seen consistent improvement, we still believe the backdrop is good enough for Cad</w:t>
      </w:r>
      <w:r>
        <w:rPr>
          <w:lang w:val="en-GB" w:eastAsia="ja-JP"/>
        </w:rPr>
        <w:t>ence to deliver on our est.</w:t>
      </w:r>
      <w:r w:rsidRPr="0080514E">
        <w:rPr>
          <w:lang w:val="en-GB" w:eastAsia="ja-JP"/>
        </w:rPr>
        <w:t xml:space="preserve"> </w:t>
      </w:r>
      <w:r>
        <w:rPr>
          <w:lang w:val="en-GB" w:eastAsia="ja-JP"/>
        </w:rPr>
        <w:t>10% bookings growth for FY14</w:t>
      </w:r>
      <w:r w:rsidRPr="0080514E">
        <w:rPr>
          <w:lang w:val="en-GB" w:eastAsia="ja-JP"/>
        </w:rPr>
        <w:t>.</w:t>
      </w:r>
      <w:r>
        <w:rPr>
          <w:b/>
          <w:lang w:val="en-GB" w:eastAsia="ja-JP"/>
        </w:rPr>
        <w:t xml:space="preserve"> </w:t>
      </w:r>
    </w:p>
    <w:p w:rsidR="00BC1D60" w:rsidRPr="00AE2FCF" w:rsidRDefault="00BC1D60" w:rsidP="00BC1D60">
      <w:pPr>
        <w:pStyle w:val="Bullet"/>
        <w:spacing w:after="40"/>
        <w:rPr>
          <w:b/>
          <w:lang w:val="en-GB" w:eastAsia="ja-JP"/>
        </w:rPr>
      </w:pPr>
      <w:r w:rsidRPr="00AE2FCF">
        <w:rPr>
          <w:b/>
          <w:lang w:val="en-GB" w:eastAsia="ja-JP"/>
        </w:rPr>
        <w:t xml:space="preserve">High visibility </w:t>
      </w:r>
      <w:r>
        <w:rPr>
          <w:b/>
          <w:lang w:val="en-GB" w:eastAsia="ja-JP"/>
        </w:rPr>
        <w:t xml:space="preserve">revenue </w:t>
      </w:r>
      <w:r w:rsidRPr="00AE2FCF">
        <w:rPr>
          <w:b/>
          <w:lang w:val="en-GB" w:eastAsia="ja-JP"/>
        </w:rPr>
        <w:t xml:space="preserve">model and cost control </w:t>
      </w:r>
      <w:r>
        <w:rPr>
          <w:b/>
          <w:lang w:val="en-GB" w:eastAsia="ja-JP"/>
        </w:rPr>
        <w:t>support margin expansion</w:t>
      </w:r>
      <w:r w:rsidRPr="00AE2FCF">
        <w:rPr>
          <w:b/>
          <w:lang w:val="en-GB" w:eastAsia="ja-JP"/>
        </w:rPr>
        <w:t>.</w:t>
      </w:r>
      <w:r w:rsidRPr="00AE2FCF">
        <w:rPr>
          <w:lang w:val="en-GB" w:eastAsia="ja-JP"/>
        </w:rPr>
        <w:t xml:space="preserve"> </w:t>
      </w:r>
      <w:r>
        <w:rPr>
          <w:lang w:val="en-GB" w:eastAsia="ja-JP"/>
        </w:rPr>
        <w:t>The c</w:t>
      </w:r>
      <w:r w:rsidRPr="00AE2FCF">
        <w:rPr>
          <w:lang w:val="en-GB" w:eastAsia="ja-JP"/>
        </w:rPr>
        <w:t>ompany books 90%+ of contracts under three-year subscription</w:t>
      </w:r>
      <w:r>
        <w:rPr>
          <w:lang w:val="en-GB" w:eastAsia="ja-JP"/>
        </w:rPr>
        <w:t>s</w:t>
      </w:r>
      <w:r w:rsidRPr="00AE2FCF">
        <w:rPr>
          <w:lang w:val="en-GB" w:eastAsia="ja-JP"/>
        </w:rPr>
        <w:t>, giving it excellent visibility into near</w:t>
      </w:r>
      <w:r>
        <w:rPr>
          <w:lang w:val="en-GB" w:eastAsia="ja-JP"/>
        </w:rPr>
        <w:t>-</w:t>
      </w:r>
      <w:r w:rsidRPr="00AE2FCF">
        <w:rPr>
          <w:lang w:val="en-GB" w:eastAsia="ja-JP"/>
        </w:rPr>
        <w:t xml:space="preserve">term results. This visibility combined with good cost controls </w:t>
      </w:r>
      <w:r>
        <w:rPr>
          <w:lang w:val="en-GB" w:eastAsia="ja-JP"/>
        </w:rPr>
        <w:t xml:space="preserve">should </w:t>
      </w:r>
      <w:r w:rsidRPr="00AE2FCF">
        <w:rPr>
          <w:lang w:val="en-GB" w:eastAsia="ja-JP"/>
        </w:rPr>
        <w:t xml:space="preserve">put CDNS on track to reach </w:t>
      </w:r>
      <w:r>
        <w:rPr>
          <w:lang w:val="en-GB" w:eastAsia="ja-JP"/>
        </w:rPr>
        <w:t xml:space="preserve">a </w:t>
      </w:r>
      <w:r w:rsidRPr="00AE2FCF">
        <w:rPr>
          <w:lang w:val="en-GB" w:eastAsia="ja-JP"/>
        </w:rPr>
        <w:t>mid 20% operating margin in FY14</w:t>
      </w:r>
      <w:r>
        <w:rPr>
          <w:lang w:val="en-GB" w:eastAsia="ja-JP"/>
        </w:rPr>
        <w:t>E</w:t>
      </w:r>
      <w:r w:rsidRPr="00AE2FCF">
        <w:rPr>
          <w:lang w:val="en-GB" w:eastAsia="ja-JP"/>
        </w:rPr>
        <w:t xml:space="preserve">. </w:t>
      </w:r>
      <w:r>
        <w:rPr>
          <w:lang w:val="en-GB" w:eastAsia="ja-JP"/>
        </w:rPr>
        <w:t xml:space="preserve">However, CDNS has talked about targeting a ~50% contribution margin, so we ultimately see this as being a 30%+ operating margin company long term. </w:t>
      </w:r>
    </w:p>
    <w:p w:rsidR="00BC1D60" w:rsidRPr="00AE2FCF" w:rsidRDefault="00BC1D60" w:rsidP="00BC1D60">
      <w:pPr>
        <w:pStyle w:val="Bullet"/>
        <w:spacing w:after="40"/>
        <w:rPr>
          <w:b/>
          <w:lang w:val="en-GB" w:eastAsia="ja-JP"/>
        </w:rPr>
      </w:pPr>
      <w:r w:rsidRPr="00AE2FCF">
        <w:rPr>
          <w:b/>
          <w:lang w:val="en-GB" w:eastAsia="ja-JP"/>
        </w:rPr>
        <w:t>Combination of strong bookings and improving profitability drive double</w:t>
      </w:r>
      <w:r>
        <w:rPr>
          <w:b/>
          <w:lang w:val="en-GB" w:eastAsia="ja-JP"/>
        </w:rPr>
        <w:t>-</w:t>
      </w:r>
      <w:r w:rsidRPr="00AE2FCF">
        <w:rPr>
          <w:b/>
          <w:lang w:val="en-GB" w:eastAsia="ja-JP"/>
        </w:rPr>
        <w:t xml:space="preserve">digit </w:t>
      </w:r>
      <w:r>
        <w:rPr>
          <w:b/>
          <w:lang w:val="en-GB" w:eastAsia="ja-JP"/>
        </w:rPr>
        <w:t>growth</w:t>
      </w:r>
      <w:r w:rsidRPr="00AE2FCF">
        <w:rPr>
          <w:b/>
          <w:lang w:val="en-GB" w:eastAsia="ja-JP"/>
        </w:rPr>
        <w:t xml:space="preserve"> in </w:t>
      </w:r>
      <w:r>
        <w:rPr>
          <w:b/>
          <w:lang w:val="en-GB" w:eastAsia="ja-JP"/>
        </w:rPr>
        <w:t>FCF</w:t>
      </w:r>
      <w:r w:rsidRPr="00AE2FCF">
        <w:rPr>
          <w:b/>
          <w:lang w:val="en-GB" w:eastAsia="ja-JP"/>
        </w:rPr>
        <w:t>.</w:t>
      </w:r>
      <w:r w:rsidRPr="00AE2FCF">
        <w:rPr>
          <w:lang w:val="en-GB" w:eastAsia="ja-JP"/>
        </w:rPr>
        <w:t xml:space="preserve"> With the improving customer backdrop, solid pipeline of contract renewals, </w:t>
      </w:r>
      <w:r>
        <w:rPr>
          <w:lang w:val="en-GB" w:eastAsia="ja-JP"/>
        </w:rPr>
        <w:t>&amp;</w:t>
      </w:r>
      <w:r w:rsidRPr="00AE2FCF">
        <w:rPr>
          <w:lang w:val="en-GB" w:eastAsia="ja-JP"/>
        </w:rPr>
        <w:t xml:space="preserve"> higher profitability, we are modelling double</w:t>
      </w:r>
      <w:r>
        <w:rPr>
          <w:lang w:val="en-GB" w:eastAsia="ja-JP"/>
        </w:rPr>
        <w:t>-</w:t>
      </w:r>
      <w:r w:rsidRPr="00AE2FCF">
        <w:rPr>
          <w:lang w:val="en-GB" w:eastAsia="ja-JP"/>
        </w:rPr>
        <w:t xml:space="preserve">digit </w:t>
      </w:r>
      <w:r>
        <w:rPr>
          <w:lang w:val="en-GB" w:eastAsia="ja-JP"/>
        </w:rPr>
        <w:t>grw</w:t>
      </w:r>
      <w:r w:rsidRPr="00AE2FCF">
        <w:rPr>
          <w:lang w:val="en-GB" w:eastAsia="ja-JP"/>
        </w:rPr>
        <w:t xml:space="preserve"> in operating </w:t>
      </w:r>
      <w:r>
        <w:rPr>
          <w:lang w:val="en-GB" w:eastAsia="ja-JP"/>
        </w:rPr>
        <w:t>CF</w:t>
      </w:r>
      <w:r w:rsidRPr="00AE2FCF">
        <w:rPr>
          <w:lang w:val="en-GB" w:eastAsia="ja-JP"/>
        </w:rPr>
        <w:t xml:space="preserve"> in FY13-15. We believe </w:t>
      </w:r>
      <w:r>
        <w:rPr>
          <w:lang w:val="en-GB" w:eastAsia="ja-JP"/>
        </w:rPr>
        <w:t>CF</w:t>
      </w:r>
      <w:r w:rsidRPr="00AE2FCF">
        <w:rPr>
          <w:lang w:val="en-GB" w:eastAsia="ja-JP"/>
        </w:rPr>
        <w:t xml:space="preserve"> is a particula</w:t>
      </w:r>
      <w:r>
        <w:rPr>
          <w:lang w:val="en-GB" w:eastAsia="ja-JP"/>
        </w:rPr>
        <w:t>rly important metric for the company as</w:t>
      </w:r>
      <w:r w:rsidRPr="00AE2FCF">
        <w:rPr>
          <w:lang w:val="en-GB" w:eastAsia="ja-JP"/>
        </w:rPr>
        <w:t xml:space="preserve"> investors tend to value subscription names on a</w:t>
      </w:r>
      <w:r>
        <w:rPr>
          <w:lang w:val="en-GB" w:eastAsia="ja-JP"/>
        </w:rPr>
        <w:t>n</w:t>
      </w:r>
      <w:r w:rsidRPr="00AE2FCF">
        <w:rPr>
          <w:lang w:val="en-GB" w:eastAsia="ja-JP"/>
        </w:rPr>
        <w:t xml:space="preserve"> EV/FCF basis. </w:t>
      </w:r>
    </w:p>
    <w:p w:rsidR="00BC1D60" w:rsidRPr="00AE2FCF" w:rsidRDefault="00BC1D60" w:rsidP="00BC1D60">
      <w:pPr>
        <w:pStyle w:val="Bullet"/>
        <w:spacing w:after="40"/>
        <w:rPr>
          <w:lang w:val="en-GB" w:eastAsia="ja-JP"/>
        </w:rPr>
      </w:pPr>
      <w:r>
        <w:rPr>
          <w:b/>
          <w:lang w:val="en-GB" w:eastAsia="ja-JP"/>
        </w:rPr>
        <w:t>Capitalizing on recent sluggish stock performance</w:t>
      </w:r>
      <w:r w:rsidRPr="00AE2FCF">
        <w:rPr>
          <w:lang w:val="en-GB" w:eastAsia="ja-JP"/>
        </w:rPr>
        <w:t xml:space="preserve">. </w:t>
      </w:r>
      <w:r>
        <w:rPr>
          <w:lang w:val="en-GB" w:eastAsia="ja-JP"/>
        </w:rPr>
        <w:t xml:space="preserve">The shares have under-performed over the last year, providing a buying opportunity in our view. We see two reasons for the underperformance: first, </w:t>
      </w:r>
      <w:r w:rsidRPr="00AE2FCF">
        <w:rPr>
          <w:lang w:val="en-GB" w:eastAsia="ja-JP"/>
        </w:rPr>
        <w:t xml:space="preserve">CDNS did not raise guidance </w:t>
      </w:r>
      <w:r>
        <w:rPr>
          <w:lang w:val="en-GB" w:eastAsia="ja-JP"/>
        </w:rPr>
        <w:t xml:space="preserve">post </w:t>
      </w:r>
      <w:r w:rsidRPr="00AE2FCF">
        <w:rPr>
          <w:lang w:val="en-GB" w:eastAsia="ja-JP"/>
        </w:rPr>
        <w:t>2Q13</w:t>
      </w:r>
      <w:r>
        <w:rPr>
          <w:lang w:val="en-GB" w:eastAsia="ja-JP"/>
        </w:rPr>
        <w:t xml:space="preserve"> and 3Q13; s</w:t>
      </w:r>
      <w:r w:rsidRPr="00AE2FCF">
        <w:rPr>
          <w:lang w:val="en-GB" w:eastAsia="ja-JP"/>
        </w:rPr>
        <w:t>econd,</w:t>
      </w:r>
      <w:r>
        <w:rPr>
          <w:lang w:val="en-GB" w:eastAsia="ja-JP"/>
        </w:rPr>
        <w:t xml:space="preserve"> emulation results were down in FY13</w:t>
      </w:r>
      <w:r w:rsidRPr="00AE2FCF">
        <w:rPr>
          <w:lang w:val="en-GB" w:eastAsia="ja-JP"/>
        </w:rPr>
        <w:t>, turning what had been a tailwind into a headwind. We believe both reasons are overdone, as new product introductions could help reverse this t</w:t>
      </w:r>
      <w:r>
        <w:rPr>
          <w:lang w:val="en-GB" w:eastAsia="ja-JP"/>
        </w:rPr>
        <w:t>r</w:t>
      </w:r>
      <w:r w:rsidRPr="00AE2FCF">
        <w:rPr>
          <w:lang w:val="en-GB" w:eastAsia="ja-JP"/>
        </w:rPr>
        <w:t>end in coming quarters.</w:t>
      </w:r>
    </w:p>
    <w:p w:rsidR="00BC1D60" w:rsidRPr="0099164F" w:rsidRDefault="00BC1D60" w:rsidP="00BC1D60">
      <w:pPr>
        <w:pStyle w:val="Body"/>
        <w:spacing w:after="80"/>
      </w:pPr>
      <w:r>
        <w:rPr>
          <w:b/>
        </w:rPr>
        <w:t xml:space="preserve">Valuation / </w:t>
      </w:r>
      <w:r w:rsidRPr="00E03D8C">
        <w:rPr>
          <w:b/>
        </w:rPr>
        <w:t>Ris</w:t>
      </w:r>
      <w:r w:rsidRPr="00FF1F60">
        <w:rPr>
          <w:b/>
        </w:rPr>
        <w:t>ks to our View</w:t>
      </w:r>
      <w:r>
        <w:rPr>
          <w:b/>
        </w:rPr>
        <w:t xml:space="preserve">: </w:t>
      </w:r>
      <w:r>
        <w:t xml:space="preserve">Our December 2014 price target is based on 13x FY15E free cash flow, inline with SNPS. The biggest risk in our view is a slowdown in semiconductor results, which could negatively impact R&amp;D spending. </w:t>
      </w:r>
    </w:p>
    <w:p w:rsidR="00BC1D60" w:rsidRPr="00FE50F5" w:rsidRDefault="00BC1D60" w:rsidP="00BC1D60">
      <w:pPr>
        <w:pStyle w:val="Heading3"/>
        <w:keepNext w:val="0"/>
        <w:spacing w:after="80"/>
        <w:rPr>
          <w:b w:val="0"/>
        </w:rPr>
      </w:pPr>
      <w:r>
        <w:t>Cadence Design in a Nutshell</w:t>
      </w:r>
      <w:r w:rsidRPr="00E41BB4">
        <w:t>:</w:t>
      </w:r>
      <w:r>
        <w:t xml:space="preserve"> </w:t>
      </w:r>
      <w:r>
        <w:rPr>
          <w:b w:val="0"/>
        </w:rPr>
        <w:t xml:space="preserve">Cadence competes in the electronic design automation (EDA) industry, which sells software to semiconductor companies to help in the design, verification, and manufacturing of chips. The industry is dominated by three vendors: Cadence, Synopsys, and Mentor Graphics. The </w:t>
      </w:r>
      <w:r w:rsidRPr="00FE50F5">
        <w:rPr>
          <w:b w:val="0"/>
        </w:rPr>
        <w:t xml:space="preserve">company has a subscription revenue model, which means it recognizes revenue ratably from backlog over the length of the contract term. </w:t>
      </w:r>
    </w:p>
    <w:p w:rsidR="00BC1D60" w:rsidRPr="00FE50F5" w:rsidRDefault="00BC1D60" w:rsidP="00BC1D60">
      <w:pPr>
        <w:pStyle w:val="Heading3"/>
        <w:spacing w:after="0"/>
      </w:pPr>
      <w:r w:rsidRPr="00FE50F5">
        <w:t>Price Perf vs MSCI All Country World Small Cap (rebased as of 1-yr ago):</w:t>
      </w:r>
    </w:p>
    <w:p w:rsidR="00BC1D60" w:rsidRPr="00FE50F5" w:rsidRDefault="00BC1D60" w:rsidP="00BC1D60">
      <w:pPr>
        <w:pStyle w:val="Body"/>
        <w:spacing w:after="0"/>
        <w:rPr>
          <w:noProof/>
          <w:lang w:val="en-GB" w:eastAsia="en-GB"/>
        </w:rPr>
      </w:pPr>
      <w:r w:rsidRPr="00FE50F5">
        <w:rPr>
          <w:noProof/>
        </w:rPr>
        <w:drawing>
          <wp:inline distT="0" distB="0" distL="0" distR="0">
            <wp:extent cx="4352925" cy="1524000"/>
            <wp:effectExtent l="19050" t="0" r="9525" b="0"/>
            <wp:docPr id="11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0"/>
                    <a:srcRect t="5149" b="3308"/>
                    <a:stretch>
                      <a:fillRect/>
                    </a:stretch>
                  </pic:blipFill>
                  <pic:spPr bwMode="auto">
                    <a:xfrm>
                      <a:off x="0" y="0"/>
                      <a:ext cx="4352925" cy="1524000"/>
                    </a:xfrm>
                    <a:prstGeom prst="rect">
                      <a:avLst/>
                    </a:prstGeom>
                    <a:noFill/>
                    <a:ln w="9525">
                      <a:noFill/>
                      <a:miter lim="800000"/>
                      <a:headEnd/>
                      <a:tailEnd/>
                    </a:ln>
                  </pic:spPr>
                </pic:pic>
              </a:graphicData>
            </a:graphic>
          </wp:inline>
        </w:drawing>
      </w:r>
    </w:p>
    <w:p w:rsidR="00BC1D60" w:rsidRDefault="00BC1D60" w:rsidP="00BC1D60">
      <w:pPr>
        <w:pStyle w:val="ESTableCaption"/>
        <w:keepNext/>
      </w:pPr>
      <w:r w:rsidRPr="00FF1987">
        <w:t>J.P. Morgan Estimates</w:t>
      </w:r>
      <w:r w:rsidRPr="00FE50F5">
        <w:rPr>
          <w:highlight w:val="red"/>
        </w:rPr>
        <w:br/>
      </w:r>
      <w:r>
        <w:rPr>
          <w:sz w:val="16"/>
        </w:rPr>
        <w:t>Cadence Design Systems (CDNS;CDNS US)</w:t>
      </w:r>
    </w:p>
    <w:tbl>
      <w:tblPr>
        <w:tblW w:w="5000" w:type="pct"/>
        <w:tblCellMar>
          <w:left w:w="0" w:type="dxa"/>
          <w:right w:w="43" w:type="dxa"/>
        </w:tblCellMar>
        <w:tblLook w:val="01E0"/>
      </w:tblPr>
      <w:tblGrid>
        <w:gridCol w:w="2013"/>
        <w:gridCol w:w="1221"/>
        <w:gridCol w:w="1221"/>
        <w:gridCol w:w="1221"/>
        <w:gridCol w:w="1221"/>
      </w:tblGrid>
      <w:tr w:rsidR="00BC1D60" w:rsidTr="00BC5B38">
        <w:trPr>
          <w:cantSplit/>
        </w:trPr>
        <w:tc>
          <w:tcPr>
            <w:tcW w:w="2000" w:type="dxa"/>
            <w:tcBorders>
              <w:top w:val="single" w:sz="4" w:space="0" w:color="auto"/>
            </w:tcBorders>
          </w:tcPr>
          <w:p w:rsidR="00BC1D60" w:rsidRDefault="00BC1D60" w:rsidP="00BC5B38">
            <w:pPr>
              <w:pStyle w:val="ESTableRow"/>
              <w:keepNext/>
            </w:pPr>
            <w:r>
              <w:rPr>
                <w:b/>
              </w:rPr>
              <w:t>FYE Dec</w:t>
            </w:r>
          </w:p>
        </w:tc>
        <w:tc>
          <w:tcPr>
            <w:tcW w:w="1212" w:type="dxa"/>
            <w:tcBorders>
              <w:top w:val="single" w:sz="4" w:space="0" w:color="auto"/>
            </w:tcBorders>
          </w:tcPr>
          <w:p w:rsidR="00BC1D60" w:rsidRDefault="00BC1D60" w:rsidP="00BC5B38">
            <w:pPr>
              <w:pStyle w:val="ESTableRow"/>
              <w:keepNext/>
              <w:jc w:val="right"/>
            </w:pPr>
            <w:r>
              <w:rPr>
                <w:b/>
              </w:rPr>
              <w:t>2012A</w:t>
            </w:r>
          </w:p>
        </w:tc>
        <w:tc>
          <w:tcPr>
            <w:tcW w:w="1212" w:type="dxa"/>
            <w:tcBorders>
              <w:top w:val="single" w:sz="4" w:space="0" w:color="auto"/>
            </w:tcBorders>
          </w:tcPr>
          <w:p w:rsidR="00BC1D60" w:rsidRDefault="00BC1D60" w:rsidP="00BC5B38">
            <w:pPr>
              <w:pStyle w:val="ESTableRow"/>
              <w:keepNext/>
              <w:jc w:val="right"/>
            </w:pPr>
            <w:r>
              <w:rPr>
                <w:b/>
              </w:rPr>
              <w:t>2013A</w:t>
            </w:r>
          </w:p>
        </w:tc>
        <w:tc>
          <w:tcPr>
            <w:tcW w:w="1212" w:type="dxa"/>
            <w:tcBorders>
              <w:top w:val="single" w:sz="4" w:space="0" w:color="auto"/>
            </w:tcBorders>
          </w:tcPr>
          <w:p w:rsidR="00BC1D60" w:rsidRDefault="00BC1D60" w:rsidP="00BC5B38">
            <w:pPr>
              <w:pStyle w:val="ESTableRow"/>
              <w:keepNext/>
              <w:jc w:val="right"/>
            </w:pPr>
            <w:r>
              <w:rPr>
                <w:b/>
              </w:rPr>
              <w:t>2014E</w:t>
            </w:r>
          </w:p>
        </w:tc>
        <w:tc>
          <w:tcPr>
            <w:tcW w:w="1212" w:type="dxa"/>
            <w:tcBorders>
              <w:top w:val="single" w:sz="4" w:space="0" w:color="auto"/>
            </w:tcBorders>
          </w:tcPr>
          <w:p w:rsidR="00BC1D60" w:rsidRDefault="00BC1D60" w:rsidP="00BC5B38">
            <w:pPr>
              <w:pStyle w:val="ESTableRow"/>
              <w:keepNext/>
              <w:jc w:val="right"/>
            </w:pPr>
            <w:r>
              <w:rPr>
                <w:b/>
              </w:rPr>
              <w:t>2015E</w:t>
            </w:r>
          </w:p>
        </w:tc>
      </w:tr>
      <w:tr w:rsidR="00BC1D60" w:rsidTr="00BC5B38">
        <w:trPr>
          <w:cantSplit/>
        </w:trPr>
        <w:tc>
          <w:tcPr>
            <w:tcW w:w="2000" w:type="dxa"/>
            <w:tcBorders>
              <w:top w:val="single" w:sz="4" w:space="0" w:color="auto"/>
            </w:tcBorders>
          </w:tcPr>
          <w:p w:rsidR="00BC1D60" w:rsidRDefault="00BC1D60" w:rsidP="00BC5B38">
            <w:pPr>
              <w:pStyle w:val="ESTableRow"/>
              <w:keepNext/>
            </w:pPr>
            <w:r>
              <w:t>EPS - Non GAAP ($)</w:t>
            </w:r>
          </w:p>
        </w:tc>
        <w:tc>
          <w:tcPr>
            <w:tcW w:w="1212" w:type="dxa"/>
            <w:tcBorders>
              <w:top w:val="single" w:sz="4" w:space="0" w:color="auto"/>
            </w:tcBorders>
          </w:tcPr>
          <w:p w:rsidR="00BC1D60" w:rsidRDefault="00BC1D60" w:rsidP="00BC5B38">
            <w:pPr>
              <w:pStyle w:val="ESTableRow"/>
              <w:keepNext/>
              <w:jc w:val="right"/>
            </w:pPr>
          </w:p>
        </w:tc>
        <w:tc>
          <w:tcPr>
            <w:tcW w:w="1212" w:type="dxa"/>
            <w:tcBorders>
              <w:top w:val="single" w:sz="4" w:space="0" w:color="auto"/>
            </w:tcBorders>
          </w:tcPr>
          <w:p w:rsidR="00BC1D60" w:rsidRDefault="00BC1D60" w:rsidP="00BC5B38">
            <w:pPr>
              <w:pStyle w:val="ESTableRow"/>
              <w:keepNext/>
              <w:jc w:val="right"/>
            </w:pPr>
          </w:p>
        </w:tc>
        <w:tc>
          <w:tcPr>
            <w:tcW w:w="1212" w:type="dxa"/>
            <w:tcBorders>
              <w:top w:val="single" w:sz="4" w:space="0" w:color="auto"/>
            </w:tcBorders>
          </w:tcPr>
          <w:p w:rsidR="00BC1D60" w:rsidRDefault="00BC1D60" w:rsidP="00BC5B38">
            <w:pPr>
              <w:pStyle w:val="ESTableRow"/>
              <w:keepNext/>
              <w:jc w:val="right"/>
            </w:pPr>
          </w:p>
        </w:tc>
        <w:tc>
          <w:tcPr>
            <w:tcW w:w="1212" w:type="dxa"/>
            <w:tcBorders>
              <w:top w:val="single" w:sz="4" w:space="0" w:color="auto"/>
            </w:tcBorders>
          </w:tcPr>
          <w:p w:rsidR="00BC1D60" w:rsidRDefault="00BC1D60" w:rsidP="00BC5B38">
            <w:pPr>
              <w:pStyle w:val="ESTableRow"/>
              <w:keepNext/>
              <w:jc w:val="right"/>
            </w:pPr>
          </w:p>
        </w:tc>
      </w:tr>
      <w:tr w:rsidR="00BC1D60" w:rsidTr="00BC5B38">
        <w:trPr>
          <w:cantSplit/>
        </w:trPr>
        <w:tc>
          <w:tcPr>
            <w:tcW w:w="2000" w:type="dxa"/>
          </w:tcPr>
          <w:p w:rsidR="00BC1D60" w:rsidRDefault="00BC1D60" w:rsidP="00BC5B38">
            <w:pPr>
              <w:pStyle w:val="ESTableRow"/>
              <w:keepNext/>
            </w:pPr>
            <w:r>
              <w:t xml:space="preserve"> Q1 (Mar)</w:t>
            </w:r>
          </w:p>
        </w:tc>
        <w:tc>
          <w:tcPr>
            <w:tcW w:w="1212" w:type="dxa"/>
          </w:tcPr>
          <w:p w:rsidR="00BC1D60" w:rsidRDefault="00BC1D60" w:rsidP="00BC5B38">
            <w:pPr>
              <w:pStyle w:val="ESTableRow"/>
              <w:keepNext/>
              <w:jc w:val="right"/>
            </w:pPr>
            <w:r>
              <w:t>0.17</w:t>
            </w:r>
          </w:p>
        </w:tc>
        <w:tc>
          <w:tcPr>
            <w:tcW w:w="1212" w:type="dxa"/>
          </w:tcPr>
          <w:p w:rsidR="00BC1D60" w:rsidRDefault="00BC1D60" w:rsidP="00BC5B38">
            <w:pPr>
              <w:pStyle w:val="ESTableRow"/>
              <w:keepNext/>
              <w:jc w:val="right"/>
            </w:pPr>
            <w:r>
              <w:t>0.21</w:t>
            </w:r>
          </w:p>
        </w:tc>
        <w:tc>
          <w:tcPr>
            <w:tcW w:w="1212" w:type="dxa"/>
          </w:tcPr>
          <w:p w:rsidR="00BC1D60" w:rsidRDefault="00BC1D60" w:rsidP="00BC5B38">
            <w:pPr>
              <w:pStyle w:val="ESTableRow"/>
              <w:keepNext/>
              <w:jc w:val="right"/>
            </w:pPr>
            <w:r>
              <w:t>0.20A</w:t>
            </w:r>
          </w:p>
        </w:tc>
        <w:tc>
          <w:tcPr>
            <w:tcW w:w="1212" w:type="dxa"/>
          </w:tcPr>
          <w:p w:rsidR="00BC1D60" w:rsidRDefault="00BC1D60" w:rsidP="00BC5B38">
            <w:pPr>
              <w:pStyle w:val="ESTableRow"/>
              <w:keepNext/>
              <w:jc w:val="right"/>
            </w:pPr>
            <w:r>
              <w:t>-</w:t>
            </w:r>
          </w:p>
        </w:tc>
      </w:tr>
      <w:tr w:rsidR="00BC1D60" w:rsidTr="00BC5B38">
        <w:trPr>
          <w:cantSplit/>
        </w:trPr>
        <w:tc>
          <w:tcPr>
            <w:tcW w:w="2000" w:type="dxa"/>
          </w:tcPr>
          <w:p w:rsidR="00BC1D60" w:rsidRDefault="00BC1D60" w:rsidP="00BC5B38">
            <w:pPr>
              <w:pStyle w:val="ESTableRow"/>
              <w:keepNext/>
            </w:pPr>
            <w:r>
              <w:t xml:space="preserve"> Q2 (Jun)</w:t>
            </w:r>
          </w:p>
        </w:tc>
        <w:tc>
          <w:tcPr>
            <w:tcW w:w="1212" w:type="dxa"/>
          </w:tcPr>
          <w:p w:rsidR="00BC1D60" w:rsidRDefault="00BC1D60" w:rsidP="00BC5B38">
            <w:pPr>
              <w:pStyle w:val="ESTableRow"/>
              <w:keepNext/>
              <w:jc w:val="right"/>
            </w:pPr>
            <w:r>
              <w:t>0.19</w:t>
            </w:r>
          </w:p>
        </w:tc>
        <w:tc>
          <w:tcPr>
            <w:tcW w:w="1212" w:type="dxa"/>
          </w:tcPr>
          <w:p w:rsidR="00BC1D60" w:rsidRDefault="00BC1D60" w:rsidP="00BC5B38">
            <w:pPr>
              <w:pStyle w:val="ESTableRow"/>
              <w:keepNext/>
              <w:jc w:val="right"/>
            </w:pPr>
            <w:r>
              <w:t>0.21</w:t>
            </w:r>
          </w:p>
        </w:tc>
        <w:tc>
          <w:tcPr>
            <w:tcW w:w="1212" w:type="dxa"/>
          </w:tcPr>
          <w:p w:rsidR="00BC1D60" w:rsidRDefault="00BC1D60" w:rsidP="00BC5B38">
            <w:pPr>
              <w:pStyle w:val="ESTableRow"/>
              <w:keepNext/>
              <w:jc w:val="right"/>
            </w:pPr>
            <w:r>
              <w:t>0.20</w:t>
            </w:r>
          </w:p>
        </w:tc>
        <w:tc>
          <w:tcPr>
            <w:tcW w:w="1212" w:type="dxa"/>
          </w:tcPr>
          <w:p w:rsidR="00BC1D60" w:rsidRDefault="00BC1D60" w:rsidP="00BC5B38">
            <w:pPr>
              <w:pStyle w:val="ESTableRow"/>
              <w:keepNext/>
              <w:jc w:val="right"/>
            </w:pPr>
            <w:r>
              <w:t>-</w:t>
            </w:r>
          </w:p>
        </w:tc>
      </w:tr>
      <w:tr w:rsidR="00BC1D60" w:rsidTr="00BC5B38">
        <w:trPr>
          <w:cantSplit/>
        </w:trPr>
        <w:tc>
          <w:tcPr>
            <w:tcW w:w="2000" w:type="dxa"/>
          </w:tcPr>
          <w:p w:rsidR="00BC1D60" w:rsidRDefault="00BC1D60" w:rsidP="00BC5B38">
            <w:pPr>
              <w:pStyle w:val="ESTableRow"/>
              <w:keepNext/>
            </w:pPr>
            <w:r>
              <w:t xml:space="preserve"> Q3 (Sep)</w:t>
            </w:r>
          </w:p>
        </w:tc>
        <w:tc>
          <w:tcPr>
            <w:tcW w:w="1212" w:type="dxa"/>
          </w:tcPr>
          <w:p w:rsidR="00BC1D60" w:rsidRDefault="00BC1D60" w:rsidP="00BC5B38">
            <w:pPr>
              <w:pStyle w:val="ESTableRow"/>
              <w:keepNext/>
              <w:jc w:val="right"/>
            </w:pPr>
            <w:r>
              <w:t>0.21</w:t>
            </w:r>
          </w:p>
        </w:tc>
        <w:tc>
          <w:tcPr>
            <w:tcW w:w="1212" w:type="dxa"/>
          </w:tcPr>
          <w:p w:rsidR="00BC1D60" w:rsidRDefault="00BC1D60" w:rsidP="00BC5B38">
            <w:pPr>
              <w:pStyle w:val="ESTableRow"/>
              <w:keepNext/>
              <w:jc w:val="right"/>
            </w:pPr>
            <w:r>
              <w:t>0.21</w:t>
            </w:r>
          </w:p>
        </w:tc>
        <w:tc>
          <w:tcPr>
            <w:tcW w:w="1212" w:type="dxa"/>
          </w:tcPr>
          <w:p w:rsidR="00BC1D60" w:rsidRDefault="00BC1D60" w:rsidP="00BC5B38">
            <w:pPr>
              <w:pStyle w:val="ESTableRow"/>
              <w:keepNext/>
              <w:jc w:val="right"/>
            </w:pPr>
            <w:r>
              <w:t>0.26</w:t>
            </w:r>
          </w:p>
        </w:tc>
        <w:tc>
          <w:tcPr>
            <w:tcW w:w="1212" w:type="dxa"/>
          </w:tcPr>
          <w:p w:rsidR="00BC1D60" w:rsidRDefault="00BC1D60" w:rsidP="00BC5B38">
            <w:pPr>
              <w:pStyle w:val="ESTableRow"/>
              <w:keepNext/>
              <w:jc w:val="right"/>
            </w:pPr>
            <w:r>
              <w:t>-</w:t>
            </w:r>
          </w:p>
        </w:tc>
      </w:tr>
      <w:tr w:rsidR="00BC1D60" w:rsidTr="00BC5B38">
        <w:trPr>
          <w:cantSplit/>
        </w:trPr>
        <w:tc>
          <w:tcPr>
            <w:tcW w:w="2000" w:type="dxa"/>
          </w:tcPr>
          <w:p w:rsidR="00BC1D60" w:rsidRDefault="00BC1D60" w:rsidP="00BC5B38">
            <w:pPr>
              <w:pStyle w:val="ESTableRow"/>
              <w:keepNext/>
            </w:pPr>
            <w:r>
              <w:t xml:space="preserve"> Q4 (Dec)</w:t>
            </w:r>
          </w:p>
        </w:tc>
        <w:tc>
          <w:tcPr>
            <w:tcW w:w="1212" w:type="dxa"/>
          </w:tcPr>
          <w:p w:rsidR="00BC1D60" w:rsidRDefault="00BC1D60" w:rsidP="00BC5B38">
            <w:pPr>
              <w:pStyle w:val="ESTableRow"/>
              <w:keepNext/>
              <w:jc w:val="right"/>
            </w:pPr>
            <w:r>
              <w:t>0.20</w:t>
            </w:r>
          </w:p>
        </w:tc>
        <w:tc>
          <w:tcPr>
            <w:tcW w:w="1212" w:type="dxa"/>
          </w:tcPr>
          <w:p w:rsidR="00BC1D60" w:rsidRDefault="00BC1D60" w:rsidP="00BC5B38">
            <w:pPr>
              <w:pStyle w:val="ESTableRow"/>
              <w:keepNext/>
              <w:jc w:val="right"/>
            </w:pPr>
            <w:r>
              <w:t>0.23</w:t>
            </w:r>
          </w:p>
        </w:tc>
        <w:tc>
          <w:tcPr>
            <w:tcW w:w="1212" w:type="dxa"/>
          </w:tcPr>
          <w:p w:rsidR="00BC1D60" w:rsidRDefault="00BC1D60" w:rsidP="00BC5B38">
            <w:pPr>
              <w:pStyle w:val="ESTableRow"/>
              <w:keepNext/>
              <w:jc w:val="right"/>
            </w:pPr>
            <w:r>
              <w:t>0.30</w:t>
            </w:r>
          </w:p>
        </w:tc>
        <w:tc>
          <w:tcPr>
            <w:tcW w:w="1212" w:type="dxa"/>
          </w:tcPr>
          <w:p w:rsidR="00BC1D60" w:rsidRDefault="00BC1D60" w:rsidP="00BC5B38">
            <w:pPr>
              <w:pStyle w:val="ESTableRow"/>
              <w:keepNext/>
              <w:jc w:val="right"/>
            </w:pPr>
            <w:r>
              <w:t>-</w:t>
            </w:r>
          </w:p>
        </w:tc>
      </w:tr>
      <w:tr w:rsidR="00BC1D60" w:rsidTr="00BC5B38">
        <w:trPr>
          <w:cantSplit/>
        </w:trPr>
        <w:tc>
          <w:tcPr>
            <w:tcW w:w="2000" w:type="dxa"/>
            <w:tcBorders>
              <w:bottom w:val="single" w:sz="4" w:space="0" w:color="auto"/>
            </w:tcBorders>
          </w:tcPr>
          <w:p w:rsidR="00BC1D60" w:rsidRDefault="00BC1D60" w:rsidP="00BC5B38">
            <w:pPr>
              <w:pStyle w:val="ESTableRow"/>
              <w:keepNext/>
            </w:pPr>
            <w:r>
              <w:t xml:space="preserve"> FY</w:t>
            </w:r>
          </w:p>
        </w:tc>
        <w:tc>
          <w:tcPr>
            <w:tcW w:w="1212" w:type="dxa"/>
            <w:tcBorders>
              <w:bottom w:val="single" w:sz="4" w:space="0" w:color="auto"/>
            </w:tcBorders>
          </w:tcPr>
          <w:p w:rsidR="00BC1D60" w:rsidRDefault="00BC1D60" w:rsidP="00BC5B38">
            <w:pPr>
              <w:pStyle w:val="ESTableRow"/>
              <w:keepNext/>
              <w:jc w:val="right"/>
            </w:pPr>
            <w:r>
              <w:t>0.77</w:t>
            </w:r>
          </w:p>
        </w:tc>
        <w:tc>
          <w:tcPr>
            <w:tcW w:w="1212" w:type="dxa"/>
            <w:tcBorders>
              <w:bottom w:val="single" w:sz="4" w:space="0" w:color="auto"/>
            </w:tcBorders>
          </w:tcPr>
          <w:p w:rsidR="00BC1D60" w:rsidRDefault="00BC1D60" w:rsidP="00BC5B38">
            <w:pPr>
              <w:pStyle w:val="ESTableRow"/>
              <w:keepNext/>
              <w:jc w:val="right"/>
            </w:pPr>
            <w:r>
              <w:t>0.86</w:t>
            </w:r>
          </w:p>
        </w:tc>
        <w:tc>
          <w:tcPr>
            <w:tcW w:w="1212" w:type="dxa"/>
            <w:tcBorders>
              <w:bottom w:val="single" w:sz="4" w:space="0" w:color="auto"/>
            </w:tcBorders>
          </w:tcPr>
          <w:p w:rsidR="00BC1D60" w:rsidRDefault="00BC1D60" w:rsidP="00BC5B38">
            <w:pPr>
              <w:pStyle w:val="ESTableRow"/>
              <w:keepNext/>
              <w:jc w:val="right"/>
            </w:pPr>
            <w:r>
              <w:t>0.96</w:t>
            </w:r>
          </w:p>
        </w:tc>
        <w:tc>
          <w:tcPr>
            <w:tcW w:w="1212" w:type="dxa"/>
            <w:tcBorders>
              <w:bottom w:val="single" w:sz="4" w:space="0" w:color="auto"/>
            </w:tcBorders>
          </w:tcPr>
          <w:p w:rsidR="00BC1D60" w:rsidRDefault="00BC1D60" w:rsidP="00BC5B38">
            <w:pPr>
              <w:pStyle w:val="ESTableRow"/>
              <w:keepNext/>
              <w:jc w:val="right"/>
            </w:pPr>
            <w:r>
              <w:t>1.05</w:t>
            </w:r>
          </w:p>
        </w:tc>
      </w:tr>
    </w:tbl>
    <w:p w:rsidR="00BC1D60" w:rsidRDefault="00BC1D60" w:rsidP="00BC1D60">
      <w:pPr>
        <w:pStyle w:val="Source"/>
        <w:rPr>
          <w:szCs w:val="14"/>
          <w:highlight w:val="yellow"/>
        </w:rPr>
      </w:pPr>
      <w:r>
        <w:t>Source: Company data, Bloomberg, J.P. Morgan estimates</w:t>
      </w:r>
      <w:r w:rsidRPr="004F1ABB">
        <w:rPr>
          <w:szCs w:val="14"/>
          <w:highlight w:val="yellow"/>
        </w:rPr>
        <w:br w:type="page"/>
      </w:r>
    </w:p>
    <w:p w:rsidR="00BC1D60" w:rsidRPr="00A47405" w:rsidRDefault="00BC1D60" w:rsidP="00BC1D60">
      <w:pPr>
        <w:pStyle w:val="Body"/>
        <w:rPr>
          <w:highlight w:val="yellow"/>
        </w:rPr>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2C1C39" w:rsidTr="00BC5B38">
        <w:tc>
          <w:tcPr>
            <w:tcW w:w="10604" w:type="dxa"/>
            <w:gridSpan w:val="3"/>
            <w:shd w:val="clear" w:color="auto" w:fill="auto"/>
          </w:tcPr>
          <w:p w:rsidR="00BC1D60" w:rsidRPr="002C1C39" w:rsidRDefault="00BC1D60" w:rsidP="00BC5B38">
            <w:pPr>
              <w:pStyle w:val="Heading1-NoTOC"/>
            </w:pPr>
            <w:bookmarkStart w:id="103" w:name="_Toc336526070"/>
            <w:bookmarkStart w:id="104" w:name="_Toc336584845"/>
            <w:bookmarkStart w:id="105" w:name="_Toc345009145"/>
            <w:bookmarkStart w:id="106" w:name="_Toc352249263"/>
            <w:bookmarkStart w:id="107" w:name="_Toc352262684"/>
            <w:bookmarkStart w:id="108" w:name="_Toc352262858"/>
            <w:bookmarkStart w:id="109" w:name="_Toc360569099"/>
            <w:bookmarkStart w:id="110" w:name="_Toc360569883"/>
            <w:bookmarkStart w:id="111" w:name="_Toc368054106"/>
            <w:bookmarkStart w:id="112" w:name="_Toc368081331"/>
            <w:bookmarkStart w:id="113" w:name="_Toc376756069"/>
            <w:bookmarkStart w:id="114" w:name="_Toc376801392"/>
            <w:bookmarkStart w:id="115" w:name="_Toc376802054"/>
            <w:bookmarkStart w:id="116" w:name="_Toc384044954"/>
            <w:bookmarkStart w:id="117" w:name="_Toc384135978"/>
            <w:bookmarkStart w:id="118" w:name="_Toc384136945"/>
            <w:bookmarkStart w:id="119" w:name="_Toc392016341"/>
            <w:bookmarkStart w:id="120" w:name="_Toc392099059"/>
            <w:r w:rsidRPr="002C1C39">
              <w:t>Getting to know our SMid Analysts…</w:t>
            </w:r>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tc>
      </w:tr>
      <w:tr w:rsidR="00BC1D60" w:rsidRPr="002C1C39" w:rsidTr="00BC5B38">
        <w:trPr>
          <w:trHeight w:val="3427"/>
        </w:trPr>
        <w:tc>
          <w:tcPr>
            <w:tcW w:w="2666" w:type="dxa"/>
            <w:shd w:val="clear" w:color="auto" w:fill="auto"/>
          </w:tcPr>
          <w:p w:rsidR="00BC1D60" w:rsidRPr="002C1C39" w:rsidRDefault="00BC1D60" w:rsidP="00BC5B38">
            <w:pPr>
              <w:pStyle w:val="Body"/>
              <w:spacing w:after="120"/>
            </w:pPr>
            <w:r w:rsidRPr="002C1C39">
              <w:rPr>
                <w:rFonts w:ascii="Arial" w:hAnsi="Arial" w:cs="Arial"/>
                <w:noProof/>
                <w:color w:val="716F63"/>
                <w:sz w:val="17"/>
                <w:szCs w:val="17"/>
              </w:rPr>
              <w:drawing>
                <wp:inline distT="0" distB="0" distL="0" distR="0">
                  <wp:extent cx="1504950" cy="1537905"/>
                  <wp:effectExtent l="19050" t="0" r="0" b="0"/>
                  <wp:docPr id="115" name="Picture 87" descr="Sterling Auty, C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terling Auty, CFA"/>
                          <pic:cNvPicPr>
                            <a:picLocks noChangeAspect="1" noChangeArrowheads="1"/>
                          </pic:cNvPicPr>
                        </pic:nvPicPr>
                        <pic:blipFill>
                          <a:blip r:embed="rId41"/>
                          <a:srcRect l="25893" r="12946"/>
                          <a:stretch>
                            <a:fillRect/>
                          </a:stretch>
                        </pic:blipFill>
                        <pic:spPr bwMode="auto">
                          <a:xfrm>
                            <a:off x="0" y="0"/>
                            <a:ext cx="1504950" cy="1537905"/>
                          </a:xfrm>
                          <a:prstGeom prst="rect">
                            <a:avLst/>
                          </a:prstGeom>
                          <a:noFill/>
                          <a:ln w="9525">
                            <a:noFill/>
                            <a:miter lim="800000"/>
                            <a:headEnd/>
                            <a:tailEnd/>
                          </a:ln>
                        </pic:spPr>
                      </pic:pic>
                    </a:graphicData>
                  </a:graphic>
                </wp:inline>
              </w:drawing>
            </w:r>
          </w:p>
        </w:tc>
        <w:tc>
          <w:tcPr>
            <w:tcW w:w="3544" w:type="dxa"/>
            <w:shd w:val="clear" w:color="auto" w:fill="auto"/>
          </w:tcPr>
          <w:p w:rsidR="00BC1D60" w:rsidRPr="002C1C39" w:rsidRDefault="00BC1D60" w:rsidP="00BC5B38">
            <w:pPr>
              <w:pStyle w:val="Heading2"/>
              <w:outlineLvl w:val="1"/>
            </w:pPr>
            <w:r w:rsidRPr="002C1C39">
              <w:t>Sterling Auty</w:t>
            </w:r>
          </w:p>
          <w:p w:rsidR="00BC1D60" w:rsidRPr="002C1C39" w:rsidRDefault="003B051F" w:rsidP="00BC5B38">
            <w:pPr>
              <w:pStyle w:val="Body"/>
              <w:spacing w:after="120"/>
              <w:rPr>
                <w:rStyle w:val="txtblackbld1"/>
                <w:rFonts w:ascii="Arial Narrow" w:hAnsi="Arial Narrow"/>
                <w:b w:val="0"/>
                <w:bCs w:val="0"/>
                <w:szCs w:val="20"/>
              </w:rPr>
            </w:pPr>
            <w:hyperlink r:id="rId42" w:history="1">
              <w:r w:rsidR="00BC1D60" w:rsidRPr="002C1C39">
                <w:rPr>
                  <w:rStyle w:val="Hyperlink"/>
                  <w:rFonts w:ascii="Arial Narrow" w:hAnsi="Arial Narrow" w:cs="Arial"/>
                  <w:szCs w:val="20"/>
                </w:rPr>
                <w:t>sterling.auty@jpmorgan.com</w:t>
              </w:r>
            </w:hyperlink>
          </w:p>
          <w:p w:rsidR="00BC1D60" w:rsidRPr="002C1C39" w:rsidRDefault="00BC1D60" w:rsidP="00BC5B38">
            <w:pPr>
              <w:pStyle w:val="Body"/>
              <w:spacing w:after="120"/>
              <w:rPr>
                <w:rFonts w:ascii="Arial Narrow" w:hAnsi="Arial Narrow"/>
              </w:rPr>
            </w:pPr>
            <w:r w:rsidRPr="002C1C39">
              <w:rPr>
                <w:rFonts w:ascii="Arial Narrow" w:hAnsi="Arial Narrow"/>
              </w:rPr>
              <w:t>(1-212) 622-6389</w:t>
            </w:r>
          </w:p>
          <w:p w:rsidR="00BC1D60" w:rsidRPr="002C1C39" w:rsidRDefault="00BC1D60" w:rsidP="00BC5B38">
            <w:pPr>
              <w:pStyle w:val="Body"/>
              <w:spacing w:after="120"/>
              <w:rPr>
                <w:rFonts w:ascii="Arial Narrow" w:hAnsi="Arial Narrow"/>
              </w:rPr>
            </w:pPr>
          </w:p>
          <w:p w:rsidR="00BC1D60" w:rsidRPr="002C1C39" w:rsidRDefault="00BC1D60" w:rsidP="00BC5B38">
            <w:pPr>
              <w:pStyle w:val="Body"/>
              <w:spacing w:after="120"/>
              <w:rPr>
                <w:rFonts w:ascii="Arial Narrow" w:hAnsi="Arial Narrow"/>
              </w:rPr>
            </w:pPr>
            <w:r w:rsidRPr="002C1C39">
              <w:rPr>
                <w:rFonts w:ascii="Arial Narrow" w:hAnsi="Arial Narrow"/>
                <w:b/>
              </w:rPr>
              <w:t>Region:</w:t>
            </w:r>
            <w:r w:rsidRPr="002C1C39">
              <w:rPr>
                <w:rFonts w:ascii="Arial Narrow" w:hAnsi="Arial Narrow"/>
              </w:rPr>
              <w:t xml:space="preserve"> US</w:t>
            </w:r>
          </w:p>
          <w:p w:rsidR="00BC1D60" w:rsidRPr="002C1C39" w:rsidRDefault="00BC1D60" w:rsidP="00BC5B38">
            <w:pPr>
              <w:pStyle w:val="Body"/>
              <w:spacing w:after="120"/>
              <w:rPr>
                <w:rFonts w:ascii="Arial Narrow" w:hAnsi="Arial Narrow"/>
              </w:rPr>
            </w:pPr>
            <w:r w:rsidRPr="002C1C39">
              <w:rPr>
                <w:rFonts w:ascii="Arial Narrow" w:hAnsi="Arial Narrow"/>
                <w:b/>
              </w:rPr>
              <w:t>Sector:</w:t>
            </w:r>
            <w:r w:rsidRPr="002C1C39">
              <w:rPr>
                <w:rFonts w:ascii="Arial Narrow" w:hAnsi="Arial Narrow"/>
              </w:rPr>
              <w:t xml:space="preserve"> Software Technology</w:t>
            </w:r>
          </w:p>
          <w:p w:rsidR="00BC1D60" w:rsidRPr="002C1C39" w:rsidRDefault="00BC1D60" w:rsidP="00BC5B38">
            <w:pPr>
              <w:pStyle w:val="Body"/>
            </w:pPr>
          </w:p>
        </w:tc>
        <w:tc>
          <w:tcPr>
            <w:tcW w:w="4394" w:type="dxa"/>
            <w:shd w:val="clear" w:color="auto" w:fill="auto"/>
          </w:tcPr>
          <w:p w:rsidR="00BC1D60" w:rsidRPr="002C1C39" w:rsidRDefault="00BC1D60" w:rsidP="00BC5B38">
            <w:pPr>
              <w:pStyle w:val="Body"/>
              <w:jc w:val="right"/>
            </w:pPr>
            <w:r w:rsidRPr="002C1C39">
              <w:rPr>
                <w:noProof/>
              </w:rPr>
              <w:drawing>
                <wp:inline distT="0" distB="0" distL="0" distR="0">
                  <wp:extent cx="2505456" cy="1414952"/>
                  <wp:effectExtent l="19050" t="0" r="9144" b="0"/>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srcRect/>
                          <a:stretch>
                            <a:fillRect/>
                          </a:stretch>
                        </pic:blipFill>
                        <pic:spPr bwMode="auto">
                          <a:xfrm>
                            <a:off x="0" y="0"/>
                            <a:ext cx="2505456" cy="1414952"/>
                          </a:xfrm>
                          <a:prstGeom prst="rect">
                            <a:avLst/>
                          </a:prstGeom>
                          <a:noFill/>
                          <a:ln w="9525">
                            <a:noFill/>
                            <a:miter lim="800000"/>
                            <a:headEnd/>
                            <a:tailEnd/>
                          </a:ln>
                        </pic:spPr>
                      </pic:pic>
                    </a:graphicData>
                  </a:graphic>
                </wp:inline>
              </w:drawing>
            </w:r>
          </w:p>
        </w:tc>
      </w:tr>
    </w:tbl>
    <w:p w:rsidR="00BC1D60" w:rsidRPr="002C1C39" w:rsidRDefault="00BC1D60" w:rsidP="00BC1D60">
      <w:pPr>
        <w:pStyle w:val="Source"/>
        <w:spacing w:before="0"/>
        <w:ind w:left="-3124" w:hanging="137"/>
      </w:pPr>
      <w:r w:rsidRPr="002C1C39">
        <w:rPr>
          <w:noProof/>
        </w:rPr>
        <w:drawing>
          <wp:inline distT="0" distB="0" distL="0" distR="0">
            <wp:extent cx="6702552" cy="3622605"/>
            <wp:effectExtent l="19050" t="0" r="3048" b="0"/>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srcRect/>
                    <a:stretch>
                      <a:fillRect/>
                    </a:stretch>
                  </pic:blipFill>
                  <pic:spPr bwMode="auto">
                    <a:xfrm>
                      <a:off x="0" y="0"/>
                      <a:ext cx="6702552" cy="3622605"/>
                    </a:xfrm>
                    <a:prstGeom prst="rect">
                      <a:avLst/>
                    </a:prstGeom>
                    <a:noFill/>
                    <a:ln w="9525">
                      <a:noFill/>
                      <a:miter lim="800000"/>
                      <a:headEnd/>
                      <a:tailEnd/>
                    </a:ln>
                  </pic:spPr>
                </pic:pic>
              </a:graphicData>
            </a:graphic>
          </wp:inline>
        </w:drawing>
      </w:r>
      <w:r w:rsidRPr="002C1C39">
        <w:t>Source: Bloomberg, Datastream, Factset, J.P. Morgan</w:t>
      </w:r>
      <w:r w:rsidRPr="002C1C39">
        <w:br/>
      </w:r>
      <w:r w:rsidRPr="0087013D">
        <w:t>Prices as of 24 June 2014</w:t>
      </w:r>
    </w:p>
    <w:p w:rsidR="00BC1D60" w:rsidRPr="004F1ABB" w:rsidRDefault="00BC1D60" w:rsidP="00BC1D60">
      <w:pPr>
        <w:pStyle w:val="Sidecomments"/>
        <w:framePr w:w="0" w:hRule="auto" w:wrap="around"/>
        <w:rPr>
          <w:highlight w:val="yellow"/>
        </w:rPr>
      </w:pPr>
      <w:r>
        <w:rPr>
          <w:noProof/>
        </w:rPr>
        <w:lastRenderedPageBreak/>
        <w:drawing>
          <wp:inline distT="0" distB="0" distL="0" distR="0">
            <wp:extent cx="1737360" cy="7718890"/>
            <wp:effectExtent l="19050" t="0" r="0" b="0"/>
            <wp:docPr id="1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1737360" cy="7718890"/>
                    </a:xfrm>
                    <a:prstGeom prst="rect">
                      <a:avLst/>
                    </a:prstGeom>
                    <a:noFill/>
                    <a:ln w="9525">
                      <a:noFill/>
                      <a:miter lim="800000"/>
                      <a:headEnd/>
                      <a:tailEnd/>
                    </a:ln>
                  </pic:spPr>
                </pic:pic>
              </a:graphicData>
            </a:graphic>
          </wp:inline>
        </w:drawing>
      </w:r>
    </w:p>
    <w:p w:rsidR="00BC1D60" w:rsidRPr="004D7FF0" w:rsidRDefault="00BC1D60" w:rsidP="00BC1D60">
      <w:pPr>
        <w:pStyle w:val="Heading1"/>
        <w:spacing w:before="240" w:after="120"/>
      </w:pPr>
      <w:bookmarkStart w:id="121" w:name="_Toc368081332"/>
      <w:bookmarkStart w:id="122" w:name="_Ref368261281"/>
      <w:bookmarkStart w:id="123" w:name="_Toc376802055"/>
      <w:bookmarkStart w:id="124" w:name="_Toc384135979"/>
      <w:bookmarkStart w:id="125" w:name="_Toc392099060"/>
      <w:bookmarkStart w:id="126" w:name="_Toc392081806"/>
      <w:bookmarkStart w:id="127" w:name="_Toc392081869"/>
      <w:r w:rsidRPr="007A4ECF">
        <w:t>Cape (CIU LN / OW / GBp 294.50)</w:t>
      </w:r>
      <w:bookmarkEnd w:id="121"/>
      <w:bookmarkEnd w:id="122"/>
      <w:bookmarkEnd w:id="123"/>
      <w:bookmarkEnd w:id="124"/>
      <w:bookmarkEnd w:id="125"/>
      <w:bookmarkEnd w:id="126"/>
      <w:bookmarkEnd w:id="127"/>
    </w:p>
    <w:p w:rsidR="00BC1D60" w:rsidRPr="00CB0480" w:rsidRDefault="00BC1D60" w:rsidP="00BC1D60">
      <w:pPr>
        <w:pStyle w:val="Heading2"/>
        <w:spacing w:after="120"/>
        <w:rPr>
          <w:i/>
        </w:rPr>
      </w:pPr>
      <w:r w:rsidRPr="008D7065">
        <w:rPr>
          <w:i/>
        </w:rPr>
        <w:t>Legacy contract base purged and internal controls</w:t>
      </w:r>
      <w:r>
        <w:rPr>
          <w:i/>
        </w:rPr>
        <w:t xml:space="preserve"> </w:t>
      </w:r>
      <w:r w:rsidRPr="008D7065">
        <w:rPr>
          <w:i/>
        </w:rPr>
        <w:t>strengthened - growth multiple possible</w:t>
      </w:r>
    </w:p>
    <w:p w:rsidR="00BC1D60" w:rsidRPr="0043356A" w:rsidRDefault="00BC1D60" w:rsidP="00BC1D60">
      <w:pPr>
        <w:pStyle w:val="Heading3"/>
      </w:pPr>
      <w:r w:rsidRPr="0043356A">
        <w:t>Investment Highlights:</w:t>
      </w:r>
    </w:p>
    <w:p w:rsidR="00BC1D60" w:rsidRPr="0043356A" w:rsidRDefault="00BC1D60" w:rsidP="00BC1D60">
      <w:pPr>
        <w:pStyle w:val="Bullet"/>
        <w:rPr>
          <w:lang w:val="en-GB" w:eastAsia="ja-JP"/>
        </w:rPr>
      </w:pPr>
      <w:r w:rsidRPr="0043356A">
        <w:rPr>
          <w:b/>
          <w:lang w:val="en-GB" w:eastAsia="ja-JP"/>
        </w:rPr>
        <w:t>Internal risk controls overhauled, restructuring close to completion.</w:t>
      </w:r>
      <w:r w:rsidRPr="0043356A">
        <w:rPr>
          <w:lang w:val="en-GB" w:eastAsia="ja-JP"/>
        </w:rPr>
        <w:t xml:space="preserve"> The CEO and CFO are seasoned turnaround specialists with success at putting companies back on a growth path. New personnel, risk controls and management information systems are now in place, enabling more efficient project tenders and execution monitoring. Cape is emerging from its restructuring phase; we believe a growth phase should follow.</w:t>
      </w:r>
    </w:p>
    <w:p w:rsidR="00BC1D60" w:rsidRPr="0043356A" w:rsidRDefault="00BC1D60" w:rsidP="00BC1D60">
      <w:pPr>
        <w:pStyle w:val="Bullet"/>
        <w:rPr>
          <w:lang w:val="en-GB" w:eastAsia="ja-JP"/>
        </w:rPr>
      </w:pPr>
      <w:r w:rsidRPr="0043356A">
        <w:rPr>
          <w:b/>
          <w:lang w:val="en-GB" w:eastAsia="ja-JP"/>
        </w:rPr>
        <w:t>Sustained dividend, strong cash flow yield.</w:t>
      </w:r>
      <w:r w:rsidRPr="0043356A">
        <w:rPr>
          <w:lang w:val="en-GB" w:eastAsia="ja-JP"/>
        </w:rPr>
        <w:t xml:space="preserve"> Cape offers a 2015E dividend yield of 4.8% which is more than double the average 2015 consensus dividend yield of 2.3% for its closest UK OFS peers. Cape has offered a stable dividend even in the midst of the operational issues it faced in 2011-12. Cape also offers a 2015E equity FCF yield of 9.0%.</w:t>
      </w:r>
    </w:p>
    <w:p w:rsidR="00BC1D60" w:rsidRPr="0043356A" w:rsidRDefault="00BC1D60" w:rsidP="00BC1D60">
      <w:pPr>
        <w:pStyle w:val="Bullet"/>
        <w:rPr>
          <w:lang w:val="en-GB" w:eastAsia="ja-JP"/>
        </w:rPr>
      </w:pPr>
      <w:r w:rsidRPr="0043356A">
        <w:rPr>
          <w:b/>
          <w:lang w:val="en-GB" w:eastAsia="ja-JP"/>
        </w:rPr>
        <w:t>Key potential triggers over the next 6-12 months.</w:t>
      </w:r>
      <w:r w:rsidRPr="0043356A">
        <w:rPr>
          <w:lang w:val="en-GB" w:eastAsia="ja-JP"/>
        </w:rPr>
        <w:t xml:space="preserve"> 1) </w:t>
      </w:r>
      <w:r w:rsidRPr="0043356A">
        <w:rPr>
          <w:i/>
          <w:lang w:val="en-GB" w:eastAsia="ja-JP"/>
        </w:rPr>
        <w:t>H1 2014 results on 27 Aug</w:t>
      </w:r>
      <w:r w:rsidRPr="0043356A">
        <w:rPr>
          <w:lang w:val="en-GB" w:eastAsia="ja-JP"/>
        </w:rPr>
        <w:t xml:space="preserve">: We look for an increase in order book vs. YE 2013 and sequential growth in margins. 2) </w:t>
      </w:r>
      <w:r w:rsidRPr="0043356A">
        <w:rPr>
          <w:i/>
          <w:lang w:val="en-GB" w:eastAsia="ja-JP"/>
        </w:rPr>
        <w:t>CMD in Sept.</w:t>
      </w:r>
      <w:r w:rsidRPr="0043356A">
        <w:rPr>
          <w:lang w:val="en-GB" w:eastAsia="ja-JP"/>
        </w:rPr>
        <w:t xml:space="preserve">: We look for more details on the growth phase of Cape’s strategy. 3) </w:t>
      </w:r>
      <w:r w:rsidRPr="0043356A">
        <w:rPr>
          <w:i/>
          <w:lang w:val="en-GB" w:eastAsia="ja-JP"/>
        </w:rPr>
        <w:t>Ichthys LNG contract</w:t>
      </w:r>
      <w:r w:rsidRPr="0043356A">
        <w:rPr>
          <w:lang w:val="en-GB" w:eastAsia="ja-JP"/>
        </w:rPr>
        <w:t xml:space="preserve">: Award of this c.£140m contract to Cape will significantly improve its order book and secure future revenues. </w:t>
      </w:r>
    </w:p>
    <w:p w:rsidR="00BC1D60" w:rsidRPr="004D7FF8" w:rsidRDefault="00BC1D60" w:rsidP="00BC1D60">
      <w:pPr>
        <w:pStyle w:val="Body"/>
        <w:spacing w:after="120"/>
      </w:pPr>
      <w:r w:rsidRPr="0043356A">
        <w:rPr>
          <w:b/>
        </w:rPr>
        <w:t xml:space="preserve">Valuation / Risks to our View: </w:t>
      </w:r>
      <w:r w:rsidRPr="0043356A">
        <w:t xml:space="preserve">We value Cape at 350p based on a target 2015 PER of 11.0x. The main downside risks to our Overweight view on Cape relate to project delays, </w:t>
      </w:r>
      <w:r w:rsidRPr="004D7FF8">
        <w:t xml:space="preserve">competitive dynamics and further provisions on legacy contracts. </w:t>
      </w:r>
    </w:p>
    <w:p w:rsidR="00BC1D60" w:rsidRPr="004D7FF8" w:rsidRDefault="00BC1D60" w:rsidP="00BC1D60">
      <w:pPr>
        <w:pStyle w:val="NormalWeb"/>
        <w:spacing w:after="240"/>
        <w:rPr>
          <w:rFonts w:eastAsiaTheme="minorEastAsia"/>
          <w:bCs/>
          <w:lang w:eastAsia="ja-JP"/>
        </w:rPr>
      </w:pPr>
      <w:r w:rsidRPr="00CE7051">
        <w:rPr>
          <w:b/>
        </w:rPr>
        <w:t xml:space="preserve">Cape in a Nutshell:  </w:t>
      </w:r>
      <w:r w:rsidRPr="00CE7051">
        <w:t>Cape provides access systems, insulation, painting, industrial cleaning, blasting and other services to the Oil &amp; Gas and Power sectors. Cape’s services are utilized throughout the lifecycle of an industrial asset from construction through maintenance to decommissioning. It operates in three geographic regions: (i) UK, Europe and CIS, (ii) Middle East and North Africa and (iii) Asia Pacific</w:t>
      </w:r>
      <w:r w:rsidRPr="004D7FF8">
        <w:rPr>
          <w:rFonts w:eastAsiaTheme="minorEastAsia"/>
          <w:bCs/>
          <w:lang w:eastAsia="ja-JP"/>
        </w:rPr>
        <w:t>.</w:t>
      </w:r>
    </w:p>
    <w:p w:rsidR="00BC1D60" w:rsidRPr="004D7FF0" w:rsidRDefault="00BC1D60" w:rsidP="00BC1D60">
      <w:pPr>
        <w:pStyle w:val="Heading3"/>
      </w:pPr>
      <w:r w:rsidRPr="007A4ECF">
        <w:t>Price Perf vs MSCI All Country World Small Cap (rebased as of 1-yr ago):</w:t>
      </w:r>
    </w:p>
    <w:p w:rsidR="00BC1D60" w:rsidRPr="004F1ABB" w:rsidRDefault="00BC1D60" w:rsidP="00BC1D60">
      <w:pPr>
        <w:pStyle w:val="Body"/>
        <w:spacing w:after="0"/>
        <w:rPr>
          <w:noProof/>
          <w:highlight w:val="yellow"/>
          <w:lang w:val="en-GB" w:eastAsia="en-GB"/>
        </w:rPr>
      </w:pPr>
      <w:r>
        <w:rPr>
          <w:noProof/>
        </w:rPr>
        <w:drawing>
          <wp:inline distT="0" distB="0" distL="0" distR="0">
            <wp:extent cx="4353773" cy="1575303"/>
            <wp:effectExtent l="19050" t="0" r="8677" b="0"/>
            <wp:docPr id="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srcRect t="5435"/>
                    <a:stretch>
                      <a:fillRect/>
                    </a:stretch>
                  </pic:blipFill>
                  <pic:spPr bwMode="auto">
                    <a:xfrm>
                      <a:off x="0" y="0"/>
                      <a:ext cx="4353773" cy="1575303"/>
                    </a:xfrm>
                    <a:prstGeom prst="rect">
                      <a:avLst/>
                    </a:prstGeom>
                    <a:noFill/>
                    <a:ln w="9525">
                      <a:noFill/>
                      <a:miter lim="800000"/>
                      <a:headEnd/>
                      <a:tailEnd/>
                    </a:ln>
                  </pic:spPr>
                </pic:pic>
              </a:graphicData>
            </a:graphic>
          </wp:inline>
        </w:drawing>
      </w:r>
    </w:p>
    <w:p w:rsidR="00BC1D60" w:rsidRDefault="00BC1D60" w:rsidP="00BC1D60">
      <w:pPr>
        <w:pStyle w:val="ESTableCaption"/>
        <w:keepNext/>
      </w:pPr>
      <w:r w:rsidRPr="00FF1987">
        <w:t>J.P. Morgan Estimates</w:t>
      </w:r>
      <w:r w:rsidRPr="004F1ABB">
        <w:rPr>
          <w:highlight w:val="yellow"/>
        </w:rPr>
        <w:br/>
      </w:r>
      <w:r>
        <w:rPr>
          <w:sz w:val="16"/>
        </w:rPr>
        <w:t>Cape plc (CIU.L;CIU LN)</w:t>
      </w:r>
    </w:p>
    <w:tbl>
      <w:tblPr>
        <w:tblW w:w="5000" w:type="pct"/>
        <w:tblCellMar>
          <w:left w:w="0" w:type="dxa"/>
          <w:right w:w="43" w:type="dxa"/>
        </w:tblCellMar>
        <w:tblLook w:val="01E0"/>
      </w:tblPr>
      <w:tblGrid>
        <w:gridCol w:w="2013"/>
        <w:gridCol w:w="976"/>
        <w:gridCol w:w="977"/>
        <w:gridCol w:w="977"/>
        <w:gridCol w:w="977"/>
        <w:gridCol w:w="977"/>
      </w:tblGrid>
      <w:tr w:rsidR="00BC1D60" w:rsidTr="00BC5B38">
        <w:trPr>
          <w:cantSplit/>
        </w:trPr>
        <w:tc>
          <w:tcPr>
            <w:tcW w:w="2000" w:type="dxa"/>
            <w:tcBorders>
              <w:top w:val="single" w:sz="4" w:space="0" w:color="auto"/>
            </w:tcBorders>
          </w:tcPr>
          <w:p w:rsidR="00BC1D60" w:rsidRDefault="00BC1D60" w:rsidP="00BC5B38">
            <w:pPr>
              <w:pStyle w:val="ESTableRow"/>
              <w:keepNext/>
            </w:pPr>
            <w:r>
              <w:rPr>
                <w:b/>
              </w:rPr>
              <w:t>FYE Dec</w:t>
            </w:r>
          </w:p>
        </w:tc>
        <w:tc>
          <w:tcPr>
            <w:tcW w:w="970" w:type="dxa"/>
            <w:tcBorders>
              <w:top w:val="single" w:sz="4" w:space="0" w:color="auto"/>
            </w:tcBorders>
          </w:tcPr>
          <w:p w:rsidR="00BC1D60" w:rsidRDefault="00BC1D60" w:rsidP="00BC5B38">
            <w:pPr>
              <w:pStyle w:val="ESTableRow"/>
              <w:keepNext/>
              <w:jc w:val="right"/>
            </w:pPr>
            <w:r>
              <w:rPr>
                <w:b/>
              </w:rPr>
              <w:t>2012A</w:t>
            </w:r>
          </w:p>
        </w:tc>
        <w:tc>
          <w:tcPr>
            <w:tcW w:w="970" w:type="dxa"/>
            <w:tcBorders>
              <w:top w:val="single" w:sz="4" w:space="0" w:color="auto"/>
            </w:tcBorders>
          </w:tcPr>
          <w:p w:rsidR="00BC1D60" w:rsidRDefault="00BC1D60" w:rsidP="00BC5B38">
            <w:pPr>
              <w:pStyle w:val="ESTableRow"/>
              <w:keepNext/>
              <w:jc w:val="right"/>
            </w:pPr>
            <w:r>
              <w:rPr>
                <w:b/>
              </w:rPr>
              <w:t>2013A</w:t>
            </w:r>
          </w:p>
        </w:tc>
        <w:tc>
          <w:tcPr>
            <w:tcW w:w="970" w:type="dxa"/>
            <w:tcBorders>
              <w:top w:val="single" w:sz="4" w:space="0" w:color="auto"/>
            </w:tcBorders>
          </w:tcPr>
          <w:p w:rsidR="00BC1D60" w:rsidRDefault="00BC1D60" w:rsidP="00BC5B38">
            <w:pPr>
              <w:pStyle w:val="ESTableRow"/>
              <w:keepNext/>
              <w:jc w:val="right"/>
            </w:pPr>
            <w:r>
              <w:rPr>
                <w:b/>
              </w:rPr>
              <w:t>2014E</w:t>
            </w:r>
          </w:p>
        </w:tc>
        <w:tc>
          <w:tcPr>
            <w:tcW w:w="970" w:type="dxa"/>
            <w:tcBorders>
              <w:top w:val="single" w:sz="4" w:space="0" w:color="auto"/>
            </w:tcBorders>
          </w:tcPr>
          <w:p w:rsidR="00BC1D60" w:rsidRDefault="00BC1D60" w:rsidP="00BC5B38">
            <w:pPr>
              <w:pStyle w:val="ESTableRow"/>
              <w:keepNext/>
              <w:jc w:val="right"/>
            </w:pPr>
            <w:r>
              <w:rPr>
                <w:b/>
              </w:rPr>
              <w:t>2015E</w:t>
            </w:r>
          </w:p>
        </w:tc>
        <w:tc>
          <w:tcPr>
            <w:tcW w:w="970" w:type="dxa"/>
            <w:tcBorders>
              <w:top w:val="single" w:sz="4" w:space="0" w:color="auto"/>
            </w:tcBorders>
          </w:tcPr>
          <w:p w:rsidR="00BC1D60" w:rsidRDefault="00BC1D60" w:rsidP="00BC5B38">
            <w:pPr>
              <w:pStyle w:val="ESTableRow"/>
              <w:keepNext/>
              <w:jc w:val="right"/>
            </w:pPr>
            <w:r>
              <w:rPr>
                <w:b/>
              </w:rPr>
              <w:t>2016E</w:t>
            </w:r>
          </w:p>
        </w:tc>
      </w:tr>
      <w:tr w:rsidR="00BC1D60" w:rsidTr="00BC5B38">
        <w:trPr>
          <w:cantSplit/>
        </w:trPr>
        <w:tc>
          <w:tcPr>
            <w:tcW w:w="2000" w:type="dxa"/>
            <w:tcBorders>
              <w:top w:val="single" w:sz="4" w:space="0" w:color="auto"/>
            </w:tcBorders>
          </w:tcPr>
          <w:p w:rsidR="00BC1D60" w:rsidRDefault="00BC1D60" w:rsidP="00BC5B38">
            <w:pPr>
              <w:pStyle w:val="ESTableRow"/>
              <w:keepNext/>
            </w:pPr>
            <w:r>
              <w:t>Adj. EPS FY (p)</w:t>
            </w:r>
          </w:p>
        </w:tc>
        <w:tc>
          <w:tcPr>
            <w:tcW w:w="970" w:type="dxa"/>
            <w:tcBorders>
              <w:top w:val="single" w:sz="4" w:space="0" w:color="auto"/>
            </w:tcBorders>
          </w:tcPr>
          <w:p w:rsidR="00BC1D60" w:rsidRDefault="00BC1D60" w:rsidP="00BC5B38">
            <w:pPr>
              <w:pStyle w:val="ESTableRow"/>
              <w:keepNext/>
              <w:jc w:val="right"/>
            </w:pPr>
            <w:r>
              <w:t>12.69</w:t>
            </w:r>
          </w:p>
        </w:tc>
        <w:tc>
          <w:tcPr>
            <w:tcW w:w="970" w:type="dxa"/>
            <w:tcBorders>
              <w:top w:val="single" w:sz="4" w:space="0" w:color="auto"/>
            </w:tcBorders>
          </w:tcPr>
          <w:p w:rsidR="00BC1D60" w:rsidRDefault="00BC1D60" w:rsidP="00BC5B38">
            <w:pPr>
              <w:pStyle w:val="ESTableRow"/>
              <w:keepNext/>
              <w:jc w:val="right"/>
            </w:pPr>
            <w:r>
              <w:t>23.58</w:t>
            </w:r>
          </w:p>
        </w:tc>
        <w:tc>
          <w:tcPr>
            <w:tcW w:w="970" w:type="dxa"/>
            <w:tcBorders>
              <w:top w:val="single" w:sz="4" w:space="0" w:color="auto"/>
            </w:tcBorders>
          </w:tcPr>
          <w:p w:rsidR="00BC1D60" w:rsidRDefault="00BC1D60" w:rsidP="00BC5B38">
            <w:pPr>
              <w:pStyle w:val="ESTableRow"/>
              <w:keepNext/>
              <w:jc w:val="right"/>
            </w:pPr>
            <w:r>
              <w:t>27.04</w:t>
            </w:r>
          </w:p>
        </w:tc>
        <w:tc>
          <w:tcPr>
            <w:tcW w:w="970" w:type="dxa"/>
            <w:tcBorders>
              <w:top w:val="single" w:sz="4" w:space="0" w:color="auto"/>
            </w:tcBorders>
          </w:tcPr>
          <w:p w:rsidR="00BC1D60" w:rsidRDefault="00BC1D60" w:rsidP="00BC5B38">
            <w:pPr>
              <w:pStyle w:val="ESTableRow"/>
              <w:keepNext/>
              <w:jc w:val="right"/>
            </w:pPr>
            <w:r>
              <w:t>31.71</w:t>
            </w:r>
          </w:p>
        </w:tc>
        <w:tc>
          <w:tcPr>
            <w:tcW w:w="970" w:type="dxa"/>
            <w:tcBorders>
              <w:top w:val="single" w:sz="4" w:space="0" w:color="auto"/>
            </w:tcBorders>
          </w:tcPr>
          <w:p w:rsidR="00BC1D60" w:rsidRDefault="00BC1D60" w:rsidP="00BC5B38">
            <w:pPr>
              <w:pStyle w:val="ESTableRow"/>
              <w:keepNext/>
              <w:jc w:val="right"/>
            </w:pPr>
            <w:r>
              <w:t>35.65</w:t>
            </w:r>
          </w:p>
        </w:tc>
      </w:tr>
      <w:tr w:rsidR="00BC1D60" w:rsidTr="00BC5B38">
        <w:trPr>
          <w:cantSplit/>
        </w:trPr>
        <w:tc>
          <w:tcPr>
            <w:tcW w:w="2000" w:type="dxa"/>
          </w:tcPr>
          <w:p w:rsidR="00BC1D60" w:rsidRDefault="00BC1D60" w:rsidP="00BC5B38">
            <w:pPr>
              <w:pStyle w:val="ESTableRow"/>
              <w:keepNext/>
            </w:pPr>
            <w:r>
              <w:t>Bloomberg EPS FY (p)</w:t>
            </w:r>
          </w:p>
        </w:tc>
        <w:tc>
          <w:tcPr>
            <w:tcW w:w="970" w:type="dxa"/>
          </w:tcPr>
          <w:p w:rsidR="00BC1D60" w:rsidRDefault="00BC1D60" w:rsidP="00BC5B38">
            <w:pPr>
              <w:pStyle w:val="ESTableRow"/>
              <w:keepNext/>
              <w:jc w:val="right"/>
            </w:pPr>
            <w:r>
              <w:t>16.60</w:t>
            </w:r>
          </w:p>
        </w:tc>
        <w:tc>
          <w:tcPr>
            <w:tcW w:w="970" w:type="dxa"/>
          </w:tcPr>
          <w:p w:rsidR="00BC1D60" w:rsidRDefault="00BC1D60" w:rsidP="00BC5B38">
            <w:pPr>
              <w:pStyle w:val="ESTableRow"/>
              <w:keepNext/>
              <w:jc w:val="right"/>
            </w:pPr>
            <w:r>
              <w:t>23.40</w:t>
            </w:r>
          </w:p>
        </w:tc>
        <w:tc>
          <w:tcPr>
            <w:tcW w:w="970" w:type="dxa"/>
          </w:tcPr>
          <w:p w:rsidR="00BC1D60" w:rsidRDefault="00BC1D60" w:rsidP="00BC5B38">
            <w:pPr>
              <w:pStyle w:val="ESTableRow"/>
              <w:keepNext/>
              <w:jc w:val="right"/>
            </w:pPr>
            <w:r>
              <w:t>26.90</w:t>
            </w:r>
          </w:p>
        </w:tc>
        <w:tc>
          <w:tcPr>
            <w:tcW w:w="970" w:type="dxa"/>
          </w:tcPr>
          <w:p w:rsidR="00BC1D60" w:rsidRDefault="00BC1D60" w:rsidP="00BC5B38">
            <w:pPr>
              <w:pStyle w:val="ESTableRow"/>
              <w:keepNext/>
              <w:jc w:val="right"/>
            </w:pPr>
            <w:r>
              <w:t>31.40</w:t>
            </w:r>
          </w:p>
        </w:tc>
        <w:tc>
          <w:tcPr>
            <w:tcW w:w="970" w:type="dxa"/>
          </w:tcPr>
          <w:p w:rsidR="00BC1D60" w:rsidRDefault="00BC1D60" w:rsidP="00BC5B38">
            <w:pPr>
              <w:pStyle w:val="ESTableRow"/>
              <w:keepNext/>
              <w:jc w:val="right"/>
            </w:pPr>
            <w:r>
              <w:t>35.10</w:t>
            </w:r>
          </w:p>
        </w:tc>
      </w:tr>
      <w:tr w:rsidR="00BC1D60" w:rsidTr="00BC5B38">
        <w:trPr>
          <w:cantSplit/>
        </w:trPr>
        <w:tc>
          <w:tcPr>
            <w:tcW w:w="2000" w:type="dxa"/>
          </w:tcPr>
          <w:p w:rsidR="00BC1D60" w:rsidRDefault="00BC1D60" w:rsidP="00BC5B38">
            <w:pPr>
              <w:pStyle w:val="ESTableRow"/>
              <w:keepNext/>
            </w:pPr>
            <w:r>
              <w:t>Revenue FY (£ mn)</w:t>
            </w:r>
          </w:p>
        </w:tc>
        <w:tc>
          <w:tcPr>
            <w:tcW w:w="970" w:type="dxa"/>
          </w:tcPr>
          <w:p w:rsidR="00BC1D60" w:rsidRDefault="00BC1D60" w:rsidP="00BC5B38">
            <w:pPr>
              <w:pStyle w:val="ESTableRow"/>
              <w:keepNext/>
              <w:jc w:val="right"/>
            </w:pPr>
            <w:r>
              <w:t>746</w:t>
            </w:r>
          </w:p>
        </w:tc>
        <w:tc>
          <w:tcPr>
            <w:tcW w:w="970" w:type="dxa"/>
          </w:tcPr>
          <w:p w:rsidR="00BC1D60" w:rsidRDefault="00BC1D60" w:rsidP="00BC5B38">
            <w:pPr>
              <w:pStyle w:val="ESTableRow"/>
              <w:keepNext/>
              <w:jc w:val="right"/>
            </w:pPr>
            <w:r>
              <w:t>697</w:t>
            </w:r>
          </w:p>
        </w:tc>
        <w:tc>
          <w:tcPr>
            <w:tcW w:w="970" w:type="dxa"/>
          </w:tcPr>
          <w:p w:rsidR="00BC1D60" w:rsidRDefault="00BC1D60" w:rsidP="00BC5B38">
            <w:pPr>
              <w:pStyle w:val="ESTableRow"/>
              <w:keepNext/>
              <w:jc w:val="right"/>
            </w:pPr>
            <w:r>
              <w:t>685</w:t>
            </w:r>
          </w:p>
        </w:tc>
        <w:tc>
          <w:tcPr>
            <w:tcW w:w="970" w:type="dxa"/>
          </w:tcPr>
          <w:p w:rsidR="00BC1D60" w:rsidRDefault="00BC1D60" w:rsidP="00BC5B38">
            <w:pPr>
              <w:pStyle w:val="ESTableRow"/>
              <w:keepNext/>
              <w:jc w:val="right"/>
            </w:pPr>
            <w:r>
              <w:t>721</w:t>
            </w:r>
          </w:p>
        </w:tc>
        <w:tc>
          <w:tcPr>
            <w:tcW w:w="970" w:type="dxa"/>
          </w:tcPr>
          <w:p w:rsidR="00BC1D60" w:rsidRDefault="00BC1D60" w:rsidP="00BC5B38">
            <w:pPr>
              <w:pStyle w:val="ESTableRow"/>
              <w:keepNext/>
              <w:jc w:val="right"/>
            </w:pPr>
            <w:r>
              <w:t>761</w:t>
            </w:r>
          </w:p>
        </w:tc>
      </w:tr>
      <w:tr w:rsidR="00BC1D60" w:rsidTr="00BC5B38">
        <w:trPr>
          <w:cantSplit/>
        </w:trPr>
        <w:tc>
          <w:tcPr>
            <w:tcW w:w="2000" w:type="dxa"/>
          </w:tcPr>
          <w:p w:rsidR="00BC1D60" w:rsidRDefault="00BC1D60" w:rsidP="00BC5B38">
            <w:pPr>
              <w:pStyle w:val="ESTableRow"/>
              <w:keepNext/>
            </w:pPr>
            <w:r>
              <w:t>Adjusted EBITDA FY (£ mn)</w:t>
            </w:r>
          </w:p>
        </w:tc>
        <w:tc>
          <w:tcPr>
            <w:tcW w:w="970" w:type="dxa"/>
          </w:tcPr>
          <w:p w:rsidR="00BC1D60" w:rsidRDefault="00BC1D60" w:rsidP="00BC5B38">
            <w:pPr>
              <w:pStyle w:val="ESTableRow"/>
              <w:keepNext/>
              <w:jc w:val="right"/>
            </w:pPr>
            <w:r>
              <w:t>42</w:t>
            </w:r>
          </w:p>
        </w:tc>
        <w:tc>
          <w:tcPr>
            <w:tcW w:w="970" w:type="dxa"/>
          </w:tcPr>
          <w:p w:rsidR="00BC1D60" w:rsidRDefault="00BC1D60" w:rsidP="00BC5B38">
            <w:pPr>
              <w:pStyle w:val="ESTableRow"/>
              <w:keepNext/>
              <w:jc w:val="right"/>
            </w:pPr>
            <w:r>
              <w:t>58</w:t>
            </w:r>
          </w:p>
        </w:tc>
        <w:tc>
          <w:tcPr>
            <w:tcW w:w="970" w:type="dxa"/>
          </w:tcPr>
          <w:p w:rsidR="00BC1D60" w:rsidRDefault="00BC1D60" w:rsidP="00BC5B38">
            <w:pPr>
              <w:pStyle w:val="ESTableRow"/>
              <w:keepNext/>
              <w:jc w:val="right"/>
            </w:pPr>
            <w:r>
              <w:t>67</w:t>
            </w:r>
          </w:p>
        </w:tc>
        <w:tc>
          <w:tcPr>
            <w:tcW w:w="970" w:type="dxa"/>
          </w:tcPr>
          <w:p w:rsidR="00BC1D60" w:rsidRDefault="00BC1D60" w:rsidP="00BC5B38">
            <w:pPr>
              <w:pStyle w:val="ESTableRow"/>
              <w:keepNext/>
              <w:jc w:val="right"/>
            </w:pPr>
            <w:r>
              <w:t>74</w:t>
            </w:r>
          </w:p>
        </w:tc>
        <w:tc>
          <w:tcPr>
            <w:tcW w:w="970" w:type="dxa"/>
          </w:tcPr>
          <w:p w:rsidR="00BC1D60" w:rsidRDefault="00BC1D60" w:rsidP="00BC5B38">
            <w:pPr>
              <w:pStyle w:val="ESTableRow"/>
              <w:keepNext/>
              <w:jc w:val="right"/>
            </w:pPr>
            <w:r>
              <w:t>81</w:t>
            </w:r>
          </w:p>
        </w:tc>
      </w:tr>
      <w:tr w:rsidR="00BC1D60" w:rsidTr="00BC5B38">
        <w:trPr>
          <w:cantSplit/>
        </w:trPr>
        <w:tc>
          <w:tcPr>
            <w:tcW w:w="2000" w:type="dxa"/>
          </w:tcPr>
          <w:p w:rsidR="00BC1D60" w:rsidRDefault="00BC1D60" w:rsidP="00BC5B38">
            <w:pPr>
              <w:pStyle w:val="ESTableRow"/>
              <w:keepNext/>
            </w:pPr>
            <w:r>
              <w:t xml:space="preserve">EBITDA Margin FY </w:t>
            </w:r>
          </w:p>
        </w:tc>
        <w:tc>
          <w:tcPr>
            <w:tcW w:w="970" w:type="dxa"/>
          </w:tcPr>
          <w:p w:rsidR="00BC1D60" w:rsidRDefault="00BC1D60" w:rsidP="00BC5B38">
            <w:pPr>
              <w:pStyle w:val="ESTableRow"/>
              <w:keepNext/>
              <w:jc w:val="right"/>
            </w:pPr>
            <w:r>
              <w:t>5.6%</w:t>
            </w:r>
          </w:p>
        </w:tc>
        <w:tc>
          <w:tcPr>
            <w:tcW w:w="970" w:type="dxa"/>
          </w:tcPr>
          <w:p w:rsidR="00BC1D60" w:rsidRDefault="00BC1D60" w:rsidP="00BC5B38">
            <w:pPr>
              <w:pStyle w:val="ESTableRow"/>
              <w:keepNext/>
              <w:jc w:val="right"/>
            </w:pPr>
            <w:r>
              <w:t>8.3%</w:t>
            </w:r>
          </w:p>
        </w:tc>
        <w:tc>
          <w:tcPr>
            <w:tcW w:w="970" w:type="dxa"/>
          </w:tcPr>
          <w:p w:rsidR="00BC1D60" w:rsidRDefault="00BC1D60" w:rsidP="00BC5B38">
            <w:pPr>
              <w:pStyle w:val="ESTableRow"/>
              <w:keepNext/>
              <w:jc w:val="right"/>
            </w:pPr>
            <w:r>
              <w:t>9.8%</w:t>
            </w:r>
          </w:p>
        </w:tc>
        <w:tc>
          <w:tcPr>
            <w:tcW w:w="970" w:type="dxa"/>
          </w:tcPr>
          <w:p w:rsidR="00BC1D60" w:rsidRDefault="00BC1D60" w:rsidP="00BC5B38">
            <w:pPr>
              <w:pStyle w:val="ESTableRow"/>
              <w:keepNext/>
              <w:jc w:val="right"/>
            </w:pPr>
            <w:r>
              <w:t>10.3%</w:t>
            </w:r>
          </w:p>
        </w:tc>
        <w:tc>
          <w:tcPr>
            <w:tcW w:w="970" w:type="dxa"/>
          </w:tcPr>
          <w:p w:rsidR="00BC1D60" w:rsidRDefault="00BC1D60" w:rsidP="00BC5B38">
            <w:pPr>
              <w:pStyle w:val="ESTableRow"/>
              <w:keepNext/>
              <w:jc w:val="right"/>
            </w:pPr>
            <w:r>
              <w:t>10.6%</w:t>
            </w:r>
          </w:p>
        </w:tc>
      </w:tr>
      <w:tr w:rsidR="00BC1D60" w:rsidTr="00BC5B38">
        <w:trPr>
          <w:cantSplit/>
        </w:trPr>
        <w:tc>
          <w:tcPr>
            <w:tcW w:w="2000" w:type="dxa"/>
          </w:tcPr>
          <w:p w:rsidR="00BC1D60" w:rsidRDefault="00BC1D60" w:rsidP="00BC5B38">
            <w:pPr>
              <w:pStyle w:val="ESTableRow"/>
              <w:keepNext/>
            </w:pPr>
            <w:r>
              <w:t xml:space="preserve">EV/EBITDA FY </w:t>
            </w:r>
          </w:p>
        </w:tc>
        <w:tc>
          <w:tcPr>
            <w:tcW w:w="970" w:type="dxa"/>
          </w:tcPr>
          <w:p w:rsidR="00BC1D60" w:rsidRDefault="00BC1D60" w:rsidP="00BC5B38">
            <w:pPr>
              <w:pStyle w:val="ESTableRow"/>
              <w:keepNext/>
              <w:jc w:val="right"/>
            </w:pPr>
            <w:r>
              <w:t>10.3</w:t>
            </w:r>
          </w:p>
        </w:tc>
        <w:tc>
          <w:tcPr>
            <w:tcW w:w="970" w:type="dxa"/>
          </w:tcPr>
          <w:p w:rsidR="00BC1D60" w:rsidRDefault="00BC1D60" w:rsidP="00BC5B38">
            <w:pPr>
              <w:pStyle w:val="ESTableRow"/>
              <w:keepNext/>
              <w:jc w:val="right"/>
            </w:pPr>
            <w:r>
              <w:t>7.4</w:t>
            </w:r>
          </w:p>
        </w:tc>
        <w:tc>
          <w:tcPr>
            <w:tcW w:w="970" w:type="dxa"/>
          </w:tcPr>
          <w:p w:rsidR="00BC1D60" w:rsidRDefault="00BC1D60" w:rsidP="00BC5B38">
            <w:pPr>
              <w:pStyle w:val="ESTableRow"/>
              <w:keepNext/>
              <w:jc w:val="right"/>
            </w:pPr>
            <w:r>
              <w:t>6.9</w:t>
            </w:r>
          </w:p>
        </w:tc>
        <w:tc>
          <w:tcPr>
            <w:tcW w:w="970" w:type="dxa"/>
          </w:tcPr>
          <w:p w:rsidR="00BC1D60" w:rsidRDefault="00BC1D60" w:rsidP="00BC5B38">
            <w:pPr>
              <w:pStyle w:val="ESTableRow"/>
              <w:keepNext/>
              <w:jc w:val="right"/>
            </w:pPr>
            <w:r>
              <w:t>6.1</w:t>
            </w:r>
          </w:p>
        </w:tc>
        <w:tc>
          <w:tcPr>
            <w:tcW w:w="970" w:type="dxa"/>
          </w:tcPr>
          <w:p w:rsidR="00BC1D60" w:rsidRDefault="00BC1D60" w:rsidP="00BC5B38">
            <w:pPr>
              <w:pStyle w:val="ESTableRow"/>
              <w:keepNext/>
              <w:jc w:val="right"/>
            </w:pPr>
            <w:r>
              <w:t>5.4</w:t>
            </w:r>
          </w:p>
        </w:tc>
      </w:tr>
      <w:tr w:rsidR="00BC1D60" w:rsidTr="00BC5B38">
        <w:trPr>
          <w:cantSplit/>
        </w:trPr>
        <w:tc>
          <w:tcPr>
            <w:tcW w:w="2000" w:type="dxa"/>
          </w:tcPr>
          <w:p w:rsidR="00BC1D60" w:rsidRDefault="00BC1D60" w:rsidP="00BC5B38">
            <w:pPr>
              <w:pStyle w:val="ESTableRow"/>
              <w:keepNext/>
            </w:pPr>
            <w:r>
              <w:t xml:space="preserve">ROE FY </w:t>
            </w:r>
          </w:p>
        </w:tc>
        <w:tc>
          <w:tcPr>
            <w:tcW w:w="970" w:type="dxa"/>
          </w:tcPr>
          <w:p w:rsidR="00BC1D60" w:rsidRDefault="00BC1D60" w:rsidP="00BC5B38">
            <w:pPr>
              <w:pStyle w:val="ESTableRow"/>
              <w:keepNext/>
              <w:jc w:val="right"/>
            </w:pPr>
            <w:r>
              <w:t>5.4%</w:t>
            </w:r>
          </w:p>
        </w:tc>
        <w:tc>
          <w:tcPr>
            <w:tcW w:w="970" w:type="dxa"/>
          </w:tcPr>
          <w:p w:rsidR="00BC1D60" w:rsidRDefault="00BC1D60" w:rsidP="00BC5B38">
            <w:pPr>
              <w:pStyle w:val="ESTableRow"/>
              <w:keepNext/>
              <w:jc w:val="right"/>
            </w:pPr>
            <w:r>
              <w:t>19.4%</w:t>
            </w:r>
          </w:p>
        </w:tc>
        <w:tc>
          <w:tcPr>
            <w:tcW w:w="970" w:type="dxa"/>
          </w:tcPr>
          <w:p w:rsidR="00BC1D60" w:rsidRDefault="00BC1D60" w:rsidP="00BC5B38">
            <w:pPr>
              <w:pStyle w:val="ESTableRow"/>
              <w:keepNext/>
              <w:jc w:val="right"/>
            </w:pPr>
            <w:r>
              <w:t>24.1%</w:t>
            </w:r>
          </w:p>
        </w:tc>
        <w:tc>
          <w:tcPr>
            <w:tcW w:w="970" w:type="dxa"/>
          </w:tcPr>
          <w:p w:rsidR="00BC1D60" w:rsidRDefault="00BC1D60" w:rsidP="00BC5B38">
            <w:pPr>
              <w:pStyle w:val="ESTableRow"/>
              <w:keepNext/>
              <w:jc w:val="right"/>
            </w:pPr>
            <w:r>
              <w:t>25.3%</w:t>
            </w:r>
          </w:p>
        </w:tc>
        <w:tc>
          <w:tcPr>
            <w:tcW w:w="970" w:type="dxa"/>
          </w:tcPr>
          <w:p w:rsidR="00BC1D60" w:rsidRDefault="00BC1D60" w:rsidP="00BC5B38">
            <w:pPr>
              <w:pStyle w:val="ESTableRow"/>
              <w:keepNext/>
              <w:jc w:val="right"/>
            </w:pPr>
            <w:r>
              <w:t>25.0%</w:t>
            </w:r>
          </w:p>
        </w:tc>
      </w:tr>
      <w:tr w:rsidR="00BC1D60" w:rsidTr="00BC5B38">
        <w:trPr>
          <w:cantSplit/>
        </w:trPr>
        <w:tc>
          <w:tcPr>
            <w:tcW w:w="2000" w:type="dxa"/>
            <w:tcBorders>
              <w:bottom w:val="single" w:sz="4" w:space="0" w:color="auto"/>
            </w:tcBorders>
          </w:tcPr>
          <w:p w:rsidR="00BC1D60" w:rsidRDefault="00BC1D60" w:rsidP="00BC5B38">
            <w:pPr>
              <w:pStyle w:val="ESTableRow"/>
              <w:keepNext/>
            </w:pPr>
            <w:r>
              <w:t xml:space="preserve">Adj P/E FY </w:t>
            </w:r>
          </w:p>
        </w:tc>
        <w:tc>
          <w:tcPr>
            <w:tcW w:w="970" w:type="dxa"/>
            <w:tcBorders>
              <w:bottom w:val="single" w:sz="4" w:space="0" w:color="auto"/>
            </w:tcBorders>
          </w:tcPr>
          <w:p w:rsidR="00BC1D60" w:rsidRDefault="00BC1D60" w:rsidP="00BC5B38">
            <w:pPr>
              <w:pStyle w:val="ESTableRow"/>
              <w:keepNext/>
              <w:jc w:val="right"/>
            </w:pPr>
            <w:r>
              <w:t>22.9</w:t>
            </w:r>
          </w:p>
        </w:tc>
        <w:tc>
          <w:tcPr>
            <w:tcW w:w="970" w:type="dxa"/>
            <w:tcBorders>
              <w:bottom w:val="single" w:sz="4" w:space="0" w:color="auto"/>
            </w:tcBorders>
          </w:tcPr>
          <w:p w:rsidR="00BC1D60" w:rsidRDefault="00BC1D60" w:rsidP="00BC5B38">
            <w:pPr>
              <w:pStyle w:val="ESTableRow"/>
              <w:keepNext/>
              <w:jc w:val="right"/>
            </w:pPr>
            <w:r>
              <w:t>12.4</w:t>
            </w:r>
          </w:p>
        </w:tc>
        <w:tc>
          <w:tcPr>
            <w:tcW w:w="970" w:type="dxa"/>
            <w:tcBorders>
              <w:bottom w:val="single" w:sz="4" w:space="0" w:color="auto"/>
            </w:tcBorders>
          </w:tcPr>
          <w:p w:rsidR="00BC1D60" w:rsidRDefault="00BC1D60" w:rsidP="00BC5B38">
            <w:pPr>
              <w:pStyle w:val="ESTableRow"/>
              <w:keepNext/>
              <w:jc w:val="right"/>
            </w:pPr>
            <w:r>
              <w:t>10.8</w:t>
            </w:r>
          </w:p>
        </w:tc>
        <w:tc>
          <w:tcPr>
            <w:tcW w:w="970" w:type="dxa"/>
            <w:tcBorders>
              <w:bottom w:val="single" w:sz="4" w:space="0" w:color="auto"/>
            </w:tcBorders>
          </w:tcPr>
          <w:p w:rsidR="00BC1D60" w:rsidRDefault="00BC1D60" w:rsidP="00BC5B38">
            <w:pPr>
              <w:pStyle w:val="ESTableRow"/>
              <w:keepNext/>
              <w:jc w:val="right"/>
            </w:pPr>
            <w:r>
              <w:t>9.2</w:t>
            </w:r>
          </w:p>
        </w:tc>
        <w:tc>
          <w:tcPr>
            <w:tcW w:w="970" w:type="dxa"/>
            <w:tcBorders>
              <w:bottom w:val="single" w:sz="4" w:space="0" w:color="auto"/>
            </w:tcBorders>
          </w:tcPr>
          <w:p w:rsidR="00BC1D60" w:rsidRDefault="00BC1D60" w:rsidP="00BC5B38">
            <w:pPr>
              <w:pStyle w:val="ESTableRow"/>
              <w:keepNext/>
              <w:jc w:val="right"/>
            </w:pPr>
            <w:r>
              <w:t>8.2</w:t>
            </w:r>
          </w:p>
        </w:tc>
      </w:tr>
    </w:tbl>
    <w:p w:rsidR="00BC1D60" w:rsidRPr="00053456" w:rsidRDefault="00BC1D60" w:rsidP="00BC1D60">
      <w:pPr>
        <w:pStyle w:val="Source"/>
      </w:pPr>
      <w:r>
        <w:t>Source: Company data, Bloomberg, J.P. Morgan estimates.</w:t>
      </w:r>
    </w:p>
    <w:p w:rsidR="00BC1D60" w:rsidRDefault="00BC1D60" w:rsidP="00BC1D60">
      <w:pPr>
        <w:pStyle w:val="Source"/>
        <w:rPr>
          <w:highlight w:val="yellow"/>
        </w:rPr>
      </w:pPr>
      <w:r w:rsidRPr="004F1ABB">
        <w:rPr>
          <w:highlight w:val="yellow"/>
        </w:rPr>
        <w:br w:type="page"/>
      </w:r>
    </w:p>
    <w:p w:rsidR="00BC1D60" w:rsidRPr="00924A19" w:rsidRDefault="00BC1D60" w:rsidP="00BC1D60">
      <w:pPr>
        <w:pStyle w:val="Body"/>
        <w:rPr>
          <w:highlight w:val="yellow"/>
        </w:rPr>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2C1C39" w:rsidTr="00BC5B38">
        <w:tc>
          <w:tcPr>
            <w:tcW w:w="10604" w:type="dxa"/>
            <w:gridSpan w:val="3"/>
            <w:shd w:val="clear" w:color="auto" w:fill="auto"/>
          </w:tcPr>
          <w:p w:rsidR="00BC1D60" w:rsidRPr="002C1C39" w:rsidRDefault="00BC1D60" w:rsidP="00BC5B38">
            <w:pPr>
              <w:pStyle w:val="Heading1-NoTOC"/>
            </w:pPr>
            <w:bookmarkStart w:id="128" w:name="_Toc392016343"/>
            <w:bookmarkStart w:id="129" w:name="_Toc392099061"/>
            <w:r w:rsidRPr="002C1C39">
              <w:t>Getting to know our SMid Analysts…</w:t>
            </w:r>
            <w:bookmarkEnd w:id="128"/>
            <w:bookmarkEnd w:id="129"/>
          </w:p>
        </w:tc>
      </w:tr>
      <w:tr w:rsidR="00BC1D60" w:rsidRPr="002C1C39" w:rsidTr="00BC5B38">
        <w:trPr>
          <w:trHeight w:val="3427"/>
        </w:trPr>
        <w:tc>
          <w:tcPr>
            <w:tcW w:w="2666" w:type="dxa"/>
            <w:shd w:val="clear" w:color="auto" w:fill="auto"/>
          </w:tcPr>
          <w:p w:rsidR="00BC1D60" w:rsidRPr="002C1C39" w:rsidRDefault="00BC1D60" w:rsidP="00BC5B38">
            <w:pPr>
              <w:pStyle w:val="Body"/>
              <w:spacing w:after="120"/>
            </w:pPr>
          </w:p>
        </w:tc>
        <w:tc>
          <w:tcPr>
            <w:tcW w:w="3544" w:type="dxa"/>
            <w:shd w:val="clear" w:color="auto" w:fill="auto"/>
          </w:tcPr>
          <w:p w:rsidR="00BC1D60" w:rsidRPr="002C1C39" w:rsidRDefault="00BC1D60" w:rsidP="00BC5B38">
            <w:pPr>
              <w:pStyle w:val="Heading2"/>
              <w:outlineLvl w:val="1"/>
            </w:pPr>
            <w:r>
              <w:t>Rahul Bhat</w:t>
            </w:r>
          </w:p>
          <w:p w:rsidR="00BC1D60" w:rsidRPr="002C1C39" w:rsidRDefault="003B051F" w:rsidP="00BC5B38">
            <w:pPr>
              <w:pStyle w:val="Body"/>
              <w:spacing w:after="120"/>
              <w:rPr>
                <w:rStyle w:val="txtblackbld1"/>
                <w:rFonts w:ascii="Arial Narrow" w:hAnsi="Arial Narrow"/>
                <w:b w:val="0"/>
                <w:bCs w:val="0"/>
                <w:szCs w:val="20"/>
              </w:rPr>
            </w:pPr>
            <w:hyperlink r:id="rId47" w:history="1">
              <w:r w:rsidR="00BC1D60" w:rsidRPr="00B063A8">
                <w:rPr>
                  <w:rStyle w:val="Hyperlink"/>
                  <w:rFonts w:ascii="Arial Narrow" w:hAnsi="Arial Narrow" w:cs="Arial"/>
                  <w:szCs w:val="20"/>
                </w:rPr>
                <w:t>rahul.bhat@jpmorgan.com</w:t>
              </w:r>
            </w:hyperlink>
          </w:p>
          <w:p w:rsidR="00BC1D60" w:rsidRPr="002C1C39" w:rsidRDefault="00BC1D60" w:rsidP="00BC5B38">
            <w:pPr>
              <w:pStyle w:val="Body"/>
              <w:spacing w:after="120"/>
              <w:rPr>
                <w:rFonts w:ascii="Arial Narrow" w:hAnsi="Arial Narrow"/>
              </w:rPr>
            </w:pPr>
            <w:r w:rsidRPr="002C1C39">
              <w:rPr>
                <w:rFonts w:ascii="Arial Narrow" w:hAnsi="Arial Narrow"/>
              </w:rPr>
              <w:t>(44-20) 7</w:t>
            </w:r>
            <w:r>
              <w:rPr>
                <w:rFonts w:ascii="Arial Narrow" w:hAnsi="Arial Narrow"/>
              </w:rPr>
              <w:t>134</w:t>
            </w:r>
            <w:r w:rsidRPr="002C1C39">
              <w:rPr>
                <w:rFonts w:ascii="Arial Narrow" w:hAnsi="Arial Narrow"/>
              </w:rPr>
              <w:t>-</w:t>
            </w:r>
            <w:r>
              <w:rPr>
                <w:rFonts w:ascii="Arial Narrow" w:hAnsi="Arial Narrow"/>
              </w:rPr>
              <w:t>9059</w:t>
            </w:r>
          </w:p>
          <w:p w:rsidR="00BC1D60" w:rsidRPr="002C1C39" w:rsidRDefault="00BC1D60" w:rsidP="00BC5B38">
            <w:pPr>
              <w:pStyle w:val="Body"/>
              <w:spacing w:after="120"/>
              <w:rPr>
                <w:rFonts w:ascii="Arial Narrow" w:hAnsi="Arial Narrow"/>
              </w:rPr>
            </w:pPr>
          </w:p>
          <w:p w:rsidR="00BC1D60" w:rsidRPr="002C1C39" w:rsidRDefault="00BC1D60" w:rsidP="00BC5B38">
            <w:pPr>
              <w:pStyle w:val="Body"/>
              <w:spacing w:after="120"/>
              <w:rPr>
                <w:rFonts w:ascii="Arial Narrow" w:hAnsi="Arial Narrow"/>
              </w:rPr>
            </w:pPr>
            <w:r w:rsidRPr="002C1C39">
              <w:rPr>
                <w:rFonts w:ascii="Arial Narrow" w:hAnsi="Arial Narrow"/>
                <w:b/>
              </w:rPr>
              <w:t>Region:</w:t>
            </w:r>
            <w:r>
              <w:rPr>
                <w:rFonts w:ascii="Arial Narrow" w:hAnsi="Arial Narrow"/>
              </w:rPr>
              <w:t xml:space="preserve"> W. Europe </w:t>
            </w:r>
          </w:p>
          <w:p w:rsidR="00BC1D60" w:rsidRPr="002C1C39" w:rsidRDefault="00BC1D60" w:rsidP="00BC5B38">
            <w:pPr>
              <w:pStyle w:val="Body"/>
              <w:spacing w:after="120"/>
              <w:rPr>
                <w:rFonts w:ascii="Arial Narrow" w:hAnsi="Arial Narrow"/>
              </w:rPr>
            </w:pPr>
            <w:r w:rsidRPr="002C1C39">
              <w:rPr>
                <w:rFonts w:ascii="Arial Narrow" w:hAnsi="Arial Narrow"/>
                <w:b/>
              </w:rPr>
              <w:t>Sector:</w:t>
            </w:r>
            <w:r w:rsidRPr="002C1C39">
              <w:rPr>
                <w:rFonts w:ascii="Arial Narrow" w:hAnsi="Arial Narrow"/>
              </w:rPr>
              <w:t xml:space="preserve"> </w:t>
            </w:r>
            <w:r>
              <w:rPr>
                <w:rFonts w:ascii="Arial Narrow" w:hAnsi="Arial Narrow"/>
              </w:rPr>
              <w:t>Oil Services &amp; Equipment</w:t>
            </w:r>
          </w:p>
          <w:p w:rsidR="00BC1D60" w:rsidRPr="002C1C39" w:rsidRDefault="00BC1D60" w:rsidP="00BC5B38">
            <w:pPr>
              <w:pStyle w:val="Body"/>
            </w:pPr>
          </w:p>
        </w:tc>
        <w:tc>
          <w:tcPr>
            <w:tcW w:w="4394" w:type="dxa"/>
            <w:shd w:val="clear" w:color="auto" w:fill="auto"/>
          </w:tcPr>
          <w:p w:rsidR="00BC1D60" w:rsidRPr="002C1C39" w:rsidRDefault="00BC1D60" w:rsidP="00BC5B38">
            <w:pPr>
              <w:pStyle w:val="Body"/>
              <w:jc w:val="right"/>
            </w:pPr>
            <w:r>
              <w:rPr>
                <w:noProof/>
              </w:rPr>
              <w:drawing>
                <wp:inline distT="0" distB="0" distL="0" distR="0">
                  <wp:extent cx="2505456" cy="1270753"/>
                  <wp:effectExtent l="19050" t="0" r="9144" b="0"/>
                  <wp:docPr id="12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a:srcRect/>
                          <a:stretch>
                            <a:fillRect/>
                          </a:stretch>
                        </pic:blipFill>
                        <pic:spPr bwMode="auto">
                          <a:xfrm>
                            <a:off x="0" y="0"/>
                            <a:ext cx="2505456" cy="1270753"/>
                          </a:xfrm>
                          <a:prstGeom prst="rect">
                            <a:avLst/>
                          </a:prstGeom>
                          <a:noFill/>
                          <a:ln w="9525">
                            <a:noFill/>
                            <a:miter lim="800000"/>
                            <a:headEnd/>
                            <a:tailEnd/>
                          </a:ln>
                        </pic:spPr>
                      </pic:pic>
                    </a:graphicData>
                  </a:graphic>
                </wp:inline>
              </w:drawing>
            </w:r>
            <w:r w:rsidRPr="002C1C39">
              <w:t xml:space="preserve"> </w:t>
            </w:r>
          </w:p>
        </w:tc>
      </w:tr>
    </w:tbl>
    <w:p w:rsidR="00BC1D60" w:rsidRPr="002C1C39" w:rsidRDefault="00BC1D60" w:rsidP="00BC1D60">
      <w:pPr>
        <w:pStyle w:val="Source"/>
        <w:spacing w:before="0"/>
        <w:ind w:left="-3124" w:hanging="137"/>
      </w:pPr>
      <w:r w:rsidRPr="00594A8D">
        <w:rPr>
          <w:noProof/>
        </w:rPr>
        <w:drawing>
          <wp:inline distT="0" distB="0" distL="0" distR="0">
            <wp:extent cx="6675120" cy="1007841"/>
            <wp:effectExtent l="19050" t="0" r="0" b="0"/>
            <wp:docPr id="12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9"/>
                    <a:srcRect/>
                    <a:stretch>
                      <a:fillRect/>
                    </a:stretch>
                  </pic:blipFill>
                  <pic:spPr bwMode="auto">
                    <a:xfrm>
                      <a:off x="0" y="0"/>
                      <a:ext cx="6675120" cy="1007841"/>
                    </a:xfrm>
                    <a:prstGeom prst="rect">
                      <a:avLst/>
                    </a:prstGeom>
                    <a:noFill/>
                    <a:ln w="9525">
                      <a:noFill/>
                      <a:miter lim="800000"/>
                      <a:headEnd/>
                      <a:tailEnd/>
                    </a:ln>
                  </pic:spPr>
                </pic:pic>
              </a:graphicData>
            </a:graphic>
          </wp:inline>
        </w:drawing>
      </w:r>
      <w:r>
        <w:t xml:space="preserve"> </w:t>
      </w:r>
      <w:r w:rsidRPr="002C1C39">
        <w:t>Source: Bloomberg, Datastream, Factset, J.P. Morgan</w:t>
      </w:r>
      <w:r w:rsidRPr="002C1C39">
        <w:br/>
        <w:t xml:space="preserve">Prices as of </w:t>
      </w:r>
      <w:r>
        <w:t>30</w:t>
      </w:r>
      <w:r w:rsidRPr="002C1C39">
        <w:t xml:space="preserve"> June 2014</w:t>
      </w:r>
    </w:p>
    <w:p w:rsidR="00BC1D60" w:rsidRPr="002C1C39" w:rsidRDefault="00BC1D60" w:rsidP="00BC1D60">
      <w:pPr>
        <w:pStyle w:val="Body"/>
      </w:pPr>
    </w:p>
    <w:p w:rsidR="00BC1D60" w:rsidRPr="004F1ABB" w:rsidRDefault="00BC1D60" w:rsidP="00BC1D60">
      <w:pPr>
        <w:spacing w:line="264" w:lineRule="atLeast"/>
        <w:ind w:left="-3125"/>
        <w:rPr>
          <w:rFonts w:ascii="Arial Narrow" w:hAnsi="Arial Narrow" w:cs="Arial"/>
          <w:b/>
          <w:sz w:val="16"/>
          <w:szCs w:val="16"/>
          <w:highlight w:val="yellow"/>
        </w:rPr>
      </w:pPr>
    </w:p>
    <w:p w:rsidR="00BC1D60" w:rsidRPr="004F1ABB" w:rsidRDefault="00BC1D60" w:rsidP="00BC1D60">
      <w:pPr>
        <w:pStyle w:val="Sidecomments"/>
        <w:framePr w:w="0" w:hRule="auto" w:wrap="around"/>
        <w:rPr>
          <w:highlight w:val="yellow"/>
        </w:rPr>
      </w:pPr>
      <w:r w:rsidRPr="006C415E">
        <w:rPr>
          <w:noProof/>
        </w:rPr>
        <w:lastRenderedPageBreak/>
        <w:drawing>
          <wp:inline distT="0" distB="0" distL="0" distR="0">
            <wp:extent cx="1737360" cy="7723698"/>
            <wp:effectExtent l="19050" t="0" r="0" b="0"/>
            <wp:docPr id="124"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0"/>
                    <a:srcRect/>
                    <a:stretch>
                      <a:fillRect/>
                    </a:stretch>
                  </pic:blipFill>
                  <pic:spPr bwMode="auto">
                    <a:xfrm>
                      <a:off x="0" y="0"/>
                      <a:ext cx="1737360" cy="7723698"/>
                    </a:xfrm>
                    <a:prstGeom prst="rect">
                      <a:avLst/>
                    </a:prstGeom>
                    <a:noFill/>
                    <a:ln w="9525">
                      <a:noFill/>
                      <a:miter lim="800000"/>
                      <a:headEnd/>
                      <a:tailEnd/>
                    </a:ln>
                  </pic:spPr>
                </pic:pic>
              </a:graphicData>
            </a:graphic>
          </wp:inline>
        </w:drawing>
      </w:r>
    </w:p>
    <w:p w:rsidR="00BC1D60" w:rsidRPr="00BB6D9F" w:rsidRDefault="00BC1D60" w:rsidP="00BC1D60">
      <w:pPr>
        <w:pStyle w:val="Heading1"/>
        <w:spacing w:before="0" w:after="120"/>
      </w:pPr>
      <w:bookmarkStart w:id="130" w:name="_Toc392099062"/>
      <w:bookmarkStart w:id="131" w:name="_Toc392081807"/>
      <w:bookmarkStart w:id="132" w:name="_Toc392081870"/>
      <w:r w:rsidRPr="007A4ECF">
        <w:t>Cineworld (CINE LN / OW / GBp 328.0)</w:t>
      </w:r>
      <w:bookmarkEnd w:id="130"/>
      <w:bookmarkEnd w:id="131"/>
      <w:bookmarkEnd w:id="132"/>
    </w:p>
    <w:p w:rsidR="00BC1D60" w:rsidRPr="006C415E" w:rsidRDefault="00BC1D60" w:rsidP="00BC1D60">
      <w:pPr>
        <w:pStyle w:val="Heading2"/>
        <w:spacing w:after="120"/>
        <w:rPr>
          <w:rFonts w:eastAsia="Times New Roman"/>
          <w:bCs/>
          <w:i/>
          <w:iCs/>
        </w:rPr>
      </w:pPr>
      <w:r w:rsidRPr="006C415E">
        <w:rPr>
          <w:i/>
        </w:rPr>
        <w:t>The cheapest listed cinema business in the world?</w:t>
      </w:r>
    </w:p>
    <w:p w:rsidR="00BC1D60" w:rsidRPr="006C415E" w:rsidRDefault="00BC1D60" w:rsidP="00BC1D60">
      <w:pPr>
        <w:pStyle w:val="Heading3"/>
        <w:spacing w:line="220" w:lineRule="exact"/>
        <w:rPr>
          <w:rFonts w:eastAsia="Times New Roman"/>
        </w:rPr>
      </w:pPr>
      <w:r w:rsidRPr="006C415E">
        <w:rPr>
          <w:rFonts w:eastAsia="Times New Roman"/>
          <w:bCs w:val="0"/>
        </w:rPr>
        <w:t>Investment Highlights:</w:t>
      </w:r>
    </w:p>
    <w:p w:rsidR="00BC1D60" w:rsidRPr="006C415E" w:rsidRDefault="00BC1D60" w:rsidP="00BC1D60">
      <w:pPr>
        <w:pStyle w:val="Bullet"/>
        <w:tabs>
          <w:tab w:val="clear" w:pos="288"/>
        </w:tabs>
        <w:spacing w:after="60" w:line="220" w:lineRule="exact"/>
        <w:rPr>
          <w:bCs/>
          <w:lang w:val="en-GB"/>
        </w:rPr>
      </w:pPr>
      <w:r w:rsidRPr="006C415E">
        <w:rPr>
          <w:bCs/>
          <w:lang w:val="en-GB"/>
        </w:rPr>
        <w:t>The combination with Cinema City has created the second-largest cinema operator in Europe, which in our opinion has significantly higher long-term growth prospects than legacy Cineworld, given the structurally lower penetration of cinema in Central and Eastern Europe. The prospects for cinema attendance in that region are positive as new sites are rolled out. Strategic acquisition may also complement growth.</w:t>
      </w:r>
    </w:p>
    <w:p w:rsidR="00BC1D60" w:rsidRPr="006C415E" w:rsidRDefault="00BC1D60" w:rsidP="00BC1D60">
      <w:pPr>
        <w:pStyle w:val="Bullet"/>
        <w:tabs>
          <w:tab w:val="clear" w:pos="288"/>
        </w:tabs>
        <w:spacing w:after="60" w:line="220" w:lineRule="exact"/>
        <w:rPr>
          <w:bCs/>
          <w:lang w:val="en-GB"/>
        </w:rPr>
      </w:pPr>
      <w:r w:rsidRPr="006C415E">
        <w:rPr>
          <w:bCs/>
          <w:lang w:val="en-GB"/>
        </w:rPr>
        <w:t>The acquisition of Cinema City has nearly doubled our forecast rate of top-line and earnings growth</w:t>
      </w:r>
      <w:r>
        <w:rPr>
          <w:bCs/>
          <w:lang w:val="en-GB"/>
        </w:rPr>
        <w:t xml:space="preserve"> and we project </w:t>
      </w:r>
      <w:r w:rsidRPr="006C415E">
        <w:rPr>
          <w:bCs/>
          <w:lang w:val="en-GB"/>
        </w:rPr>
        <w:t>it to be 10% accretive to EPS in 2015, the first full year of ownership. We forecast an 18% CAGR of EPS growth between 2014E and 2016E, considerably higher than our pre-transaction estimate of 11%.</w:t>
      </w:r>
    </w:p>
    <w:p w:rsidR="00BC1D60" w:rsidRPr="006C415E" w:rsidRDefault="00BC1D60" w:rsidP="00BC1D60">
      <w:pPr>
        <w:pStyle w:val="Bullet"/>
        <w:tabs>
          <w:tab w:val="clear" w:pos="288"/>
          <w:tab w:val="left" w:pos="360"/>
          <w:tab w:val="left" w:pos="450"/>
        </w:tabs>
        <w:spacing w:line="220" w:lineRule="exact"/>
        <w:ind w:left="225" w:hanging="225"/>
      </w:pPr>
      <w:r w:rsidRPr="006C415E">
        <w:rPr>
          <w:bCs/>
          <w:lang w:val="en-GB"/>
        </w:rPr>
        <w:t>We believe that the concerns of the market may diminish as it gets more exposure to Cineworld’s management team and sees evidence of delivery on the ambitious growth plans that have been articulated. On the basis of our earnings estimates, Cineworld is trading at a discount to the forward multiples of its peers that we see as unwarranted</w:t>
      </w:r>
      <w:r w:rsidRPr="006C415E">
        <w:t>.</w:t>
      </w:r>
    </w:p>
    <w:p w:rsidR="00BC1D60" w:rsidRPr="006C415E" w:rsidRDefault="00BC1D60" w:rsidP="00BC1D60">
      <w:pPr>
        <w:pStyle w:val="Body"/>
        <w:spacing w:after="40" w:line="220" w:lineRule="exact"/>
      </w:pPr>
      <w:r w:rsidRPr="006C415E">
        <w:rPr>
          <w:b/>
        </w:rPr>
        <w:t xml:space="preserve">Valuation / Risks to our View: </w:t>
      </w:r>
      <w:r w:rsidRPr="006C415E">
        <w:rPr>
          <w:szCs w:val="20"/>
        </w:rPr>
        <w:t xml:space="preserve">Our Jul-14 PT of 400p is a 50:50 weighted avg of our DCF and multiples-based valuations. Our DCF valuation of 439p uses a WACC of 7.9% and 1% terminal growth rate. Our multiples-based valuation of 362p applies a P/E of 14.9x to JPMe ‘15E EPS (15% discount to median FY2 P/E of 12 int'l peers). Risk include: declining cinema attendance, poor film line-up, adverse weather, loss in mkt share, poor execution of cinema network expansion strategy, failure of the advertising mkt to sustain its recovery, a deterioration in consumer discretionary expenditure. </w:t>
      </w:r>
    </w:p>
    <w:p w:rsidR="00BC1D60" w:rsidRPr="006C415E" w:rsidRDefault="00BC1D60" w:rsidP="00BC1D60">
      <w:pPr>
        <w:pStyle w:val="Heading3"/>
        <w:spacing w:after="120" w:line="220" w:lineRule="exact"/>
        <w:rPr>
          <w:b w:val="0"/>
        </w:rPr>
      </w:pPr>
      <w:r w:rsidRPr="006C415E">
        <w:t xml:space="preserve">Cineworld in a Nutshell: </w:t>
      </w:r>
      <w:r w:rsidRPr="006C415E">
        <w:rPr>
          <w:b w:val="0"/>
          <w:lang w:val="en-GB"/>
        </w:rPr>
        <w:t xml:space="preserve">The combination with Cinema City has created the second-largest cinema operator in Europe. In the UK and Ireland, </w:t>
      </w:r>
      <w:r w:rsidRPr="006C415E">
        <w:rPr>
          <w:b w:val="0"/>
        </w:rPr>
        <w:t>Cineworld is one of the leading cinema operators with market share of nearly 30%. Cineworld has a modern estate, composed almost entirely of multiplexes. All UK and Ireland screens have been converted to a digital format</w:t>
      </w:r>
      <w:r w:rsidRPr="006C415E">
        <w:rPr>
          <w:b w:val="0"/>
          <w:szCs w:val="20"/>
        </w:rPr>
        <w:t>.</w:t>
      </w:r>
      <w:r>
        <w:rPr>
          <w:szCs w:val="20"/>
        </w:rPr>
        <w:t xml:space="preserve"> </w:t>
      </w:r>
    </w:p>
    <w:p w:rsidR="00BC1D60" w:rsidRPr="006C415E" w:rsidRDefault="00BC1D60" w:rsidP="00BC1D60">
      <w:pPr>
        <w:pStyle w:val="Heading3"/>
      </w:pPr>
      <w:r w:rsidRPr="006C415E">
        <w:t>Price Perf vs MSCI All Country World Small Cap (rebased as of 1-year ago)</w:t>
      </w:r>
    </w:p>
    <w:p w:rsidR="00BC1D60" w:rsidRPr="006C415E" w:rsidRDefault="00BC1D60" w:rsidP="00BC1D60">
      <w:pPr>
        <w:pStyle w:val="Body"/>
        <w:spacing w:after="120"/>
      </w:pPr>
      <w:r w:rsidRPr="006C415E">
        <w:rPr>
          <w:noProof/>
        </w:rPr>
        <w:drawing>
          <wp:inline distT="0" distB="0" distL="0" distR="0">
            <wp:extent cx="4352290" cy="1664621"/>
            <wp:effectExtent l="19050" t="0" r="0" b="0"/>
            <wp:docPr id="125"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1"/>
                    <a:srcRect/>
                    <a:stretch>
                      <a:fillRect/>
                    </a:stretch>
                  </pic:blipFill>
                  <pic:spPr bwMode="auto">
                    <a:xfrm>
                      <a:off x="0" y="0"/>
                      <a:ext cx="4352290" cy="1664621"/>
                    </a:xfrm>
                    <a:prstGeom prst="rect">
                      <a:avLst/>
                    </a:prstGeom>
                    <a:noFill/>
                    <a:ln w="9525">
                      <a:noFill/>
                      <a:miter lim="800000"/>
                      <a:headEnd/>
                      <a:tailEnd/>
                    </a:ln>
                  </pic:spPr>
                </pic:pic>
              </a:graphicData>
            </a:graphic>
          </wp:inline>
        </w:drawing>
      </w:r>
    </w:p>
    <w:p w:rsidR="00BC1D60" w:rsidRPr="00FF1987" w:rsidRDefault="00BC1D60" w:rsidP="00BC1D60">
      <w:pPr>
        <w:pStyle w:val="Body"/>
        <w:spacing w:after="0"/>
        <w:rPr>
          <w:noProof/>
          <w:sz w:val="18"/>
          <w:szCs w:val="18"/>
          <w:lang w:val="en-GB" w:eastAsia="en-GB"/>
        </w:rPr>
      </w:pPr>
      <w:r w:rsidRPr="00FF1987">
        <w:rPr>
          <w:rFonts w:ascii="Arial" w:hAnsi="Arial" w:cs="Arial"/>
          <w:b/>
          <w:noProof/>
          <w:sz w:val="18"/>
          <w:szCs w:val="18"/>
        </w:rPr>
        <w:t>J.P. Morgan Estimates</w:t>
      </w:r>
    </w:p>
    <w:p w:rsidR="00BC1D60" w:rsidRDefault="00BC1D60" w:rsidP="00BC1D60">
      <w:pPr>
        <w:pStyle w:val="ESTableCaption"/>
        <w:keepNext/>
      </w:pPr>
      <w:r>
        <w:rPr>
          <w:sz w:val="16"/>
        </w:rPr>
        <w:t>Cineworld (CINE.L;CINE LN)</w:t>
      </w:r>
    </w:p>
    <w:tbl>
      <w:tblPr>
        <w:tblW w:w="5000" w:type="pct"/>
        <w:tblCellMar>
          <w:left w:w="0" w:type="dxa"/>
          <w:right w:w="43" w:type="dxa"/>
        </w:tblCellMar>
        <w:tblLook w:val="01E0"/>
      </w:tblPr>
      <w:tblGrid>
        <w:gridCol w:w="2013"/>
        <w:gridCol w:w="976"/>
        <w:gridCol w:w="977"/>
        <w:gridCol w:w="977"/>
        <w:gridCol w:w="977"/>
        <w:gridCol w:w="977"/>
      </w:tblGrid>
      <w:tr w:rsidR="00BC1D60" w:rsidTr="00BC5B38">
        <w:trPr>
          <w:cantSplit/>
        </w:trPr>
        <w:tc>
          <w:tcPr>
            <w:tcW w:w="2000" w:type="dxa"/>
            <w:tcBorders>
              <w:top w:val="single" w:sz="4" w:space="0" w:color="auto"/>
            </w:tcBorders>
          </w:tcPr>
          <w:p w:rsidR="00BC1D60" w:rsidRDefault="00BC1D60" w:rsidP="00BC5B38">
            <w:pPr>
              <w:pStyle w:val="ESTableRow"/>
              <w:keepNext/>
            </w:pPr>
            <w:r>
              <w:rPr>
                <w:b/>
              </w:rPr>
              <w:t>FYE Dec</w:t>
            </w:r>
          </w:p>
        </w:tc>
        <w:tc>
          <w:tcPr>
            <w:tcW w:w="970" w:type="dxa"/>
            <w:tcBorders>
              <w:top w:val="single" w:sz="4" w:space="0" w:color="auto"/>
            </w:tcBorders>
          </w:tcPr>
          <w:p w:rsidR="00BC1D60" w:rsidRDefault="00BC1D60" w:rsidP="00BC5B38">
            <w:pPr>
              <w:pStyle w:val="ESTableRow"/>
              <w:keepNext/>
              <w:jc w:val="right"/>
            </w:pPr>
            <w:r>
              <w:rPr>
                <w:b/>
              </w:rPr>
              <w:t>2012A</w:t>
            </w:r>
          </w:p>
        </w:tc>
        <w:tc>
          <w:tcPr>
            <w:tcW w:w="970" w:type="dxa"/>
            <w:tcBorders>
              <w:top w:val="single" w:sz="4" w:space="0" w:color="auto"/>
            </w:tcBorders>
          </w:tcPr>
          <w:p w:rsidR="00BC1D60" w:rsidRDefault="00BC1D60" w:rsidP="00BC5B38">
            <w:pPr>
              <w:pStyle w:val="ESTableRow"/>
              <w:keepNext/>
              <w:jc w:val="right"/>
            </w:pPr>
            <w:r>
              <w:rPr>
                <w:b/>
              </w:rPr>
              <w:t>2013A</w:t>
            </w:r>
          </w:p>
        </w:tc>
        <w:tc>
          <w:tcPr>
            <w:tcW w:w="970" w:type="dxa"/>
            <w:tcBorders>
              <w:top w:val="single" w:sz="4" w:space="0" w:color="auto"/>
            </w:tcBorders>
          </w:tcPr>
          <w:p w:rsidR="00BC1D60" w:rsidRDefault="00BC1D60" w:rsidP="00BC5B38">
            <w:pPr>
              <w:pStyle w:val="ESTableRow"/>
              <w:keepNext/>
              <w:jc w:val="right"/>
            </w:pPr>
            <w:r>
              <w:rPr>
                <w:b/>
              </w:rPr>
              <w:t>2014E</w:t>
            </w:r>
          </w:p>
        </w:tc>
        <w:tc>
          <w:tcPr>
            <w:tcW w:w="970" w:type="dxa"/>
            <w:tcBorders>
              <w:top w:val="single" w:sz="4" w:space="0" w:color="auto"/>
            </w:tcBorders>
          </w:tcPr>
          <w:p w:rsidR="00BC1D60" w:rsidRDefault="00BC1D60" w:rsidP="00BC5B38">
            <w:pPr>
              <w:pStyle w:val="ESTableRow"/>
              <w:keepNext/>
              <w:jc w:val="right"/>
            </w:pPr>
            <w:r>
              <w:rPr>
                <w:b/>
              </w:rPr>
              <w:t>2015E</w:t>
            </w:r>
          </w:p>
        </w:tc>
        <w:tc>
          <w:tcPr>
            <w:tcW w:w="970" w:type="dxa"/>
            <w:tcBorders>
              <w:top w:val="single" w:sz="4" w:space="0" w:color="auto"/>
            </w:tcBorders>
          </w:tcPr>
          <w:p w:rsidR="00BC1D60" w:rsidRDefault="00BC1D60" w:rsidP="00BC5B38">
            <w:pPr>
              <w:pStyle w:val="ESTableRow"/>
              <w:keepNext/>
              <w:jc w:val="right"/>
            </w:pPr>
            <w:r>
              <w:rPr>
                <w:b/>
              </w:rPr>
              <w:t>2016E</w:t>
            </w:r>
          </w:p>
        </w:tc>
      </w:tr>
      <w:tr w:rsidR="00BC1D60" w:rsidTr="00BC5B38">
        <w:trPr>
          <w:cantSplit/>
        </w:trPr>
        <w:tc>
          <w:tcPr>
            <w:tcW w:w="2000" w:type="dxa"/>
            <w:tcBorders>
              <w:top w:val="single" w:sz="4" w:space="0" w:color="auto"/>
            </w:tcBorders>
          </w:tcPr>
          <w:p w:rsidR="00BC1D60" w:rsidRDefault="00BC1D60" w:rsidP="00BC5B38">
            <w:pPr>
              <w:pStyle w:val="ESTableRow"/>
              <w:keepNext/>
            </w:pPr>
            <w:r>
              <w:t>Adj. EPS FY (p)</w:t>
            </w:r>
          </w:p>
        </w:tc>
        <w:tc>
          <w:tcPr>
            <w:tcW w:w="970" w:type="dxa"/>
            <w:tcBorders>
              <w:top w:val="single" w:sz="4" w:space="0" w:color="auto"/>
            </w:tcBorders>
          </w:tcPr>
          <w:p w:rsidR="00BC1D60" w:rsidRDefault="00BC1D60" w:rsidP="00BC5B38">
            <w:pPr>
              <w:pStyle w:val="ESTableRow"/>
              <w:keepNext/>
              <w:jc w:val="right"/>
            </w:pPr>
            <w:r>
              <w:t>21.4</w:t>
            </w:r>
          </w:p>
        </w:tc>
        <w:tc>
          <w:tcPr>
            <w:tcW w:w="970" w:type="dxa"/>
            <w:tcBorders>
              <w:top w:val="single" w:sz="4" w:space="0" w:color="auto"/>
            </w:tcBorders>
          </w:tcPr>
          <w:p w:rsidR="00BC1D60" w:rsidRDefault="00BC1D60" w:rsidP="00BC5B38">
            <w:pPr>
              <w:pStyle w:val="ESTableRow"/>
              <w:keepNext/>
              <w:jc w:val="right"/>
            </w:pPr>
            <w:r>
              <w:t>22.9</w:t>
            </w:r>
          </w:p>
        </w:tc>
        <w:tc>
          <w:tcPr>
            <w:tcW w:w="970" w:type="dxa"/>
            <w:tcBorders>
              <w:top w:val="single" w:sz="4" w:space="0" w:color="auto"/>
            </w:tcBorders>
          </w:tcPr>
          <w:p w:rsidR="00BC1D60" w:rsidRDefault="00BC1D60" w:rsidP="00BC5B38">
            <w:pPr>
              <w:pStyle w:val="ESTableRow"/>
              <w:keepNext/>
              <w:jc w:val="right"/>
            </w:pPr>
            <w:r>
              <w:t>21.0</w:t>
            </w:r>
          </w:p>
        </w:tc>
        <w:tc>
          <w:tcPr>
            <w:tcW w:w="970" w:type="dxa"/>
            <w:tcBorders>
              <w:top w:val="single" w:sz="4" w:space="0" w:color="auto"/>
            </w:tcBorders>
          </w:tcPr>
          <w:p w:rsidR="00BC1D60" w:rsidRDefault="00BC1D60" w:rsidP="00BC5B38">
            <w:pPr>
              <w:pStyle w:val="ESTableRow"/>
              <w:keepNext/>
              <w:jc w:val="right"/>
            </w:pPr>
            <w:r>
              <w:t>24.8</w:t>
            </w:r>
          </w:p>
        </w:tc>
        <w:tc>
          <w:tcPr>
            <w:tcW w:w="970" w:type="dxa"/>
            <w:tcBorders>
              <w:top w:val="single" w:sz="4" w:space="0" w:color="auto"/>
            </w:tcBorders>
          </w:tcPr>
          <w:p w:rsidR="00BC1D60" w:rsidRDefault="00BC1D60" w:rsidP="00BC5B38">
            <w:pPr>
              <w:pStyle w:val="ESTableRow"/>
              <w:keepNext/>
              <w:jc w:val="right"/>
            </w:pPr>
            <w:r>
              <w:t>29.2</w:t>
            </w:r>
          </w:p>
        </w:tc>
      </w:tr>
      <w:tr w:rsidR="00BC1D60" w:rsidTr="00BC5B38">
        <w:trPr>
          <w:cantSplit/>
        </w:trPr>
        <w:tc>
          <w:tcPr>
            <w:tcW w:w="2000" w:type="dxa"/>
          </w:tcPr>
          <w:p w:rsidR="00BC1D60" w:rsidRDefault="00BC1D60" w:rsidP="00BC5B38">
            <w:pPr>
              <w:pStyle w:val="ESTableRow"/>
              <w:keepNext/>
            </w:pPr>
            <w:r>
              <w:t>Bloomberg EPS FY (p)</w:t>
            </w:r>
          </w:p>
        </w:tc>
        <w:tc>
          <w:tcPr>
            <w:tcW w:w="970" w:type="dxa"/>
          </w:tcPr>
          <w:p w:rsidR="00BC1D60" w:rsidRDefault="00BC1D60" w:rsidP="00BC5B38">
            <w:pPr>
              <w:pStyle w:val="ESTableRow"/>
              <w:keepNext/>
              <w:jc w:val="right"/>
            </w:pPr>
            <w:r>
              <w:t>18.30</w:t>
            </w:r>
          </w:p>
        </w:tc>
        <w:tc>
          <w:tcPr>
            <w:tcW w:w="970" w:type="dxa"/>
          </w:tcPr>
          <w:p w:rsidR="00BC1D60" w:rsidRDefault="00BC1D60" w:rsidP="00BC5B38">
            <w:pPr>
              <w:pStyle w:val="ESTableRow"/>
              <w:keepNext/>
              <w:jc w:val="right"/>
            </w:pPr>
            <w:r>
              <w:t>20.20</w:t>
            </w:r>
          </w:p>
        </w:tc>
        <w:tc>
          <w:tcPr>
            <w:tcW w:w="970" w:type="dxa"/>
          </w:tcPr>
          <w:p w:rsidR="00BC1D60" w:rsidRDefault="00BC1D60" w:rsidP="00BC5B38">
            <w:pPr>
              <w:pStyle w:val="ESTableRow"/>
              <w:keepNext/>
              <w:jc w:val="right"/>
            </w:pPr>
            <w:r>
              <w:t>21.00</w:t>
            </w:r>
          </w:p>
        </w:tc>
        <w:tc>
          <w:tcPr>
            <w:tcW w:w="970" w:type="dxa"/>
          </w:tcPr>
          <w:p w:rsidR="00BC1D60" w:rsidRDefault="00BC1D60" w:rsidP="00BC5B38">
            <w:pPr>
              <w:pStyle w:val="ESTableRow"/>
              <w:keepNext/>
              <w:jc w:val="right"/>
            </w:pPr>
            <w:r>
              <w:t>25.10</w:t>
            </w:r>
          </w:p>
        </w:tc>
        <w:tc>
          <w:tcPr>
            <w:tcW w:w="970" w:type="dxa"/>
          </w:tcPr>
          <w:p w:rsidR="00BC1D60" w:rsidRDefault="00BC1D60" w:rsidP="00BC5B38">
            <w:pPr>
              <w:pStyle w:val="ESTableRow"/>
              <w:keepNext/>
              <w:jc w:val="right"/>
            </w:pPr>
            <w:r>
              <w:t>28.00</w:t>
            </w:r>
          </w:p>
        </w:tc>
      </w:tr>
      <w:tr w:rsidR="00BC1D60" w:rsidTr="00BC5B38">
        <w:trPr>
          <w:cantSplit/>
        </w:trPr>
        <w:tc>
          <w:tcPr>
            <w:tcW w:w="2000" w:type="dxa"/>
          </w:tcPr>
          <w:p w:rsidR="00BC1D60" w:rsidRDefault="00BC1D60" w:rsidP="00BC5B38">
            <w:pPr>
              <w:pStyle w:val="ESTableRow"/>
              <w:keepNext/>
            </w:pPr>
            <w:r>
              <w:t>Revenue FY (£ mn)</w:t>
            </w:r>
          </w:p>
        </w:tc>
        <w:tc>
          <w:tcPr>
            <w:tcW w:w="970" w:type="dxa"/>
          </w:tcPr>
          <w:p w:rsidR="00BC1D60" w:rsidRDefault="00BC1D60" w:rsidP="00BC5B38">
            <w:pPr>
              <w:pStyle w:val="ESTableRow"/>
              <w:keepNext/>
              <w:jc w:val="right"/>
            </w:pPr>
            <w:r>
              <w:t xml:space="preserve"> 359</w:t>
            </w:r>
          </w:p>
        </w:tc>
        <w:tc>
          <w:tcPr>
            <w:tcW w:w="970" w:type="dxa"/>
          </w:tcPr>
          <w:p w:rsidR="00BC1D60" w:rsidRDefault="00BC1D60" w:rsidP="00BC5B38">
            <w:pPr>
              <w:pStyle w:val="ESTableRow"/>
              <w:keepNext/>
              <w:jc w:val="right"/>
            </w:pPr>
            <w:r>
              <w:t xml:space="preserve"> 406</w:t>
            </w:r>
          </w:p>
        </w:tc>
        <w:tc>
          <w:tcPr>
            <w:tcW w:w="970" w:type="dxa"/>
          </w:tcPr>
          <w:p w:rsidR="00BC1D60" w:rsidRDefault="00BC1D60" w:rsidP="00BC5B38">
            <w:pPr>
              <w:pStyle w:val="ESTableRow"/>
              <w:keepNext/>
              <w:jc w:val="right"/>
            </w:pPr>
            <w:r>
              <w:t xml:space="preserve"> 622</w:t>
            </w:r>
          </w:p>
        </w:tc>
        <w:tc>
          <w:tcPr>
            <w:tcW w:w="970" w:type="dxa"/>
          </w:tcPr>
          <w:p w:rsidR="00BC1D60" w:rsidRDefault="00BC1D60" w:rsidP="00BC5B38">
            <w:pPr>
              <w:pStyle w:val="ESTableRow"/>
              <w:keepNext/>
              <w:jc w:val="right"/>
            </w:pPr>
            <w:r>
              <w:t xml:space="preserve"> 752</w:t>
            </w:r>
          </w:p>
        </w:tc>
        <w:tc>
          <w:tcPr>
            <w:tcW w:w="970" w:type="dxa"/>
          </w:tcPr>
          <w:p w:rsidR="00BC1D60" w:rsidRDefault="00BC1D60" w:rsidP="00BC5B38">
            <w:pPr>
              <w:pStyle w:val="ESTableRow"/>
              <w:keepNext/>
              <w:jc w:val="right"/>
            </w:pPr>
            <w:r>
              <w:t xml:space="preserve"> 822</w:t>
            </w:r>
          </w:p>
        </w:tc>
      </w:tr>
      <w:tr w:rsidR="00BC1D60" w:rsidTr="00BC5B38">
        <w:trPr>
          <w:cantSplit/>
        </w:trPr>
        <w:tc>
          <w:tcPr>
            <w:tcW w:w="2000" w:type="dxa"/>
          </w:tcPr>
          <w:p w:rsidR="00BC1D60" w:rsidRDefault="00BC1D60" w:rsidP="00BC5B38">
            <w:pPr>
              <w:pStyle w:val="ESTableRow"/>
              <w:keepNext/>
            </w:pPr>
            <w:r>
              <w:t>EBITDA FY (£ mn)</w:t>
            </w:r>
          </w:p>
        </w:tc>
        <w:tc>
          <w:tcPr>
            <w:tcW w:w="970" w:type="dxa"/>
          </w:tcPr>
          <w:p w:rsidR="00BC1D60" w:rsidRDefault="00BC1D60" w:rsidP="00BC5B38">
            <w:pPr>
              <w:pStyle w:val="ESTableRow"/>
              <w:keepNext/>
              <w:jc w:val="right"/>
            </w:pPr>
            <w:r>
              <w:t>66.9</w:t>
            </w:r>
          </w:p>
        </w:tc>
        <w:tc>
          <w:tcPr>
            <w:tcW w:w="970" w:type="dxa"/>
          </w:tcPr>
          <w:p w:rsidR="00BC1D60" w:rsidRDefault="00BC1D60" w:rsidP="00BC5B38">
            <w:pPr>
              <w:pStyle w:val="ESTableRow"/>
              <w:keepNext/>
              <w:jc w:val="right"/>
            </w:pPr>
            <w:r>
              <w:t>72.3</w:t>
            </w:r>
          </w:p>
        </w:tc>
        <w:tc>
          <w:tcPr>
            <w:tcW w:w="970" w:type="dxa"/>
          </w:tcPr>
          <w:p w:rsidR="00BC1D60" w:rsidRDefault="00BC1D60" w:rsidP="00BC5B38">
            <w:pPr>
              <w:pStyle w:val="ESTableRow"/>
              <w:keepNext/>
              <w:jc w:val="right"/>
            </w:pPr>
            <w:r>
              <w:t>123.4</w:t>
            </w:r>
          </w:p>
        </w:tc>
        <w:tc>
          <w:tcPr>
            <w:tcW w:w="970" w:type="dxa"/>
          </w:tcPr>
          <w:p w:rsidR="00BC1D60" w:rsidRDefault="00BC1D60" w:rsidP="00BC5B38">
            <w:pPr>
              <w:pStyle w:val="ESTableRow"/>
              <w:keepNext/>
              <w:jc w:val="right"/>
            </w:pPr>
            <w:r>
              <w:t>151.7</w:t>
            </w:r>
          </w:p>
        </w:tc>
        <w:tc>
          <w:tcPr>
            <w:tcW w:w="970" w:type="dxa"/>
          </w:tcPr>
          <w:p w:rsidR="00BC1D60" w:rsidRDefault="00BC1D60" w:rsidP="00BC5B38">
            <w:pPr>
              <w:pStyle w:val="ESTableRow"/>
              <w:keepNext/>
              <w:jc w:val="right"/>
            </w:pPr>
            <w:r>
              <w:t>170.7</w:t>
            </w:r>
          </w:p>
        </w:tc>
      </w:tr>
      <w:tr w:rsidR="00BC1D60" w:rsidTr="00BC5B38">
        <w:trPr>
          <w:cantSplit/>
        </w:trPr>
        <w:tc>
          <w:tcPr>
            <w:tcW w:w="2000" w:type="dxa"/>
          </w:tcPr>
          <w:p w:rsidR="00BC1D60" w:rsidRDefault="00BC1D60" w:rsidP="00BC5B38">
            <w:pPr>
              <w:pStyle w:val="ESTableRow"/>
              <w:keepNext/>
            </w:pPr>
            <w:r>
              <w:t xml:space="preserve">EBITDA Margin FY </w:t>
            </w:r>
          </w:p>
        </w:tc>
        <w:tc>
          <w:tcPr>
            <w:tcW w:w="970" w:type="dxa"/>
          </w:tcPr>
          <w:p w:rsidR="00BC1D60" w:rsidRDefault="00BC1D60" w:rsidP="00BC5B38">
            <w:pPr>
              <w:pStyle w:val="ESTableRow"/>
              <w:keepNext/>
              <w:jc w:val="right"/>
            </w:pPr>
            <w:r>
              <w:t>18.7%</w:t>
            </w:r>
          </w:p>
        </w:tc>
        <w:tc>
          <w:tcPr>
            <w:tcW w:w="970" w:type="dxa"/>
          </w:tcPr>
          <w:p w:rsidR="00BC1D60" w:rsidRDefault="00BC1D60" w:rsidP="00BC5B38">
            <w:pPr>
              <w:pStyle w:val="ESTableRow"/>
              <w:keepNext/>
              <w:jc w:val="right"/>
            </w:pPr>
            <w:r>
              <w:t>17.8%</w:t>
            </w:r>
          </w:p>
        </w:tc>
        <w:tc>
          <w:tcPr>
            <w:tcW w:w="970" w:type="dxa"/>
          </w:tcPr>
          <w:p w:rsidR="00BC1D60" w:rsidRDefault="00BC1D60" w:rsidP="00BC5B38">
            <w:pPr>
              <w:pStyle w:val="ESTableRow"/>
              <w:keepNext/>
              <w:jc w:val="right"/>
            </w:pPr>
            <w:r>
              <w:t>19.8%</w:t>
            </w:r>
          </w:p>
        </w:tc>
        <w:tc>
          <w:tcPr>
            <w:tcW w:w="970" w:type="dxa"/>
          </w:tcPr>
          <w:p w:rsidR="00BC1D60" w:rsidRDefault="00BC1D60" w:rsidP="00BC5B38">
            <w:pPr>
              <w:pStyle w:val="ESTableRow"/>
              <w:keepNext/>
              <w:jc w:val="right"/>
            </w:pPr>
            <w:r>
              <w:t>20.2%</w:t>
            </w:r>
          </w:p>
        </w:tc>
        <w:tc>
          <w:tcPr>
            <w:tcW w:w="970" w:type="dxa"/>
          </w:tcPr>
          <w:p w:rsidR="00BC1D60" w:rsidRDefault="00BC1D60" w:rsidP="00BC5B38">
            <w:pPr>
              <w:pStyle w:val="ESTableRow"/>
              <w:keepNext/>
              <w:jc w:val="right"/>
            </w:pPr>
            <w:r>
              <w:t>20.8%</w:t>
            </w:r>
          </w:p>
        </w:tc>
      </w:tr>
      <w:tr w:rsidR="00BC1D60" w:rsidTr="00BC5B38">
        <w:trPr>
          <w:cantSplit/>
        </w:trPr>
        <w:tc>
          <w:tcPr>
            <w:tcW w:w="2000" w:type="dxa"/>
          </w:tcPr>
          <w:p w:rsidR="00BC1D60" w:rsidRDefault="00BC1D60" w:rsidP="00BC5B38">
            <w:pPr>
              <w:pStyle w:val="ESTableRow"/>
              <w:keepNext/>
            </w:pPr>
            <w:r>
              <w:t>DPS (Net) FY (p)</w:t>
            </w:r>
          </w:p>
        </w:tc>
        <w:tc>
          <w:tcPr>
            <w:tcW w:w="970" w:type="dxa"/>
          </w:tcPr>
          <w:p w:rsidR="00BC1D60" w:rsidRDefault="00BC1D60" w:rsidP="00BC5B38">
            <w:pPr>
              <w:pStyle w:val="ESTableRow"/>
              <w:keepNext/>
              <w:jc w:val="right"/>
            </w:pPr>
            <w:r>
              <w:t>11.8</w:t>
            </w:r>
          </w:p>
        </w:tc>
        <w:tc>
          <w:tcPr>
            <w:tcW w:w="970" w:type="dxa"/>
          </w:tcPr>
          <w:p w:rsidR="00BC1D60" w:rsidRDefault="00BC1D60" w:rsidP="00BC5B38">
            <w:pPr>
              <w:pStyle w:val="ESTableRow"/>
              <w:keepNext/>
              <w:jc w:val="right"/>
            </w:pPr>
            <w:r>
              <w:t>10.1</w:t>
            </w:r>
          </w:p>
        </w:tc>
        <w:tc>
          <w:tcPr>
            <w:tcW w:w="970" w:type="dxa"/>
          </w:tcPr>
          <w:p w:rsidR="00BC1D60" w:rsidRDefault="00BC1D60" w:rsidP="00BC5B38">
            <w:pPr>
              <w:pStyle w:val="ESTableRow"/>
              <w:keepNext/>
              <w:jc w:val="right"/>
            </w:pPr>
            <w:r>
              <w:t>11.1</w:t>
            </w:r>
          </w:p>
        </w:tc>
        <w:tc>
          <w:tcPr>
            <w:tcW w:w="970" w:type="dxa"/>
          </w:tcPr>
          <w:p w:rsidR="00BC1D60" w:rsidRDefault="00BC1D60" w:rsidP="00BC5B38">
            <w:pPr>
              <w:pStyle w:val="ESTableRow"/>
              <w:keepNext/>
              <w:jc w:val="right"/>
            </w:pPr>
            <w:r>
              <w:t>13.2</w:t>
            </w:r>
          </w:p>
        </w:tc>
        <w:tc>
          <w:tcPr>
            <w:tcW w:w="970" w:type="dxa"/>
          </w:tcPr>
          <w:p w:rsidR="00BC1D60" w:rsidRDefault="00BC1D60" w:rsidP="00BC5B38">
            <w:pPr>
              <w:pStyle w:val="ESTableRow"/>
              <w:keepNext/>
              <w:jc w:val="right"/>
            </w:pPr>
            <w:r>
              <w:t>14.8</w:t>
            </w:r>
          </w:p>
        </w:tc>
      </w:tr>
      <w:tr w:rsidR="00BC1D60" w:rsidTr="00BC5B38">
        <w:trPr>
          <w:cantSplit/>
        </w:trPr>
        <w:tc>
          <w:tcPr>
            <w:tcW w:w="2000" w:type="dxa"/>
          </w:tcPr>
          <w:p w:rsidR="00BC1D60" w:rsidRDefault="00BC1D60" w:rsidP="00BC5B38">
            <w:pPr>
              <w:pStyle w:val="ESTableRow"/>
              <w:keepNext/>
            </w:pPr>
            <w:r>
              <w:t xml:space="preserve">Adj P/E FY </w:t>
            </w:r>
          </w:p>
        </w:tc>
        <w:tc>
          <w:tcPr>
            <w:tcW w:w="970" w:type="dxa"/>
          </w:tcPr>
          <w:p w:rsidR="00BC1D60" w:rsidRDefault="00BC1D60" w:rsidP="00BC5B38">
            <w:pPr>
              <w:pStyle w:val="ESTableRow"/>
              <w:keepNext/>
              <w:jc w:val="right"/>
            </w:pPr>
            <w:r>
              <w:t>15.4</w:t>
            </w:r>
          </w:p>
        </w:tc>
        <w:tc>
          <w:tcPr>
            <w:tcW w:w="970" w:type="dxa"/>
          </w:tcPr>
          <w:p w:rsidR="00BC1D60" w:rsidRDefault="00BC1D60" w:rsidP="00BC5B38">
            <w:pPr>
              <w:pStyle w:val="ESTableRow"/>
              <w:keepNext/>
              <w:jc w:val="right"/>
            </w:pPr>
            <w:r>
              <w:t>14.3</w:t>
            </w:r>
          </w:p>
        </w:tc>
        <w:tc>
          <w:tcPr>
            <w:tcW w:w="970" w:type="dxa"/>
          </w:tcPr>
          <w:p w:rsidR="00BC1D60" w:rsidRDefault="00BC1D60" w:rsidP="00BC5B38">
            <w:pPr>
              <w:pStyle w:val="ESTableRow"/>
              <w:keepNext/>
              <w:jc w:val="right"/>
            </w:pPr>
            <w:r>
              <w:t>15.6</w:t>
            </w:r>
          </w:p>
        </w:tc>
        <w:tc>
          <w:tcPr>
            <w:tcW w:w="970" w:type="dxa"/>
          </w:tcPr>
          <w:p w:rsidR="00BC1D60" w:rsidRDefault="00BC1D60" w:rsidP="00BC5B38">
            <w:pPr>
              <w:pStyle w:val="ESTableRow"/>
              <w:keepNext/>
              <w:jc w:val="right"/>
            </w:pPr>
            <w:r>
              <w:t>13.2</w:t>
            </w:r>
          </w:p>
        </w:tc>
        <w:tc>
          <w:tcPr>
            <w:tcW w:w="970" w:type="dxa"/>
          </w:tcPr>
          <w:p w:rsidR="00BC1D60" w:rsidRDefault="00BC1D60" w:rsidP="00BC5B38">
            <w:pPr>
              <w:pStyle w:val="ESTableRow"/>
              <w:keepNext/>
              <w:jc w:val="right"/>
            </w:pPr>
            <w:r>
              <w:t>11.2</w:t>
            </w:r>
          </w:p>
        </w:tc>
      </w:tr>
      <w:tr w:rsidR="00BC1D60" w:rsidTr="00BC5B38">
        <w:trPr>
          <w:cantSplit/>
        </w:trPr>
        <w:tc>
          <w:tcPr>
            <w:tcW w:w="2000" w:type="dxa"/>
          </w:tcPr>
          <w:p w:rsidR="00BC1D60" w:rsidRDefault="00BC1D60" w:rsidP="00BC5B38">
            <w:pPr>
              <w:pStyle w:val="ESTableRow"/>
              <w:keepNext/>
            </w:pPr>
            <w:r>
              <w:t xml:space="preserve">EV/EBITDA (x) FY </w:t>
            </w:r>
          </w:p>
        </w:tc>
        <w:tc>
          <w:tcPr>
            <w:tcW w:w="970" w:type="dxa"/>
          </w:tcPr>
          <w:p w:rsidR="00BC1D60" w:rsidRDefault="00BC1D60" w:rsidP="00BC5B38">
            <w:pPr>
              <w:pStyle w:val="ESTableRow"/>
              <w:keepNext/>
              <w:jc w:val="right"/>
            </w:pPr>
            <w:r>
              <w:t>14.5</w:t>
            </w:r>
          </w:p>
        </w:tc>
        <w:tc>
          <w:tcPr>
            <w:tcW w:w="970" w:type="dxa"/>
          </w:tcPr>
          <w:p w:rsidR="00BC1D60" w:rsidRDefault="00BC1D60" w:rsidP="00BC5B38">
            <w:pPr>
              <w:pStyle w:val="ESTableRow"/>
              <w:keepNext/>
              <w:jc w:val="right"/>
            </w:pPr>
            <w:r>
              <w:t>13.2</w:t>
            </w:r>
          </w:p>
        </w:tc>
        <w:tc>
          <w:tcPr>
            <w:tcW w:w="970" w:type="dxa"/>
          </w:tcPr>
          <w:p w:rsidR="00BC1D60" w:rsidRDefault="00BC1D60" w:rsidP="00BC5B38">
            <w:pPr>
              <w:pStyle w:val="ESTableRow"/>
              <w:keepNext/>
              <w:jc w:val="right"/>
            </w:pPr>
            <w:r>
              <w:t>9.2</w:t>
            </w:r>
          </w:p>
        </w:tc>
        <w:tc>
          <w:tcPr>
            <w:tcW w:w="970" w:type="dxa"/>
          </w:tcPr>
          <w:p w:rsidR="00BC1D60" w:rsidRDefault="00BC1D60" w:rsidP="00BC5B38">
            <w:pPr>
              <w:pStyle w:val="ESTableRow"/>
              <w:keepNext/>
              <w:jc w:val="right"/>
            </w:pPr>
            <w:r>
              <w:t>7.4</w:t>
            </w:r>
          </w:p>
        </w:tc>
        <w:tc>
          <w:tcPr>
            <w:tcW w:w="970" w:type="dxa"/>
          </w:tcPr>
          <w:p w:rsidR="00BC1D60" w:rsidRDefault="00BC1D60" w:rsidP="00BC5B38">
            <w:pPr>
              <w:pStyle w:val="ESTableRow"/>
              <w:keepNext/>
              <w:jc w:val="right"/>
            </w:pPr>
            <w:r>
              <w:t>6.4</w:t>
            </w:r>
          </w:p>
        </w:tc>
      </w:tr>
      <w:tr w:rsidR="00BC1D60" w:rsidTr="00BC5B38">
        <w:trPr>
          <w:cantSplit/>
        </w:trPr>
        <w:tc>
          <w:tcPr>
            <w:tcW w:w="2000" w:type="dxa"/>
            <w:tcBorders>
              <w:bottom w:val="single" w:sz="4" w:space="0" w:color="auto"/>
            </w:tcBorders>
          </w:tcPr>
          <w:p w:rsidR="00BC1D60" w:rsidRDefault="00BC1D60" w:rsidP="00BC5B38">
            <w:pPr>
              <w:pStyle w:val="ESTableRow"/>
              <w:keepNext/>
            </w:pPr>
            <w:r>
              <w:t xml:space="preserve">Net Yield FY </w:t>
            </w:r>
          </w:p>
        </w:tc>
        <w:tc>
          <w:tcPr>
            <w:tcW w:w="970" w:type="dxa"/>
            <w:tcBorders>
              <w:bottom w:val="single" w:sz="4" w:space="0" w:color="auto"/>
            </w:tcBorders>
          </w:tcPr>
          <w:p w:rsidR="00BC1D60" w:rsidRDefault="00BC1D60" w:rsidP="00BC5B38">
            <w:pPr>
              <w:pStyle w:val="ESTableRow"/>
              <w:keepNext/>
              <w:jc w:val="right"/>
            </w:pPr>
            <w:r>
              <w:t>3.6%</w:t>
            </w:r>
          </w:p>
        </w:tc>
        <w:tc>
          <w:tcPr>
            <w:tcW w:w="970" w:type="dxa"/>
            <w:tcBorders>
              <w:bottom w:val="single" w:sz="4" w:space="0" w:color="auto"/>
            </w:tcBorders>
          </w:tcPr>
          <w:p w:rsidR="00BC1D60" w:rsidRDefault="00BC1D60" w:rsidP="00BC5B38">
            <w:pPr>
              <w:pStyle w:val="ESTableRow"/>
              <w:keepNext/>
              <w:jc w:val="right"/>
            </w:pPr>
            <w:r>
              <w:t>3.1%</w:t>
            </w:r>
          </w:p>
        </w:tc>
        <w:tc>
          <w:tcPr>
            <w:tcW w:w="970" w:type="dxa"/>
            <w:tcBorders>
              <w:bottom w:val="single" w:sz="4" w:space="0" w:color="auto"/>
            </w:tcBorders>
          </w:tcPr>
          <w:p w:rsidR="00BC1D60" w:rsidRDefault="00BC1D60" w:rsidP="00BC5B38">
            <w:pPr>
              <w:pStyle w:val="ESTableRow"/>
              <w:keepNext/>
              <w:jc w:val="right"/>
            </w:pPr>
            <w:r>
              <w:t>3.4%</w:t>
            </w:r>
          </w:p>
        </w:tc>
        <w:tc>
          <w:tcPr>
            <w:tcW w:w="970" w:type="dxa"/>
            <w:tcBorders>
              <w:bottom w:val="single" w:sz="4" w:space="0" w:color="auto"/>
            </w:tcBorders>
          </w:tcPr>
          <w:p w:rsidR="00BC1D60" w:rsidRDefault="00BC1D60" w:rsidP="00BC5B38">
            <w:pPr>
              <w:pStyle w:val="ESTableRow"/>
              <w:keepNext/>
              <w:jc w:val="right"/>
            </w:pPr>
            <w:r>
              <w:t>4.0%</w:t>
            </w:r>
          </w:p>
        </w:tc>
        <w:tc>
          <w:tcPr>
            <w:tcW w:w="970" w:type="dxa"/>
            <w:tcBorders>
              <w:bottom w:val="single" w:sz="4" w:space="0" w:color="auto"/>
            </w:tcBorders>
          </w:tcPr>
          <w:p w:rsidR="00BC1D60" w:rsidRDefault="00BC1D60" w:rsidP="00BC5B38">
            <w:pPr>
              <w:pStyle w:val="ESTableRow"/>
              <w:keepNext/>
              <w:jc w:val="right"/>
            </w:pPr>
            <w:r>
              <w:t>4.5%</w:t>
            </w:r>
          </w:p>
        </w:tc>
      </w:tr>
    </w:tbl>
    <w:p w:rsidR="00BC1D60" w:rsidRPr="006C415E" w:rsidRDefault="00BC1D60" w:rsidP="00BC1D60">
      <w:pPr>
        <w:pStyle w:val="Source"/>
      </w:pPr>
      <w:r>
        <w:t>Source: Company data, Bloomberg, J.P. Morgan estimates</w:t>
      </w:r>
    </w:p>
    <w:p w:rsidR="00BC1D60" w:rsidRPr="004F1ABB" w:rsidRDefault="00BC1D60" w:rsidP="00BC1D60">
      <w:pPr>
        <w:pStyle w:val="Body"/>
        <w:rPr>
          <w:highlight w:val="yellow"/>
        </w:rPr>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2C1C39" w:rsidTr="00BC5B38">
        <w:tc>
          <w:tcPr>
            <w:tcW w:w="10604" w:type="dxa"/>
            <w:gridSpan w:val="3"/>
            <w:shd w:val="clear" w:color="auto" w:fill="auto"/>
          </w:tcPr>
          <w:p w:rsidR="00BC1D60" w:rsidRPr="002C1C39" w:rsidRDefault="00BC1D60" w:rsidP="00BC5B38">
            <w:pPr>
              <w:pStyle w:val="Heading1-NoTOC"/>
            </w:pPr>
            <w:bookmarkStart w:id="133" w:name="_Toc392099063"/>
            <w:bookmarkStart w:id="134" w:name="_Toc392016345"/>
            <w:r w:rsidRPr="002C1C39">
              <w:t>Getting to know our SMid Analysts</w:t>
            </w:r>
            <w:r>
              <w:t>…</w:t>
            </w:r>
            <w:bookmarkEnd w:id="133"/>
            <w:bookmarkEnd w:id="134"/>
          </w:p>
        </w:tc>
      </w:tr>
      <w:tr w:rsidR="00BC1D60" w:rsidRPr="002C1C39" w:rsidTr="00BC5B38">
        <w:trPr>
          <w:trHeight w:val="3427"/>
        </w:trPr>
        <w:tc>
          <w:tcPr>
            <w:tcW w:w="2666" w:type="dxa"/>
            <w:shd w:val="clear" w:color="auto" w:fill="auto"/>
          </w:tcPr>
          <w:p w:rsidR="00BC1D60" w:rsidRPr="002C1C39" w:rsidRDefault="00BC1D60" w:rsidP="00BC5B38">
            <w:pPr>
              <w:shd w:val="clear" w:color="auto" w:fill="F6F6F6"/>
              <w:spacing w:line="336" w:lineRule="atLeast"/>
              <w:jc w:val="center"/>
              <w:rPr>
                <w:rFonts w:ascii="Arial" w:hAnsi="Arial" w:cs="Arial"/>
                <w:color w:val="666666"/>
                <w:sz w:val="15"/>
                <w:szCs w:val="15"/>
              </w:rPr>
            </w:pPr>
            <w:r w:rsidRPr="002C1C39">
              <w:rPr>
                <w:rFonts w:ascii="Arial" w:hAnsi="Arial" w:cs="Arial"/>
                <w:noProof/>
                <w:color w:val="666666"/>
                <w:sz w:val="15"/>
                <w:szCs w:val="15"/>
              </w:rPr>
              <w:drawing>
                <wp:inline distT="0" distB="0" distL="0" distR="0">
                  <wp:extent cx="1550958" cy="2087592"/>
                  <wp:effectExtent l="19050" t="0" r="0" b="0"/>
                  <wp:docPr id="126" name="Picture 125" descr="https://mm.jpmorgan.com/ImageServlet?sid=I017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mm.jpmorgan.com/ImageServlet?sid=I017466"/>
                          <pic:cNvPicPr>
                            <a:picLocks noChangeAspect="1" noChangeArrowheads="1"/>
                          </pic:cNvPicPr>
                        </pic:nvPicPr>
                        <pic:blipFill>
                          <a:blip r:embed="rId52"/>
                          <a:srcRect l="6443" r="46806"/>
                          <a:stretch>
                            <a:fillRect/>
                          </a:stretch>
                        </pic:blipFill>
                        <pic:spPr bwMode="auto">
                          <a:xfrm>
                            <a:off x="0" y="0"/>
                            <a:ext cx="1550958" cy="2087592"/>
                          </a:xfrm>
                          <a:prstGeom prst="rect">
                            <a:avLst/>
                          </a:prstGeom>
                          <a:noFill/>
                          <a:ln w="9525">
                            <a:noFill/>
                            <a:miter lim="800000"/>
                            <a:headEnd/>
                            <a:tailEnd/>
                          </a:ln>
                        </pic:spPr>
                      </pic:pic>
                    </a:graphicData>
                  </a:graphic>
                </wp:inline>
              </w:drawing>
            </w:r>
          </w:p>
          <w:p w:rsidR="00BC1D60" w:rsidRPr="002C1C39" w:rsidRDefault="00BC1D60" w:rsidP="00BC5B38">
            <w:pPr>
              <w:pStyle w:val="Body"/>
              <w:spacing w:after="120"/>
            </w:pPr>
          </w:p>
        </w:tc>
        <w:tc>
          <w:tcPr>
            <w:tcW w:w="3544" w:type="dxa"/>
            <w:shd w:val="clear" w:color="auto" w:fill="auto"/>
          </w:tcPr>
          <w:p w:rsidR="00BC1D60" w:rsidRPr="002C1C39" w:rsidRDefault="00BC1D60" w:rsidP="00BC5B38">
            <w:pPr>
              <w:pStyle w:val="Heading2"/>
              <w:outlineLvl w:val="1"/>
            </w:pPr>
            <w:r w:rsidRPr="002C1C39">
              <w:t>Alexander Mees</w:t>
            </w:r>
          </w:p>
          <w:p w:rsidR="00BC1D60" w:rsidRPr="002C1C39" w:rsidRDefault="003B051F" w:rsidP="00BC5B38">
            <w:pPr>
              <w:pStyle w:val="Body"/>
              <w:spacing w:after="120"/>
              <w:rPr>
                <w:rStyle w:val="txtblackbld1"/>
                <w:rFonts w:ascii="Arial Narrow" w:hAnsi="Arial Narrow"/>
                <w:b w:val="0"/>
                <w:bCs w:val="0"/>
                <w:szCs w:val="20"/>
              </w:rPr>
            </w:pPr>
            <w:hyperlink r:id="rId53" w:history="1">
              <w:r w:rsidR="00BC1D60" w:rsidRPr="002C1C39">
                <w:rPr>
                  <w:rStyle w:val="Hyperlink"/>
                  <w:rFonts w:ascii="Arial Narrow" w:hAnsi="Arial Narrow" w:cs="Arial"/>
                  <w:szCs w:val="20"/>
                </w:rPr>
                <w:t>alexander.c.mees@jpmorgan.com</w:t>
              </w:r>
            </w:hyperlink>
          </w:p>
          <w:p w:rsidR="00BC1D60" w:rsidRPr="002C1C39" w:rsidRDefault="00BC1D60" w:rsidP="00BC5B38">
            <w:pPr>
              <w:pStyle w:val="Body"/>
              <w:spacing w:after="120"/>
              <w:rPr>
                <w:rFonts w:ascii="Arial Narrow" w:hAnsi="Arial Narrow"/>
              </w:rPr>
            </w:pPr>
            <w:r w:rsidRPr="002C1C39">
              <w:rPr>
                <w:rFonts w:ascii="Arial Narrow" w:hAnsi="Arial Narrow"/>
              </w:rPr>
              <w:t>(44-20) 7742-3681</w:t>
            </w:r>
          </w:p>
          <w:p w:rsidR="00BC1D60" w:rsidRPr="002C1C39" w:rsidRDefault="00BC1D60" w:rsidP="00BC5B38">
            <w:pPr>
              <w:pStyle w:val="Body"/>
              <w:spacing w:after="120"/>
              <w:rPr>
                <w:rFonts w:ascii="Arial Narrow" w:hAnsi="Arial Narrow"/>
              </w:rPr>
            </w:pPr>
          </w:p>
          <w:p w:rsidR="00BC1D60" w:rsidRPr="002C1C39" w:rsidRDefault="00BC1D60" w:rsidP="00BC5B38">
            <w:pPr>
              <w:pStyle w:val="Body"/>
              <w:spacing w:after="120"/>
              <w:rPr>
                <w:rFonts w:ascii="Arial Narrow" w:hAnsi="Arial Narrow"/>
              </w:rPr>
            </w:pPr>
            <w:r w:rsidRPr="002C1C39">
              <w:rPr>
                <w:rFonts w:ascii="Arial Narrow" w:hAnsi="Arial Narrow"/>
                <w:b/>
              </w:rPr>
              <w:t>Region:</w:t>
            </w:r>
            <w:r w:rsidRPr="002C1C39">
              <w:rPr>
                <w:rFonts w:ascii="Arial Narrow" w:hAnsi="Arial Narrow"/>
              </w:rPr>
              <w:t xml:space="preserve"> W. Europe (UK)</w:t>
            </w:r>
          </w:p>
          <w:p w:rsidR="00BC1D60" w:rsidRPr="002C1C39" w:rsidRDefault="00BC1D60" w:rsidP="00BC5B38">
            <w:pPr>
              <w:pStyle w:val="Body"/>
              <w:spacing w:after="120"/>
              <w:rPr>
                <w:rFonts w:ascii="Arial Narrow" w:hAnsi="Arial Narrow"/>
              </w:rPr>
            </w:pPr>
            <w:r w:rsidRPr="002C1C39">
              <w:rPr>
                <w:rFonts w:ascii="Arial Narrow" w:hAnsi="Arial Narrow"/>
                <w:b/>
              </w:rPr>
              <w:t>Sector:</w:t>
            </w:r>
            <w:r w:rsidRPr="002C1C39">
              <w:rPr>
                <w:rFonts w:ascii="Arial Narrow" w:hAnsi="Arial Narrow"/>
              </w:rPr>
              <w:t xml:space="preserve"> UK Small-Caps</w:t>
            </w:r>
          </w:p>
          <w:p w:rsidR="00BC1D60" w:rsidRPr="002C1C39" w:rsidRDefault="00BC1D60" w:rsidP="00BC5B38">
            <w:pPr>
              <w:pStyle w:val="Body"/>
            </w:pPr>
          </w:p>
        </w:tc>
        <w:tc>
          <w:tcPr>
            <w:tcW w:w="4394" w:type="dxa"/>
            <w:shd w:val="clear" w:color="auto" w:fill="auto"/>
          </w:tcPr>
          <w:p w:rsidR="00BC1D60" w:rsidRPr="002C1C39" w:rsidRDefault="00BC1D60" w:rsidP="00BC5B38">
            <w:pPr>
              <w:pStyle w:val="Body"/>
              <w:jc w:val="right"/>
            </w:pPr>
            <w:r w:rsidRPr="002C1C39">
              <w:rPr>
                <w:noProof/>
              </w:rPr>
              <w:drawing>
                <wp:inline distT="0" distB="0" distL="0" distR="0">
                  <wp:extent cx="2505456" cy="2298170"/>
                  <wp:effectExtent l="19050" t="0" r="9144" b="0"/>
                  <wp:docPr id="1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2505456" cy="2298170"/>
                          </a:xfrm>
                          <a:prstGeom prst="rect">
                            <a:avLst/>
                          </a:prstGeom>
                          <a:noFill/>
                          <a:ln w="9525">
                            <a:noFill/>
                            <a:miter lim="800000"/>
                            <a:headEnd/>
                            <a:tailEnd/>
                          </a:ln>
                        </pic:spPr>
                      </pic:pic>
                    </a:graphicData>
                  </a:graphic>
                </wp:inline>
              </w:drawing>
            </w:r>
            <w:r w:rsidRPr="002C1C39">
              <w:t xml:space="preserve"> </w:t>
            </w:r>
          </w:p>
        </w:tc>
      </w:tr>
    </w:tbl>
    <w:p w:rsidR="00BC1D60" w:rsidRDefault="00BC1D60" w:rsidP="00BC1D60">
      <w:pPr>
        <w:pStyle w:val="Source"/>
        <w:spacing w:before="0" w:after="0"/>
        <w:ind w:left="-3124" w:hanging="137"/>
      </w:pPr>
      <w:r w:rsidRPr="002C1C39">
        <w:rPr>
          <w:noProof/>
        </w:rPr>
        <w:drawing>
          <wp:inline distT="0" distB="0" distL="0" distR="0">
            <wp:extent cx="6703060" cy="1784765"/>
            <wp:effectExtent l="19050" t="0" r="2540" b="0"/>
            <wp:docPr id="1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srcRect b="26806"/>
                    <a:stretch>
                      <a:fillRect/>
                    </a:stretch>
                  </pic:blipFill>
                  <pic:spPr bwMode="auto">
                    <a:xfrm>
                      <a:off x="0" y="0"/>
                      <a:ext cx="6703060" cy="1784765"/>
                    </a:xfrm>
                    <a:prstGeom prst="rect">
                      <a:avLst/>
                    </a:prstGeom>
                    <a:noFill/>
                    <a:ln w="9525">
                      <a:noFill/>
                      <a:miter lim="800000"/>
                      <a:headEnd/>
                      <a:tailEnd/>
                    </a:ln>
                  </pic:spPr>
                </pic:pic>
              </a:graphicData>
            </a:graphic>
          </wp:inline>
        </w:drawing>
      </w:r>
    </w:p>
    <w:p w:rsidR="00BC1D60" w:rsidRPr="002C1C39" w:rsidRDefault="00BC1D60" w:rsidP="00BC1D60">
      <w:pPr>
        <w:pStyle w:val="Source"/>
        <w:spacing w:before="0"/>
        <w:ind w:left="-3124" w:hanging="137"/>
      </w:pPr>
      <w:r w:rsidRPr="009442E2">
        <w:rPr>
          <w:noProof/>
        </w:rPr>
        <w:drawing>
          <wp:inline distT="0" distB="0" distL="0" distR="0">
            <wp:extent cx="6703060" cy="581025"/>
            <wp:effectExtent l="0" t="0" r="2540" b="0"/>
            <wp:docPr id="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srcRect t="76172"/>
                    <a:stretch>
                      <a:fillRect/>
                    </a:stretch>
                  </pic:blipFill>
                  <pic:spPr bwMode="auto">
                    <a:xfrm>
                      <a:off x="0" y="0"/>
                      <a:ext cx="6703060" cy="581025"/>
                    </a:xfrm>
                    <a:prstGeom prst="rect">
                      <a:avLst/>
                    </a:prstGeom>
                    <a:noFill/>
                    <a:ln w="9525">
                      <a:noFill/>
                      <a:miter lim="800000"/>
                      <a:headEnd/>
                      <a:tailEnd/>
                    </a:ln>
                  </pic:spPr>
                </pic:pic>
              </a:graphicData>
            </a:graphic>
          </wp:inline>
        </w:drawing>
      </w:r>
      <w:r>
        <w:t xml:space="preserve"> </w:t>
      </w:r>
      <w:r w:rsidRPr="002C1C39">
        <w:t>Source: Bloomberg, Datastream, Factset, J.P. Morgan</w:t>
      </w:r>
      <w:r w:rsidRPr="002C1C39">
        <w:br/>
      </w:r>
      <w:r w:rsidRPr="0087013D">
        <w:t>Prices as of 24 June 2014</w:t>
      </w:r>
    </w:p>
    <w:p w:rsidR="00BC1D60" w:rsidRPr="004F1ABB" w:rsidRDefault="00BC1D60" w:rsidP="00BC1D60">
      <w:pPr>
        <w:pStyle w:val="Source"/>
        <w:spacing w:before="0"/>
        <w:ind w:left="-3124" w:hanging="137"/>
        <w:rPr>
          <w:highlight w:val="yellow"/>
        </w:rPr>
      </w:pPr>
    </w:p>
    <w:p w:rsidR="00BC1D60" w:rsidRPr="004F1ABB" w:rsidRDefault="00BC1D60" w:rsidP="00BC1D60">
      <w:pPr>
        <w:pStyle w:val="Sidecomments"/>
        <w:framePr w:w="0" w:hRule="auto" w:wrap="around"/>
        <w:rPr>
          <w:highlight w:val="yellow"/>
        </w:rPr>
      </w:pPr>
      <w:r>
        <w:rPr>
          <w:noProof/>
        </w:rPr>
        <w:lastRenderedPageBreak/>
        <w:drawing>
          <wp:inline distT="0" distB="0" distL="0" distR="0">
            <wp:extent cx="1737360" cy="7712673"/>
            <wp:effectExtent l="19050" t="0" r="0" b="0"/>
            <wp:docPr id="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1737360" cy="7712673"/>
                    </a:xfrm>
                    <a:prstGeom prst="rect">
                      <a:avLst/>
                    </a:prstGeom>
                    <a:noFill/>
                    <a:ln w="9525">
                      <a:noFill/>
                      <a:miter lim="800000"/>
                      <a:headEnd/>
                      <a:tailEnd/>
                    </a:ln>
                  </pic:spPr>
                </pic:pic>
              </a:graphicData>
            </a:graphic>
          </wp:inline>
        </w:drawing>
      </w:r>
    </w:p>
    <w:p w:rsidR="00BC1D60" w:rsidRPr="00BB6D9F" w:rsidRDefault="00BC1D60" w:rsidP="00BC1D60">
      <w:pPr>
        <w:pStyle w:val="Heading1"/>
        <w:rPr>
          <w:lang w:val="fr-FR"/>
        </w:rPr>
      </w:pPr>
      <w:bookmarkStart w:id="135" w:name="_Toc392099064"/>
      <w:bookmarkStart w:id="136" w:name="_Toc392081808"/>
      <w:bookmarkStart w:id="137" w:name="_Toc392081871"/>
      <w:r w:rsidRPr="007A4ECF">
        <w:rPr>
          <w:lang w:val="fr-FR"/>
        </w:rPr>
        <w:t>CSG Ltd (CSV AU / OW / $1.00)</w:t>
      </w:r>
      <w:bookmarkEnd w:id="135"/>
      <w:bookmarkEnd w:id="136"/>
      <w:bookmarkEnd w:id="137"/>
    </w:p>
    <w:p w:rsidR="00BC1D60" w:rsidRDefault="00BC1D60" w:rsidP="00BC1D60">
      <w:pPr>
        <w:pStyle w:val="Heading3"/>
        <w:rPr>
          <w:rFonts w:ascii="Arial" w:hAnsi="Arial" w:cs="Times New Roman"/>
          <w:bCs w:val="0"/>
          <w:i/>
          <w:color w:val="4E8ABE"/>
          <w:sz w:val="24"/>
          <w:szCs w:val="24"/>
        </w:rPr>
      </w:pPr>
      <w:r>
        <w:rPr>
          <w:rFonts w:ascii="Arial" w:hAnsi="Arial" w:cs="Times New Roman"/>
          <w:bCs w:val="0"/>
          <w:i/>
          <w:color w:val="4E8ABE"/>
          <w:sz w:val="24"/>
          <w:szCs w:val="24"/>
        </w:rPr>
        <w:t>An Enterprising Business which is More than Printers</w:t>
      </w:r>
    </w:p>
    <w:p w:rsidR="00BC1D60" w:rsidRPr="00204BFD" w:rsidRDefault="00BC1D60" w:rsidP="00BC1D60">
      <w:pPr>
        <w:pStyle w:val="Heading3"/>
      </w:pPr>
      <w:r w:rsidRPr="00204BFD">
        <w:t>Investment Highlights:</w:t>
      </w:r>
    </w:p>
    <w:p w:rsidR="00BC1D60" w:rsidRPr="00B86787" w:rsidRDefault="00BC1D60" w:rsidP="00BC1D60">
      <w:pPr>
        <w:pStyle w:val="Body"/>
        <w:numPr>
          <w:ilvl w:val="0"/>
          <w:numId w:val="26"/>
        </w:numPr>
        <w:spacing w:after="80"/>
        <w:ind w:left="360"/>
      </w:pPr>
      <w:r>
        <w:t>CSV is moving away from being a pure hardware reseller to more of a managed services role helping organisations to reduce IT and printing costs</w:t>
      </w:r>
      <w:r w:rsidRPr="00B86787">
        <w:t>.</w:t>
      </w:r>
      <w:r>
        <w:t xml:space="preserve"> It operates three businesses: Business Solutions which sells and services multifunction devices; Enterprise Solutions which provides managed print solutions to corporate and Government entities with the aim of reducing printing costs; and, Finance Solutions which offers clients the ability to lease devices.</w:t>
      </w:r>
    </w:p>
    <w:p w:rsidR="00BC1D60" w:rsidRDefault="00BC1D60" w:rsidP="00BC1D60">
      <w:pPr>
        <w:pStyle w:val="Body"/>
        <w:numPr>
          <w:ilvl w:val="0"/>
          <w:numId w:val="26"/>
        </w:numPr>
        <w:spacing w:after="80"/>
        <w:ind w:left="360"/>
      </w:pPr>
      <w:r>
        <w:t>It is no secret that sales of multi-function devices are falling with volumes declining 2-3% per year. CSV’s revenue model is moving away from a per-page basis to per user basis with CSV helping clients to reduce costs by optimising the printer fleet, introducing controls to reduce wastage and energy costs and centralising procurement. However, our valuation conservatively does not factor in much upside from this change in revenue model. Instead it forecasts CSV to deliver the A$3m in incremental cost savings it expects this year plus another A$7m in EBITDA from transitioning its existing leasing clients in Australia to its own book. The ROE of the leasing business is 55%.</w:t>
      </w:r>
    </w:p>
    <w:p w:rsidR="00BC1D60" w:rsidRPr="00F33D13" w:rsidRDefault="00BC1D60" w:rsidP="00BC1D60">
      <w:pPr>
        <w:pStyle w:val="Body"/>
        <w:spacing w:after="80"/>
      </w:pPr>
      <w:r w:rsidRPr="00204BFD">
        <w:rPr>
          <w:b/>
        </w:rPr>
        <w:t xml:space="preserve">Valuation / Risks to our View: </w:t>
      </w:r>
      <w:r w:rsidRPr="00204BFD">
        <w:t xml:space="preserve">Our </w:t>
      </w:r>
      <w:r>
        <w:t>Dec</w:t>
      </w:r>
      <w:r w:rsidRPr="00204BFD">
        <w:t>-1</w:t>
      </w:r>
      <w:r>
        <w:t>4</w:t>
      </w:r>
      <w:r w:rsidRPr="00204BFD">
        <w:t xml:space="preserve"> price target is $</w:t>
      </w:r>
      <w:r>
        <w:t>1.05</w:t>
      </w:r>
      <w:r w:rsidRPr="00204BFD">
        <w:t>/share (</w:t>
      </w:r>
      <w:r>
        <w:t>based on our DCF valuation</w:t>
      </w:r>
      <w:r w:rsidRPr="00204BFD">
        <w:t>). Risks include</w:t>
      </w:r>
      <w:r>
        <w:t xml:space="preserve"> lack of availability of debt for the finance business; exposure to key suppliers, including Canon Australia and Konica Minolta; competition </w:t>
      </w:r>
      <w:r w:rsidRPr="00F33D13">
        <w:t xml:space="preserve">driving irrational pricing; and unfavourable AUDNZD movements.  </w:t>
      </w:r>
    </w:p>
    <w:p w:rsidR="00BC1D60" w:rsidRPr="00F33D13" w:rsidRDefault="00BC1D60" w:rsidP="00BC1D60">
      <w:pPr>
        <w:pStyle w:val="Heading3"/>
        <w:spacing w:after="80"/>
        <w:rPr>
          <w:b w:val="0"/>
        </w:rPr>
      </w:pPr>
      <w:r w:rsidRPr="00F33D13">
        <w:t xml:space="preserve">CSG in a Nutshell:  </w:t>
      </w:r>
      <w:r w:rsidRPr="00F33D13">
        <w:rPr>
          <w:b w:val="0"/>
        </w:rPr>
        <w:t xml:space="preserve">CSV is 24 months into a five-year turnaround plan with targets focused on restoring revenue growth and implementing cost savings. Whilst this is in train, the company has committed to returning 9cps to shareholders over the medium-term in the form of dividends and capital returns  </w:t>
      </w:r>
    </w:p>
    <w:p w:rsidR="00BC1D60" w:rsidRPr="00F33D13" w:rsidRDefault="00BC1D60" w:rsidP="00BC1D60">
      <w:pPr>
        <w:pStyle w:val="Heading3"/>
        <w:spacing w:after="0"/>
      </w:pPr>
      <w:r w:rsidRPr="00F33D13">
        <w:t>Price Perf vs MSCI All Country World Small Cap (rebased as of 1-yr ago):</w:t>
      </w:r>
    </w:p>
    <w:p w:rsidR="00BC1D60" w:rsidRPr="00F33D13" w:rsidRDefault="00BC1D60" w:rsidP="00BC1D60">
      <w:pPr>
        <w:pStyle w:val="Body"/>
        <w:spacing w:after="0"/>
        <w:rPr>
          <w:noProof/>
          <w:lang w:val="en-GB" w:eastAsia="en-GB"/>
        </w:rPr>
      </w:pPr>
      <w:r>
        <w:rPr>
          <w:noProof/>
        </w:rPr>
        <w:drawing>
          <wp:inline distT="0" distB="0" distL="0" distR="0">
            <wp:extent cx="4352290" cy="1664621"/>
            <wp:effectExtent l="19050" t="0" r="0" b="0"/>
            <wp:docPr id="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4352290" cy="1664621"/>
                    </a:xfrm>
                    <a:prstGeom prst="rect">
                      <a:avLst/>
                    </a:prstGeom>
                    <a:noFill/>
                    <a:ln w="9525">
                      <a:noFill/>
                      <a:miter lim="800000"/>
                      <a:headEnd/>
                      <a:tailEnd/>
                    </a:ln>
                  </pic:spPr>
                </pic:pic>
              </a:graphicData>
            </a:graphic>
          </wp:inline>
        </w:drawing>
      </w:r>
    </w:p>
    <w:p w:rsidR="00BC1D60" w:rsidRPr="00F33D13" w:rsidRDefault="00BC1D60" w:rsidP="00BC1D60">
      <w:pPr>
        <w:pStyle w:val="Source"/>
        <w:spacing w:before="0" w:after="0" w:line="240" w:lineRule="auto"/>
        <w:rPr>
          <w:lang w:val="fr-FR"/>
        </w:rPr>
      </w:pPr>
      <w:r w:rsidRPr="00F33D13">
        <w:rPr>
          <w:lang w:val="fr-FR"/>
        </w:rPr>
        <w:t>Source: Bloomberg</w:t>
      </w:r>
    </w:p>
    <w:p w:rsidR="00BC1D60" w:rsidRDefault="00BC1D60" w:rsidP="00BC1D60">
      <w:pPr>
        <w:pStyle w:val="ESTableCaption"/>
        <w:keepNext/>
      </w:pPr>
      <w:r w:rsidRPr="00F33D13">
        <w:rPr>
          <w:lang w:val="fr-FR"/>
        </w:rPr>
        <w:t>J.P. Morgan Estimates</w:t>
      </w:r>
      <w:r w:rsidRPr="004F1ABB">
        <w:rPr>
          <w:highlight w:val="yellow"/>
          <w:lang w:val="fr-FR"/>
        </w:rPr>
        <w:br/>
      </w:r>
      <w:r>
        <w:rPr>
          <w:sz w:val="16"/>
        </w:rPr>
        <w:t>CSG Limited (Reuters: CSV.AX, Bloomberg: CSV AU)</w:t>
      </w:r>
    </w:p>
    <w:tbl>
      <w:tblPr>
        <w:tblW w:w="5000" w:type="pct"/>
        <w:tblCellMar>
          <w:left w:w="0" w:type="dxa"/>
          <w:right w:w="43" w:type="dxa"/>
        </w:tblCellMar>
        <w:tblLook w:val="01E0"/>
      </w:tblPr>
      <w:tblGrid>
        <w:gridCol w:w="1782"/>
        <w:gridCol w:w="1023"/>
        <w:gridCol w:w="1023"/>
        <w:gridCol w:w="1023"/>
        <w:gridCol w:w="1023"/>
        <w:gridCol w:w="1023"/>
      </w:tblGrid>
      <w:tr w:rsidR="00BC1D60" w:rsidTr="00BC5B38">
        <w:trPr>
          <w:cantSplit/>
        </w:trPr>
        <w:tc>
          <w:tcPr>
            <w:tcW w:w="1768" w:type="dxa"/>
            <w:tcBorders>
              <w:top w:val="single" w:sz="4" w:space="0" w:color="auto"/>
            </w:tcBorders>
          </w:tcPr>
          <w:p w:rsidR="00BC1D60" w:rsidRDefault="00BC1D60" w:rsidP="00BC5B38">
            <w:pPr>
              <w:pStyle w:val="ESTableRow"/>
              <w:keepNext/>
            </w:pPr>
            <w:r>
              <w:rPr>
                <w:rFonts w:ascii="Arial Narrow"/>
                <w:b/>
              </w:rPr>
              <w:t>Year-end Jun (A$)</w:t>
            </w:r>
          </w:p>
        </w:tc>
        <w:tc>
          <w:tcPr>
            <w:tcW w:w="1016" w:type="dxa"/>
            <w:tcBorders>
              <w:top w:val="single" w:sz="4" w:space="0" w:color="auto"/>
            </w:tcBorders>
          </w:tcPr>
          <w:p w:rsidR="00BC1D60" w:rsidRDefault="00BC1D60" w:rsidP="00BC5B38">
            <w:pPr>
              <w:pStyle w:val="ESTableRow"/>
              <w:keepNext/>
              <w:jc w:val="right"/>
            </w:pPr>
            <w:r>
              <w:rPr>
                <w:rFonts w:ascii="Arial Narrow"/>
                <w:b/>
              </w:rPr>
              <w:t>FY12A</w:t>
            </w:r>
          </w:p>
        </w:tc>
        <w:tc>
          <w:tcPr>
            <w:tcW w:w="1016" w:type="dxa"/>
            <w:tcBorders>
              <w:top w:val="single" w:sz="4" w:space="0" w:color="auto"/>
            </w:tcBorders>
          </w:tcPr>
          <w:p w:rsidR="00BC1D60" w:rsidRDefault="00BC1D60" w:rsidP="00BC5B38">
            <w:pPr>
              <w:pStyle w:val="ESTableRow"/>
              <w:keepNext/>
              <w:jc w:val="right"/>
            </w:pPr>
            <w:r>
              <w:rPr>
                <w:rFonts w:ascii="Arial Narrow"/>
                <w:b/>
              </w:rPr>
              <w:t>FY13A</w:t>
            </w:r>
          </w:p>
        </w:tc>
        <w:tc>
          <w:tcPr>
            <w:tcW w:w="1016" w:type="dxa"/>
            <w:tcBorders>
              <w:top w:val="single" w:sz="4" w:space="0" w:color="auto"/>
            </w:tcBorders>
          </w:tcPr>
          <w:p w:rsidR="00BC1D60" w:rsidRDefault="00BC1D60" w:rsidP="00BC5B38">
            <w:pPr>
              <w:pStyle w:val="ESTableRow"/>
              <w:keepNext/>
              <w:jc w:val="right"/>
            </w:pPr>
            <w:r>
              <w:rPr>
                <w:rFonts w:ascii="Arial Narrow"/>
                <w:b/>
              </w:rPr>
              <w:t>FY14E</w:t>
            </w:r>
          </w:p>
        </w:tc>
        <w:tc>
          <w:tcPr>
            <w:tcW w:w="1016" w:type="dxa"/>
            <w:tcBorders>
              <w:top w:val="single" w:sz="4" w:space="0" w:color="auto"/>
            </w:tcBorders>
          </w:tcPr>
          <w:p w:rsidR="00BC1D60" w:rsidRDefault="00BC1D60" w:rsidP="00BC5B38">
            <w:pPr>
              <w:pStyle w:val="ESTableRow"/>
              <w:keepNext/>
              <w:jc w:val="right"/>
            </w:pPr>
            <w:r>
              <w:rPr>
                <w:rFonts w:ascii="Arial Narrow"/>
                <w:b/>
              </w:rPr>
              <w:t>FY15E</w:t>
            </w:r>
          </w:p>
        </w:tc>
        <w:tc>
          <w:tcPr>
            <w:tcW w:w="1016" w:type="dxa"/>
            <w:tcBorders>
              <w:top w:val="single" w:sz="4" w:space="0" w:color="auto"/>
            </w:tcBorders>
          </w:tcPr>
          <w:p w:rsidR="00BC1D60" w:rsidRDefault="00BC1D60" w:rsidP="00BC5B38">
            <w:pPr>
              <w:pStyle w:val="ESTableRow"/>
              <w:keepNext/>
              <w:jc w:val="right"/>
            </w:pPr>
            <w:r>
              <w:rPr>
                <w:rFonts w:ascii="Arial Narrow"/>
                <w:b/>
              </w:rPr>
              <w:t>FY16E</w:t>
            </w:r>
          </w:p>
        </w:tc>
      </w:tr>
      <w:tr w:rsidR="00BC1D60" w:rsidTr="00BC5B38">
        <w:trPr>
          <w:cantSplit/>
        </w:trPr>
        <w:tc>
          <w:tcPr>
            <w:tcW w:w="1768" w:type="dxa"/>
            <w:tcBorders>
              <w:top w:val="single" w:sz="4" w:space="0" w:color="auto"/>
            </w:tcBorders>
          </w:tcPr>
          <w:p w:rsidR="00BC1D60" w:rsidRDefault="00BC1D60" w:rsidP="00BC5B38">
            <w:pPr>
              <w:pStyle w:val="ESTableRow"/>
              <w:keepNext/>
            </w:pPr>
            <w:r>
              <w:rPr>
                <w:rFonts w:ascii="Arial Narrow"/>
              </w:rPr>
              <w:t>Revenue (A$ mn)</w:t>
            </w:r>
          </w:p>
        </w:tc>
        <w:tc>
          <w:tcPr>
            <w:tcW w:w="1016" w:type="dxa"/>
            <w:tcBorders>
              <w:top w:val="single" w:sz="4" w:space="0" w:color="auto"/>
            </w:tcBorders>
          </w:tcPr>
          <w:p w:rsidR="00BC1D60" w:rsidRDefault="00BC1D60" w:rsidP="00BC5B38">
            <w:pPr>
              <w:pStyle w:val="ESTableRow"/>
              <w:keepNext/>
              <w:jc w:val="right"/>
            </w:pPr>
            <w:r>
              <w:rPr>
                <w:rFonts w:ascii="Arial Narrow"/>
              </w:rPr>
              <w:t>198</w:t>
            </w:r>
          </w:p>
        </w:tc>
        <w:tc>
          <w:tcPr>
            <w:tcW w:w="1016" w:type="dxa"/>
            <w:tcBorders>
              <w:top w:val="single" w:sz="4" w:space="0" w:color="auto"/>
            </w:tcBorders>
          </w:tcPr>
          <w:p w:rsidR="00BC1D60" w:rsidRDefault="00BC1D60" w:rsidP="00BC5B38">
            <w:pPr>
              <w:pStyle w:val="ESTableRow"/>
              <w:keepNext/>
              <w:jc w:val="right"/>
            </w:pPr>
            <w:r>
              <w:rPr>
                <w:rFonts w:ascii="Arial Narrow"/>
              </w:rPr>
              <w:t>173</w:t>
            </w:r>
          </w:p>
        </w:tc>
        <w:tc>
          <w:tcPr>
            <w:tcW w:w="1016" w:type="dxa"/>
            <w:tcBorders>
              <w:top w:val="single" w:sz="4" w:space="0" w:color="auto"/>
            </w:tcBorders>
          </w:tcPr>
          <w:p w:rsidR="00BC1D60" w:rsidRDefault="00BC1D60" w:rsidP="00BC5B38">
            <w:pPr>
              <w:pStyle w:val="ESTableRow"/>
              <w:keepNext/>
              <w:jc w:val="right"/>
            </w:pPr>
            <w:r>
              <w:rPr>
                <w:rFonts w:ascii="Arial Narrow"/>
              </w:rPr>
              <w:t>199</w:t>
            </w:r>
          </w:p>
        </w:tc>
        <w:tc>
          <w:tcPr>
            <w:tcW w:w="1016" w:type="dxa"/>
            <w:tcBorders>
              <w:top w:val="single" w:sz="4" w:space="0" w:color="auto"/>
            </w:tcBorders>
          </w:tcPr>
          <w:p w:rsidR="00BC1D60" w:rsidRDefault="00BC1D60" w:rsidP="00BC5B38">
            <w:pPr>
              <w:pStyle w:val="ESTableRow"/>
              <w:keepNext/>
              <w:jc w:val="right"/>
            </w:pPr>
            <w:r>
              <w:rPr>
                <w:rFonts w:ascii="Arial Narrow"/>
              </w:rPr>
              <w:t>225</w:t>
            </w:r>
          </w:p>
        </w:tc>
        <w:tc>
          <w:tcPr>
            <w:tcW w:w="1016" w:type="dxa"/>
            <w:tcBorders>
              <w:top w:val="single" w:sz="4" w:space="0" w:color="auto"/>
            </w:tcBorders>
          </w:tcPr>
          <w:p w:rsidR="00BC1D60" w:rsidRDefault="00BC1D60" w:rsidP="00BC5B38">
            <w:pPr>
              <w:pStyle w:val="ESTableRow"/>
              <w:keepNext/>
              <w:jc w:val="right"/>
            </w:pPr>
            <w:r>
              <w:rPr>
                <w:rFonts w:ascii="Arial Narrow"/>
              </w:rPr>
              <w:t>249</w:t>
            </w:r>
          </w:p>
        </w:tc>
      </w:tr>
      <w:tr w:rsidR="00BC1D60" w:rsidTr="00BC5B38">
        <w:trPr>
          <w:cantSplit/>
        </w:trPr>
        <w:tc>
          <w:tcPr>
            <w:tcW w:w="1768" w:type="dxa"/>
          </w:tcPr>
          <w:p w:rsidR="00BC1D60" w:rsidRDefault="00BC1D60" w:rsidP="00BC5B38">
            <w:pPr>
              <w:pStyle w:val="ESTableRow"/>
              <w:keepNext/>
            </w:pPr>
            <w:r>
              <w:rPr>
                <w:rFonts w:ascii="Arial Narrow"/>
              </w:rPr>
              <w:t>EBITDA (A$ mn)</w:t>
            </w:r>
          </w:p>
        </w:tc>
        <w:tc>
          <w:tcPr>
            <w:tcW w:w="1016" w:type="dxa"/>
          </w:tcPr>
          <w:p w:rsidR="00BC1D60" w:rsidRDefault="00BC1D60" w:rsidP="00BC5B38">
            <w:pPr>
              <w:pStyle w:val="ESTableRow"/>
              <w:keepNext/>
              <w:jc w:val="right"/>
            </w:pPr>
            <w:r>
              <w:rPr>
                <w:rFonts w:ascii="Arial Narrow"/>
              </w:rPr>
              <w:t>(17)</w:t>
            </w:r>
          </w:p>
        </w:tc>
        <w:tc>
          <w:tcPr>
            <w:tcW w:w="1016" w:type="dxa"/>
          </w:tcPr>
          <w:p w:rsidR="00BC1D60" w:rsidRDefault="00BC1D60" w:rsidP="00BC5B38">
            <w:pPr>
              <w:pStyle w:val="ESTableRow"/>
              <w:keepNext/>
              <w:jc w:val="right"/>
            </w:pPr>
            <w:r>
              <w:rPr>
                <w:rFonts w:ascii="Arial Narrow"/>
              </w:rPr>
              <w:t>25</w:t>
            </w:r>
          </w:p>
        </w:tc>
        <w:tc>
          <w:tcPr>
            <w:tcW w:w="1016" w:type="dxa"/>
          </w:tcPr>
          <w:p w:rsidR="00BC1D60" w:rsidRDefault="00BC1D60" w:rsidP="00BC5B38">
            <w:pPr>
              <w:pStyle w:val="ESTableRow"/>
              <w:keepNext/>
              <w:jc w:val="right"/>
            </w:pPr>
            <w:r>
              <w:rPr>
                <w:rFonts w:ascii="Arial Narrow"/>
              </w:rPr>
              <w:t>26</w:t>
            </w:r>
          </w:p>
        </w:tc>
        <w:tc>
          <w:tcPr>
            <w:tcW w:w="1016" w:type="dxa"/>
          </w:tcPr>
          <w:p w:rsidR="00BC1D60" w:rsidRDefault="00BC1D60" w:rsidP="00BC5B38">
            <w:pPr>
              <w:pStyle w:val="ESTableRow"/>
              <w:keepNext/>
              <w:jc w:val="right"/>
            </w:pPr>
            <w:r>
              <w:rPr>
                <w:rFonts w:ascii="Arial Narrow"/>
              </w:rPr>
              <w:t>30</w:t>
            </w:r>
          </w:p>
        </w:tc>
        <w:tc>
          <w:tcPr>
            <w:tcW w:w="1016" w:type="dxa"/>
          </w:tcPr>
          <w:p w:rsidR="00BC1D60" w:rsidRDefault="00BC1D60" w:rsidP="00BC5B38">
            <w:pPr>
              <w:pStyle w:val="ESTableRow"/>
              <w:keepNext/>
              <w:jc w:val="right"/>
            </w:pPr>
            <w:r>
              <w:rPr>
                <w:rFonts w:ascii="Arial Narrow"/>
              </w:rPr>
              <w:t>33</w:t>
            </w:r>
          </w:p>
        </w:tc>
      </w:tr>
      <w:tr w:rsidR="00BC1D60" w:rsidTr="00BC5B38">
        <w:trPr>
          <w:cantSplit/>
        </w:trPr>
        <w:tc>
          <w:tcPr>
            <w:tcW w:w="1768" w:type="dxa"/>
          </w:tcPr>
          <w:p w:rsidR="00BC1D60" w:rsidRDefault="00BC1D60" w:rsidP="00BC5B38">
            <w:pPr>
              <w:pStyle w:val="ESTableRow"/>
              <w:keepNext/>
            </w:pPr>
            <w:r>
              <w:rPr>
                <w:rFonts w:ascii="Arial Narrow"/>
              </w:rPr>
              <w:t>Net Profit (A$ mn)</w:t>
            </w:r>
          </w:p>
        </w:tc>
        <w:tc>
          <w:tcPr>
            <w:tcW w:w="1016" w:type="dxa"/>
          </w:tcPr>
          <w:p w:rsidR="00BC1D60" w:rsidRDefault="00BC1D60" w:rsidP="00BC5B38">
            <w:pPr>
              <w:pStyle w:val="ESTableRow"/>
              <w:keepNext/>
              <w:jc w:val="right"/>
            </w:pPr>
            <w:r>
              <w:rPr>
                <w:rFonts w:ascii="Arial Narrow"/>
              </w:rPr>
              <w:t>52</w:t>
            </w:r>
          </w:p>
        </w:tc>
        <w:tc>
          <w:tcPr>
            <w:tcW w:w="1016" w:type="dxa"/>
          </w:tcPr>
          <w:p w:rsidR="00BC1D60" w:rsidRDefault="00BC1D60" w:rsidP="00BC5B38">
            <w:pPr>
              <w:pStyle w:val="ESTableRow"/>
              <w:keepNext/>
              <w:jc w:val="right"/>
            </w:pPr>
            <w:r>
              <w:rPr>
                <w:rFonts w:ascii="Arial Narrow"/>
              </w:rPr>
              <w:t>9</w:t>
            </w:r>
          </w:p>
        </w:tc>
        <w:tc>
          <w:tcPr>
            <w:tcW w:w="1016" w:type="dxa"/>
          </w:tcPr>
          <w:p w:rsidR="00BC1D60" w:rsidRDefault="00BC1D60" w:rsidP="00BC5B38">
            <w:pPr>
              <w:pStyle w:val="ESTableRow"/>
              <w:keepNext/>
              <w:jc w:val="right"/>
            </w:pPr>
            <w:r>
              <w:rPr>
                <w:rFonts w:ascii="Arial Narrow"/>
              </w:rPr>
              <w:t>13</w:t>
            </w:r>
          </w:p>
        </w:tc>
        <w:tc>
          <w:tcPr>
            <w:tcW w:w="1016" w:type="dxa"/>
          </w:tcPr>
          <w:p w:rsidR="00BC1D60" w:rsidRDefault="00BC1D60" w:rsidP="00BC5B38">
            <w:pPr>
              <w:pStyle w:val="ESTableRow"/>
              <w:keepNext/>
              <w:jc w:val="right"/>
            </w:pPr>
            <w:r>
              <w:rPr>
                <w:rFonts w:ascii="Arial Narrow"/>
              </w:rPr>
              <w:t>18</w:t>
            </w:r>
          </w:p>
        </w:tc>
        <w:tc>
          <w:tcPr>
            <w:tcW w:w="1016" w:type="dxa"/>
          </w:tcPr>
          <w:p w:rsidR="00BC1D60" w:rsidRDefault="00BC1D60" w:rsidP="00BC5B38">
            <w:pPr>
              <w:pStyle w:val="ESTableRow"/>
              <w:keepNext/>
              <w:jc w:val="right"/>
            </w:pPr>
            <w:r>
              <w:rPr>
                <w:rFonts w:ascii="Arial Narrow"/>
              </w:rPr>
              <w:t>20</w:t>
            </w:r>
          </w:p>
        </w:tc>
      </w:tr>
      <w:tr w:rsidR="00BC1D60" w:rsidTr="00BC5B38">
        <w:trPr>
          <w:cantSplit/>
        </w:trPr>
        <w:tc>
          <w:tcPr>
            <w:tcW w:w="1768" w:type="dxa"/>
          </w:tcPr>
          <w:p w:rsidR="00BC1D60" w:rsidRDefault="00BC1D60" w:rsidP="00BC5B38">
            <w:pPr>
              <w:pStyle w:val="ESTableRow"/>
              <w:keepNext/>
            </w:pPr>
            <w:r>
              <w:rPr>
                <w:rFonts w:ascii="Arial Narrow"/>
              </w:rPr>
              <w:t>EPS (A$)</w:t>
            </w:r>
          </w:p>
        </w:tc>
        <w:tc>
          <w:tcPr>
            <w:tcW w:w="1016" w:type="dxa"/>
          </w:tcPr>
          <w:p w:rsidR="00BC1D60" w:rsidRDefault="00BC1D60" w:rsidP="00BC5B38">
            <w:pPr>
              <w:pStyle w:val="ESTableRow"/>
              <w:keepNext/>
              <w:jc w:val="right"/>
            </w:pPr>
            <w:r>
              <w:rPr>
                <w:rFonts w:ascii="Arial Narrow"/>
              </w:rPr>
              <w:t>0.18</w:t>
            </w:r>
          </w:p>
        </w:tc>
        <w:tc>
          <w:tcPr>
            <w:tcW w:w="1016" w:type="dxa"/>
          </w:tcPr>
          <w:p w:rsidR="00BC1D60" w:rsidRDefault="00BC1D60" w:rsidP="00BC5B38">
            <w:pPr>
              <w:pStyle w:val="ESTableRow"/>
              <w:keepNext/>
              <w:jc w:val="right"/>
            </w:pPr>
            <w:r>
              <w:rPr>
                <w:rFonts w:ascii="Arial Narrow"/>
              </w:rPr>
              <w:t>0.03</w:t>
            </w:r>
          </w:p>
        </w:tc>
        <w:tc>
          <w:tcPr>
            <w:tcW w:w="1016" w:type="dxa"/>
          </w:tcPr>
          <w:p w:rsidR="00BC1D60" w:rsidRDefault="00BC1D60" w:rsidP="00BC5B38">
            <w:pPr>
              <w:pStyle w:val="ESTableRow"/>
              <w:keepNext/>
              <w:jc w:val="right"/>
            </w:pPr>
            <w:r>
              <w:rPr>
                <w:rFonts w:ascii="Arial Narrow"/>
              </w:rPr>
              <w:t>0.05</w:t>
            </w:r>
          </w:p>
        </w:tc>
        <w:tc>
          <w:tcPr>
            <w:tcW w:w="1016" w:type="dxa"/>
          </w:tcPr>
          <w:p w:rsidR="00BC1D60" w:rsidRDefault="00BC1D60" w:rsidP="00BC5B38">
            <w:pPr>
              <w:pStyle w:val="ESTableRow"/>
              <w:keepNext/>
              <w:jc w:val="right"/>
            </w:pPr>
            <w:r>
              <w:rPr>
                <w:rFonts w:ascii="Arial Narrow"/>
              </w:rPr>
              <w:t>0.06</w:t>
            </w:r>
          </w:p>
        </w:tc>
        <w:tc>
          <w:tcPr>
            <w:tcW w:w="1016" w:type="dxa"/>
          </w:tcPr>
          <w:p w:rsidR="00BC1D60" w:rsidRDefault="00BC1D60" w:rsidP="00BC5B38">
            <w:pPr>
              <w:pStyle w:val="ESTableRow"/>
              <w:keepNext/>
              <w:jc w:val="right"/>
            </w:pPr>
            <w:r>
              <w:rPr>
                <w:rFonts w:ascii="Arial Narrow"/>
              </w:rPr>
              <w:t>0.07</w:t>
            </w:r>
          </w:p>
        </w:tc>
      </w:tr>
      <w:tr w:rsidR="00BC1D60" w:rsidTr="00BC5B38">
        <w:trPr>
          <w:cantSplit/>
        </w:trPr>
        <w:tc>
          <w:tcPr>
            <w:tcW w:w="1768" w:type="dxa"/>
          </w:tcPr>
          <w:p w:rsidR="00BC1D60" w:rsidRDefault="00BC1D60" w:rsidP="00BC5B38">
            <w:pPr>
              <w:pStyle w:val="ESTableRow"/>
              <w:keepNext/>
            </w:pPr>
            <w:r>
              <w:rPr>
                <w:rFonts w:ascii="Arial Narrow"/>
              </w:rPr>
              <w:t xml:space="preserve">P/E (x) </w:t>
            </w:r>
          </w:p>
        </w:tc>
        <w:tc>
          <w:tcPr>
            <w:tcW w:w="1016" w:type="dxa"/>
          </w:tcPr>
          <w:p w:rsidR="00BC1D60" w:rsidRDefault="00BC1D60" w:rsidP="00BC5B38">
            <w:pPr>
              <w:pStyle w:val="ESTableRow"/>
              <w:keepNext/>
              <w:jc w:val="right"/>
            </w:pPr>
            <w:r>
              <w:rPr>
                <w:rFonts w:ascii="Arial Narrow"/>
              </w:rPr>
              <w:t>5.6</w:t>
            </w:r>
          </w:p>
        </w:tc>
        <w:tc>
          <w:tcPr>
            <w:tcW w:w="1016" w:type="dxa"/>
          </w:tcPr>
          <w:p w:rsidR="00BC1D60" w:rsidRDefault="00BC1D60" w:rsidP="00BC5B38">
            <w:pPr>
              <w:pStyle w:val="ESTableRow"/>
              <w:keepNext/>
              <w:jc w:val="right"/>
            </w:pPr>
            <w:r>
              <w:rPr>
                <w:rFonts w:ascii="Arial Narrow"/>
              </w:rPr>
              <w:t>33.1</w:t>
            </w:r>
          </w:p>
        </w:tc>
        <w:tc>
          <w:tcPr>
            <w:tcW w:w="1016" w:type="dxa"/>
          </w:tcPr>
          <w:p w:rsidR="00BC1D60" w:rsidRDefault="00BC1D60" w:rsidP="00BC5B38">
            <w:pPr>
              <w:pStyle w:val="ESTableRow"/>
              <w:keepNext/>
              <w:jc w:val="right"/>
            </w:pPr>
            <w:r>
              <w:rPr>
                <w:rFonts w:ascii="Arial Narrow"/>
              </w:rPr>
              <w:t>22.4</w:t>
            </w:r>
          </w:p>
        </w:tc>
        <w:tc>
          <w:tcPr>
            <w:tcW w:w="1016" w:type="dxa"/>
          </w:tcPr>
          <w:p w:rsidR="00BC1D60" w:rsidRDefault="00BC1D60" w:rsidP="00BC5B38">
            <w:pPr>
              <w:pStyle w:val="ESTableRow"/>
              <w:keepNext/>
              <w:jc w:val="right"/>
            </w:pPr>
            <w:r>
              <w:rPr>
                <w:rFonts w:ascii="Arial Narrow"/>
              </w:rPr>
              <w:t>16.3</w:t>
            </w:r>
          </w:p>
        </w:tc>
        <w:tc>
          <w:tcPr>
            <w:tcW w:w="1016" w:type="dxa"/>
          </w:tcPr>
          <w:p w:rsidR="00BC1D60" w:rsidRDefault="00BC1D60" w:rsidP="00BC5B38">
            <w:pPr>
              <w:pStyle w:val="ESTableRow"/>
              <w:keepNext/>
              <w:jc w:val="right"/>
            </w:pPr>
            <w:r>
              <w:rPr>
                <w:rFonts w:ascii="Arial Narrow"/>
              </w:rPr>
              <w:t>14.5</w:t>
            </w:r>
          </w:p>
        </w:tc>
      </w:tr>
      <w:tr w:rsidR="00BC1D60" w:rsidTr="00BC5B38">
        <w:trPr>
          <w:cantSplit/>
        </w:trPr>
        <w:tc>
          <w:tcPr>
            <w:tcW w:w="1768" w:type="dxa"/>
          </w:tcPr>
          <w:p w:rsidR="00BC1D60" w:rsidRDefault="00BC1D60" w:rsidP="00BC5B38">
            <w:pPr>
              <w:pStyle w:val="ESTableRow"/>
              <w:keepNext/>
            </w:pPr>
            <w:r>
              <w:rPr>
                <w:rFonts w:ascii="Arial Narrow"/>
              </w:rPr>
              <w:t xml:space="preserve">EV/EBITDA (x) </w:t>
            </w:r>
          </w:p>
        </w:tc>
        <w:tc>
          <w:tcPr>
            <w:tcW w:w="1016" w:type="dxa"/>
          </w:tcPr>
          <w:p w:rsidR="00BC1D60" w:rsidRDefault="00BC1D60" w:rsidP="00BC5B38">
            <w:pPr>
              <w:pStyle w:val="ESTableRow"/>
              <w:keepNext/>
              <w:jc w:val="right"/>
            </w:pPr>
            <w:r>
              <w:rPr>
                <w:rFonts w:ascii="Arial Narrow"/>
              </w:rPr>
              <w:t>NM</w:t>
            </w:r>
          </w:p>
        </w:tc>
        <w:tc>
          <w:tcPr>
            <w:tcW w:w="1016" w:type="dxa"/>
          </w:tcPr>
          <w:p w:rsidR="00BC1D60" w:rsidRDefault="00BC1D60" w:rsidP="00BC5B38">
            <w:pPr>
              <w:pStyle w:val="ESTableRow"/>
              <w:keepNext/>
              <w:jc w:val="right"/>
            </w:pPr>
            <w:r>
              <w:rPr>
                <w:rFonts w:ascii="Arial Narrow"/>
              </w:rPr>
              <w:t>7.9</w:t>
            </w:r>
          </w:p>
        </w:tc>
        <w:tc>
          <w:tcPr>
            <w:tcW w:w="1016" w:type="dxa"/>
          </w:tcPr>
          <w:p w:rsidR="00BC1D60" w:rsidRDefault="00BC1D60" w:rsidP="00BC5B38">
            <w:pPr>
              <w:pStyle w:val="ESTableRow"/>
              <w:keepNext/>
              <w:jc w:val="right"/>
            </w:pPr>
            <w:r>
              <w:rPr>
                <w:rFonts w:ascii="Arial Narrow"/>
              </w:rPr>
              <w:t>6.0</w:t>
            </w:r>
          </w:p>
        </w:tc>
        <w:tc>
          <w:tcPr>
            <w:tcW w:w="1016" w:type="dxa"/>
          </w:tcPr>
          <w:p w:rsidR="00BC1D60" w:rsidRDefault="00BC1D60" w:rsidP="00BC5B38">
            <w:pPr>
              <w:pStyle w:val="ESTableRow"/>
              <w:keepNext/>
              <w:jc w:val="right"/>
            </w:pPr>
            <w:r>
              <w:rPr>
                <w:rFonts w:ascii="Arial Narrow"/>
              </w:rPr>
              <w:t>3.9</w:t>
            </w:r>
          </w:p>
        </w:tc>
        <w:tc>
          <w:tcPr>
            <w:tcW w:w="1016" w:type="dxa"/>
          </w:tcPr>
          <w:p w:rsidR="00BC1D60" w:rsidRDefault="00BC1D60" w:rsidP="00BC5B38">
            <w:pPr>
              <w:pStyle w:val="ESTableRow"/>
              <w:keepNext/>
              <w:jc w:val="right"/>
            </w:pPr>
            <w:r>
              <w:rPr>
                <w:rFonts w:ascii="Arial Narrow"/>
              </w:rPr>
              <w:t>2.8</w:t>
            </w:r>
          </w:p>
        </w:tc>
      </w:tr>
      <w:tr w:rsidR="00BC1D60" w:rsidTr="00BC5B38">
        <w:trPr>
          <w:cantSplit/>
        </w:trPr>
        <w:tc>
          <w:tcPr>
            <w:tcW w:w="1768" w:type="dxa"/>
          </w:tcPr>
          <w:p w:rsidR="00BC1D60" w:rsidRDefault="00BC1D60" w:rsidP="00BC5B38">
            <w:pPr>
              <w:pStyle w:val="ESTableRow"/>
              <w:keepNext/>
            </w:pPr>
            <w:r>
              <w:rPr>
                <w:rFonts w:ascii="Arial Narrow"/>
              </w:rPr>
              <w:t>DPS (A$)</w:t>
            </w:r>
          </w:p>
        </w:tc>
        <w:tc>
          <w:tcPr>
            <w:tcW w:w="1016" w:type="dxa"/>
          </w:tcPr>
          <w:p w:rsidR="00BC1D60" w:rsidRDefault="00BC1D60" w:rsidP="00BC5B38">
            <w:pPr>
              <w:pStyle w:val="ESTableRow"/>
              <w:keepNext/>
              <w:jc w:val="right"/>
            </w:pPr>
            <w:r>
              <w:rPr>
                <w:rFonts w:ascii="Arial Narrow"/>
              </w:rPr>
              <w:t>0.23</w:t>
            </w:r>
          </w:p>
        </w:tc>
        <w:tc>
          <w:tcPr>
            <w:tcW w:w="1016" w:type="dxa"/>
          </w:tcPr>
          <w:p w:rsidR="00BC1D60" w:rsidRDefault="00BC1D60" w:rsidP="00BC5B38">
            <w:pPr>
              <w:pStyle w:val="ESTableRow"/>
              <w:keepNext/>
              <w:jc w:val="right"/>
            </w:pPr>
            <w:r>
              <w:rPr>
                <w:rFonts w:ascii="Arial Narrow"/>
              </w:rPr>
              <w:t>0.00</w:t>
            </w:r>
          </w:p>
        </w:tc>
        <w:tc>
          <w:tcPr>
            <w:tcW w:w="1016" w:type="dxa"/>
          </w:tcPr>
          <w:p w:rsidR="00BC1D60" w:rsidRDefault="00BC1D60" w:rsidP="00BC5B38">
            <w:pPr>
              <w:pStyle w:val="ESTableRow"/>
              <w:keepNext/>
              <w:jc w:val="right"/>
            </w:pPr>
            <w:r>
              <w:rPr>
                <w:rFonts w:ascii="Arial Narrow"/>
              </w:rPr>
              <w:t>0.05</w:t>
            </w:r>
          </w:p>
        </w:tc>
        <w:tc>
          <w:tcPr>
            <w:tcW w:w="1016" w:type="dxa"/>
          </w:tcPr>
          <w:p w:rsidR="00BC1D60" w:rsidRDefault="00BC1D60" w:rsidP="00BC5B38">
            <w:pPr>
              <w:pStyle w:val="ESTableRow"/>
              <w:keepNext/>
              <w:jc w:val="right"/>
            </w:pPr>
            <w:r>
              <w:rPr>
                <w:rFonts w:ascii="Arial Narrow"/>
              </w:rPr>
              <w:t>0.09</w:t>
            </w:r>
          </w:p>
        </w:tc>
        <w:tc>
          <w:tcPr>
            <w:tcW w:w="1016" w:type="dxa"/>
          </w:tcPr>
          <w:p w:rsidR="00BC1D60" w:rsidRDefault="00BC1D60" w:rsidP="00BC5B38">
            <w:pPr>
              <w:pStyle w:val="ESTableRow"/>
              <w:keepNext/>
              <w:jc w:val="right"/>
            </w:pPr>
            <w:r>
              <w:rPr>
                <w:rFonts w:ascii="Arial Narrow"/>
              </w:rPr>
              <w:t>0.09</w:t>
            </w:r>
          </w:p>
        </w:tc>
      </w:tr>
      <w:tr w:rsidR="00BC1D60" w:rsidTr="00BC5B38">
        <w:trPr>
          <w:cantSplit/>
        </w:trPr>
        <w:tc>
          <w:tcPr>
            <w:tcW w:w="1768" w:type="dxa"/>
          </w:tcPr>
          <w:p w:rsidR="00BC1D60" w:rsidRDefault="00BC1D60" w:rsidP="00BC5B38">
            <w:pPr>
              <w:pStyle w:val="ESTableRow"/>
              <w:keepNext/>
            </w:pPr>
            <w:r>
              <w:rPr>
                <w:rFonts w:ascii="Arial Narrow"/>
              </w:rPr>
              <w:t xml:space="preserve">Dividend Yield </w:t>
            </w:r>
          </w:p>
        </w:tc>
        <w:tc>
          <w:tcPr>
            <w:tcW w:w="1016" w:type="dxa"/>
          </w:tcPr>
          <w:p w:rsidR="00BC1D60" w:rsidRDefault="00BC1D60" w:rsidP="00BC5B38">
            <w:pPr>
              <w:pStyle w:val="ESTableRow"/>
              <w:keepNext/>
              <w:jc w:val="right"/>
            </w:pPr>
            <w:r>
              <w:rPr>
                <w:rFonts w:ascii="Arial Narrow"/>
              </w:rPr>
              <w:t>21.8%</w:t>
            </w:r>
          </w:p>
        </w:tc>
        <w:tc>
          <w:tcPr>
            <w:tcW w:w="1016" w:type="dxa"/>
          </w:tcPr>
          <w:p w:rsidR="00BC1D60" w:rsidRDefault="00BC1D60" w:rsidP="00BC5B38">
            <w:pPr>
              <w:pStyle w:val="ESTableRow"/>
              <w:keepNext/>
              <w:jc w:val="right"/>
            </w:pPr>
            <w:r>
              <w:rPr>
                <w:rFonts w:ascii="Arial Narrow"/>
              </w:rPr>
              <w:t>0.0%</w:t>
            </w:r>
          </w:p>
        </w:tc>
        <w:tc>
          <w:tcPr>
            <w:tcW w:w="1016" w:type="dxa"/>
          </w:tcPr>
          <w:p w:rsidR="00BC1D60" w:rsidRDefault="00BC1D60" w:rsidP="00BC5B38">
            <w:pPr>
              <w:pStyle w:val="ESTableRow"/>
              <w:keepNext/>
              <w:jc w:val="right"/>
            </w:pPr>
            <w:r>
              <w:rPr>
                <w:rFonts w:ascii="Arial Narrow"/>
              </w:rPr>
              <w:t>4.9%</w:t>
            </w:r>
          </w:p>
        </w:tc>
        <w:tc>
          <w:tcPr>
            <w:tcW w:w="1016" w:type="dxa"/>
          </w:tcPr>
          <w:p w:rsidR="00BC1D60" w:rsidRDefault="00BC1D60" w:rsidP="00BC5B38">
            <w:pPr>
              <w:pStyle w:val="ESTableRow"/>
              <w:keepNext/>
              <w:jc w:val="right"/>
            </w:pPr>
            <w:r>
              <w:rPr>
                <w:rFonts w:ascii="Arial Narrow"/>
              </w:rPr>
              <w:t>8.7%</w:t>
            </w:r>
          </w:p>
        </w:tc>
        <w:tc>
          <w:tcPr>
            <w:tcW w:w="1016" w:type="dxa"/>
          </w:tcPr>
          <w:p w:rsidR="00BC1D60" w:rsidRDefault="00BC1D60" w:rsidP="00BC5B38">
            <w:pPr>
              <w:pStyle w:val="ESTableRow"/>
              <w:keepNext/>
              <w:jc w:val="right"/>
            </w:pPr>
            <w:r>
              <w:rPr>
                <w:rFonts w:ascii="Arial Narrow"/>
              </w:rPr>
              <w:t>8.7%</w:t>
            </w:r>
          </w:p>
        </w:tc>
      </w:tr>
      <w:tr w:rsidR="00BC1D60" w:rsidTr="00BC5B38">
        <w:trPr>
          <w:cantSplit/>
        </w:trPr>
        <w:tc>
          <w:tcPr>
            <w:tcW w:w="1768" w:type="dxa"/>
          </w:tcPr>
          <w:p w:rsidR="00BC1D60" w:rsidRDefault="00BC1D60" w:rsidP="00BC5B38">
            <w:pPr>
              <w:pStyle w:val="ESTableRow"/>
              <w:keepNext/>
            </w:pPr>
            <w:r>
              <w:rPr>
                <w:rFonts w:ascii="Arial Narrow"/>
              </w:rPr>
              <w:t>Normalised EPS (A$)</w:t>
            </w:r>
          </w:p>
        </w:tc>
        <w:tc>
          <w:tcPr>
            <w:tcW w:w="1016" w:type="dxa"/>
          </w:tcPr>
          <w:p w:rsidR="00BC1D60" w:rsidRDefault="00BC1D60" w:rsidP="00BC5B38">
            <w:pPr>
              <w:pStyle w:val="ESTableRow"/>
              <w:keepNext/>
              <w:jc w:val="right"/>
            </w:pPr>
            <w:r>
              <w:rPr>
                <w:rFonts w:ascii="Arial Narrow"/>
              </w:rPr>
              <w:t>(0.08)</w:t>
            </w:r>
          </w:p>
        </w:tc>
        <w:tc>
          <w:tcPr>
            <w:tcW w:w="1016" w:type="dxa"/>
          </w:tcPr>
          <w:p w:rsidR="00BC1D60" w:rsidRDefault="00BC1D60" w:rsidP="00BC5B38">
            <w:pPr>
              <w:pStyle w:val="ESTableRow"/>
              <w:keepNext/>
              <w:jc w:val="right"/>
            </w:pPr>
            <w:r>
              <w:rPr>
                <w:rFonts w:ascii="Arial Narrow"/>
              </w:rPr>
              <w:t>0.05</w:t>
            </w:r>
          </w:p>
        </w:tc>
        <w:tc>
          <w:tcPr>
            <w:tcW w:w="1016" w:type="dxa"/>
          </w:tcPr>
          <w:p w:rsidR="00BC1D60" w:rsidRDefault="00BC1D60" w:rsidP="00BC5B38">
            <w:pPr>
              <w:pStyle w:val="ESTableRow"/>
              <w:keepNext/>
              <w:jc w:val="right"/>
            </w:pPr>
            <w:r>
              <w:rPr>
                <w:rFonts w:ascii="Arial Narrow"/>
              </w:rPr>
              <w:t>0.05</w:t>
            </w:r>
          </w:p>
        </w:tc>
        <w:tc>
          <w:tcPr>
            <w:tcW w:w="1016" w:type="dxa"/>
          </w:tcPr>
          <w:p w:rsidR="00BC1D60" w:rsidRDefault="00BC1D60" w:rsidP="00BC5B38">
            <w:pPr>
              <w:pStyle w:val="ESTableRow"/>
              <w:keepNext/>
              <w:jc w:val="right"/>
            </w:pPr>
            <w:r>
              <w:rPr>
                <w:rFonts w:ascii="Arial Narrow"/>
              </w:rPr>
              <w:t>0.07</w:t>
            </w:r>
          </w:p>
        </w:tc>
        <w:tc>
          <w:tcPr>
            <w:tcW w:w="1016" w:type="dxa"/>
          </w:tcPr>
          <w:p w:rsidR="00BC1D60" w:rsidRDefault="00BC1D60" w:rsidP="00BC5B38">
            <w:pPr>
              <w:pStyle w:val="ESTableRow"/>
              <w:keepNext/>
              <w:jc w:val="right"/>
            </w:pPr>
            <w:r>
              <w:rPr>
                <w:rFonts w:ascii="Arial Narrow"/>
              </w:rPr>
              <w:t>0.08</w:t>
            </w:r>
          </w:p>
        </w:tc>
      </w:tr>
      <w:tr w:rsidR="00BC1D60" w:rsidTr="00BC5B38">
        <w:trPr>
          <w:cantSplit/>
        </w:trPr>
        <w:tc>
          <w:tcPr>
            <w:tcW w:w="1768" w:type="dxa"/>
          </w:tcPr>
          <w:p w:rsidR="00BC1D60" w:rsidRDefault="00BC1D60" w:rsidP="00BC5B38">
            <w:pPr>
              <w:pStyle w:val="ESTableRow"/>
              <w:keepNext/>
            </w:pPr>
            <w:r>
              <w:rPr>
                <w:rFonts w:ascii="Arial Narrow"/>
              </w:rPr>
              <w:t xml:space="preserve">Normalised EPS Growth </w:t>
            </w:r>
          </w:p>
        </w:tc>
        <w:tc>
          <w:tcPr>
            <w:tcW w:w="1016" w:type="dxa"/>
          </w:tcPr>
          <w:p w:rsidR="00BC1D60" w:rsidRDefault="00BC1D60" w:rsidP="00BC5B38">
            <w:pPr>
              <w:pStyle w:val="ESTableRow"/>
              <w:keepNext/>
              <w:jc w:val="right"/>
            </w:pPr>
            <w:r>
              <w:rPr>
                <w:rFonts w:ascii="Arial Narrow"/>
              </w:rPr>
              <w:t>(211.6%)</w:t>
            </w:r>
          </w:p>
        </w:tc>
        <w:tc>
          <w:tcPr>
            <w:tcW w:w="1016" w:type="dxa"/>
          </w:tcPr>
          <w:p w:rsidR="00BC1D60" w:rsidRDefault="00BC1D60" w:rsidP="00BC5B38">
            <w:pPr>
              <w:pStyle w:val="ESTableRow"/>
              <w:keepNext/>
              <w:jc w:val="right"/>
            </w:pPr>
            <w:r>
              <w:rPr>
                <w:rFonts w:ascii="Arial Narrow"/>
              </w:rPr>
              <w:t>(157.9%)</w:t>
            </w:r>
          </w:p>
        </w:tc>
        <w:tc>
          <w:tcPr>
            <w:tcW w:w="1016" w:type="dxa"/>
          </w:tcPr>
          <w:p w:rsidR="00BC1D60" w:rsidRDefault="00BC1D60" w:rsidP="00BC5B38">
            <w:pPr>
              <w:pStyle w:val="ESTableRow"/>
              <w:keepNext/>
              <w:jc w:val="right"/>
            </w:pPr>
            <w:r>
              <w:rPr>
                <w:rFonts w:ascii="Arial Narrow"/>
              </w:rPr>
              <w:t>14.1%</w:t>
            </w:r>
          </w:p>
        </w:tc>
        <w:tc>
          <w:tcPr>
            <w:tcW w:w="1016" w:type="dxa"/>
          </w:tcPr>
          <w:p w:rsidR="00BC1D60" w:rsidRDefault="00BC1D60" w:rsidP="00BC5B38">
            <w:pPr>
              <w:pStyle w:val="ESTableRow"/>
              <w:keepNext/>
              <w:jc w:val="right"/>
            </w:pPr>
            <w:r>
              <w:rPr>
                <w:rFonts w:ascii="Arial Narrow"/>
              </w:rPr>
              <w:t>33.8%</w:t>
            </w:r>
          </w:p>
        </w:tc>
        <w:tc>
          <w:tcPr>
            <w:tcW w:w="1016" w:type="dxa"/>
          </w:tcPr>
          <w:p w:rsidR="00BC1D60" w:rsidRDefault="00BC1D60" w:rsidP="00BC5B38">
            <w:pPr>
              <w:pStyle w:val="ESTableRow"/>
              <w:keepNext/>
              <w:jc w:val="right"/>
            </w:pPr>
            <w:r>
              <w:rPr>
                <w:rFonts w:ascii="Arial Narrow"/>
              </w:rPr>
              <w:t>11.2%</w:t>
            </w:r>
          </w:p>
        </w:tc>
      </w:tr>
      <w:tr w:rsidR="00BC1D60" w:rsidTr="00BC5B38">
        <w:trPr>
          <w:cantSplit/>
        </w:trPr>
        <w:tc>
          <w:tcPr>
            <w:tcW w:w="1768" w:type="dxa"/>
            <w:tcBorders>
              <w:bottom w:val="single" w:sz="4" w:space="0" w:color="auto"/>
            </w:tcBorders>
          </w:tcPr>
          <w:p w:rsidR="00BC1D60" w:rsidRDefault="00BC1D60" w:rsidP="00BC5B38">
            <w:pPr>
              <w:pStyle w:val="ESTableRow"/>
              <w:keepNext/>
            </w:pPr>
            <w:r>
              <w:rPr>
                <w:rFonts w:ascii="Arial Narrow"/>
              </w:rPr>
              <w:t xml:space="preserve">Normalised PE </w:t>
            </w:r>
          </w:p>
        </w:tc>
        <w:tc>
          <w:tcPr>
            <w:tcW w:w="1016" w:type="dxa"/>
            <w:tcBorders>
              <w:bottom w:val="single" w:sz="4" w:space="0" w:color="auto"/>
            </w:tcBorders>
          </w:tcPr>
          <w:p w:rsidR="00BC1D60" w:rsidRDefault="00BC1D60" w:rsidP="00BC5B38">
            <w:pPr>
              <w:pStyle w:val="ESTableRow"/>
              <w:keepNext/>
              <w:jc w:val="right"/>
            </w:pPr>
            <w:r>
              <w:rPr>
                <w:rFonts w:ascii="Arial Narrow"/>
              </w:rPr>
              <w:t>NM</w:t>
            </w:r>
          </w:p>
        </w:tc>
        <w:tc>
          <w:tcPr>
            <w:tcW w:w="1016" w:type="dxa"/>
            <w:tcBorders>
              <w:bottom w:val="single" w:sz="4" w:space="0" w:color="auto"/>
            </w:tcBorders>
          </w:tcPr>
          <w:p w:rsidR="00BC1D60" w:rsidRDefault="00BC1D60" w:rsidP="00BC5B38">
            <w:pPr>
              <w:pStyle w:val="ESTableRow"/>
              <w:keepNext/>
              <w:jc w:val="right"/>
            </w:pPr>
            <w:r>
              <w:rPr>
                <w:rFonts w:ascii="Arial Narrow"/>
              </w:rPr>
              <w:t>22.6</w:t>
            </w:r>
          </w:p>
        </w:tc>
        <w:tc>
          <w:tcPr>
            <w:tcW w:w="1016" w:type="dxa"/>
            <w:tcBorders>
              <w:bottom w:val="single" w:sz="4" w:space="0" w:color="auto"/>
            </w:tcBorders>
          </w:tcPr>
          <w:p w:rsidR="00BC1D60" w:rsidRDefault="00BC1D60" w:rsidP="00BC5B38">
            <w:pPr>
              <w:pStyle w:val="ESTableRow"/>
              <w:keepNext/>
              <w:jc w:val="right"/>
            </w:pPr>
            <w:r>
              <w:rPr>
                <w:rFonts w:ascii="Arial Narrow"/>
              </w:rPr>
              <w:t>19.8</w:t>
            </w:r>
          </w:p>
        </w:tc>
        <w:tc>
          <w:tcPr>
            <w:tcW w:w="1016" w:type="dxa"/>
            <w:tcBorders>
              <w:bottom w:val="single" w:sz="4" w:space="0" w:color="auto"/>
            </w:tcBorders>
          </w:tcPr>
          <w:p w:rsidR="00BC1D60" w:rsidRDefault="00BC1D60" w:rsidP="00BC5B38">
            <w:pPr>
              <w:pStyle w:val="ESTableRow"/>
              <w:keepNext/>
              <w:jc w:val="right"/>
            </w:pPr>
            <w:r>
              <w:rPr>
                <w:rFonts w:ascii="Arial Narrow"/>
              </w:rPr>
              <w:t>14.8</w:t>
            </w:r>
          </w:p>
        </w:tc>
        <w:tc>
          <w:tcPr>
            <w:tcW w:w="1016" w:type="dxa"/>
            <w:tcBorders>
              <w:bottom w:val="single" w:sz="4" w:space="0" w:color="auto"/>
            </w:tcBorders>
          </w:tcPr>
          <w:p w:rsidR="00BC1D60" w:rsidRDefault="00BC1D60" w:rsidP="00BC5B38">
            <w:pPr>
              <w:pStyle w:val="ESTableRow"/>
              <w:keepNext/>
              <w:jc w:val="right"/>
            </w:pPr>
            <w:r>
              <w:rPr>
                <w:rFonts w:ascii="Arial Narrow"/>
              </w:rPr>
              <w:t>13.3</w:t>
            </w:r>
          </w:p>
        </w:tc>
      </w:tr>
    </w:tbl>
    <w:p w:rsidR="00BC1D60" w:rsidRDefault="00BC1D60" w:rsidP="00BC1D60">
      <w:pPr>
        <w:pStyle w:val="Source"/>
        <w:rPr>
          <w:highlight w:val="yellow"/>
        </w:rPr>
      </w:pPr>
      <w:r>
        <w:t>Source: Company data, Bloomberg, J.P. Morgan estimates</w:t>
      </w:r>
      <w:r w:rsidRPr="004F1ABB">
        <w:rPr>
          <w:highlight w:val="yellow"/>
        </w:rPr>
        <w:br w:type="page"/>
      </w:r>
    </w:p>
    <w:p w:rsidR="00BC1D60" w:rsidRPr="00053456" w:rsidRDefault="00BC1D60" w:rsidP="00BC1D60">
      <w:pPr>
        <w:pStyle w:val="Body"/>
        <w:rPr>
          <w:highlight w:val="yellow"/>
        </w:rPr>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2C1C39" w:rsidTr="00BC5B38">
        <w:tc>
          <w:tcPr>
            <w:tcW w:w="10604" w:type="dxa"/>
            <w:gridSpan w:val="3"/>
            <w:shd w:val="clear" w:color="auto" w:fill="auto"/>
          </w:tcPr>
          <w:p w:rsidR="00BC1D60" w:rsidRPr="002C1C39" w:rsidRDefault="00BC1D60" w:rsidP="00BC5B38">
            <w:pPr>
              <w:pStyle w:val="Heading1-NoTOC"/>
            </w:pPr>
            <w:bookmarkStart w:id="138" w:name="_Toc384044959"/>
            <w:bookmarkStart w:id="139" w:name="_Toc384135983"/>
            <w:bookmarkStart w:id="140" w:name="_Toc384136950"/>
            <w:bookmarkStart w:id="141" w:name="_Toc392016347"/>
            <w:bookmarkStart w:id="142" w:name="_Toc392099065"/>
            <w:r w:rsidRPr="002C1C39">
              <w:t>Getting to know our SMid Analysts…</w:t>
            </w:r>
            <w:bookmarkEnd w:id="138"/>
            <w:bookmarkEnd w:id="139"/>
            <w:bookmarkEnd w:id="140"/>
            <w:bookmarkEnd w:id="141"/>
            <w:bookmarkEnd w:id="142"/>
          </w:p>
        </w:tc>
      </w:tr>
      <w:tr w:rsidR="00BC1D60" w:rsidRPr="002C1C39" w:rsidTr="00BC5B38">
        <w:trPr>
          <w:trHeight w:val="3427"/>
        </w:trPr>
        <w:tc>
          <w:tcPr>
            <w:tcW w:w="2666" w:type="dxa"/>
            <w:shd w:val="clear" w:color="auto" w:fill="auto"/>
          </w:tcPr>
          <w:p w:rsidR="00BC1D60" w:rsidRPr="002C1C39" w:rsidRDefault="00BC1D60" w:rsidP="00BC5B38">
            <w:pPr>
              <w:pStyle w:val="Body"/>
              <w:spacing w:after="120"/>
            </w:pPr>
            <w:r w:rsidRPr="002C1C39">
              <w:rPr>
                <w:noProof/>
              </w:rPr>
              <w:drawing>
                <wp:inline distT="0" distB="0" distL="0" distR="0">
                  <wp:extent cx="1301896" cy="1411833"/>
                  <wp:effectExtent l="19050" t="0" r="0" b="0"/>
                  <wp:docPr id="132" name="Picture 15" descr="Armina Soe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mina Soemino"/>
                          <pic:cNvPicPr>
                            <a:picLocks noChangeAspect="1" noChangeArrowheads="1"/>
                          </pic:cNvPicPr>
                        </pic:nvPicPr>
                        <pic:blipFill>
                          <a:blip r:embed="rId58"/>
                          <a:srcRect r="42602"/>
                          <a:stretch>
                            <a:fillRect/>
                          </a:stretch>
                        </pic:blipFill>
                        <pic:spPr bwMode="auto">
                          <a:xfrm>
                            <a:off x="0" y="0"/>
                            <a:ext cx="1305257" cy="1415477"/>
                          </a:xfrm>
                          <a:prstGeom prst="rect">
                            <a:avLst/>
                          </a:prstGeom>
                          <a:noFill/>
                          <a:ln w="9525">
                            <a:noFill/>
                            <a:miter lim="800000"/>
                            <a:headEnd/>
                            <a:tailEnd/>
                          </a:ln>
                        </pic:spPr>
                      </pic:pic>
                    </a:graphicData>
                  </a:graphic>
                </wp:inline>
              </w:drawing>
            </w:r>
          </w:p>
        </w:tc>
        <w:tc>
          <w:tcPr>
            <w:tcW w:w="3544" w:type="dxa"/>
            <w:shd w:val="clear" w:color="auto" w:fill="auto"/>
          </w:tcPr>
          <w:p w:rsidR="00BC1D60" w:rsidRPr="002C1C39" w:rsidRDefault="00BC1D60" w:rsidP="00BC5B38">
            <w:pPr>
              <w:pStyle w:val="Heading2"/>
              <w:outlineLvl w:val="1"/>
              <w:rPr>
                <w:lang w:val="es-ES_tradnl"/>
              </w:rPr>
            </w:pPr>
            <w:r w:rsidRPr="002C1C39">
              <w:rPr>
                <w:lang w:val="es-ES_tradnl"/>
              </w:rPr>
              <w:t>Armina Soemino</w:t>
            </w:r>
          </w:p>
          <w:p w:rsidR="00BC1D60" w:rsidRPr="002C1C39" w:rsidRDefault="003B051F" w:rsidP="00BC5B38">
            <w:pPr>
              <w:pStyle w:val="Body"/>
              <w:spacing w:after="120"/>
              <w:rPr>
                <w:rFonts w:ascii="Arial Narrow" w:hAnsi="Arial Narrow"/>
                <w:lang w:val="es-ES_tradnl"/>
              </w:rPr>
            </w:pPr>
            <w:hyperlink r:id="rId59" w:history="1">
              <w:r w:rsidR="00BC1D60" w:rsidRPr="002C1C39">
                <w:rPr>
                  <w:rStyle w:val="Hyperlink"/>
                  <w:rFonts w:ascii="Arial Narrow" w:hAnsi="Arial Narrow"/>
                  <w:lang w:val="es-ES_tradnl"/>
                </w:rPr>
                <w:t>armina.x.soemino@jpmorgan.com</w:t>
              </w:r>
            </w:hyperlink>
          </w:p>
          <w:p w:rsidR="00BC1D60" w:rsidRPr="002C1C39" w:rsidRDefault="00BC1D60" w:rsidP="00BC5B38">
            <w:pPr>
              <w:pStyle w:val="Body"/>
              <w:spacing w:after="120"/>
              <w:rPr>
                <w:rFonts w:ascii="Arial Narrow" w:hAnsi="Arial Narrow"/>
                <w:lang w:val="es-ES_tradnl"/>
              </w:rPr>
            </w:pPr>
            <w:r w:rsidRPr="002C1C39">
              <w:rPr>
                <w:rFonts w:ascii="Arial Narrow" w:hAnsi="Arial Narrow"/>
                <w:lang w:val="es-ES_tradnl"/>
              </w:rPr>
              <w:t>(61-2) 9003-8620</w:t>
            </w:r>
          </w:p>
          <w:p w:rsidR="00BC1D60" w:rsidRPr="002C1C39" w:rsidRDefault="00BC1D60" w:rsidP="00BC5B38">
            <w:pPr>
              <w:pStyle w:val="Body"/>
              <w:spacing w:after="120"/>
              <w:rPr>
                <w:rFonts w:ascii="Arial Narrow" w:hAnsi="Arial Narrow"/>
                <w:lang w:val="es-ES_tradnl"/>
              </w:rPr>
            </w:pPr>
          </w:p>
          <w:p w:rsidR="00BC1D60" w:rsidRPr="002C1C39" w:rsidRDefault="00BC1D60" w:rsidP="00BC5B38">
            <w:pPr>
              <w:pStyle w:val="Body"/>
              <w:spacing w:after="120"/>
              <w:rPr>
                <w:rFonts w:ascii="Arial Narrow" w:hAnsi="Arial Narrow"/>
              </w:rPr>
            </w:pPr>
            <w:r w:rsidRPr="002C1C39">
              <w:rPr>
                <w:rFonts w:ascii="Arial Narrow" w:hAnsi="Arial Narrow"/>
                <w:b/>
              </w:rPr>
              <w:t>Region:</w:t>
            </w:r>
            <w:r w:rsidRPr="002C1C39">
              <w:rPr>
                <w:rFonts w:ascii="Arial Narrow" w:hAnsi="Arial Narrow"/>
              </w:rPr>
              <w:t xml:space="preserve"> Australia/NZ</w:t>
            </w:r>
          </w:p>
          <w:p w:rsidR="00BC1D60" w:rsidRPr="002C1C39" w:rsidRDefault="00BC1D60" w:rsidP="00BC5B38">
            <w:pPr>
              <w:pStyle w:val="Body"/>
              <w:spacing w:after="120"/>
              <w:rPr>
                <w:rFonts w:ascii="Arial Narrow" w:hAnsi="Arial Narrow"/>
              </w:rPr>
            </w:pPr>
            <w:r w:rsidRPr="002C1C39">
              <w:rPr>
                <w:rFonts w:ascii="Arial Narrow" w:hAnsi="Arial Narrow"/>
                <w:b/>
              </w:rPr>
              <w:t>Sector:</w:t>
            </w:r>
            <w:r w:rsidRPr="002C1C39">
              <w:rPr>
                <w:rFonts w:ascii="Arial Narrow" w:hAnsi="Arial Narrow"/>
              </w:rPr>
              <w:t xml:space="preserve"> </w:t>
            </w:r>
            <w:r w:rsidRPr="002C1C39">
              <w:rPr>
                <w:rFonts w:ascii="Arial Narrow" w:hAnsi="Arial Narrow"/>
                <w:bCs/>
              </w:rPr>
              <w:t>Emerging Companies</w:t>
            </w:r>
          </w:p>
          <w:p w:rsidR="00BC1D60" w:rsidRPr="002C1C39" w:rsidRDefault="00BC1D60" w:rsidP="00BC5B38">
            <w:pPr>
              <w:pStyle w:val="Body"/>
            </w:pPr>
          </w:p>
        </w:tc>
        <w:tc>
          <w:tcPr>
            <w:tcW w:w="4394" w:type="dxa"/>
            <w:shd w:val="clear" w:color="auto" w:fill="auto"/>
          </w:tcPr>
          <w:p w:rsidR="00BC1D60" w:rsidRPr="002C1C39" w:rsidRDefault="00BC1D60" w:rsidP="00BC5B38">
            <w:pPr>
              <w:pStyle w:val="Body"/>
              <w:jc w:val="right"/>
            </w:pPr>
            <w:r w:rsidRPr="002C1C39">
              <w:rPr>
                <w:noProof/>
              </w:rPr>
              <w:drawing>
                <wp:inline distT="0" distB="0" distL="0" distR="0">
                  <wp:extent cx="2505456" cy="2153971"/>
                  <wp:effectExtent l="19050" t="0" r="9144" b="0"/>
                  <wp:docPr id="1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srcRect/>
                          <a:stretch>
                            <a:fillRect/>
                          </a:stretch>
                        </pic:blipFill>
                        <pic:spPr bwMode="auto">
                          <a:xfrm>
                            <a:off x="0" y="0"/>
                            <a:ext cx="2505456" cy="2153971"/>
                          </a:xfrm>
                          <a:prstGeom prst="rect">
                            <a:avLst/>
                          </a:prstGeom>
                          <a:noFill/>
                          <a:ln w="9525">
                            <a:noFill/>
                            <a:miter lim="800000"/>
                            <a:headEnd/>
                            <a:tailEnd/>
                          </a:ln>
                        </pic:spPr>
                      </pic:pic>
                    </a:graphicData>
                  </a:graphic>
                </wp:inline>
              </w:drawing>
            </w:r>
          </w:p>
        </w:tc>
      </w:tr>
    </w:tbl>
    <w:p w:rsidR="00BC1D60" w:rsidRPr="002C1C39" w:rsidRDefault="00BC1D60" w:rsidP="00BC1D60">
      <w:pPr>
        <w:pStyle w:val="Source"/>
        <w:spacing w:before="0"/>
        <w:ind w:left="-3124" w:hanging="137"/>
      </w:pPr>
      <w:r w:rsidRPr="002C1C39">
        <w:rPr>
          <w:noProof/>
        </w:rPr>
        <w:drawing>
          <wp:inline distT="0" distB="0" distL="0" distR="0">
            <wp:extent cx="6702552" cy="2434625"/>
            <wp:effectExtent l="19050" t="0" r="3048" b="0"/>
            <wp:docPr id="1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srcRect/>
                    <a:stretch>
                      <a:fillRect/>
                    </a:stretch>
                  </pic:blipFill>
                  <pic:spPr bwMode="auto">
                    <a:xfrm>
                      <a:off x="0" y="0"/>
                      <a:ext cx="6702552" cy="2434625"/>
                    </a:xfrm>
                    <a:prstGeom prst="rect">
                      <a:avLst/>
                    </a:prstGeom>
                    <a:noFill/>
                    <a:ln w="9525">
                      <a:noFill/>
                      <a:miter lim="800000"/>
                      <a:headEnd/>
                      <a:tailEnd/>
                    </a:ln>
                  </pic:spPr>
                </pic:pic>
              </a:graphicData>
            </a:graphic>
          </wp:inline>
        </w:drawing>
      </w:r>
      <w:r w:rsidRPr="002C1C39">
        <w:t xml:space="preserve"> Source: Bloomberg, Datastream, Factset, J.P. Morgan</w:t>
      </w:r>
      <w:r w:rsidRPr="002C1C39">
        <w:br/>
      </w:r>
      <w:r w:rsidRPr="0087013D">
        <w:t>Prices as of 24 June 2014</w:t>
      </w:r>
    </w:p>
    <w:p w:rsidR="00BC1D60" w:rsidRPr="004F1ABB" w:rsidRDefault="00BC1D60" w:rsidP="00BC1D60">
      <w:pPr>
        <w:pStyle w:val="Sidecomments"/>
        <w:framePr w:w="0" w:hRule="auto" w:wrap="around"/>
        <w:rPr>
          <w:highlight w:val="yellow"/>
        </w:rPr>
      </w:pPr>
      <w:r w:rsidRPr="00D87257">
        <w:rPr>
          <w:noProof/>
        </w:rPr>
        <w:lastRenderedPageBreak/>
        <w:drawing>
          <wp:inline distT="0" distB="0" distL="0" distR="0">
            <wp:extent cx="1737360" cy="7712673"/>
            <wp:effectExtent l="19050" t="0" r="0" b="0"/>
            <wp:docPr id="135"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2"/>
                    <a:srcRect/>
                    <a:stretch>
                      <a:fillRect/>
                    </a:stretch>
                  </pic:blipFill>
                  <pic:spPr bwMode="auto">
                    <a:xfrm>
                      <a:off x="0" y="0"/>
                      <a:ext cx="1737360" cy="7712673"/>
                    </a:xfrm>
                    <a:prstGeom prst="rect">
                      <a:avLst/>
                    </a:prstGeom>
                    <a:noFill/>
                    <a:ln w="9525">
                      <a:noFill/>
                      <a:miter lim="800000"/>
                      <a:headEnd/>
                      <a:tailEnd/>
                    </a:ln>
                  </pic:spPr>
                </pic:pic>
              </a:graphicData>
            </a:graphic>
          </wp:inline>
        </w:drawing>
      </w:r>
    </w:p>
    <w:p w:rsidR="00BC1D60" w:rsidRPr="00A47405" w:rsidRDefault="00BC1D60" w:rsidP="00BC1D60">
      <w:pPr>
        <w:pStyle w:val="Heading1"/>
        <w:spacing w:before="0" w:after="60"/>
        <w:ind w:right="-510"/>
        <w:rPr>
          <w:lang w:val="es-ES_tradnl"/>
        </w:rPr>
      </w:pPr>
      <w:bookmarkStart w:id="143" w:name="_Toc384135986"/>
      <w:bookmarkStart w:id="144" w:name="_Toc392099066"/>
      <w:bookmarkStart w:id="145" w:name="_Toc392081809"/>
      <w:bookmarkStart w:id="146" w:name="_Toc392081872"/>
      <w:r w:rsidRPr="00A47405">
        <w:rPr>
          <w:lang w:val="es-ES_tradnl"/>
        </w:rPr>
        <w:t>CTT – Correios de Portugal (CTT PL/N/€7.09)</w:t>
      </w:r>
      <w:bookmarkEnd w:id="143"/>
      <w:bookmarkEnd w:id="144"/>
      <w:bookmarkEnd w:id="145"/>
      <w:bookmarkEnd w:id="146"/>
    </w:p>
    <w:p w:rsidR="00BC1D60" w:rsidRPr="00240F35" w:rsidRDefault="00BC1D60" w:rsidP="00BC1D60">
      <w:pPr>
        <w:rPr>
          <w:rFonts w:ascii="Arial" w:hAnsi="Arial"/>
          <w:b/>
          <w:i/>
          <w:color w:val="4E8ABE"/>
        </w:rPr>
      </w:pPr>
      <w:r w:rsidRPr="00240F35">
        <w:rPr>
          <w:rFonts w:ascii="Arial" w:hAnsi="Arial"/>
          <w:b/>
          <w:i/>
          <w:color w:val="4E8ABE"/>
        </w:rPr>
        <w:t>Yield play geared to Iberian recovery/expand</w:t>
      </w:r>
      <w:r>
        <w:rPr>
          <w:rFonts w:ascii="Arial" w:hAnsi="Arial"/>
          <w:b/>
          <w:i/>
          <w:color w:val="4E8ABE"/>
        </w:rPr>
        <w:t>ing financial service portfolio</w:t>
      </w:r>
    </w:p>
    <w:p w:rsidR="00BC1D60" w:rsidRPr="00240F35" w:rsidRDefault="00BC1D60" w:rsidP="00BC1D60">
      <w:pPr>
        <w:pStyle w:val="Heading3"/>
        <w:spacing w:after="0"/>
      </w:pPr>
      <w:r w:rsidRPr="00240F35">
        <w:t>Investment Highlights:</w:t>
      </w:r>
    </w:p>
    <w:p w:rsidR="00BC1D60" w:rsidRPr="00240F35" w:rsidRDefault="00BC1D60" w:rsidP="00BC1D60">
      <w:pPr>
        <w:pStyle w:val="Bullet"/>
        <w:tabs>
          <w:tab w:val="clear" w:pos="288"/>
          <w:tab w:val="left" w:pos="360"/>
        </w:tabs>
        <w:spacing w:after="0"/>
        <w:ind w:left="225" w:hanging="216"/>
        <w:rPr>
          <w:b/>
          <w:szCs w:val="21"/>
        </w:rPr>
      </w:pPr>
      <w:r w:rsidRPr="00240F35">
        <w:rPr>
          <w:szCs w:val="21"/>
        </w:rPr>
        <w:t>CTT has a min dividend payout strategy of 90% with mgmt expecting 2013 divs of €60m (5.</w:t>
      </w:r>
      <w:r>
        <w:rPr>
          <w:szCs w:val="21"/>
        </w:rPr>
        <w:t>5</w:t>
      </w:r>
      <w:r w:rsidRPr="00240F35">
        <w:rPr>
          <w:szCs w:val="21"/>
        </w:rPr>
        <w:t>% yld). We estimate €</w:t>
      </w:r>
      <w:r>
        <w:rPr>
          <w:szCs w:val="21"/>
        </w:rPr>
        <w:t>93</w:t>
      </w:r>
      <w:r w:rsidRPr="00240F35">
        <w:rPr>
          <w:szCs w:val="21"/>
        </w:rPr>
        <w:t>m FCF in '14 (</w:t>
      </w:r>
      <w:r>
        <w:rPr>
          <w:szCs w:val="21"/>
        </w:rPr>
        <w:t>8.6</w:t>
      </w:r>
      <w:r w:rsidRPr="00240F35">
        <w:rPr>
          <w:szCs w:val="21"/>
        </w:rPr>
        <w:t>% yld, 1.2x FCF/Div cover). CTT has the lowest leverage in its peer group with €1.65/sh in net cash (more than offsetting the €1.40/sh net benefit liabilities, with potential to transfer €180m healthcare benefit liabilities to the Portuguese state).</w:t>
      </w:r>
      <w:r>
        <w:rPr>
          <w:b/>
          <w:szCs w:val="21"/>
        </w:rPr>
        <w:t xml:space="preserve"> </w:t>
      </w:r>
    </w:p>
    <w:p w:rsidR="00BC1D60" w:rsidRPr="00240F35" w:rsidRDefault="00BC1D60" w:rsidP="00BC1D60">
      <w:pPr>
        <w:pStyle w:val="Bullet"/>
        <w:tabs>
          <w:tab w:val="clear" w:pos="288"/>
          <w:tab w:val="left" w:pos="360"/>
        </w:tabs>
        <w:spacing w:after="0"/>
        <w:ind w:left="225" w:right="-283" w:hanging="216"/>
        <w:rPr>
          <w:szCs w:val="21"/>
        </w:rPr>
      </w:pPr>
      <w:r w:rsidRPr="00240F35">
        <w:rPr>
          <w:szCs w:val="21"/>
        </w:rPr>
        <w:t>While trad mail volumes are declining, CTT has tools to offset this through: i) cost reduction — €70m savings achieved '09-'12, est €40m for '13-'15, €18m of which already seen in first 9mths of 2013; ii) non-mail growth — exposed to long term parcel grw trends in a region hit by recession and where e-commerce grw lags neighbours (online sales just 2% in Iberia vs EU avg 8% and ~10% in UK).</w:t>
      </w:r>
      <w:r>
        <w:rPr>
          <w:szCs w:val="21"/>
        </w:rPr>
        <w:t xml:space="preserve"> </w:t>
      </w:r>
    </w:p>
    <w:p w:rsidR="00BC1D60" w:rsidRPr="00240F35" w:rsidRDefault="00BC1D60" w:rsidP="00BC1D60">
      <w:pPr>
        <w:pStyle w:val="Bullet"/>
        <w:tabs>
          <w:tab w:val="clear" w:pos="288"/>
          <w:tab w:val="clear" w:pos="360"/>
          <w:tab w:val="num" w:pos="450"/>
          <w:tab w:val="left" w:pos="630"/>
        </w:tabs>
        <w:spacing w:after="0"/>
        <w:ind w:left="225" w:hanging="207"/>
        <w:rPr>
          <w:szCs w:val="21"/>
        </w:rPr>
      </w:pPr>
      <w:r w:rsidRPr="00240F35">
        <w:rPr>
          <w:rFonts w:cs="Arial"/>
          <w:bCs/>
          <w:szCs w:val="21"/>
        </w:rPr>
        <w:t>There is potential for CTT to expand its financial svcs portfolio with other low-risk, fee-based revs by leveraging the retail network (eg govt savings products, expansion into consumer credit/banking mkt</w:t>
      </w:r>
      <w:r>
        <w:rPr>
          <w:rFonts w:cs="Arial"/>
          <w:bCs/>
          <w:szCs w:val="21"/>
        </w:rPr>
        <w:t>s, provision of State services) — in Jun ’14 CTT announced the formalised 5yr tie-up with BNP Paribas Personal Finance governing the launch of consumer credit products</w:t>
      </w:r>
      <w:r w:rsidRPr="00240F35">
        <w:rPr>
          <w:rFonts w:cs="Arial"/>
          <w:bCs/>
          <w:szCs w:val="21"/>
        </w:rPr>
        <w:t xml:space="preserve">. CTT also recently acquired a </w:t>
      </w:r>
      <w:r w:rsidRPr="00240F35">
        <w:rPr>
          <w:szCs w:val="21"/>
        </w:rPr>
        <w:t>provisional bank</w:t>
      </w:r>
      <w:r w:rsidRPr="00240F35">
        <w:rPr>
          <w:rFonts w:cs="Arial"/>
          <w:bCs/>
          <w:szCs w:val="21"/>
        </w:rPr>
        <w:t>ing licence, &amp; generates 7% of revs from advertising (a mkt we believe has troughed)</w:t>
      </w:r>
      <w:r w:rsidRPr="00240F35">
        <w:rPr>
          <w:rFonts w:cs="Arial"/>
          <w:b/>
          <w:bCs/>
          <w:szCs w:val="21"/>
        </w:rPr>
        <w:t>.</w:t>
      </w:r>
      <w:r w:rsidRPr="00240F35">
        <w:rPr>
          <w:szCs w:val="21"/>
        </w:rPr>
        <w:t xml:space="preserve"> </w:t>
      </w:r>
    </w:p>
    <w:p w:rsidR="00BC1D60" w:rsidRPr="00240F35" w:rsidRDefault="00BC1D60" w:rsidP="00BC1D60">
      <w:pPr>
        <w:pStyle w:val="Body"/>
        <w:spacing w:after="0"/>
      </w:pPr>
      <w:r w:rsidRPr="00240F35">
        <w:rPr>
          <w:b/>
        </w:rPr>
        <w:t xml:space="preserve">Valuation / Risks to our View: </w:t>
      </w:r>
      <w:r w:rsidRPr="00240F35">
        <w:t>Our €8.</w:t>
      </w:r>
      <w:r>
        <w:t>25</w:t>
      </w:r>
      <w:r w:rsidRPr="00240F35">
        <w:t xml:space="preserve"> PT is based upon a year-end 2014, DCF-derived estimate. We employ a WACC of </w:t>
      </w:r>
      <w:r>
        <w:t>7.8</w:t>
      </w:r>
      <w:r w:rsidRPr="00240F35">
        <w:t xml:space="preserve">% and terminal growth of -3% (while relatively small operating lease commitments are capitalized at 6.5%). Key downside risks include: the pace of secular mail volume decline; the rate of e-commerce expansion in Iberia failing to match further developed neighbours; fiercer than expected parcel market competition; risks associated with potential entry into new business areas; regulatory and financial risks; rising inflation. </w:t>
      </w:r>
    </w:p>
    <w:p w:rsidR="00BC1D60" w:rsidRPr="00D87257" w:rsidRDefault="00BC1D60" w:rsidP="00BC1D60">
      <w:pPr>
        <w:pStyle w:val="Heading3"/>
        <w:spacing w:after="0"/>
        <w:rPr>
          <w:b w:val="0"/>
        </w:rPr>
      </w:pPr>
      <w:r w:rsidRPr="00240F35">
        <w:t>CTT in a Nutshell:</w:t>
      </w:r>
      <w:r>
        <w:t xml:space="preserve"> </w:t>
      </w:r>
      <w:r w:rsidRPr="00240F35">
        <w:rPr>
          <w:b w:val="0"/>
        </w:rPr>
        <w:t>CTT is the incumbe</w:t>
      </w:r>
      <w:r>
        <w:rPr>
          <w:b w:val="0"/>
        </w:rPr>
        <w:t>nt postal operator of Portugal and</w:t>
      </w:r>
      <w:r w:rsidRPr="00240F35">
        <w:rPr>
          <w:b w:val="0"/>
        </w:rPr>
        <w:t xml:space="preserve"> the dominant provider of traditional letter mail, advertising and newspaper &amp; magazine subscriptions.</w:t>
      </w:r>
      <w:r>
        <w:rPr>
          <w:b w:val="0"/>
        </w:rPr>
        <w:t xml:space="preserve"> </w:t>
      </w:r>
      <w:r w:rsidRPr="00240F35">
        <w:rPr>
          <w:b w:val="0"/>
        </w:rPr>
        <w:t xml:space="preserve">These account for ~60% of CTT’s EBIT and are supplemented by fee-based financial services revenues (30%), as well as a parcel delivery network that is </w:t>
      </w:r>
      <w:r w:rsidRPr="00D87257">
        <w:rPr>
          <w:b w:val="0"/>
        </w:rPr>
        <w:t>the largest in Portugal and extends into Spain (&lt;10% of EBIT). CTT has a network of 2,518 postal points, 625 of which are company-owned, and it has 3,915 Payshop locations. The State of Portugal owns 31.5% of the company.</w:t>
      </w:r>
      <w:r>
        <w:rPr>
          <w:b w:val="0"/>
        </w:rPr>
        <w:t xml:space="preserve"> </w:t>
      </w:r>
    </w:p>
    <w:p w:rsidR="00BC1D60" w:rsidRPr="00D87257" w:rsidRDefault="00BC1D60" w:rsidP="00BC1D60">
      <w:pPr>
        <w:pStyle w:val="Heading3"/>
        <w:spacing w:after="0"/>
      </w:pPr>
      <w:r w:rsidRPr="00D87257">
        <w:t>Price Perf vs MSCI All Country World Small Cap (rebased as of 1-yr ago):</w:t>
      </w:r>
    </w:p>
    <w:p w:rsidR="00BC1D60" w:rsidRPr="00D87257" w:rsidRDefault="00BC1D60" w:rsidP="00BC1D60">
      <w:pPr>
        <w:pStyle w:val="Body"/>
        <w:spacing w:after="0"/>
        <w:rPr>
          <w:noProof/>
          <w:lang w:val="en-GB" w:eastAsia="en-GB"/>
        </w:rPr>
      </w:pPr>
      <w:r w:rsidRPr="00D87257">
        <w:rPr>
          <w:noProof/>
        </w:rPr>
        <w:drawing>
          <wp:inline distT="0" distB="0" distL="0" distR="0">
            <wp:extent cx="4352925" cy="1485900"/>
            <wp:effectExtent l="19050" t="0" r="9525" b="0"/>
            <wp:docPr id="13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3"/>
                    <a:srcRect t="6294" b="4451"/>
                    <a:stretch>
                      <a:fillRect/>
                    </a:stretch>
                  </pic:blipFill>
                  <pic:spPr bwMode="auto">
                    <a:xfrm>
                      <a:off x="0" y="0"/>
                      <a:ext cx="4352925" cy="1485900"/>
                    </a:xfrm>
                    <a:prstGeom prst="rect">
                      <a:avLst/>
                    </a:prstGeom>
                    <a:noFill/>
                    <a:ln w="9525">
                      <a:noFill/>
                      <a:miter lim="800000"/>
                      <a:headEnd/>
                      <a:tailEnd/>
                    </a:ln>
                  </pic:spPr>
                </pic:pic>
              </a:graphicData>
            </a:graphic>
          </wp:inline>
        </w:drawing>
      </w:r>
    </w:p>
    <w:p w:rsidR="00BC1D60" w:rsidRPr="00D87257" w:rsidRDefault="00BC1D60" w:rsidP="00BC1D60">
      <w:pPr>
        <w:pStyle w:val="Source"/>
        <w:spacing w:before="0" w:after="0" w:line="240" w:lineRule="auto"/>
        <w:rPr>
          <w:lang w:val="fr-FR"/>
        </w:rPr>
      </w:pPr>
      <w:r w:rsidRPr="00D87257">
        <w:rPr>
          <w:lang w:val="fr-FR"/>
        </w:rPr>
        <w:t>Source: Bloomberg</w:t>
      </w:r>
    </w:p>
    <w:p w:rsidR="00BC1D60" w:rsidRPr="00BB6D9F" w:rsidRDefault="00BC1D60" w:rsidP="00BC1D60">
      <w:pPr>
        <w:pStyle w:val="ESTableCaption"/>
        <w:keepNext/>
        <w:rPr>
          <w:lang w:val="fr-FR"/>
        </w:rPr>
      </w:pPr>
      <w:r w:rsidRPr="00D87257">
        <w:rPr>
          <w:lang w:val="fr-FR"/>
        </w:rPr>
        <w:t>J.P. Morgan Estimates</w:t>
      </w:r>
      <w:r w:rsidRPr="00D87257">
        <w:rPr>
          <w:lang w:val="fr-FR"/>
        </w:rPr>
        <w:br/>
      </w:r>
      <w:r w:rsidRPr="007A4ECF">
        <w:rPr>
          <w:sz w:val="16"/>
          <w:lang w:val="fr-FR"/>
        </w:rPr>
        <w:t>Correios de Portugal, S.A. (CTT.LS;CTT PL)</w:t>
      </w:r>
    </w:p>
    <w:tbl>
      <w:tblPr>
        <w:tblW w:w="5000" w:type="pct"/>
        <w:tblCellMar>
          <w:left w:w="0" w:type="dxa"/>
          <w:right w:w="43" w:type="dxa"/>
        </w:tblCellMar>
        <w:tblLook w:val="01E0"/>
      </w:tblPr>
      <w:tblGrid>
        <w:gridCol w:w="2013"/>
        <w:gridCol w:w="1221"/>
        <w:gridCol w:w="1221"/>
        <w:gridCol w:w="1221"/>
        <w:gridCol w:w="1221"/>
      </w:tblGrid>
      <w:tr w:rsidR="00BC1D60" w:rsidTr="00BC5B38">
        <w:trPr>
          <w:cantSplit/>
        </w:trPr>
        <w:tc>
          <w:tcPr>
            <w:tcW w:w="2000" w:type="dxa"/>
            <w:tcBorders>
              <w:top w:val="single" w:sz="4" w:space="0" w:color="auto"/>
            </w:tcBorders>
          </w:tcPr>
          <w:p w:rsidR="00BC1D60" w:rsidRDefault="00BC1D60" w:rsidP="00BC5B38">
            <w:pPr>
              <w:pStyle w:val="ESTableRow"/>
              <w:keepNext/>
            </w:pPr>
            <w:r>
              <w:rPr>
                <w:b/>
              </w:rPr>
              <w:t>FYE Dec</w:t>
            </w:r>
          </w:p>
        </w:tc>
        <w:tc>
          <w:tcPr>
            <w:tcW w:w="1212" w:type="dxa"/>
            <w:tcBorders>
              <w:top w:val="single" w:sz="4" w:space="0" w:color="auto"/>
            </w:tcBorders>
          </w:tcPr>
          <w:p w:rsidR="00BC1D60" w:rsidRDefault="00BC1D60" w:rsidP="00BC5B38">
            <w:pPr>
              <w:pStyle w:val="ESTableRow"/>
              <w:keepNext/>
              <w:jc w:val="right"/>
            </w:pPr>
            <w:r>
              <w:rPr>
                <w:b/>
              </w:rPr>
              <w:t>2012A</w:t>
            </w:r>
          </w:p>
        </w:tc>
        <w:tc>
          <w:tcPr>
            <w:tcW w:w="1212" w:type="dxa"/>
            <w:tcBorders>
              <w:top w:val="single" w:sz="4" w:space="0" w:color="auto"/>
            </w:tcBorders>
          </w:tcPr>
          <w:p w:rsidR="00BC1D60" w:rsidRDefault="00BC1D60" w:rsidP="00BC5B38">
            <w:pPr>
              <w:pStyle w:val="ESTableRow"/>
              <w:keepNext/>
              <w:jc w:val="right"/>
            </w:pPr>
            <w:r>
              <w:rPr>
                <w:b/>
              </w:rPr>
              <w:t>2013A</w:t>
            </w:r>
          </w:p>
        </w:tc>
        <w:tc>
          <w:tcPr>
            <w:tcW w:w="1212" w:type="dxa"/>
            <w:tcBorders>
              <w:top w:val="single" w:sz="4" w:space="0" w:color="auto"/>
            </w:tcBorders>
          </w:tcPr>
          <w:p w:rsidR="00BC1D60" w:rsidRDefault="00BC1D60" w:rsidP="00BC5B38">
            <w:pPr>
              <w:pStyle w:val="ESTableRow"/>
              <w:keepNext/>
              <w:jc w:val="right"/>
            </w:pPr>
            <w:r>
              <w:rPr>
                <w:b/>
              </w:rPr>
              <w:t>2014E</w:t>
            </w:r>
          </w:p>
        </w:tc>
        <w:tc>
          <w:tcPr>
            <w:tcW w:w="1212" w:type="dxa"/>
            <w:tcBorders>
              <w:top w:val="single" w:sz="4" w:space="0" w:color="auto"/>
            </w:tcBorders>
          </w:tcPr>
          <w:p w:rsidR="00BC1D60" w:rsidRDefault="00BC1D60" w:rsidP="00BC5B38">
            <w:pPr>
              <w:pStyle w:val="ESTableRow"/>
              <w:keepNext/>
              <w:jc w:val="right"/>
            </w:pPr>
            <w:r>
              <w:rPr>
                <w:b/>
              </w:rPr>
              <w:t>2015E</w:t>
            </w:r>
          </w:p>
        </w:tc>
      </w:tr>
      <w:tr w:rsidR="00BC1D60" w:rsidTr="00BC5B38">
        <w:trPr>
          <w:cantSplit/>
        </w:trPr>
        <w:tc>
          <w:tcPr>
            <w:tcW w:w="2000" w:type="dxa"/>
            <w:tcBorders>
              <w:top w:val="single" w:sz="4" w:space="0" w:color="auto"/>
            </w:tcBorders>
          </w:tcPr>
          <w:p w:rsidR="00BC1D60" w:rsidRDefault="00BC1D60" w:rsidP="00BC5B38">
            <w:pPr>
              <w:pStyle w:val="ESTableRow"/>
              <w:keepNext/>
            </w:pPr>
            <w:r>
              <w:t>Adj. EPS FY (€)</w:t>
            </w:r>
          </w:p>
        </w:tc>
        <w:tc>
          <w:tcPr>
            <w:tcW w:w="1212" w:type="dxa"/>
            <w:tcBorders>
              <w:top w:val="single" w:sz="4" w:space="0" w:color="auto"/>
            </w:tcBorders>
          </w:tcPr>
          <w:p w:rsidR="00BC1D60" w:rsidRDefault="00BC1D60" w:rsidP="00BC5B38">
            <w:pPr>
              <w:pStyle w:val="ESTableRow"/>
              <w:keepNext/>
              <w:jc w:val="right"/>
            </w:pPr>
            <w:r>
              <w:t>0.35</w:t>
            </w:r>
          </w:p>
        </w:tc>
        <w:tc>
          <w:tcPr>
            <w:tcW w:w="1212" w:type="dxa"/>
            <w:tcBorders>
              <w:top w:val="single" w:sz="4" w:space="0" w:color="auto"/>
            </w:tcBorders>
          </w:tcPr>
          <w:p w:rsidR="00BC1D60" w:rsidRDefault="00BC1D60" w:rsidP="00BC5B38">
            <w:pPr>
              <w:pStyle w:val="ESTableRow"/>
              <w:keepNext/>
              <w:jc w:val="right"/>
            </w:pPr>
            <w:r>
              <w:t>0.45</w:t>
            </w:r>
          </w:p>
        </w:tc>
        <w:tc>
          <w:tcPr>
            <w:tcW w:w="1212" w:type="dxa"/>
            <w:tcBorders>
              <w:top w:val="single" w:sz="4" w:space="0" w:color="auto"/>
            </w:tcBorders>
          </w:tcPr>
          <w:p w:rsidR="00BC1D60" w:rsidRDefault="00BC1D60" w:rsidP="00BC5B38">
            <w:pPr>
              <w:pStyle w:val="ESTableRow"/>
              <w:keepNext/>
              <w:jc w:val="right"/>
            </w:pPr>
            <w:r>
              <w:t>0.44</w:t>
            </w:r>
          </w:p>
        </w:tc>
        <w:tc>
          <w:tcPr>
            <w:tcW w:w="1212" w:type="dxa"/>
            <w:tcBorders>
              <w:top w:val="single" w:sz="4" w:space="0" w:color="auto"/>
            </w:tcBorders>
          </w:tcPr>
          <w:p w:rsidR="00BC1D60" w:rsidRDefault="00BC1D60" w:rsidP="00BC5B38">
            <w:pPr>
              <w:pStyle w:val="ESTableRow"/>
              <w:keepNext/>
              <w:jc w:val="right"/>
            </w:pPr>
            <w:r>
              <w:t>0.53</w:t>
            </w:r>
          </w:p>
        </w:tc>
      </w:tr>
      <w:tr w:rsidR="00BC1D60" w:rsidTr="00BC5B38">
        <w:trPr>
          <w:cantSplit/>
        </w:trPr>
        <w:tc>
          <w:tcPr>
            <w:tcW w:w="2000" w:type="dxa"/>
          </w:tcPr>
          <w:p w:rsidR="00BC1D60" w:rsidRDefault="00BC1D60" w:rsidP="00BC5B38">
            <w:pPr>
              <w:pStyle w:val="ESTableRow"/>
              <w:keepNext/>
            </w:pPr>
            <w:r>
              <w:t>Revenue FY (€ mn)</w:t>
            </w:r>
          </w:p>
        </w:tc>
        <w:tc>
          <w:tcPr>
            <w:tcW w:w="1212" w:type="dxa"/>
          </w:tcPr>
          <w:p w:rsidR="00BC1D60" w:rsidRDefault="00BC1D60" w:rsidP="00BC5B38">
            <w:pPr>
              <w:pStyle w:val="ESTableRow"/>
              <w:keepNext/>
              <w:jc w:val="right"/>
            </w:pPr>
            <w:r>
              <w:t>714</w:t>
            </w:r>
          </w:p>
        </w:tc>
        <w:tc>
          <w:tcPr>
            <w:tcW w:w="1212" w:type="dxa"/>
          </w:tcPr>
          <w:p w:rsidR="00BC1D60" w:rsidRDefault="00BC1D60" w:rsidP="00BC5B38">
            <w:pPr>
              <w:pStyle w:val="ESTableRow"/>
              <w:keepNext/>
              <w:jc w:val="right"/>
            </w:pPr>
            <w:r>
              <w:t>705</w:t>
            </w:r>
          </w:p>
        </w:tc>
        <w:tc>
          <w:tcPr>
            <w:tcW w:w="1212" w:type="dxa"/>
          </w:tcPr>
          <w:p w:rsidR="00BC1D60" w:rsidRDefault="00BC1D60" w:rsidP="00BC5B38">
            <w:pPr>
              <w:pStyle w:val="ESTableRow"/>
              <w:keepNext/>
              <w:jc w:val="right"/>
            </w:pPr>
            <w:r>
              <w:t>707</w:t>
            </w:r>
          </w:p>
        </w:tc>
        <w:tc>
          <w:tcPr>
            <w:tcW w:w="1212" w:type="dxa"/>
          </w:tcPr>
          <w:p w:rsidR="00BC1D60" w:rsidRDefault="00BC1D60" w:rsidP="00BC5B38">
            <w:pPr>
              <w:pStyle w:val="ESTableRow"/>
              <w:keepNext/>
              <w:jc w:val="right"/>
            </w:pPr>
            <w:r>
              <w:t>712</w:t>
            </w:r>
          </w:p>
        </w:tc>
      </w:tr>
      <w:tr w:rsidR="00BC1D60" w:rsidTr="00BC5B38">
        <w:trPr>
          <w:cantSplit/>
        </w:trPr>
        <w:tc>
          <w:tcPr>
            <w:tcW w:w="2000" w:type="dxa"/>
          </w:tcPr>
          <w:p w:rsidR="00BC1D60" w:rsidRDefault="00BC1D60" w:rsidP="00BC5B38">
            <w:pPr>
              <w:pStyle w:val="ESTableRow"/>
              <w:keepNext/>
            </w:pPr>
            <w:r>
              <w:t>Adj EBITDA FY (€ mn)</w:t>
            </w:r>
          </w:p>
        </w:tc>
        <w:tc>
          <w:tcPr>
            <w:tcW w:w="1212" w:type="dxa"/>
          </w:tcPr>
          <w:p w:rsidR="00BC1D60" w:rsidRDefault="00BC1D60" w:rsidP="00BC5B38">
            <w:pPr>
              <w:pStyle w:val="ESTableRow"/>
              <w:keepNext/>
              <w:jc w:val="right"/>
            </w:pPr>
            <w:r>
              <w:t>111</w:t>
            </w:r>
          </w:p>
        </w:tc>
        <w:tc>
          <w:tcPr>
            <w:tcW w:w="1212" w:type="dxa"/>
          </w:tcPr>
          <w:p w:rsidR="00BC1D60" w:rsidRDefault="00BC1D60" w:rsidP="00BC5B38">
            <w:pPr>
              <w:pStyle w:val="ESTableRow"/>
              <w:keepNext/>
              <w:jc w:val="right"/>
            </w:pPr>
            <w:r>
              <w:t>123</w:t>
            </w:r>
          </w:p>
        </w:tc>
        <w:tc>
          <w:tcPr>
            <w:tcW w:w="1212" w:type="dxa"/>
          </w:tcPr>
          <w:p w:rsidR="00BC1D60" w:rsidRDefault="00BC1D60" w:rsidP="00BC5B38">
            <w:pPr>
              <w:pStyle w:val="ESTableRow"/>
              <w:keepNext/>
              <w:jc w:val="right"/>
            </w:pPr>
            <w:r>
              <w:t>129</w:t>
            </w:r>
          </w:p>
        </w:tc>
        <w:tc>
          <w:tcPr>
            <w:tcW w:w="1212" w:type="dxa"/>
          </w:tcPr>
          <w:p w:rsidR="00BC1D60" w:rsidRDefault="00BC1D60" w:rsidP="00BC5B38">
            <w:pPr>
              <w:pStyle w:val="ESTableRow"/>
              <w:keepNext/>
              <w:jc w:val="right"/>
            </w:pPr>
            <w:r>
              <w:t>138</w:t>
            </w:r>
          </w:p>
        </w:tc>
      </w:tr>
      <w:tr w:rsidR="00BC1D60" w:rsidTr="00BC5B38">
        <w:trPr>
          <w:cantSplit/>
        </w:trPr>
        <w:tc>
          <w:tcPr>
            <w:tcW w:w="2000" w:type="dxa"/>
          </w:tcPr>
          <w:p w:rsidR="00BC1D60" w:rsidRDefault="00BC1D60" w:rsidP="00BC5B38">
            <w:pPr>
              <w:pStyle w:val="ESTableRow"/>
              <w:keepNext/>
            </w:pPr>
            <w:r>
              <w:t xml:space="preserve">EBITDA Margin FY </w:t>
            </w:r>
          </w:p>
        </w:tc>
        <w:tc>
          <w:tcPr>
            <w:tcW w:w="1212" w:type="dxa"/>
          </w:tcPr>
          <w:p w:rsidR="00BC1D60" w:rsidRDefault="00BC1D60" w:rsidP="00BC5B38">
            <w:pPr>
              <w:pStyle w:val="ESTableRow"/>
              <w:keepNext/>
              <w:jc w:val="right"/>
            </w:pPr>
            <w:r>
              <w:t>15.5%</w:t>
            </w:r>
          </w:p>
        </w:tc>
        <w:tc>
          <w:tcPr>
            <w:tcW w:w="1212" w:type="dxa"/>
          </w:tcPr>
          <w:p w:rsidR="00BC1D60" w:rsidRDefault="00BC1D60" w:rsidP="00BC5B38">
            <w:pPr>
              <w:pStyle w:val="ESTableRow"/>
              <w:keepNext/>
              <w:jc w:val="right"/>
            </w:pPr>
            <w:r>
              <w:t>17.4%</w:t>
            </w:r>
          </w:p>
        </w:tc>
        <w:tc>
          <w:tcPr>
            <w:tcW w:w="1212" w:type="dxa"/>
          </w:tcPr>
          <w:p w:rsidR="00BC1D60" w:rsidRDefault="00BC1D60" w:rsidP="00BC5B38">
            <w:pPr>
              <w:pStyle w:val="ESTableRow"/>
              <w:keepNext/>
              <w:jc w:val="right"/>
            </w:pPr>
            <w:r>
              <w:t>18.2%</w:t>
            </w:r>
          </w:p>
        </w:tc>
        <w:tc>
          <w:tcPr>
            <w:tcW w:w="1212" w:type="dxa"/>
          </w:tcPr>
          <w:p w:rsidR="00BC1D60" w:rsidRDefault="00BC1D60" w:rsidP="00BC5B38">
            <w:pPr>
              <w:pStyle w:val="ESTableRow"/>
              <w:keepNext/>
              <w:jc w:val="right"/>
            </w:pPr>
            <w:r>
              <w:t>19.4%</w:t>
            </w:r>
          </w:p>
        </w:tc>
      </w:tr>
      <w:tr w:rsidR="00BC1D60" w:rsidTr="00BC5B38">
        <w:trPr>
          <w:cantSplit/>
        </w:trPr>
        <w:tc>
          <w:tcPr>
            <w:tcW w:w="2000" w:type="dxa"/>
          </w:tcPr>
          <w:p w:rsidR="00BC1D60" w:rsidRDefault="00BC1D60" w:rsidP="00BC5B38">
            <w:pPr>
              <w:pStyle w:val="ESTableRow"/>
              <w:keepNext/>
            </w:pPr>
            <w:r>
              <w:t>EBIT FY (€ mn)</w:t>
            </w:r>
          </w:p>
        </w:tc>
        <w:tc>
          <w:tcPr>
            <w:tcW w:w="1212" w:type="dxa"/>
          </w:tcPr>
          <w:p w:rsidR="00BC1D60" w:rsidRDefault="00BC1D60" w:rsidP="00BC5B38">
            <w:pPr>
              <w:pStyle w:val="ESTableRow"/>
              <w:keepNext/>
              <w:jc w:val="right"/>
            </w:pPr>
            <w:r>
              <w:t>79</w:t>
            </w:r>
          </w:p>
        </w:tc>
        <w:tc>
          <w:tcPr>
            <w:tcW w:w="1212" w:type="dxa"/>
          </w:tcPr>
          <w:p w:rsidR="00BC1D60" w:rsidRDefault="00BC1D60" w:rsidP="00BC5B38">
            <w:pPr>
              <w:pStyle w:val="ESTableRow"/>
              <w:keepNext/>
              <w:jc w:val="right"/>
            </w:pPr>
            <w:r>
              <w:t>96</w:t>
            </w:r>
          </w:p>
        </w:tc>
        <w:tc>
          <w:tcPr>
            <w:tcW w:w="1212" w:type="dxa"/>
          </w:tcPr>
          <w:p w:rsidR="00BC1D60" w:rsidRDefault="00BC1D60" w:rsidP="00BC5B38">
            <w:pPr>
              <w:pStyle w:val="ESTableRow"/>
              <w:keepNext/>
              <w:jc w:val="right"/>
            </w:pPr>
            <w:r>
              <w:t>98</w:t>
            </w:r>
          </w:p>
        </w:tc>
        <w:tc>
          <w:tcPr>
            <w:tcW w:w="1212" w:type="dxa"/>
          </w:tcPr>
          <w:p w:rsidR="00BC1D60" w:rsidRDefault="00BC1D60" w:rsidP="00BC5B38">
            <w:pPr>
              <w:pStyle w:val="ESTableRow"/>
              <w:keepNext/>
              <w:jc w:val="right"/>
            </w:pPr>
            <w:r>
              <w:t>109</w:t>
            </w:r>
          </w:p>
        </w:tc>
      </w:tr>
      <w:tr w:rsidR="00BC1D60" w:rsidTr="00BC5B38">
        <w:trPr>
          <w:cantSplit/>
        </w:trPr>
        <w:tc>
          <w:tcPr>
            <w:tcW w:w="2000" w:type="dxa"/>
          </w:tcPr>
          <w:p w:rsidR="00BC1D60" w:rsidRDefault="00BC1D60" w:rsidP="00BC5B38">
            <w:pPr>
              <w:pStyle w:val="ESTableRow"/>
              <w:keepNext/>
            </w:pPr>
            <w:r>
              <w:t xml:space="preserve">EBIT Margin FY </w:t>
            </w:r>
          </w:p>
        </w:tc>
        <w:tc>
          <w:tcPr>
            <w:tcW w:w="1212" w:type="dxa"/>
          </w:tcPr>
          <w:p w:rsidR="00BC1D60" w:rsidRDefault="00BC1D60" w:rsidP="00BC5B38">
            <w:pPr>
              <w:pStyle w:val="ESTableRow"/>
              <w:keepNext/>
              <w:jc w:val="right"/>
            </w:pPr>
            <w:r>
              <w:t>11.1%</w:t>
            </w:r>
          </w:p>
        </w:tc>
        <w:tc>
          <w:tcPr>
            <w:tcW w:w="1212" w:type="dxa"/>
          </w:tcPr>
          <w:p w:rsidR="00BC1D60" w:rsidRDefault="00BC1D60" w:rsidP="00BC5B38">
            <w:pPr>
              <w:pStyle w:val="ESTableRow"/>
              <w:keepNext/>
              <w:jc w:val="right"/>
            </w:pPr>
            <w:r>
              <w:t>13.6%</w:t>
            </w:r>
          </w:p>
        </w:tc>
        <w:tc>
          <w:tcPr>
            <w:tcW w:w="1212" w:type="dxa"/>
          </w:tcPr>
          <w:p w:rsidR="00BC1D60" w:rsidRDefault="00BC1D60" w:rsidP="00BC5B38">
            <w:pPr>
              <w:pStyle w:val="ESTableRow"/>
              <w:keepNext/>
              <w:jc w:val="right"/>
            </w:pPr>
            <w:r>
              <w:t>13.8%</w:t>
            </w:r>
          </w:p>
        </w:tc>
        <w:tc>
          <w:tcPr>
            <w:tcW w:w="1212" w:type="dxa"/>
          </w:tcPr>
          <w:p w:rsidR="00BC1D60" w:rsidRDefault="00BC1D60" w:rsidP="00BC5B38">
            <w:pPr>
              <w:pStyle w:val="ESTableRow"/>
              <w:keepNext/>
              <w:jc w:val="right"/>
            </w:pPr>
            <w:r>
              <w:t>15.3%</w:t>
            </w:r>
          </w:p>
        </w:tc>
      </w:tr>
      <w:tr w:rsidR="00BC1D60" w:rsidTr="00BC5B38">
        <w:trPr>
          <w:cantSplit/>
        </w:trPr>
        <w:tc>
          <w:tcPr>
            <w:tcW w:w="2000" w:type="dxa"/>
          </w:tcPr>
          <w:p w:rsidR="00BC1D60" w:rsidRDefault="00BC1D60" w:rsidP="00BC5B38">
            <w:pPr>
              <w:pStyle w:val="ESTableRow"/>
              <w:keepNext/>
            </w:pPr>
            <w:r>
              <w:t xml:space="preserve">Adj P/E FY </w:t>
            </w:r>
          </w:p>
        </w:tc>
        <w:tc>
          <w:tcPr>
            <w:tcW w:w="1212" w:type="dxa"/>
          </w:tcPr>
          <w:p w:rsidR="00BC1D60" w:rsidRDefault="00BC1D60" w:rsidP="00BC5B38">
            <w:pPr>
              <w:pStyle w:val="ESTableRow"/>
              <w:keepNext/>
              <w:jc w:val="right"/>
            </w:pPr>
            <w:r>
              <w:t>20.4</w:t>
            </w:r>
          </w:p>
        </w:tc>
        <w:tc>
          <w:tcPr>
            <w:tcW w:w="1212" w:type="dxa"/>
          </w:tcPr>
          <w:p w:rsidR="00BC1D60" w:rsidRDefault="00BC1D60" w:rsidP="00BC5B38">
            <w:pPr>
              <w:pStyle w:val="ESTableRow"/>
              <w:keepNext/>
              <w:jc w:val="right"/>
            </w:pPr>
            <w:r>
              <w:t>15.7</w:t>
            </w:r>
          </w:p>
        </w:tc>
        <w:tc>
          <w:tcPr>
            <w:tcW w:w="1212" w:type="dxa"/>
          </w:tcPr>
          <w:p w:rsidR="00BC1D60" w:rsidRDefault="00BC1D60" w:rsidP="00BC5B38">
            <w:pPr>
              <w:pStyle w:val="ESTableRow"/>
              <w:keepNext/>
              <w:jc w:val="right"/>
            </w:pPr>
            <w:r>
              <w:t>16.1</w:t>
            </w:r>
          </w:p>
        </w:tc>
        <w:tc>
          <w:tcPr>
            <w:tcW w:w="1212" w:type="dxa"/>
          </w:tcPr>
          <w:p w:rsidR="00BC1D60" w:rsidRDefault="00BC1D60" w:rsidP="00BC5B38">
            <w:pPr>
              <w:pStyle w:val="ESTableRow"/>
              <w:keepNext/>
              <w:jc w:val="right"/>
            </w:pPr>
            <w:r>
              <w:t>13.3</w:t>
            </w:r>
          </w:p>
        </w:tc>
      </w:tr>
      <w:tr w:rsidR="00BC1D60" w:rsidTr="00BC5B38">
        <w:trPr>
          <w:cantSplit/>
        </w:trPr>
        <w:tc>
          <w:tcPr>
            <w:tcW w:w="2000" w:type="dxa"/>
            <w:tcBorders>
              <w:bottom w:val="single" w:sz="4" w:space="0" w:color="auto"/>
            </w:tcBorders>
          </w:tcPr>
          <w:p w:rsidR="00BC1D60" w:rsidRDefault="00BC1D60" w:rsidP="00BC5B38">
            <w:pPr>
              <w:pStyle w:val="ESTableRow"/>
              <w:keepNext/>
            </w:pPr>
            <w:r>
              <w:t xml:space="preserve">Div Yield FY </w:t>
            </w:r>
          </w:p>
        </w:tc>
        <w:tc>
          <w:tcPr>
            <w:tcW w:w="1212" w:type="dxa"/>
            <w:tcBorders>
              <w:bottom w:val="single" w:sz="4" w:space="0" w:color="auto"/>
            </w:tcBorders>
          </w:tcPr>
          <w:p w:rsidR="00BC1D60" w:rsidRDefault="00BC1D60" w:rsidP="00BC5B38">
            <w:pPr>
              <w:pStyle w:val="ESTableRow"/>
              <w:keepNext/>
              <w:jc w:val="right"/>
            </w:pPr>
            <w:r>
              <w:t>4.7%</w:t>
            </w:r>
          </w:p>
        </w:tc>
        <w:tc>
          <w:tcPr>
            <w:tcW w:w="1212" w:type="dxa"/>
            <w:tcBorders>
              <w:bottom w:val="single" w:sz="4" w:space="0" w:color="auto"/>
            </w:tcBorders>
          </w:tcPr>
          <w:p w:rsidR="00BC1D60" w:rsidRDefault="00BC1D60" w:rsidP="00BC5B38">
            <w:pPr>
              <w:pStyle w:val="ESTableRow"/>
              <w:keepNext/>
              <w:jc w:val="right"/>
            </w:pPr>
            <w:r>
              <w:t>5.6%</w:t>
            </w:r>
          </w:p>
        </w:tc>
        <w:tc>
          <w:tcPr>
            <w:tcW w:w="1212" w:type="dxa"/>
            <w:tcBorders>
              <w:bottom w:val="single" w:sz="4" w:space="0" w:color="auto"/>
            </w:tcBorders>
          </w:tcPr>
          <w:p w:rsidR="00BC1D60" w:rsidRDefault="00BC1D60" w:rsidP="00BC5B38">
            <w:pPr>
              <w:pStyle w:val="ESTableRow"/>
              <w:keepNext/>
              <w:jc w:val="right"/>
            </w:pPr>
            <w:r>
              <w:t>6.1%</w:t>
            </w:r>
          </w:p>
        </w:tc>
        <w:tc>
          <w:tcPr>
            <w:tcW w:w="1212" w:type="dxa"/>
            <w:tcBorders>
              <w:bottom w:val="single" w:sz="4" w:space="0" w:color="auto"/>
            </w:tcBorders>
          </w:tcPr>
          <w:p w:rsidR="00BC1D60" w:rsidRDefault="00BC1D60" w:rsidP="00BC5B38">
            <w:pPr>
              <w:pStyle w:val="ESTableRow"/>
              <w:keepNext/>
              <w:jc w:val="right"/>
            </w:pPr>
            <w:r>
              <w:t>6.6%</w:t>
            </w:r>
          </w:p>
        </w:tc>
      </w:tr>
    </w:tbl>
    <w:p w:rsidR="00BC1D60" w:rsidRDefault="00BC1D60" w:rsidP="00BC1D60">
      <w:pPr>
        <w:pStyle w:val="Source"/>
        <w:rPr>
          <w:highlight w:val="yellow"/>
        </w:rPr>
      </w:pPr>
      <w:r>
        <w:t>Source: Company data, Bloomberg, J.P. Morgan estimates</w:t>
      </w:r>
      <w:r w:rsidRPr="004F1ABB">
        <w:rPr>
          <w:highlight w:val="yellow"/>
        </w:rPr>
        <w:br w:type="page"/>
      </w:r>
    </w:p>
    <w:p w:rsidR="00BC1D60" w:rsidRPr="00053456" w:rsidRDefault="00BC1D60" w:rsidP="00BC1D60">
      <w:pPr>
        <w:pStyle w:val="Body"/>
        <w:rPr>
          <w:highlight w:val="yellow"/>
        </w:rPr>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2C1C39" w:rsidTr="00BC5B38">
        <w:tc>
          <w:tcPr>
            <w:tcW w:w="10604" w:type="dxa"/>
            <w:gridSpan w:val="3"/>
            <w:shd w:val="clear" w:color="auto" w:fill="auto"/>
          </w:tcPr>
          <w:p w:rsidR="00BC1D60" w:rsidRPr="002C1C39" w:rsidRDefault="00BC1D60" w:rsidP="00BC5B38">
            <w:pPr>
              <w:pStyle w:val="Heading1-NoTOC"/>
            </w:pPr>
            <w:bookmarkStart w:id="147" w:name="_Toc384044963"/>
            <w:bookmarkStart w:id="148" w:name="_Toc384135987"/>
            <w:bookmarkStart w:id="149" w:name="_Toc384136954"/>
            <w:bookmarkStart w:id="150" w:name="_Toc392016349"/>
            <w:bookmarkStart w:id="151" w:name="_Toc392099067"/>
            <w:r w:rsidRPr="002C1C39">
              <w:t>Getting to know our SMid Analysts…</w:t>
            </w:r>
            <w:bookmarkEnd w:id="147"/>
            <w:bookmarkEnd w:id="148"/>
            <w:bookmarkEnd w:id="149"/>
            <w:bookmarkEnd w:id="150"/>
            <w:bookmarkEnd w:id="151"/>
          </w:p>
        </w:tc>
      </w:tr>
      <w:tr w:rsidR="00BC1D60" w:rsidRPr="002C1C39" w:rsidTr="00BC5B38">
        <w:trPr>
          <w:trHeight w:val="3427"/>
        </w:trPr>
        <w:tc>
          <w:tcPr>
            <w:tcW w:w="2666" w:type="dxa"/>
            <w:shd w:val="clear" w:color="auto" w:fill="auto"/>
          </w:tcPr>
          <w:p w:rsidR="00BC1D60" w:rsidRPr="002C1C39" w:rsidRDefault="00BC1D60" w:rsidP="00BC5B38">
            <w:pPr>
              <w:pStyle w:val="Body"/>
              <w:spacing w:after="120"/>
            </w:pPr>
            <w:r w:rsidRPr="002C1C39">
              <w:rPr>
                <w:rFonts w:ascii="Arial" w:hAnsi="Arial" w:cs="Arial"/>
                <w:noProof/>
                <w:color w:val="716F63"/>
                <w:sz w:val="18"/>
                <w:szCs w:val="18"/>
              </w:rPr>
              <w:drawing>
                <wp:inline distT="0" distB="0" distL="0" distR="0">
                  <wp:extent cx="1554569" cy="1622591"/>
                  <wp:effectExtent l="19050" t="0" r="7531" b="0"/>
                  <wp:docPr id="137" name="Picture 309" descr="Christopher G Co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hristopher G Combe"/>
                          <pic:cNvPicPr>
                            <a:picLocks noChangeAspect="1" noChangeArrowheads="1"/>
                          </pic:cNvPicPr>
                        </pic:nvPicPr>
                        <pic:blipFill>
                          <a:blip r:embed="rId64"/>
                          <a:srcRect l="26444" r="14256"/>
                          <a:stretch>
                            <a:fillRect/>
                          </a:stretch>
                        </pic:blipFill>
                        <pic:spPr bwMode="auto">
                          <a:xfrm>
                            <a:off x="0" y="0"/>
                            <a:ext cx="1554569" cy="1622591"/>
                          </a:xfrm>
                          <a:prstGeom prst="rect">
                            <a:avLst/>
                          </a:prstGeom>
                          <a:noFill/>
                          <a:ln w="9525">
                            <a:noFill/>
                            <a:miter lim="800000"/>
                            <a:headEnd/>
                            <a:tailEnd/>
                          </a:ln>
                        </pic:spPr>
                      </pic:pic>
                    </a:graphicData>
                  </a:graphic>
                </wp:inline>
              </w:drawing>
            </w:r>
          </w:p>
        </w:tc>
        <w:tc>
          <w:tcPr>
            <w:tcW w:w="3544" w:type="dxa"/>
            <w:shd w:val="clear" w:color="auto" w:fill="auto"/>
          </w:tcPr>
          <w:p w:rsidR="00BC1D60" w:rsidRPr="002C1C39" w:rsidRDefault="00BC1D60" w:rsidP="00BC5B38">
            <w:pPr>
              <w:pStyle w:val="Heading2"/>
              <w:outlineLvl w:val="1"/>
            </w:pPr>
            <w:r w:rsidRPr="002C1C39">
              <w:t>Christopher Combe</w:t>
            </w:r>
          </w:p>
          <w:p w:rsidR="00BC1D60" w:rsidRPr="002C1C39" w:rsidRDefault="003B051F" w:rsidP="00BC5B38">
            <w:pPr>
              <w:pStyle w:val="Body"/>
              <w:spacing w:after="120"/>
              <w:rPr>
                <w:rFonts w:ascii="Arial Narrow" w:hAnsi="Arial Narrow"/>
              </w:rPr>
            </w:pPr>
            <w:hyperlink r:id="rId65" w:history="1">
              <w:r w:rsidR="00BC1D60" w:rsidRPr="002C1C39">
                <w:rPr>
                  <w:rStyle w:val="Hyperlink"/>
                  <w:rFonts w:ascii="Arial Narrow" w:hAnsi="Arial Narrow"/>
                </w:rPr>
                <w:t>christopher.g.combe@jpmorgan.com</w:t>
              </w:r>
            </w:hyperlink>
          </w:p>
          <w:p w:rsidR="00BC1D60" w:rsidRPr="002C1C39" w:rsidRDefault="00BC1D60" w:rsidP="00BC5B38">
            <w:pPr>
              <w:pStyle w:val="Body"/>
              <w:spacing w:after="120"/>
              <w:rPr>
                <w:rFonts w:ascii="Arial Narrow" w:hAnsi="Arial Narrow"/>
              </w:rPr>
            </w:pPr>
            <w:r w:rsidRPr="002C1C39">
              <w:rPr>
                <w:rFonts w:ascii="Arial Narrow" w:hAnsi="Arial Narrow"/>
              </w:rPr>
              <w:t>(44-20) 7134-5917</w:t>
            </w:r>
          </w:p>
          <w:p w:rsidR="00BC1D60" w:rsidRPr="002C1C39" w:rsidRDefault="00BC1D60" w:rsidP="00BC5B38">
            <w:pPr>
              <w:pStyle w:val="Body"/>
              <w:spacing w:after="120"/>
              <w:rPr>
                <w:rFonts w:ascii="Arial Narrow" w:hAnsi="Arial Narrow"/>
              </w:rPr>
            </w:pPr>
          </w:p>
          <w:p w:rsidR="00BC1D60" w:rsidRPr="002C1C39" w:rsidRDefault="00BC1D60" w:rsidP="00BC5B38">
            <w:pPr>
              <w:pStyle w:val="Body"/>
              <w:spacing w:after="120"/>
              <w:rPr>
                <w:rFonts w:ascii="Arial Narrow" w:hAnsi="Arial Narrow"/>
              </w:rPr>
            </w:pPr>
            <w:r w:rsidRPr="002C1C39">
              <w:rPr>
                <w:rFonts w:ascii="Arial Narrow" w:hAnsi="Arial Narrow"/>
                <w:b/>
              </w:rPr>
              <w:t>Region:</w:t>
            </w:r>
            <w:r w:rsidRPr="002C1C39">
              <w:rPr>
                <w:rFonts w:ascii="Arial Narrow" w:hAnsi="Arial Narrow"/>
              </w:rPr>
              <w:t xml:space="preserve"> W. Europe</w:t>
            </w:r>
          </w:p>
          <w:p w:rsidR="00BC1D60" w:rsidRPr="002C1C39" w:rsidRDefault="00BC1D60" w:rsidP="00BC5B38">
            <w:pPr>
              <w:pStyle w:val="Body"/>
              <w:spacing w:after="120"/>
              <w:rPr>
                <w:rFonts w:ascii="Arial Narrow" w:hAnsi="Arial Narrow"/>
              </w:rPr>
            </w:pPr>
            <w:r w:rsidRPr="002C1C39">
              <w:rPr>
                <w:rFonts w:ascii="Arial Narrow" w:hAnsi="Arial Narrow"/>
                <w:b/>
              </w:rPr>
              <w:t>Sector:</w:t>
            </w:r>
            <w:r w:rsidRPr="002C1C39">
              <w:rPr>
                <w:rFonts w:ascii="Arial Narrow" w:hAnsi="Arial Narrow"/>
              </w:rPr>
              <w:t xml:space="preserve"> </w:t>
            </w:r>
            <w:r w:rsidRPr="002C1C39">
              <w:rPr>
                <w:rFonts w:ascii="Arial Narrow" w:hAnsi="Arial Narrow"/>
                <w:bCs/>
              </w:rPr>
              <w:t>Transportation &amp; Logistics</w:t>
            </w:r>
          </w:p>
          <w:p w:rsidR="00BC1D60" w:rsidRPr="002C1C39" w:rsidRDefault="00BC1D60" w:rsidP="00BC5B38">
            <w:pPr>
              <w:pStyle w:val="Body"/>
            </w:pPr>
          </w:p>
        </w:tc>
        <w:tc>
          <w:tcPr>
            <w:tcW w:w="4394" w:type="dxa"/>
            <w:shd w:val="clear" w:color="auto" w:fill="auto"/>
          </w:tcPr>
          <w:p w:rsidR="00BC1D60" w:rsidRPr="002C1C39" w:rsidRDefault="00BC1D60" w:rsidP="00BC5B38">
            <w:pPr>
              <w:pStyle w:val="Body"/>
              <w:jc w:val="right"/>
            </w:pPr>
            <w:r w:rsidRPr="002C1C39">
              <w:rPr>
                <w:noProof/>
              </w:rPr>
              <w:drawing>
                <wp:inline distT="0" distB="0" distL="0" distR="0">
                  <wp:extent cx="2505456" cy="1856561"/>
                  <wp:effectExtent l="19050" t="0" r="9144" b="0"/>
                  <wp:docPr id="1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srcRect/>
                          <a:stretch>
                            <a:fillRect/>
                          </a:stretch>
                        </pic:blipFill>
                        <pic:spPr bwMode="auto">
                          <a:xfrm>
                            <a:off x="0" y="0"/>
                            <a:ext cx="2505456" cy="1856561"/>
                          </a:xfrm>
                          <a:prstGeom prst="rect">
                            <a:avLst/>
                          </a:prstGeom>
                          <a:noFill/>
                          <a:ln w="9525">
                            <a:noFill/>
                            <a:miter lim="800000"/>
                            <a:headEnd/>
                            <a:tailEnd/>
                          </a:ln>
                        </pic:spPr>
                      </pic:pic>
                    </a:graphicData>
                  </a:graphic>
                </wp:inline>
              </w:drawing>
            </w:r>
          </w:p>
        </w:tc>
      </w:tr>
    </w:tbl>
    <w:p w:rsidR="00BC1D60" w:rsidRPr="002C1C39" w:rsidRDefault="00BC1D60" w:rsidP="00BC1D60">
      <w:pPr>
        <w:pStyle w:val="Source"/>
        <w:spacing w:before="0"/>
        <w:ind w:left="-3124" w:hanging="137"/>
      </w:pPr>
      <w:r w:rsidRPr="002C1C39">
        <w:rPr>
          <w:noProof/>
        </w:rPr>
        <w:drawing>
          <wp:inline distT="0" distB="0" distL="0" distR="0">
            <wp:extent cx="6702552" cy="1554640"/>
            <wp:effectExtent l="19050" t="0" r="3048" b="0"/>
            <wp:docPr id="1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srcRect/>
                    <a:stretch>
                      <a:fillRect/>
                    </a:stretch>
                  </pic:blipFill>
                  <pic:spPr bwMode="auto">
                    <a:xfrm>
                      <a:off x="0" y="0"/>
                      <a:ext cx="6702552" cy="1554640"/>
                    </a:xfrm>
                    <a:prstGeom prst="rect">
                      <a:avLst/>
                    </a:prstGeom>
                    <a:noFill/>
                    <a:ln w="9525">
                      <a:noFill/>
                      <a:miter lim="800000"/>
                      <a:headEnd/>
                      <a:tailEnd/>
                    </a:ln>
                  </pic:spPr>
                </pic:pic>
              </a:graphicData>
            </a:graphic>
          </wp:inline>
        </w:drawing>
      </w:r>
      <w:r w:rsidRPr="002C1C39">
        <w:t xml:space="preserve"> Source: Bloomberg, Datastream, Factset, J.P. Morgan</w:t>
      </w:r>
      <w:r w:rsidRPr="002C1C39">
        <w:br/>
      </w:r>
      <w:r w:rsidRPr="0087013D">
        <w:t>Prices as of 24 June 2014</w:t>
      </w:r>
    </w:p>
    <w:p w:rsidR="00BC1D60" w:rsidRPr="004F1ABB" w:rsidRDefault="00BC1D60" w:rsidP="00BC1D60">
      <w:pPr>
        <w:pStyle w:val="Body"/>
        <w:rPr>
          <w:highlight w:val="yellow"/>
        </w:rPr>
      </w:pPr>
    </w:p>
    <w:p w:rsidR="00BC1D60" w:rsidRPr="004F1ABB" w:rsidRDefault="00BC1D60" w:rsidP="00BC1D60">
      <w:pPr>
        <w:pStyle w:val="Sidecomments"/>
        <w:framePr w:w="0" w:hRule="auto" w:wrap="around"/>
        <w:rPr>
          <w:highlight w:val="yellow"/>
        </w:rPr>
      </w:pPr>
      <w:r w:rsidRPr="00C37191">
        <w:rPr>
          <w:noProof/>
        </w:rPr>
        <w:lastRenderedPageBreak/>
        <w:drawing>
          <wp:inline distT="0" distB="0" distL="0" distR="0">
            <wp:extent cx="1737360" cy="7723698"/>
            <wp:effectExtent l="19050" t="0" r="0" b="0"/>
            <wp:docPr id="14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8"/>
                    <a:srcRect/>
                    <a:stretch>
                      <a:fillRect/>
                    </a:stretch>
                  </pic:blipFill>
                  <pic:spPr bwMode="auto">
                    <a:xfrm>
                      <a:off x="0" y="0"/>
                      <a:ext cx="1737360" cy="7723698"/>
                    </a:xfrm>
                    <a:prstGeom prst="rect">
                      <a:avLst/>
                    </a:prstGeom>
                    <a:noFill/>
                    <a:ln w="9525">
                      <a:noFill/>
                      <a:miter lim="800000"/>
                      <a:headEnd/>
                      <a:tailEnd/>
                    </a:ln>
                  </pic:spPr>
                </pic:pic>
              </a:graphicData>
            </a:graphic>
          </wp:inline>
        </w:drawing>
      </w:r>
    </w:p>
    <w:p w:rsidR="00BC1D60" w:rsidRPr="00C37191" w:rsidRDefault="00BC1D60" w:rsidP="00BC1D60">
      <w:pPr>
        <w:pStyle w:val="Heading1"/>
        <w:spacing w:before="0" w:after="60"/>
        <w:rPr>
          <w:lang w:val="fr-FR"/>
        </w:rPr>
      </w:pPr>
      <w:bookmarkStart w:id="152" w:name="_Ref376779018"/>
      <w:bookmarkStart w:id="153" w:name="_Toc376802059"/>
      <w:bookmarkStart w:id="154" w:name="_Toc384135988"/>
      <w:bookmarkStart w:id="155" w:name="_Toc392099068"/>
      <w:bookmarkStart w:id="156" w:name="_Toc392081810"/>
      <w:bookmarkStart w:id="157" w:name="_Toc392081873"/>
      <w:r w:rsidRPr="00C37191">
        <w:rPr>
          <w:lang w:val="fr-FR"/>
        </w:rPr>
        <w:t>EnQuest (ENQ LN / OW / GBp1</w:t>
      </w:r>
      <w:r>
        <w:rPr>
          <w:lang w:val="fr-FR"/>
        </w:rPr>
        <w:t>40</w:t>
      </w:r>
      <w:r w:rsidRPr="00C37191">
        <w:rPr>
          <w:lang w:val="fr-FR"/>
        </w:rPr>
        <w:t>.4)</w:t>
      </w:r>
      <w:bookmarkEnd w:id="152"/>
      <w:bookmarkEnd w:id="153"/>
      <w:bookmarkEnd w:id="154"/>
      <w:bookmarkEnd w:id="155"/>
      <w:bookmarkEnd w:id="156"/>
      <w:bookmarkEnd w:id="157"/>
    </w:p>
    <w:p w:rsidR="00BC1D60" w:rsidRPr="00C37191" w:rsidRDefault="00BC1D60" w:rsidP="00BC1D60">
      <w:pPr>
        <w:pStyle w:val="Heading2"/>
        <w:spacing w:after="0"/>
        <w:rPr>
          <w:i/>
        </w:rPr>
      </w:pPr>
      <w:r w:rsidRPr="00C37191">
        <w:rPr>
          <w:i/>
        </w:rPr>
        <w:t xml:space="preserve">Project delivery the key to re-rating </w:t>
      </w:r>
    </w:p>
    <w:p w:rsidR="00BC1D60" w:rsidRPr="00C37191" w:rsidRDefault="00BC1D60" w:rsidP="00BC1D60">
      <w:pPr>
        <w:pStyle w:val="Heading3"/>
        <w:spacing w:after="0" w:line="200" w:lineRule="exact"/>
      </w:pPr>
      <w:r w:rsidRPr="00C37191">
        <w:t>Investment Highlights:</w:t>
      </w:r>
    </w:p>
    <w:p w:rsidR="00BC1D60" w:rsidRPr="007A4ECF" w:rsidRDefault="00BC1D60" w:rsidP="00BC1D60">
      <w:pPr>
        <w:pStyle w:val="Bullet"/>
        <w:tabs>
          <w:tab w:val="clear" w:pos="288"/>
          <w:tab w:val="left" w:pos="360"/>
        </w:tabs>
        <w:spacing w:after="0"/>
        <w:ind w:left="225" w:right="-283" w:hanging="216"/>
        <w:rPr>
          <w:szCs w:val="21"/>
        </w:rPr>
      </w:pPr>
      <w:r w:rsidRPr="00C37191">
        <w:rPr>
          <w:szCs w:val="21"/>
        </w:rPr>
        <w:t>Despite production that could more than double between 2012 and 2017 (from 22.8 mmboe to 50.0 mmboe — JPMe) EnQuest trades on a P</w:t>
      </w:r>
      <w:r w:rsidRPr="007A4ECF">
        <w:rPr>
          <w:szCs w:val="21"/>
        </w:rPr>
        <w:t>/E JPM 14E of just 9.1x, with 55% potential upside to our Risked NAV</w:t>
      </w:r>
      <w:r w:rsidRPr="00C37191">
        <w:rPr>
          <w:szCs w:val="21"/>
        </w:rPr>
        <w:t xml:space="preserve"> (DCF-derived Core NAV of £1.68/sh plus exploration and appraisal upside of £0.50/sh). </w:t>
      </w:r>
    </w:p>
    <w:p w:rsidR="00BC1D60" w:rsidRPr="007A4ECF" w:rsidRDefault="00BC1D60" w:rsidP="00BC1D60">
      <w:pPr>
        <w:pStyle w:val="Bullet"/>
        <w:tabs>
          <w:tab w:val="clear" w:pos="288"/>
          <w:tab w:val="left" w:pos="360"/>
        </w:tabs>
        <w:spacing w:after="0"/>
        <w:ind w:left="225" w:right="-283" w:hanging="216"/>
        <w:rPr>
          <w:szCs w:val="21"/>
        </w:rPr>
      </w:pPr>
      <w:r w:rsidRPr="007A4ECF">
        <w:rPr>
          <w:szCs w:val="21"/>
        </w:rPr>
        <w:t>We believe its net cash position, strong cash flow generation ($629m in 2013) and focus on production rather than exploration limit the risk profile.</w:t>
      </w:r>
    </w:p>
    <w:p w:rsidR="00BC1D60" w:rsidRPr="007A4ECF" w:rsidRDefault="00BC1D60" w:rsidP="00BC1D60">
      <w:pPr>
        <w:pStyle w:val="Bullet"/>
        <w:tabs>
          <w:tab w:val="clear" w:pos="288"/>
          <w:tab w:val="left" w:pos="360"/>
        </w:tabs>
        <w:spacing w:after="0"/>
        <w:ind w:left="225" w:right="-283" w:hanging="216"/>
        <w:rPr>
          <w:szCs w:val="21"/>
        </w:rPr>
      </w:pPr>
      <w:r w:rsidRPr="007A4ECF">
        <w:rPr>
          <w:szCs w:val="21"/>
        </w:rPr>
        <w:t>Project execution remains an important trait of the company, and there remain potential tangible catalysts in the near term even after the approval of the Kraken project: 1) First oil on the Alma/Galia development — still scheduled for 2H14, with much of the in-field infrastructure in place; 2) Appraisal well at Cairngorm, started 4Q13; 3) Potential operational and development opportunities arising from the recent acquisition of a 50% interest in the Greater Kittiwake Area in the North Sea; 4) Exploration potential at Avalon in the UK &amp; SB307/308 in Malaysia.</w:t>
      </w:r>
    </w:p>
    <w:p w:rsidR="00BC1D60" w:rsidRPr="007A4ECF" w:rsidRDefault="00BC1D60" w:rsidP="00BC1D60">
      <w:pPr>
        <w:pStyle w:val="Bullet"/>
        <w:tabs>
          <w:tab w:val="clear" w:pos="288"/>
          <w:tab w:val="left" w:pos="360"/>
        </w:tabs>
        <w:spacing w:after="0"/>
        <w:ind w:left="225" w:right="-283" w:hanging="216"/>
        <w:rPr>
          <w:szCs w:val="21"/>
        </w:rPr>
      </w:pPr>
      <w:r w:rsidRPr="007A4ECF">
        <w:rPr>
          <w:szCs w:val="21"/>
        </w:rPr>
        <w:t>Geographical expansion brings another avenue of growth — moves into Egypt, Malaysia and Tunisia are part of a strategy of taking small steps to expand internationally. The assets are in proven hydrocarbon basins, with the potential to extend field life or develop marginal/fallow discoveries.</w:t>
      </w:r>
    </w:p>
    <w:p w:rsidR="00BC1D60" w:rsidRPr="00C37191" w:rsidRDefault="00BC1D60" w:rsidP="00BC1D60">
      <w:pPr>
        <w:pStyle w:val="Body"/>
        <w:spacing w:after="40" w:line="200" w:lineRule="exact"/>
      </w:pPr>
      <w:r w:rsidRPr="00C37191">
        <w:rPr>
          <w:b/>
        </w:rPr>
        <w:t xml:space="preserve">Valuation / Risks to our View: </w:t>
      </w:r>
      <w:r w:rsidRPr="00C37191">
        <w:t xml:space="preserve">Our core NAV is DCF-based, based on commercial assets. Risked NAV (RENAV) includes value for exploration </w:t>
      </w:r>
      <w:r>
        <w:t>and</w:t>
      </w:r>
      <w:r w:rsidRPr="00C37191">
        <w:t xml:space="preserve"> appraisal upside, taking into account the risk of achieving it. We base our Dec-14 PT of 185p around 2014E RENAV, +/- a premium/discount for factors such as diversity of drilling programme </w:t>
      </w:r>
      <w:r>
        <w:t>and</w:t>
      </w:r>
      <w:r w:rsidRPr="00C37191">
        <w:t xml:space="preserve"> mgmt track record. Key risks include: 1) Oil price (ENQ has above average gearing); 2) Project execution; 3) UK fiscal risk (~100% exposure to UK North Sea); 4) Exploration disappointment; 5) 3</w:t>
      </w:r>
      <w:r w:rsidRPr="007A4ECF">
        <w:t>rd</w:t>
      </w:r>
      <w:r w:rsidRPr="00C37191">
        <w:t xml:space="preserve"> party infrastructure downtime.</w:t>
      </w:r>
    </w:p>
    <w:p w:rsidR="00BC1D60" w:rsidRPr="00C37191" w:rsidRDefault="00BC1D60" w:rsidP="00BC1D60">
      <w:pPr>
        <w:pStyle w:val="Heading3"/>
        <w:spacing w:line="200" w:lineRule="exact"/>
        <w:rPr>
          <w:b w:val="0"/>
        </w:rPr>
      </w:pPr>
      <w:r w:rsidRPr="00C37191">
        <w:t>EnQuest in a Nutshell:</w:t>
      </w:r>
      <w:r>
        <w:t xml:space="preserve"> </w:t>
      </w:r>
      <w:r w:rsidRPr="00C37191">
        <w:rPr>
          <w:b w:val="0"/>
        </w:rPr>
        <w:t>ENQ is a development-focused E&amp;P company focused on the UK North Sea. Mgmt’s emphasis on operational excellence and project execution differs from the majority of UK E&amp;P companies with an exploration bias. ENQ has two major projects coming on-line in the coming yrs; Alma/Galia (2H 2014) and Kraken (2016). These projects underpin a medium-term growth strategy which should provide the company with strong cash flows in a high oil price environment.</w:t>
      </w:r>
      <w:r>
        <w:rPr>
          <w:b w:val="0"/>
        </w:rPr>
        <w:t xml:space="preserve"> </w:t>
      </w:r>
    </w:p>
    <w:p w:rsidR="00BC1D60" w:rsidRPr="00C37191" w:rsidRDefault="00BC1D60" w:rsidP="00BC1D60">
      <w:pPr>
        <w:pStyle w:val="Heading3"/>
        <w:spacing w:after="0"/>
      </w:pPr>
      <w:r w:rsidRPr="00C37191">
        <w:t>Price Perf vs MSCI All Country World Small Cap (rebased as of 1-yr ago):</w:t>
      </w:r>
    </w:p>
    <w:p w:rsidR="00BC1D60" w:rsidRPr="00C37191" w:rsidRDefault="00BC1D60" w:rsidP="00BC1D60">
      <w:pPr>
        <w:pStyle w:val="Body"/>
        <w:spacing w:after="0"/>
        <w:rPr>
          <w:noProof/>
          <w:lang w:val="en-GB" w:eastAsia="en-GB"/>
        </w:rPr>
      </w:pPr>
      <w:r w:rsidRPr="00C37191">
        <w:rPr>
          <w:noProof/>
        </w:rPr>
        <w:drawing>
          <wp:inline distT="0" distB="0" distL="0" distR="0">
            <wp:extent cx="4352290" cy="1664621"/>
            <wp:effectExtent l="19050" t="0" r="0" b="0"/>
            <wp:docPr id="14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9"/>
                    <a:srcRect/>
                    <a:stretch>
                      <a:fillRect/>
                    </a:stretch>
                  </pic:blipFill>
                  <pic:spPr bwMode="auto">
                    <a:xfrm>
                      <a:off x="0" y="0"/>
                      <a:ext cx="4352290" cy="1664621"/>
                    </a:xfrm>
                    <a:prstGeom prst="rect">
                      <a:avLst/>
                    </a:prstGeom>
                    <a:noFill/>
                    <a:ln w="9525">
                      <a:noFill/>
                      <a:miter lim="800000"/>
                      <a:headEnd/>
                      <a:tailEnd/>
                    </a:ln>
                  </pic:spPr>
                </pic:pic>
              </a:graphicData>
            </a:graphic>
          </wp:inline>
        </w:drawing>
      </w:r>
    </w:p>
    <w:p w:rsidR="00BC1D60" w:rsidRPr="00C37191" w:rsidRDefault="00BC1D60" w:rsidP="00BC1D60">
      <w:pPr>
        <w:pStyle w:val="Source"/>
        <w:spacing w:before="0" w:after="0" w:line="240" w:lineRule="auto"/>
        <w:rPr>
          <w:lang w:val="fr-FR"/>
        </w:rPr>
      </w:pPr>
      <w:r w:rsidRPr="00C37191">
        <w:rPr>
          <w:lang w:val="fr-FR"/>
        </w:rPr>
        <w:t>Source: Bloomberg</w:t>
      </w:r>
    </w:p>
    <w:p w:rsidR="00BC1D60" w:rsidRPr="00BB6D9F" w:rsidRDefault="00BC1D60" w:rsidP="00BC1D60">
      <w:pPr>
        <w:pStyle w:val="ESTableCaption"/>
        <w:keepNext/>
        <w:rPr>
          <w:lang w:val="fr-FR"/>
        </w:rPr>
      </w:pPr>
      <w:r w:rsidRPr="00FF1987">
        <w:rPr>
          <w:lang w:val="fr-FR"/>
        </w:rPr>
        <w:t>J.P. Morgan Estimates</w:t>
      </w:r>
      <w:r w:rsidRPr="00C37191">
        <w:rPr>
          <w:highlight w:val="red"/>
          <w:lang w:val="fr-FR"/>
        </w:rPr>
        <w:br/>
      </w:r>
      <w:r w:rsidRPr="007A4ECF">
        <w:rPr>
          <w:sz w:val="16"/>
          <w:lang w:val="fr-FR"/>
        </w:rPr>
        <w:t>EnQuest PLC (ENQ.L;ENQ LN)</w:t>
      </w:r>
    </w:p>
    <w:tbl>
      <w:tblPr>
        <w:tblW w:w="5000" w:type="pct"/>
        <w:tblCellMar>
          <w:left w:w="0" w:type="dxa"/>
          <w:right w:w="43" w:type="dxa"/>
        </w:tblCellMar>
        <w:tblLook w:val="01E0"/>
      </w:tblPr>
      <w:tblGrid>
        <w:gridCol w:w="2013"/>
        <w:gridCol w:w="1221"/>
        <w:gridCol w:w="1221"/>
        <w:gridCol w:w="1221"/>
        <w:gridCol w:w="1221"/>
      </w:tblGrid>
      <w:tr w:rsidR="00BC1D60" w:rsidTr="00BC5B38">
        <w:trPr>
          <w:cantSplit/>
        </w:trPr>
        <w:tc>
          <w:tcPr>
            <w:tcW w:w="2000" w:type="dxa"/>
            <w:tcBorders>
              <w:top w:val="single" w:sz="4" w:space="0" w:color="auto"/>
            </w:tcBorders>
          </w:tcPr>
          <w:p w:rsidR="00BC1D60" w:rsidRDefault="00BC1D60" w:rsidP="00BC5B38">
            <w:pPr>
              <w:pStyle w:val="ESTableRow"/>
              <w:keepNext/>
            </w:pPr>
            <w:r>
              <w:rPr>
                <w:b/>
              </w:rPr>
              <w:t>FYE Dec</w:t>
            </w:r>
          </w:p>
        </w:tc>
        <w:tc>
          <w:tcPr>
            <w:tcW w:w="1212" w:type="dxa"/>
            <w:tcBorders>
              <w:top w:val="single" w:sz="4" w:space="0" w:color="auto"/>
            </w:tcBorders>
          </w:tcPr>
          <w:p w:rsidR="00BC1D60" w:rsidRDefault="00BC1D60" w:rsidP="00BC5B38">
            <w:pPr>
              <w:pStyle w:val="ESTableRow"/>
              <w:keepNext/>
              <w:jc w:val="right"/>
            </w:pPr>
            <w:r>
              <w:rPr>
                <w:b/>
              </w:rPr>
              <w:t>2012A</w:t>
            </w:r>
          </w:p>
        </w:tc>
        <w:tc>
          <w:tcPr>
            <w:tcW w:w="1212" w:type="dxa"/>
            <w:tcBorders>
              <w:top w:val="single" w:sz="4" w:space="0" w:color="auto"/>
            </w:tcBorders>
          </w:tcPr>
          <w:p w:rsidR="00BC1D60" w:rsidRDefault="00BC1D60" w:rsidP="00BC5B38">
            <w:pPr>
              <w:pStyle w:val="ESTableRow"/>
              <w:keepNext/>
              <w:jc w:val="right"/>
            </w:pPr>
            <w:r>
              <w:rPr>
                <w:b/>
              </w:rPr>
              <w:t>2013E</w:t>
            </w:r>
          </w:p>
        </w:tc>
        <w:tc>
          <w:tcPr>
            <w:tcW w:w="1212" w:type="dxa"/>
            <w:tcBorders>
              <w:top w:val="single" w:sz="4" w:space="0" w:color="auto"/>
            </w:tcBorders>
          </w:tcPr>
          <w:p w:rsidR="00BC1D60" w:rsidRDefault="00BC1D60" w:rsidP="00BC5B38">
            <w:pPr>
              <w:pStyle w:val="ESTableRow"/>
              <w:keepNext/>
              <w:jc w:val="right"/>
            </w:pPr>
            <w:r>
              <w:rPr>
                <w:b/>
              </w:rPr>
              <w:t>2014E</w:t>
            </w:r>
          </w:p>
        </w:tc>
        <w:tc>
          <w:tcPr>
            <w:tcW w:w="1212" w:type="dxa"/>
            <w:tcBorders>
              <w:top w:val="single" w:sz="4" w:space="0" w:color="auto"/>
            </w:tcBorders>
          </w:tcPr>
          <w:p w:rsidR="00BC1D60" w:rsidRDefault="00BC1D60" w:rsidP="00BC5B38">
            <w:pPr>
              <w:pStyle w:val="ESTableRow"/>
              <w:keepNext/>
              <w:jc w:val="right"/>
            </w:pPr>
            <w:r>
              <w:rPr>
                <w:b/>
              </w:rPr>
              <w:t>2015E</w:t>
            </w:r>
          </w:p>
        </w:tc>
      </w:tr>
      <w:tr w:rsidR="00BC1D60" w:rsidTr="00BC5B38">
        <w:trPr>
          <w:cantSplit/>
        </w:trPr>
        <w:tc>
          <w:tcPr>
            <w:tcW w:w="2000" w:type="dxa"/>
            <w:tcBorders>
              <w:top w:val="single" w:sz="4" w:space="0" w:color="auto"/>
            </w:tcBorders>
          </w:tcPr>
          <w:p w:rsidR="00BC1D60" w:rsidRDefault="00BC1D60" w:rsidP="00BC5B38">
            <w:pPr>
              <w:pStyle w:val="ESTableRow"/>
              <w:keepNext/>
            </w:pPr>
            <w:r>
              <w:t>Revenue FY ($ mn)</w:t>
            </w:r>
          </w:p>
        </w:tc>
        <w:tc>
          <w:tcPr>
            <w:tcW w:w="1212" w:type="dxa"/>
            <w:tcBorders>
              <w:top w:val="single" w:sz="4" w:space="0" w:color="auto"/>
            </w:tcBorders>
          </w:tcPr>
          <w:p w:rsidR="00BC1D60" w:rsidRDefault="00BC1D60" w:rsidP="00BC5B38">
            <w:pPr>
              <w:pStyle w:val="ESTableRow"/>
              <w:keepNext/>
              <w:jc w:val="right"/>
            </w:pPr>
            <w:r>
              <w:t>890</w:t>
            </w:r>
          </w:p>
        </w:tc>
        <w:tc>
          <w:tcPr>
            <w:tcW w:w="1212" w:type="dxa"/>
            <w:tcBorders>
              <w:top w:val="single" w:sz="4" w:space="0" w:color="auto"/>
            </w:tcBorders>
          </w:tcPr>
          <w:p w:rsidR="00BC1D60" w:rsidRDefault="00BC1D60" w:rsidP="00BC5B38">
            <w:pPr>
              <w:pStyle w:val="ESTableRow"/>
              <w:keepNext/>
              <w:jc w:val="right"/>
            </w:pPr>
            <w:r>
              <w:t>894</w:t>
            </w:r>
          </w:p>
        </w:tc>
        <w:tc>
          <w:tcPr>
            <w:tcW w:w="1212" w:type="dxa"/>
            <w:tcBorders>
              <w:top w:val="single" w:sz="4" w:space="0" w:color="auto"/>
            </w:tcBorders>
          </w:tcPr>
          <w:p w:rsidR="00BC1D60" w:rsidRDefault="00BC1D60" w:rsidP="00BC5B38">
            <w:pPr>
              <w:pStyle w:val="ESTableRow"/>
              <w:keepNext/>
              <w:jc w:val="right"/>
            </w:pPr>
            <w:r>
              <w:t>1,227</w:t>
            </w:r>
          </w:p>
        </w:tc>
        <w:tc>
          <w:tcPr>
            <w:tcW w:w="1212" w:type="dxa"/>
            <w:tcBorders>
              <w:top w:val="single" w:sz="4" w:space="0" w:color="auto"/>
            </w:tcBorders>
          </w:tcPr>
          <w:p w:rsidR="00BC1D60" w:rsidRDefault="00BC1D60" w:rsidP="00BC5B38">
            <w:pPr>
              <w:pStyle w:val="ESTableRow"/>
              <w:keepNext/>
              <w:jc w:val="right"/>
            </w:pPr>
            <w:r>
              <w:t>1,360</w:t>
            </w:r>
          </w:p>
        </w:tc>
      </w:tr>
      <w:tr w:rsidR="00BC1D60" w:rsidTr="00BC5B38">
        <w:trPr>
          <w:cantSplit/>
        </w:trPr>
        <w:tc>
          <w:tcPr>
            <w:tcW w:w="2000" w:type="dxa"/>
          </w:tcPr>
          <w:p w:rsidR="00BC1D60" w:rsidRDefault="00BC1D60" w:rsidP="00BC5B38">
            <w:pPr>
              <w:pStyle w:val="ESTableRow"/>
              <w:keepNext/>
            </w:pPr>
            <w:r>
              <w:t>Net Profit FY ($ mn)</w:t>
            </w:r>
          </w:p>
        </w:tc>
        <w:tc>
          <w:tcPr>
            <w:tcW w:w="1212" w:type="dxa"/>
          </w:tcPr>
          <w:p w:rsidR="00BC1D60" w:rsidRDefault="00BC1D60" w:rsidP="00BC5B38">
            <w:pPr>
              <w:pStyle w:val="ESTableRow"/>
              <w:keepNext/>
              <w:jc w:val="right"/>
            </w:pPr>
            <w:r>
              <w:t>362</w:t>
            </w:r>
          </w:p>
        </w:tc>
        <w:tc>
          <w:tcPr>
            <w:tcW w:w="1212" w:type="dxa"/>
          </w:tcPr>
          <w:p w:rsidR="00BC1D60" w:rsidRDefault="00BC1D60" w:rsidP="00BC5B38">
            <w:pPr>
              <w:pStyle w:val="ESTableRow"/>
              <w:keepNext/>
              <w:jc w:val="right"/>
            </w:pPr>
            <w:r>
              <w:t>211</w:t>
            </w:r>
          </w:p>
        </w:tc>
        <w:tc>
          <w:tcPr>
            <w:tcW w:w="1212" w:type="dxa"/>
          </w:tcPr>
          <w:p w:rsidR="00BC1D60" w:rsidRDefault="00BC1D60" w:rsidP="00BC5B38">
            <w:pPr>
              <w:pStyle w:val="ESTableRow"/>
              <w:keepNext/>
              <w:jc w:val="right"/>
            </w:pPr>
            <w:r>
              <w:t>212</w:t>
            </w:r>
          </w:p>
        </w:tc>
        <w:tc>
          <w:tcPr>
            <w:tcW w:w="1212" w:type="dxa"/>
          </w:tcPr>
          <w:p w:rsidR="00BC1D60" w:rsidRDefault="00BC1D60" w:rsidP="00BC5B38">
            <w:pPr>
              <w:pStyle w:val="ESTableRow"/>
              <w:keepNext/>
              <w:jc w:val="right"/>
            </w:pPr>
            <w:r>
              <w:t>216</w:t>
            </w:r>
          </w:p>
        </w:tc>
      </w:tr>
      <w:tr w:rsidR="00BC1D60" w:rsidTr="00BC5B38">
        <w:trPr>
          <w:cantSplit/>
        </w:trPr>
        <w:tc>
          <w:tcPr>
            <w:tcW w:w="2000" w:type="dxa"/>
          </w:tcPr>
          <w:p w:rsidR="00BC1D60" w:rsidRDefault="00BC1D60" w:rsidP="00BC5B38">
            <w:pPr>
              <w:pStyle w:val="ESTableRow"/>
              <w:keepNext/>
            </w:pPr>
            <w:r>
              <w:t>Adj. EPS FY ($)</w:t>
            </w:r>
          </w:p>
        </w:tc>
        <w:tc>
          <w:tcPr>
            <w:tcW w:w="1212" w:type="dxa"/>
          </w:tcPr>
          <w:p w:rsidR="00BC1D60" w:rsidRDefault="00BC1D60" w:rsidP="00BC5B38">
            <w:pPr>
              <w:pStyle w:val="ESTableRow"/>
              <w:keepNext/>
              <w:jc w:val="right"/>
            </w:pPr>
            <w:r>
              <w:t>0.46</w:t>
            </w:r>
          </w:p>
        </w:tc>
        <w:tc>
          <w:tcPr>
            <w:tcW w:w="1212" w:type="dxa"/>
          </w:tcPr>
          <w:p w:rsidR="00BC1D60" w:rsidRDefault="00BC1D60" w:rsidP="00BC5B38">
            <w:pPr>
              <w:pStyle w:val="ESTableRow"/>
              <w:keepNext/>
              <w:jc w:val="right"/>
            </w:pPr>
            <w:r>
              <w:t>0.27</w:t>
            </w:r>
          </w:p>
        </w:tc>
        <w:tc>
          <w:tcPr>
            <w:tcW w:w="1212" w:type="dxa"/>
          </w:tcPr>
          <w:p w:rsidR="00BC1D60" w:rsidRDefault="00BC1D60" w:rsidP="00BC5B38">
            <w:pPr>
              <w:pStyle w:val="ESTableRow"/>
              <w:keepNext/>
              <w:jc w:val="right"/>
            </w:pPr>
            <w:r>
              <w:t>0.27</w:t>
            </w:r>
          </w:p>
        </w:tc>
        <w:tc>
          <w:tcPr>
            <w:tcW w:w="1212" w:type="dxa"/>
          </w:tcPr>
          <w:p w:rsidR="00BC1D60" w:rsidRDefault="00BC1D60" w:rsidP="00BC5B38">
            <w:pPr>
              <w:pStyle w:val="ESTableRow"/>
              <w:keepNext/>
              <w:jc w:val="right"/>
            </w:pPr>
            <w:r>
              <w:t>0.27</w:t>
            </w:r>
          </w:p>
        </w:tc>
      </w:tr>
      <w:tr w:rsidR="00BC1D60" w:rsidTr="00BC5B38">
        <w:trPr>
          <w:cantSplit/>
        </w:trPr>
        <w:tc>
          <w:tcPr>
            <w:tcW w:w="2000" w:type="dxa"/>
          </w:tcPr>
          <w:p w:rsidR="00BC1D60" w:rsidRDefault="00BC1D60" w:rsidP="00BC5B38">
            <w:pPr>
              <w:pStyle w:val="ESTableRow"/>
              <w:keepNext/>
            </w:pPr>
            <w:r>
              <w:t xml:space="preserve">P/E (x) FY </w:t>
            </w:r>
          </w:p>
        </w:tc>
        <w:tc>
          <w:tcPr>
            <w:tcW w:w="1212" w:type="dxa"/>
          </w:tcPr>
          <w:p w:rsidR="00BC1D60" w:rsidRDefault="00BC1D60" w:rsidP="00BC5B38">
            <w:pPr>
              <w:pStyle w:val="ESTableRow"/>
              <w:keepNext/>
              <w:jc w:val="right"/>
            </w:pPr>
            <w:r>
              <w:t>5.2</w:t>
            </w:r>
          </w:p>
        </w:tc>
        <w:tc>
          <w:tcPr>
            <w:tcW w:w="1212" w:type="dxa"/>
          </w:tcPr>
          <w:p w:rsidR="00BC1D60" w:rsidRDefault="00BC1D60" w:rsidP="00BC5B38">
            <w:pPr>
              <w:pStyle w:val="ESTableRow"/>
              <w:keepNext/>
              <w:jc w:val="right"/>
            </w:pPr>
            <w:r>
              <w:t>8.9</w:t>
            </w:r>
          </w:p>
        </w:tc>
        <w:tc>
          <w:tcPr>
            <w:tcW w:w="1212" w:type="dxa"/>
          </w:tcPr>
          <w:p w:rsidR="00BC1D60" w:rsidRDefault="00BC1D60" w:rsidP="00BC5B38">
            <w:pPr>
              <w:pStyle w:val="ESTableRow"/>
              <w:keepNext/>
              <w:jc w:val="right"/>
            </w:pPr>
            <w:r>
              <w:t>9.0</w:t>
            </w:r>
          </w:p>
        </w:tc>
        <w:tc>
          <w:tcPr>
            <w:tcW w:w="1212" w:type="dxa"/>
          </w:tcPr>
          <w:p w:rsidR="00BC1D60" w:rsidRDefault="00BC1D60" w:rsidP="00BC5B38">
            <w:pPr>
              <w:pStyle w:val="ESTableRow"/>
              <w:keepNext/>
              <w:jc w:val="right"/>
            </w:pPr>
            <w:r>
              <w:t>8.8</w:t>
            </w:r>
          </w:p>
        </w:tc>
      </w:tr>
      <w:tr w:rsidR="00BC1D60" w:rsidTr="00BC5B38">
        <w:trPr>
          <w:cantSplit/>
        </w:trPr>
        <w:tc>
          <w:tcPr>
            <w:tcW w:w="2000" w:type="dxa"/>
          </w:tcPr>
          <w:p w:rsidR="00BC1D60" w:rsidRDefault="00BC1D60" w:rsidP="00BC5B38">
            <w:pPr>
              <w:pStyle w:val="ESTableRow"/>
              <w:keepNext/>
            </w:pPr>
            <w:r>
              <w:t>Debt adjusted Cashflow FY ($ mn)</w:t>
            </w:r>
          </w:p>
        </w:tc>
        <w:tc>
          <w:tcPr>
            <w:tcW w:w="1212" w:type="dxa"/>
          </w:tcPr>
          <w:p w:rsidR="00BC1D60" w:rsidRDefault="00BC1D60" w:rsidP="00BC5B38">
            <w:pPr>
              <w:pStyle w:val="ESTableRow"/>
              <w:keepNext/>
              <w:jc w:val="right"/>
            </w:pPr>
            <w:r>
              <w:t>580</w:t>
            </w:r>
          </w:p>
        </w:tc>
        <w:tc>
          <w:tcPr>
            <w:tcW w:w="1212" w:type="dxa"/>
          </w:tcPr>
          <w:p w:rsidR="00BC1D60" w:rsidRDefault="00BC1D60" w:rsidP="00BC5B38">
            <w:pPr>
              <w:pStyle w:val="ESTableRow"/>
              <w:keepNext/>
              <w:jc w:val="right"/>
            </w:pPr>
            <w:r>
              <w:t>615</w:t>
            </w:r>
          </w:p>
        </w:tc>
        <w:tc>
          <w:tcPr>
            <w:tcW w:w="1212" w:type="dxa"/>
          </w:tcPr>
          <w:p w:rsidR="00BC1D60" w:rsidRDefault="00BC1D60" w:rsidP="00BC5B38">
            <w:pPr>
              <w:pStyle w:val="ESTableRow"/>
              <w:keepNext/>
              <w:jc w:val="right"/>
            </w:pPr>
            <w:r>
              <w:t>848</w:t>
            </w:r>
          </w:p>
        </w:tc>
        <w:tc>
          <w:tcPr>
            <w:tcW w:w="1212" w:type="dxa"/>
          </w:tcPr>
          <w:p w:rsidR="00BC1D60" w:rsidRDefault="00BC1D60" w:rsidP="00BC5B38">
            <w:pPr>
              <w:pStyle w:val="ESTableRow"/>
              <w:keepNext/>
              <w:jc w:val="right"/>
            </w:pPr>
            <w:r>
              <w:t>896</w:t>
            </w:r>
          </w:p>
        </w:tc>
      </w:tr>
      <w:tr w:rsidR="00BC1D60" w:rsidTr="00BC5B38">
        <w:trPr>
          <w:cantSplit/>
        </w:trPr>
        <w:tc>
          <w:tcPr>
            <w:tcW w:w="2000" w:type="dxa"/>
          </w:tcPr>
          <w:p w:rsidR="00BC1D60" w:rsidRDefault="00BC1D60" w:rsidP="00BC5B38">
            <w:pPr>
              <w:pStyle w:val="ESTableRow"/>
              <w:keepNext/>
            </w:pPr>
            <w:r>
              <w:t xml:space="preserve">EV/DACF (x) FY </w:t>
            </w:r>
          </w:p>
        </w:tc>
        <w:tc>
          <w:tcPr>
            <w:tcW w:w="1212" w:type="dxa"/>
          </w:tcPr>
          <w:p w:rsidR="00BC1D60" w:rsidRDefault="00BC1D60" w:rsidP="00BC5B38">
            <w:pPr>
              <w:pStyle w:val="ESTableRow"/>
              <w:keepNext/>
              <w:jc w:val="right"/>
            </w:pPr>
            <w:r>
              <w:t>2.9</w:t>
            </w:r>
          </w:p>
        </w:tc>
        <w:tc>
          <w:tcPr>
            <w:tcW w:w="1212" w:type="dxa"/>
          </w:tcPr>
          <w:p w:rsidR="00BC1D60" w:rsidRDefault="00BC1D60" w:rsidP="00BC5B38">
            <w:pPr>
              <w:pStyle w:val="ESTableRow"/>
              <w:keepNext/>
              <w:jc w:val="right"/>
            </w:pPr>
            <w:r>
              <w:t>3.5</w:t>
            </w:r>
          </w:p>
        </w:tc>
        <w:tc>
          <w:tcPr>
            <w:tcW w:w="1212" w:type="dxa"/>
          </w:tcPr>
          <w:p w:rsidR="00BC1D60" w:rsidRDefault="00BC1D60" w:rsidP="00BC5B38">
            <w:pPr>
              <w:pStyle w:val="ESTableRow"/>
              <w:keepNext/>
              <w:jc w:val="right"/>
            </w:pPr>
            <w:r>
              <w:t>2.5</w:t>
            </w:r>
          </w:p>
        </w:tc>
        <w:tc>
          <w:tcPr>
            <w:tcW w:w="1212" w:type="dxa"/>
          </w:tcPr>
          <w:p w:rsidR="00BC1D60" w:rsidRDefault="00BC1D60" w:rsidP="00BC5B38">
            <w:pPr>
              <w:pStyle w:val="ESTableRow"/>
              <w:keepNext/>
              <w:jc w:val="right"/>
            </w:pPr>
            <w:r>
              <w:t>2.1</w:t>
            </w:r>
          </w:p>
        </w:tc>
      </w:tr>
      <w:tr w:rsidR="00BC1D60" w:rsidTr="00BC5B38">
        <w:trPr>
          <w:cantSplit/>
        </w:trPr>
        <w:tc>
          <w:tcPr>
            <w:tcW w:w="2000" w:type="dxa"/>
          </w:tcPr>
          <w:p w:rsidR="00BC1D60" w:rsidRDefault="00BC1D60" w:rsidP="00BC5B38">
            <w:pPr>
              <w:pStyle w:val="ESTableRow"/>
              <w:keepNext/>
            </w:pPr>
            <w:r>
              <w:t>Net debt / (cash) FY ($ mn)</w:t>
            </w:r>
          </w:p>
        </w:tc>
        <w:tc>
          <w:tcPr>
            <w:tcW w:w="1212" w:type="dxa"/>
          </w:tcPr>
          <w:p w:rsidR="00BC1D60" w:rsidRDefault="00BC1D60" w:rsidP="00BC5B38">
            <w:pPr>
              <w:pStyle w:val="ESTableRow"/>
              <w:keepNext/>
              <w:jc w:val="right"/>
            </w:pPr>
            <w:r>
              <w:t>(90)</w:t>
            </w:r>
          </w:p>
        </w:tc>
        <w:tc>
          <w:tcPr>
            <w:tcW w:w="1212" w:type="dxa"/>
          </w:tcPr>
          <w:p w:rsidR="00BC1D60" w:rsidRDefault="00BC1D60" w:rsidP="00BC5B38">
            <w:pPr>
              <w:pStyle w:val="ESTableRow"/>
              <w:keepNext/>
              <w:jc w:val="right"/>
            </w:pPr>
            <w:r>
              <w:t>363</w:t>
            </w:r>
          </w:p>
        </w:tc>
        <w:tc>
          <w:tcPr>
            <w:tcW w:w="1212" w:type="dxa"/>
          </w:tcPr>
          <w:p w:rsidR="00BC1D60" w:rsidRDefault="00BC1D60" w:rsidP="00BC5B38">
            <w:pPr>
              <w:pStyle w:val="ESTableRow"/>
              <w:keepNext/>
              <w:jc w:val="right"/>
            </w:pPr>
            <w:r>
              <w:t>296</w:t>
            </w:r>
          </w:p>
        </w:tc>
        <w:tc>
          <w:tcPr>
            <w:tcW w:w="1212" w:type="dxa"/>
          </w:tcPr>
          <w:p w:rsidR="00BC1D60" w:rsidRDefault="00BC1D60" w:rsidP="00BC5B38">
            <w:pPr>
              <w:pStyle w:val="ESTableRow"/>
              <w:keepNext/>
              <w:jc w:val="right"/>
            </w:pPr>
            <w:r>
              <w:t>73</w:t>
            </w:r>
          </w:p>
        </w:tc>
      </w:tr>
      <w:tr w:rsidR="00BC1D60" w:rsidTr="00BC5B38">
        <w:trPr>
          <w:cantSplit/>
        </w:trPr>
        <w:tc>
          <w:tcPr>
            <w:tcW w:w="2000" w:type="dxa"/>
            <w:tcBorders>
              <w:bottom w:val="single" w:sz="4" w:space="0" w:color="auto"/>
            </w:tcBorders>
          </w:tcPr>
          <w:p w:rsidR="00BC1D60" w:rsidRDefault="00BC1D60" w:rsidP="00BC5B38">
            <w:pPr>
              <w:pStyle w:val="ESTableRow"/>
              <w:keepNext/>
            </w:pPr>
            <w:r>
              <w:t xml:space="preserve">Total Production (kboepd) FY </w:t>
            </w:r>
          </w:p>
        </w:tc>
        <w:tc>
          <w:tcPr>
            <w:tcW w:w="1212" w:type="dxa"/>
            <w:tcBorders>
              <w:bottom w:val="single" w:sz="4" w:space="0" w:color="auto"/>
            </w:tcBorders>
          </w:tcPr>
          <w:p w:rsidR="00BC1D60" w:rsidRDefault="00BC1D60" w:rsidP="00BC5B38">
            <w:pPr>
              <w:pStyle w:val="ESTableRow"/>
              <w:keepNext/>
              <w:jc w:val="right"/>
            </w:pPr>
            <w:r>
              <w:t>23</w:t>
            </w:r>
          </w:p>
        </w:tc>
        <w:tc>
          <w:tcPr>
            <w:tcW w:w="1212" w:type="dxa"/>
            <w:tcBorders>
              <w:bottom w:val="single" w:sz="4" w:space="0" w:color="auto"/>
            </w:tcBorders>
          </w:tcPr>
          <w:p w:rsidR="00BC1D60" w:rsidRDefault="00BC1D60" w:rsidP="00BC5B38">
            <w:pPr>
              <w:pStyle w:val="ESTableRow"/>
              <w:keepNext/>
              <w:jc w:val="right"/>
            </w:pPr>
            <w:r>
              <w:t>23</w:t>
            </w:r>
          </w:p>
        </w:tc>
        <w:tc>
          <w:tcPr>
            <w:tcW w:w="1212" w:type="dxa"/>
            <w:tcBorders>
              <w:bottom w:val="single" w:sz="4" w:space="0" w:color="auto"/>
            </w:tcBorders>
          </w:tcPr>
          <w:p w:rsidR="00BC1D60" w:rsidRDefault="00BC1D60" w:rsidP="00BC5B38">
            <w:pPr>
              <w:pStyle w:val="ESTableRow"/>
              <w:keepNext/>
              <w:jc w:val="right"/>
            </w:pPr>
            <w:r>
              <w:t>32</w:t>
            </w:r>
          </w:p>
        </w:tc>
        <w:tc>
          <w:tcPr>
            <w:tcW w:w="1212" w:type="dxa"/>
            <w:tcBorders>
              <w:bottom w:val="single" w:sz="4" w:space="0" w:color="auto"/>
            </w:tcBorders>
          </w:tcPr>
          <w:p w:rsidR="00BC1D60" w:rsidRDefault="00BC1D60" w:rsidP="00BC5B38">
            <w:pPr>
              <w:pStyle w:val="ESTableRow"/>
              <w:keepNext/>
              <w:jc w:val="right"/>
            </w:pPr>
            <w:r>
              <w:t>38</w:t>
            </w:r>
          </w:p>
        </w:tc>
      </w:tr>
    </w:tbl>
    <w:p w:rsidR="00BC1D60" w:rsidRDefault="00BC1D60" w:rsidP="00BC1D60">
      <w:pPr>
        <w:pStyle w:val="Source"/>
        <w:spacing w:after="0"/>
        <w:rPr>
          <w:highlight w:val="yellow"/>
        </w:rPr>
      </w:pPr>
      <w:r>
        <w:t>Source: Company data, Bloomberg, J.P. Morgan estimates</w:t>
      </w:r>
      <w:r w:rsidRPr="004F1ABB">
        <w:rPr>
          <w:highlight w:val="yellow"/>
        </w:rPr>
        <w:br w:type="page"/>
      </w:r>
    </w:p>
    <w:p w:rsidR="00BC1D60" w:rsidRPr="00053456" w:rsidRDefault="00BC1D60" w:rsidP="00BC1D60">
      <w:pPr>
        <w:pStyle w:val="Body"/>
        <w:rPr>
          <w:highlight w:val="yellow"/>
        </w:rPr>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2644F7" w:rsidTr="00BC5B38">
        <w:tc>
          <w:tcPr>
            <w:tcW w:w="10604" w:type="dxa"/>
            <w:gridSpan w:val="3"/>
            <w:shd w:val="clear" w:color="auto" w:fill="auto"/>
          </w:tcPr>
          <w:p w:rsidR="00BC1D60" w:rsidRPr="002644F7" w:rsidRDefault="00BC1D60" w:rsidP="00BC5B38">
            <w:pPr>
              <w:pStyle w:val="Heading1-NoTOC"/>
            </w:pPr>
            <w:bookmarkStart w:id="158" w:name="_Toc376756075"/>
            <w:bookmarkStart w:id="159" w:name="_Toc376801398"/>
            <w:bookmarkStart w:id="160" w:name="_Toc376802060"/>
            <w:bookmarkStart w:id="161" w:name="_Toc384044965"/>
            <w:bookmarkStart w:id="162" w:name="_Toc384135989"/>
            <w:bookmarkStart w:id="163" w:name="_Toc384136956"/>
            <w:bookmarkStart w:id="164" w:name="_Toc392016351"/>
            <w:bookmarkStart w:id="165" w:name="_Toc392099069"/>
            <w:r w:rsidRPr="002644F7">
              <w:t>Getting to know our SMid Analysts…</w:t>
            </w:r>
            <w:bookmarkEnd w:id="158"/>
            <w:bookmarkEnd w:id="159"/>
            <w:bookmarkEnd w:id="160"/>
            <w:bookmarkEnd w:id="161"/>
            <w:bookmarkEnd w:id="162"/>
            <w:bookmarkEnd w:id="163"/>
            <w:bookmarkEnd w:id="164"/>
            <w:bookmarkEnd w:id="165"/>
          </w:p>
        </w:tc>
      </w:tr>
      <w:tr w:rsidR="00BC1D60" w:rsidRPr="002644F7" w:rsidTr="00BC5B38">
        <w:trPr>
          <w:trHeight w:val="3427"/>
        </w:trPr>
        <w:tc>
          <w:tcPr>
            <w:tcW w:w="2666" w:type="dxa"/>
            <w:shd w:val="clear" w:color="auto" w:fill="auto"/>
          </w:tcPr>
          <w:p w:rsidR="00BC1D60" w:rsidRPr="002644F7" w:rsidRDefault="00BC1D60" w:rsidP="00BC5B38">
            <w:pPr>
              <w:pStyle w:val="Body"/>
              <w:spacing w:after="120"/>
            </w:pPr>
            <w:r w:rsidRPr="002644F7">
              <w:rPr>
                <w:rFonts w:ascii="Arial" w:hAnsi="Arial" w:cs="Arial"/>
                <w:noProof/>
                <w:color w:val="716F63"/>
                <w:sz w:val="14"/>
                <w:szCs w:val="14"/>
              </w:rPr>
              <w:drawing>
                <wp:inline distT="0" distB="0" distL="0" distR="0">
                  <wp:extent cx="1563260" cy="1536115"/>
                  <wp:effectExtent l="19050" t="0" r="0" b="0"/>
                  <wp:docPr id="143" name="Picture 313" descr="James Thomp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James Thompson"/>
                          <pic:cNvPicPr>
                            <a:picLocks noChangeAspect="1" noChangeArrowheads="1"/>
                          </pic:cNvPicPr>
                        </pic:nvPicPr>
                        <pic:blipFill>
                          <a:blip r:embed="rId70"/>
                          <a:srcRect l="29671" r="6725"/>
                          <a:stretch>
                            <a:fillRect/>
                          </a:stretch>
                        </pic:blipFill>
                        <pic:spPr bwMode="auto">
                          <a:xfrm>
                            <a:off x="0" y="0"/>
                            <a:ext cx="1566601" cy="1539398"/>
                          </a:xfrm>
                          <a:prstGeom prst="rect">
                            <a:avLst/>
                          </a:prstGeom>
                          <a:noFill/>
                          <a:ln w="9525">
                            <a:noFill/>
                            <a:miter lim="800000"/>
                            <a:headEnd/>
                            <a:tailEnd/>
                          </a:ln>
                        </pic:spPr>
                      </pic:pic>
                    </a:graphicData>
                  </a:graphic>
                </wp:inline>
              </w:drawing>
            </w:r>
          </w:p>
        </w:tc>
        <w:tc>
          <w:tcPr>
            <w:tcW w:w="3544" w:type="dxa"/>
            <w:shd w:val="clear" w:color="auto" w:fill="auto"/>
          </w:tcPr>
          <w:p w:rsidR="00BC1D60" w:rsidRPr="002644F7" w:rsidRDefault="00BC1D60" w:rsidP="00BC5B38">
            <w:pPr>
              <w:pStyle w:val="Heading2"/>
              <w:outlineLvl w:val="1"/>
              <w:rPr>
                <w:lang w:val="fr-FR"/>
              </w:rPr>
            </w:pPr>
            <w:r w:rsidRPr="002644F7">
              <w:rPr>
                <w:lang w:val="fr-FR"/>
              </w:rPr>
              <w:t>James Thompson</w:t>
            </w:r>
          </w:p>
          <w:p w:rsidR="00BC1D60" w:rsidRPr="002644F7" w:rsidRDefault="003B051F" w:rsidP="00BC5B38">
            <w:pPr>
              <w:pStyle w:val="Body"/>
              <w:spacing w:after="120"/>
              <w:rPr>
                <w:rFonts w:ascii="Arial Narrow" w:hAnsi="Arial Narrow"/>
                <w:lang w:val="fr-FR"/>
              </w:rPr>
            </w:pPr>
            <w:hyperlink r:id="rId71" w:history="1">
              <w:r w:rsidR="00BC1D60" w:rsidRPr="002644F7">
                <w:rPr>
                  <w:rStyle w:val="Hyperlink"/>
                  <w:rFonts w:ascii="Arial Narrow" w:hAnsi="Arial Narrow"/>
                  <w:lang w:val="fr-FR"/>
                </w:rPr>
                <w:t>james.a.thompson1@jpmorgan.com</w:t>
              </w:r>
            </w:hyperlink>
          </w:p>
          <w:p w:rsidR="00BC1D60" w:rsidRPr="002644F7" w:rsidRDefault="00BC1D60" w:rsidP="00BC5B38">
            <w:pPr>
              <w:pStyle w:val="Body"/>
              <w:spacing w:after="120"/>
              <w:rPr>
                <w:rFonts w:ascii="Arial Narrow" w:hAnsi="Arial Narrow"/>
              </w:rPr>
            </w:pPr>
            <w:r w:rsidRPr="002644F7">
              <w:rPr>
                <w:rFonts w:ascii="Arial Narrow" w:hAnsi="Arial Narrow"/>
              </w:rPr>
              <w:t>(44-20) 7134-5942</w:t>
            </w:r>
          </w:p>
          <w:p w:rsidR="00BC1D60" w:rsidRPr="002644F7" w:rsidRDefault="00BC1D60" w:rsidP="00BC5B38">
            <w:pPr>
              <w:pStyle w:val="Body"/>
              <w:spacing w:after="120"/>
              <w:rPr>
                <w:rFonts w:ascii="Arial Narrow" w:hAnsi="Arial Narrow"/>
              </w:rPr>
            </w:pPr>
          </w:p>
          <w:p w:rsidR="00BC1D60" w:rsidRPr="002644F7" w:rsidRDefault="00BC1D60" w:rsidP="00BC5B38">
            <w:pPr>
              <w:pStyle w:val="Body"/>
              <w:spacing w:after="120"/>
              <w:rPr>
                <w:rFonts w:ascii="Arial Narrow" w:hAnsi="Arial Narrow"/>
              </w:rPr>
            </w:pPr>
            <w:r w:rsidRPr="002644F7">
              <w:rPr>
                <w:rFonts w:ascii="Arial Narrow" w:hAnsi="Arial Narrow"/>
                <w:b/>
              </w:rPr>
              <w:t>Region:</w:t>
            </w:r>
            <w:r w:rsidRPr="002644F7">
              <w:rPr>
                <w:rFonts w:ascii="Arial Narrow" w:hAnsi="Arial Narrow"/>
              </w:rPr>
              <w:t xml:space="preserve"> W. Europe</w:t>
            </w:r>
          </w:p>
          <w:p w:rsidR="00BC1D60" w:rsidRPr="002644F7" w:rsidRDefault="00BC1D60" w:rsidP="00BC5B38">
            <w:pPr>
              <w:pStyle w:val="Body"/>
              <w:spacing w:after="120"/>
              <w:rPr>
                <w:rFonts w:ascii="Arial Narrow" w:hAnsi="Arial Narrow"/>
              </w:rPr>
            </w:pPr>
            <w:r w:rsidRPr="002644F7">
              <w:rPr>
                <w:rFonts w:ascii="Arial Narrow" w:hAnsi="Arial Narrow"/>
                <w:b/>
              </w:rPr>
              <w:t>Sector:</w:t>
            </w:r>
            <w:r w:rsidRPr="002644F7">
              <w:rPr>
                <w:rFonts w:ascii="Arial Narrow" w:hAnsi="Arial Narrow"/>
              </w:rPr>
              <w:t xml:space="preserve"> </w:t>
            </w:r>
            <w:r w:rsidRPr="002644F7">
              <w:rPr>
                <w:rFonts w:ascii="Arial Narrow" w:hAnsi="Arial Narrow"/>
                <w:bCs/>
              </w:rPr>
              <w:t>Oil &amp; Gas</w:t>
            </w:r>
          </w:p>
          <w:p w:rsidR="00BC1D60" w:rsidRPr="002644F7" w:rsidRDefault="00BC1D60" w:rsidP="00BC5B38">
            <w:pPr>
              <w:pStyle w:val="Body"/>
            </w:pPr>
          </w:p>
        </w:tc>
        <w:tc>
          <w:tcPr>
            <w:tcW w:w="4394" w:type="dxa"/>
            <w:shd w:val="clear" w:color="auto" w:fill="auto"/>
          </w:tcPr>
          <w:p w:rsidR="00BC1D60" w:rsidRPr="002644F7" w:rsidRDefault="00BC1D60" w:rsidP="00BC5B38">
            <w:pPr>
              <w:pStyle w:val="Body"/>
              <w:jc w:val="right"/>
            </w:pPr>
            <w:r w:rsidRPr="002644F7">
              <w:rPr>
                <w:noProof/>
              </w:rPr>
              <w:drawing>
                <wp:inline distT="0" distB="0" distL="0" distR="0">
                  <wp:extent cx="2505456" cy="1414952"/>
                  <wp:effectExtent l="19050" t="0" r="9144" b="0"/>
                  <wp:docPr id="1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srcRect/>
                          <a:stretch>
                            <a:fillRect/>
                          </a:stretch>
                        </pic:blipFill>
                        <pic:spPr bwMode="auto">
                          <a:xfrm>
                            <a:off x="0" y="0"/>
                            <a:ext cx="2505456" cy="1414952"/>
                          </a:xfrm>
                          <a:prstGeom prst="rect">
                            <a:avLst/>
                          </a:prstGeom>
                          <a:noFill/>
                          <a:ln w="9525">
                            <a:noFill/>
                            <a:miter lim="800000"/>
                            <a:headEnd/>
                            <a:tailEnd/>
                          </a:ln>
                        </pic:spPr>
                      </pic:pic>
                    </a:graphicData>
                  </a:graphic>
                </wp:inline>
              </w:drawing>
            </w:r>
          </w:p>
        </w:tc>
      </w:tr>
    </w:tbl>
    <w:p w:rsidR="00BC1D60" w:rsidRPr="002644F7" w:rsidRDefault="00BC1D60" w:rsidP="00BC1D60">
      <w:pPr>
        <w:pStyle w:val="Source"/>
        <w:spacing w:before="0"/>
        <w:ind w:left="-3124" w:hanging="137"/>
      </w:pPr>
      <w:r w:rsidRPr="002644F7">
        <w:rPr>
          <w:noProof/>
        </w:rPr>
        <w:drawing>
          <wp:inline distT="0" distB="0" distL="0" distR="0">
            <wp:extent cx="6702552" cy="1891968"/>
            <wp:effectExtent l="19050" t="0" r="3048" b="0"/>
            <wp:docPr id="1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srcRect/>
                    <a:stretch>
                      <a:fillRect/>
                    </a:stretch>
                  </pic:blipFill>
                  <pic:spPr bwMode="auto">
                    <a:xfrm>
                      <a:off x="0" y="0"/>
                      <a:ext cx="6702552" cy="1891968"/>
                    </a:xfrm>
                    <a:prstGeom prst="rect">
                      <a:avLst/>
                    </a:prstGeom>
                    <a:noFill/>
                    <a:ln w="9525">
                      <a:noFill/>
                      <a:miter lim="800000"/>
                      <a:headEnd/>
                      <a:tailEnd/>
                    </a:ln>
                  </pic:spPr>
                </pic:pic>
              </a:graphicData>
            </a:graphic>
          </wp:inline>
        </w:drawing>
      </w:r>
      <w:r w:rsidRPr="002644F7">
        <w:t xml:space="preserve"> Source: Bloomberg, Datastream, Factset, J.P. Morgan</w:t>
      </w:r>
      <w:r w:rsidRPr="002644F7">
        <w:br/>
      </w:r>
      <w:r w:rsidRPr="0087013D">
        <w:t>Prices as of 24 June 2014</w:t>
      </w:r>
    </w:p>
    <w:p w:rsidR="00BC1D60" w:rsidRPr="004F1ABB" w:rsidRDefault="00BC1D60" w:rsidP="00BC1D60">
      <w:pPr>
        <w:pStyle w:val="Body"/>
        <w:rPr>
          <w:highlight w:val="yellow"/>
        </w:rPr>
      </w:pPr>
    </w:p>
    <w:p w:rsidR="00BC1D60" w:rsidRPr="004F1ABB" w:rsidRDefault="00BC1D60" w:rsidP="00BC1D60">
      <w:pPr>
        <w:pStyle w:val="Sidecomments"/>
        <w:framePr w:w="0" w:hRule="auto" w:wrap="around"/>
        <w:rPr>
          <w:highlight w:val="yellow"/>
        </w:rPr>
      </w:pPr>
      <w:r w:rsidRPr="00962264">
        <w:rPr>
          <w:noProof/>
        </w:rPr>
        <w:lastRenderedPageBreak/>
        <w:drawing>
          <wp:inline distT="0" distB="0" distL="0" distR="0">
            <wp:extent cx="1737360" cy="8184673"/>
            <wp:effectExtent l="19050" t="0" r="0" b="0"/>
            <wp:docPr id="14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4"/>
                    <a:srcRect/>
                    <a:stretch>
                      <a:fillRect/>
                    </a:stretch>
                  </pic:blipFill>
                  <pic:spPr bwMode="auto">
                    <a:xfrm>
                      <a:off x="0" y="0"/>
                      <a:ext cx="1737360" cy="8184673"/>
                    </a:xfrm>
                    <a:prstGeom prst="rect">
                      <a:avLst/>
                    </a:prstGeom>
                    <a:noFill/>
                    <a:ln w="9525">
                      <a:noFill/>
                      <a:miter lim="800000"/>
                      <a:headEnd/>
                      <a:tailEnd/>
                    </a:ln>
                  </pic:spPr>
                </pic:pic>
              </a:graphicData>
            </a:graphic>
          </wp:inline>
        </w:drawing>
      </w:r>
    </w:p>
    <w:p w:rsidR="00BC1D60" w:rsidRPr="00962264" w:rsidRDefault="00BC1D60" w:rsidP="00BC1D60">
      <w:pPr>
        <w:pStyle w:val="Heading1"/>
        <w:spacing w:before="0"/>
      </w:pPr>
      <w:bookmarkStart w:id="166" w:name="_Ref376780038"/>
      <w:bookmarkStart w:id="167" w:name="_Toc376802061"/>
      <w:bookmarkStart w:id="168" w:name="_Toc384135990"/>
      <w:bookmarkStart w:id="169" w:name="_Toc392099070"/>
      <w:bookmarkStart w:id="170" w:name="_Toc392081811"/>
      <w:bookmarkStart w:id="171" w:name="_Toc392081874"/>
      <w:r w:rsidRPr="00962264">
        <w:t>Even (EVEN3 BZ / OW / R$6.</w:t>
      </w:r>
      <w:r>
        <w:t>57</w:t>
      </w:r>
      <w:r w:rsidRPr="00962264">
        <w:t>)</w:t>
      </w:r>
      <w:bookmarkEnd w:id="166"/>
      <w:bookmarkEnd w:id="167"/>
      <w:bookmarkEnd w:id="168"/>
      <w:bookmarkEnd w:id="169"/>
      <w:bookmarkEnd w:id="170"/>
      <w:bookmarkEnd w:id="171"/>
    </w:p>
    <w:p w:rsidR="00BC1D60" w:rsidRPr="00CB0480" w:rsidRDefault="00BC1D60" w:rsidP="00BC1D60">
      <w:pPr>
        <w:pStyle w:val="Heading2"/>
        <w:spacing w:after="120"/>
        <w:rPr>
          <w:i/>
        </w:rPr>
      </w:pPr>
      <w:r>
        <w:rPr>
          <w:i/>
        </w:rPr>
        <w:t>Improving results at an attractive valuation</w:t>
      </w:r>
    </w:p>
    <w:p w:rsidR="00BC1D60" w:rsidRDefault="00BC1D60" w:rsidP="00BC1D60">
      <w:pPr>
        <w:pStyle w:val="Heading3"/>
      </w:pPr>
      <w:r w:rsidRPr="00245646">
        <w:t>Investment Highlights:</w:t>
      </w:r>
    </w:p>
    <w:p w:rsidR="00BC1D60" w:rsidRPr="000D22A8" w:rsidRDefault="00BC1D60" w:rsidP="00BC1D60">
      <w:pPr>
        <w:pStyle w:val="Bullet"/>
        <w:rPr>
          <w:lang w:val="en-GB" w:eastAsia="ja-JP"/>
        </w:rPr>
      </w:pPr>
      <w:r w:rsidRPr="000D22A8">
        <w:rPr>
          <w:b/>
          <w:lang w:val="en-GB" w:eastAsia="ja-JP"/>
        </w:rPr>
        <w:t>Improving ROE</w:t>
      </w:r>
      <w:r>
        <w:rPr>
          <w:b/>
          <w:lang w:val="en-GB" w:eastAsia="ja-JP"/>
        </w:rPr>
        <w:t xml:space="preserve"> in the short term</w:t>
      </w:r>
      <w:r w:rsidRPr="000D22A8">
        <w:rPr>
          <w:b/>
          <w:lang w:val="en-GB" w:eastAsia="ja-JP"/>
        </w:rPr>
        <w:t>,</w:t>
      </w:r>
      <w:r w:rsidRPr="000D22A8">
        <w:rPr>
          <w:lang w:val="en-GB" w:eastAsia="ja-JP"/>
        </w:rPr>
        <w:t xml:space="preserve"> after a weak </w:t>
      </w:r>
      <w:r>
        <w:rPr>
          <w:lang w:val="en-GB" w:eastAsia="ja-JP"/>
        </w:rPr>
        <w:t>1Q with ROE at only 11% we expect Even to report an ROE of 14-16% in the coming quarters on the back of higher revenues recognition, leading to higher margin and higher asset turnover.</w:t>
      </w:r>
    </w:p>
    <w:p w:rsidR="00BC1D60" w:rsidRPr="000D22A8" w:rsidRDefault="00BC1D60" w:rsidP="00BC1D60">
      <w:pPr>
        <w:pStyle w:val="Bullet"/>
        <w:rPr>
          <w:lang w:val="en-GB" w:eastAsia="ja-JP"/>
        </w:rPr>
      </w:pPr>
      <w:r w:rsidRPr="006E4717">
        <w:rPr>
          <w:b/>
          <w:lang w:val="en-GB" w:eastAsia="ja-JP"/>
        </w:rPr>
        <w:t>Premium execution</w:t>
      </w:r>
      <w:r>
        <w:rPr>
          <w:b/>
          <w:lang w:val="en-GB" w:eastAsia="ja-JP"/>
        </w:rPr>
        <w:t>.</w:t>
      </w:r>
      <w:r w:rsidRPr="00A6134A">
        <w:rPr>
          <w:lang w:val="en-GB" w:eastAsia="ja-JP"/>
        </w:rPr>
        <w:t xml:space="preserve"> Even </w:t>
      </w:r>
      <w:r>
        <w:rPr>
          <w:lang w:val="en-GB" w:eastAsia="ja-JP"/>
        </w:rPr>
        <w:t>always grew organically, avoiding the pain of M&amp;A process, moreover Even was always focused on the mid and high income segment have a deep expertise on the sector and not historical of cost overrun.</w:t>
      </w:r>
    </w:p>
    <w:p w:rsidR="00BC1D60" w:rsidRDefault="00BC1D60" w:rsidP="00BC1D60">
      <w:pPr>
        <w:pStyle w:val="Bullet"/>
        <w:rPr>
          <w:lang w:val="en-GB" w:eastAsia="ja-JP"/>
        </w:rPr>
      </w:pPr>
      <w:r w:rsidRPr="0077511F">
        <w:rPr>
          <w:b/>
          <w:lang w:val="en-GB" w:eastAsia="ja-JP"/>
        </w:rPr>
        <w:t>Strong balance sheet</w:t>
      </w:r>
      <w:r>
        <w:rPr>
          <w:b/>
          <w:lang w:val="en-GB" w:eastAsia="ja-JP"/>
        </w:rPr>
        <w:t xml:space="preserve"> with +FCF</w:t>
      </w:r>
      <w:r w:rsidRPr="0077511F">
        <w:rPr>
          <w:b/>
          <w:lang w:val="en-GB" w:eastAsia="ja-JP"/>
        </w:rPr>
        <w:t>,</w:t>
      </w:r>
      <w:r w:rsidRPr="000D22A8">
        <w:rPr>
          <w:lang w:val="en-GB" w:eastAsia="ja-JP"/>
        </w:rPr>
        <w:t xml:space="preserve"> </w:t>
      </w:r>
      <w:r>
        <w:rPr>
          <w:lang w:val="en-GB" w:eastAsia="ja-JP"/>
        </w:rPr>
        <w:t>Even has one of the lowest leverage ratios in the sector with Net debt to Equity at 50% vs up to 150% from peers that traded at discounted valuations. We see a +FCF of R$200mn this year (9% of its equity).</w:t>
      </w:r>
    </w:p>
    <w:p w:rsidR="00BC1D60" w:rsidRPr="000D22A8" w:rsidRDefault="00BC1D60" w:rsidP="00BC1D60">
      <w:pPr>
        <w:pStyle w:val="Bullet"/>
        <w:rPr>
          <w:lang w:val="en-GB" w:eastAsia="ja-JP"/>
        </w:rPr>
      </w:pPr>
      <w:r w:rsidRPr="0077511F">
        <w:rPr>
          <w:b/>
          <w:lang w:val="en-GB" w:eastAsia="ja-JP"/>
        </w:rPr>
        <w:t>Attractive valuation,</w:t>
      </w:r>
      <w:r>
        <w:rPr>
          <w:lang w:val="en-GB" w:eastAsia="ja-JP"/>
        </w:rPr>
        <w:t xml:space="preserve"> as the company is trading </w:t>
      </w:r>
      <w:r w:rsidRPr="004D7FF0">
        <w:rPr>
          <w:lang w:val="en-GB" w:eastAsia="ja-JP"/>
        </w:rPr>
        <w:t xml:space="preserve">at </w:t>
      </w:r>
      <w:r w:rsidRPr="007A4ECF">
        <w:rPr>
          <w:lang w:val="en-GB" w:eastAsia="ja-JP"/>
        </w:rPr>
        <w:t>0.8x current P/BV</w:t>
      </w:r>
      <w:r w:rsidRPr="004D7FF0">
        <w:rPr>
          <w:lang w:val="en-GB" w:eastAsia="ja-JP"/>
        </w:rPr>
        <w:t xml:space="preserve"> for an expected ROE of 16%, this compares with peers</w:t>
      </w:r>
      <w:r>
        <w:rPr>
          <w:lang w:val="en-GB" w:eastAsia="ja-JP"/>
        </w:rPr>
        <w:t>’ valuation of around 1.0x P/BV for ROEs of 14-15%, leaving room for an catch up in valuation.</w:t>
      </w:r>
    </w:p>
    <w:p w:rsidR="00BC1D60" w:rsidRPr="0099164F" w:rsidRDefault="00BC1D60" w:rsidP="00BC1D60">
      <w:pPr>
        <w:pStyle w:val="Body"/>
        <w:spacing w:after="120"/>
      </w:pPr>
      <w:r>
        <w:rPr>
          <w:b/>
        </w:rPr>
        <w:t xml:space="preserve">Valuation / </w:t>
      </w:r>
      <w:r w:rsidRPr="00E03D8C">
        <w:rPr>
          <w:b/>
        </w:rPr>
        <w:t>Ris</w:t>
      </w:r>
      <w:r w:rsidRPr="00FF1F60">
        <w:rPr>
          <w:b/>
        </w:rPr>
        <w:t>ks to our View</w:t>
      </w:r>
      <w:r>
        <w:rPr>
          <w:b/>
        </w:rPr>
        <w:t xml:space="preserve">: </w:t>
      </w:r>
      <w:r w:rsidRPr="00DD173A">
        <w:t>Our</w:t>
      </w:r>
      <w:r>
        <w:rPr>
          <w:b/>
        </w:rPr>
        <w:t xml:space="preserve"> </w:t>
      </w:r>
      <w:r>
        <w:t>YE14 PT of R$10.00, is derived from the average a GGM-based valuation and a DCF valuation. For the GGM, we assume a COE of 13.2% and a sustainable ROE of 16%. In our DCF, we assume a WACC in US$ of 11.7% based on a Beta of 1.3, country risk of 2.5%, risk free of 3.0% and an equity risk premium of 5.5%. The main downside risks are: i) Sale speed of inventory; ii) deterioration on São Paulo and mid income market; iii) changes in management team.</w:t>
      </w:r>
    </w:p>
    <w:p w:rsidR="00BC1D60" w:rsidRPr="00962264" w:rsidRDefault="00BC1D60" w:rsidP="00BC1D60">
      <w:pPr>
        <w:pStyle w:val="Heading3"/>
        <w:spacing w:after="240"/>
        <w:rPr>
          <w:b w:val="0"/>
        </w:rPr>
      </w:pPr>
      <w:r>
        <w:t>Even in a Nutshell</w:t>
      </w:r>
      <w:r w:rsidRPr="00E41BB4">
        <w:t>:</w:t>
      </w:r>
      <w:r w:rsidRPr="003E14A0">
        <w:rPr>
          <w:b w:val="0"/>
        </w:rPr>
        <w:t xml:space="preserve"> </w:t>
      </w:r>
      <w:r w:rsidRPr="00DD173A">
        <w:rPr>
          <w:b w:val="0"/>
        </w:rPr>
        <w:t>Even is a</w:t>
      </w:r>
      <w:r>
        <w:rPr>
          <w:b w:val="0"/>
        </w:rPr>
        <w:t xml:space="preserve"> Brazilian Homebuilder, focused mostly in the city of São Paulo and metropolitan region, developing mid-class projects with average ticket around US$200-250k. </w:t>
      </w:r>
      <w:r w:rsidRPr="000D22A8">
        <w:rPr>
          <w:b w:val="0"/>
        </w:rPr>
        <w:t>Even was founded in 2002 after the merger between</w:t>
      </w:r>
      <w:r>
        <w:rPr>
          <w:b w:val="0"/>
        </w:rPr>
        <w:t xml:space="preserve"> </w:t>
      </w:r>
      <w:r w:rsidRPr="000D22A8">
        <w:rPr>
          <w:b w:val="0"/>
        </w:rPr>
        <w:t>ABC Investimentos and Terepins &amp; Kalili, and in 2007 the company made its IPO</w:t>
      </w:r>
      <w:r>
        <w:rPr>
          <w:b w:val="0"/>
        </w:rPr>
        <w:t xml:space="preserve"> </w:t>
      </w:r>
      <w:r w:rsidRPr="000D22A8">
        <w:rPr>
          <w:b w:val="0"/>
        </w:rPr>
        <w:t>and has been part of Bovespa`s Novo Mercado (highest level of corporate</w:t>
      </w:r>
      <w:r>
        <w:rPr>
          <w:b w:val="0"/>
        </w:rPr>
        <w:t xml:space="preserve"> </w:t>
      </w:r>
      <w:r w:rsidRPr="000D22A8">
        <w:rPr>
          <w:b w:val="0"/>
        </w:rPr>
        <w:t>governance in Brazil)</w:t>
      </w:r>
      <w:r>
        <w:rPr>
          <w:b w:val="0"/>
        </w:rPr>
        <w:t>.</w:t>
      </w:r>
      <w:r w:rsidRPr="000D22A8">
        <w:rPr>
          <w:b w:val="0"/>
        </w:rPr>
        <w:t xml:space="preserve"> </w:t>
      </w:r>
      <w:r>
        <w:rPr>
          <w:b w:val="0"/>
        </w:rPr>
        <w:t xml:space="preserve">Currently </w:t>
      </w:r>
      <w:r w:rsidRPr="00962264">
        <w:rPr>
          <w:b w:val="0"/>
        </w:rPr>
        <w:t xml:space="preserve">the company has a share of 0.5% on IBOV index. </w:t>
      </w:r>
    </w:p>
    <w:p w:rsidR="00BC1D60" w:rsidRPr="00962264" w:rsidRDefault="00BC1D60" w:rsidP="00BC1D60">
      <w:pPr>
        <w:pStyle w:val="Heading3"/>
        <w:spacing w:after="0"/>
      </w:pPr>
      <w:r w:rsidRPr="00962264">
        <w:t>Price Perf vs MSCI All Country World Small Cap (rebased as of 1-yr ago):</w:t>
      </w:r>
    </w:p>
    <w:p w:rsidR="00BC1D60" w:rsidRPr="00962264" w:rsidRDefault="00BC1D60" w:rsidP="00BC1D60">
      <w:pPr>
        <w:pStyle w:val="Body"/>
        <w:spacing w:after="0"/>
        <w:rPr>
          <w:noProof/>
          <w:lang w:val="en-GB" w:eastAsia="en-GB"/>
        </w:rPr>
      </w:pPr>
      <w:r w:rsidRPr="00962264">
        <w:rPr>
          <w:noProof/>
        </w:rPr>
        <w:drawing>
          <wp:inline distT="0" distB="0" distL="0" distR="0">
            <wp:extent cx="4352925" cy="1514475"/>
            <wp:effectExtent l="19050" t="0" r="9525" b="0"/>
            <wp:docPr id="148"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5"/>
                    <a:srcRect t="5682" b="3977"/>
                    <a:stretch>
                      <a:fillRect/>
                    </a:stretch>
                  </pic:blipFill>
                  <pic:spPr bwMode="auto">
                    <a:xfrm>
                      <a:off x="0" y="0"/>
                      <a:ext cx="4352925" cy="1514475"/>
                    </a:xfrm>
                    <a:prstGeom prst="rect">
                      <a:avLst/>
                    </a:prstGeom>
                    <a:noFill/>
                    <a:ln w="9525">
                      <a:noFill/>
                      <a:miter lim="800000"/>
                      <a:headEnd/>
                      <a:tailEnd/>
                    </a:ln>
                  </pic:spPr>
                </pic:pic>
              </a:graphicData>
            </a:graphic>
          </wp:inline>
        </w:drawing>
      </w:r>
    </w:p>
    <w:p w:rsidR="00BC1D60" w:rsidRPr="00962264" w:rsidRDefault="00BC1D60" w:rsidP="00BC1D60">
      <w:pPr>
        <w:pStyle w:val="Source"/>
        <w:spacing w:before="0" w:after="0" w:line="240" w:lineRule="auto"/>
      </w:pPr>
      <w:r w:rsidRPr="00962264">
        <w:t>Source: Bloomberg</w:t>
      </w:r>
    </w:p>
    <w:p w:rsidR="00BC1D60" w:rsidRDefault="00BC1D60" w:rsidP="00BC1D60">
      <w:pPr>
        <w:pStyle w:val="ESTableCaption"/>
        <w:keepNext/>
      </w:pPr>
      <w:r w:rsidRPr="00FF1987">
        <w:t>J.P. Morgan Estimates</w:t>
      </w:r>
      <w:r w:rsidRPr="00962264">
        <w:rPr>
          <w:highlight w:val="red"/>
        </w:rPr>
        <w:br/>
      </w:r>
      <w:r>
        <w:rPr>
          <w:sz w:val="16"/>
        </w:rPr>
        <w:t>Even Construtora e Incorporadora AS (EVEN3.SA;EVEN3 BZ)</w:t>
      </w:r>
    </w:p>
    <w:tbl>
      <w:tblPr>
        <w:tblW w:w="5000" w:type="pct"/>
        <w:tblCellMar>
          <w:left w:w="0" w:type="dxa"/>
          <w:right w:w="43" w:type="dxa"/>
        </w:tblCellMar>
        <w:tblLook w:val="01E0"/>
      </w:tblPr>
      <w:tblGrid>
        <w:gridCol w:w="2013"/>
        <w:gridCol w:w="976"/>
        <w:gridCol w:w="977"/>
        <w:gridCol w:w="977"/>
        <w:gridCol w:w="977"/>
        <w:gridCol w:w="977"/>
      </w:tblGrid>
      <w:tr w:rsidR="00BC1D60" w:rsidTr="00BC5B38">
        <w:trPr>
          <w:cantSplit/>
        </w:trPr>
        <w:tc>
          <w:tcPr>
            <w:tcW w:w="2000" w:type="dxa"/>
            <w:tcBorders>
              <w:top w:val="single" w:sz="4" w:space="0" w:color="auto"/>
            </w:tcBorders>
          </w:tcPr>
          <w:p w:rsidR="00BC1D60" w:rsidRDefault="00BC1D60" w:rsidP="00BC5B38">
            <w:pPr>
              <w:pStyle w:val="ESTableRow"/>
              <w:keepNext/>
            </w:pPr>
            <w:r>
              <w:rPr>
                <w:b/>
              </w:rPr>
              <w:t>FYE Dec</w:t>
            </w:r>
          </w:p>
        </w:tc>
        <w:tc>
          <w:tcPr>
            <w:tcW w:w="970" w:type="dxa"/>
            <w:tcBorders>
              <w:top w:val="single" w:sz="4" w:space="0" w:color="auto"/>
            </w:tcBorders>
          </w:tcPr>
          <w:p w:rsidR="00BC1D60" w:rsidRDefault="00BC1D60" w:rsidP="00BC5B38">
            <w:pPr>
              <w:pStyle w:val="ESTableRow"/>
              <w:keepNext/>
              <w:jc w:val="right"/>
            </w:pPr>
            <w:r>
              <w:rPr>
                <w:b/>
              </w:rPr>
              <w:t>2011A</w:t>
            </w:r>
          </w:p>
        </w:tc>
        <w:tc>
          <w:tcPr>
            <w:tcW w:w="970" w:type="dxa"/>
            <w:tcBorders>
              <w:top w:val="single" w:sz="4" w:space="0" w:color="auto"/>
            </w:tcBorders>
          </w:tcPr>
          <w:p w:rsidR="00BC1D60" w:rsidRDefault="00BC1D60" w:rsidP="00BC5B38">
            <w:pPr>
              <w:pStyle w:val="ESTableRow"/>
              <w:keepNext/>
              <w:jc w:val="right"/>
            </w:pPr>
            <w:r>
              <w:rPr>
                <w:b/>
              </w:rPr>
              <w:t>2012A</w:t>
            </w:r>
          </w:p>
        </w:tc>
        <w:tc>
          <w:tcPr>
            <w:tcW w:w="970" w:type="dxa"/>
            <w:tcBorders>
              <w:top w:val="single" w:sz="4" w:space="0" w:color="auto"/>
            </w:tcBorders>
          </w:tcPr>
          <w:p w:rsidR="00BC1D60" w:rsidRDefault="00BC1D60" w:rsidP="00BC5B38">
            <w:pPr>
              <w:pStyle w:val="ESTableRow"/>
              <w:keepNext/>
              <w:jc w:val="right"/>
            </w:pPr>
            <w:r>
              <w:rPr>
                <w:b/>
              </w:rPr>
              <w:t>2013E</w:t>
            </w:r>
          </w:p>
        </w:tc>
        <w:tc>
          <w:tcPr>
            <w:tcW w:w="970" w:type="dxa"/>
            <w:tcBorders>
              <w:top w:val="single" w:sz="4" w:space="0" w:color="auto"/>
            </w:tcBorders>
          </w:tcPr>
          <w:p w:rsidR="00BC1D60" w:rsidRDefault="00BC1D60" w:rsidP="00BC5B38">
            <w:pPr>
              <w:pStyle w:val="ESTableRow"/>
              <w:keepNext/>
              <w:jc w:val="right"/>
            </w:pPr>
            <w:r>
              <w:rPr>
                <w:b/>
              </w:rPr>
              <w:t>2014E</w:t>
            </w:r>
          </w:p>
        </w:tc>
        <w:tc>
          <w:tcPr>
            <w:tcW w:w="970" w:type="dxa"/>
            <w:tcBorders>
              <w:top w:val="single" w:sz="4" w:space="0" w:color="auto"/>
            </w:tcBorders>
          </w:tcPr>
          <w:p w:rsidR="00BC1D60" w:rsidRDefault="00BC1D60" w:rsidP="00BC5B38">
            <w:pPr>
              <w:pStyle w:val="ESTableRow"/>
              <w:keepNext/>
              <w:jc w:val="right"/>
            </w:pPr>
            <w:r>
              <w:rPr>
                <w:b/>
              </w:rPr>
              <w:t>2015E</w:t>
            </w:r>
          </w:p>
        </w:tc>
      </w:tr>
      <w:tr w:rsidR="00BC1D60" w:rsidTr="00BC5B38">
        <w:trPr>
          <w:cantSplit/>
        </w:trPr>
        <w:tc>
          <w:tcPr>
            <w:tcW w:w="2000" w:type="dxa"/>
            <w:tcBorders>
              <w:top w:val="single" w:sz="4" w:space="0" w:color="auto"/>
            </w:tcBorders>
          </w:tcPr>
          <w:p w:rsidR="00BC1D60" w:rsidRDefault="00BC1D60" w:rsidP="00BC5B38">
            <w:pPr>
              <w:pStyle w:val="ESTableRow"/>
              <w:keepNext/>
            </w:pPr>
            <w:r>
              <w:t>EPS Reported (R$)</w:t>
            </w:r>
          </w:p>
        </w:tc>
        <w:tc>
          <w:tcPr>
            <w:tcW w:w="970" w:type="dxa"/>
            <w:tcBorders>
              <w:top w:val="single" w:sz="4" w:space="0" w:color="auto"/>
            </w:tcBorders>
          </w:tcPr>
          <w:p w:rsidR="00BC1D60" w:rsidRDefault="00BC1D60" w:rsidP="00BC5B38">
            <w:pPr>
              <w:pStyle w:val="ESTableRow"/>
              <w:keepNext/>
              <w:jc w:val="right"/>
            </w:pPr>
          </w:p>
        </w:tc>
        <w:tc>
          <w:tcPr>
            <w:tcW w:w="970" w:type="dxa"/>
            <w:tcBorders>
              <w:top w:val="single" w:sz="4" w:space="0" w:color="auto"/>
            </w:tcBorders>
          </w:tcPr>
          <w:p w:rsidR="00BC1D60" w:rsidRDefault="00BC1D60" w:rsidP="00BC5B38">
            <w:pPr>
              <w:pStyle w:val="ESTableRow"/>
              <w:keepNext/>
              <w:jc w:val="right"/>
            </w:pPr>
          </w:p>
        </w:tc>
        <w:tc>
          <w:tcPr>
            <w:tcW w:w="970" w:type="dxa"/>
            <w:tcBorders>
              <w:top w:val="single" w:sz="4" w:space="0" w:color="auto"/>
            </w:tcBorders>
          </w:tcPr>
          <w:p w:rsidR="00BC1D60" w:rsidRDefault="00BC1D60" w:rsidP="00BC5B38">
            <w:pPr>
              <w:pStyle w:val="ESTableRow"/>
              <w:keepNext/>
              <w:jc w:val="right"/>
            </w:pPr>
          </w:p>
        </w:tc>
        <w:tc>
          <w:tcPr>
            <w:tcW w:w="970" w:type="dxa"/>
            <w:tcBorders>
              <w:top w:val="single" w:sz="4" w:space="0" w:color="auto"/>
            </w:tcBorders>
          </w:tcPr>
          <w:p w:rsidR="00BC1D60" w:rsidRDefault="00BC1D60" w:rsidP="00BC5B38">
            <w:pPr>
              <w:pStyle w:val="ESTableRow"/>
              <w:keepNext/>
              <w:jc w:val="right"/>
            </w:pPr>
          </w:p>
        </w:tc>
        <w:tc>
          <w:tcPr>
            <w:tcW w:w="970" w:type="dxa"/>
            <w:tcBorders>
              <w:top w:val="single" w:sz="4" w:space="0" w:color="auto"/>
            </w:tcBorders>
          </w:tcPr>
          <w:p w:rsidR="00BC1D60" w:rsidRDefault="00BC1D60" w:rsidP="00BC5B38">
            <w:pPr>
              <w:pStyle w:val="ESTableRow"/>
              <w:keepNext/>
              <w:jc w:val="right"/>
            </w:pPr>
          </w:p>
        </w:tc>
      </w:tr>
      <w:tr w:rsidR="00BC1D60" w:rsidTr="00BC5B38">
        <w:trPr>
          <w:cantSplit/>
        </w:trPr>
        <w:tc>
          <w:tcPr>
            <w:tcW w:w="2000" w:type="dxa"/>
          </w:tcPr>
          <w:p w:rsidR="00BC1D60" w:rsidRDefault="00BC1D60" w:rsidP="00BC5B38">
            <w:pPr>
              <w:pStyle w:val="ESTableRow"/>
              <w:keepNext/>
            </w:pPr>
            <w:r>
              <w:t xml:space="preserve"> Q1 (Mar)</w:t>
            </w:r>
          </w:p>
        </w:tc>
        <w:tc>
          <w:tcPr>
            <w:tcW w:w="970" w:type="dxa"/>
          </w:tcPr>
          <w:p w:rsidR="00BC1D60" w:rsidRDefault="00BC1D60" w:rsidP="00BC5B38">
            <w:pPr>
              <w:pStyle w:val="ESTableRow"/>
              <w:keepNext/>
              <w:jc w:val="right"/>
            </w:pPr>
            <w:r>
              <w:t>0.26</w:t>
            </w:r>
          </w:p>
        </w:tc>
        <w:tc>
          <w:tcPr>
            <w:tcW w:w="970" w:type="dxa"/>
          </w:tcPr>
          <w:p w:rsidR="00BC1D60" w:rsidRDefault="00BC1D60" w:rsidP="00BC5B38">
            <w:pPr>
              <w:pStyle w:val="ESTableRow"/>
              <w:keepNext/>
              <w:jc w:val="right"/>
            </w:pPr>
            <w:r>
              <w:t>0.23</w:t>
            </w:r>
          </w:p>
        </w:tc>
        <w:tc>
          <w:tcPr>
            <w:tcW w:w="970" w:type="dxa"/>
          </w:tcPr>
          <w:p w:rsidR="00BC1D60" w:rsidRDefault="00BC1D60" w:rsidP="00BC5B38">
            <w:pPr>
              <w:pStyle w:val="ESTableRow"/>
              <w:keepNext/>
              <w:jc w:val="right"/>
            </w:pPr>
            <w:r>
              <w:t>0.22A</w:t>
            </w:r>
          </w:p>
        </w:tc>
        <w:tc>
          <w:tcPr>
            <w:tcW w:w="970" w:type="dxa"/>
          </w:tcPr>
          <w:p w:rsidR="00BC1D60" w:rsidRDefault="00BC1D60" w:rsidP="00BC5B38">
            <w:pPr>
              <w:pStyle w:val="ESTableRow"/>
              <w:keepNext/>
              <w:jc w:val="right"/>
            </w:pPr>
            <w:r>
              <w:t>0.29</w:t>
            </w:r>
          </w:p>
        </w:tc>
        <w:tc>
          <w:tcPr>
            <w:tcW w:w="970" w:type="dxa"/>
          </w:tcPr>
          <w:p w:rsidR="00BC1D60" w:rsidRDefault="00BC1D60" w:rsidP="00BC5B38">
            <w:pPr>
              <w:pStyle w:val="ESTableRow"/>
              <w:keepNext/>
              <w:jc w:val="right"/>
            </w:pPr>
            <w:r>
              <w:t>-</w:t>
            </w:r>
          </w:p>
        </w:tc>
      </w:tr>
      <w:tr w:rsidR="00BC1D60" w:rsidTr="00BC5B38">
        <w:trPr>
          <w:cantSplit/>
        </w:trPr>
        <w:tc>
          <w:tcPr>
            <w:tcW w:w="2000" w:type="dxa"/>
          </w:tcPr>
          <w:p w:rsidR="00BC1D60" w:rsidRDefault="00BC1D60" w:rsidP="00BC5B38">
            <w:pPr>
              <w:pStyle w:val="ESTableRow"/>
              <w:keepNext/>
            </w:pPr>
            <w:r>
              <w:t xml:space="preserve"> Q2 (Jun)</w:t>
            </w:r>
          </w:p>
        </w:tc>
        <w:tc>
          <w:tcPr>
            <w:tcW w:w="970" w:type="dxa"/>
          </w:tcPr>
          <w:p w:rsidR="00BC1D60" w:rsidRDefault="00BC1D60" w:rsidP="00BC5B38">
            <w:pPr>
              <w:pStyle w:val="ESTableRow"/>
              <w:keepNext/>
              <w:jc w:val="right"/>
            </w:pPr>
            <w:r>
              <w:t>0.23</w:t>
            </w:r>
          </w:p>
        </w:tc>
        <w:tc>
          <w:tcPr>
            <w:tcW w:w="970" w:type="dxa"/>
          </w:tcPr>
          <w:p w:rsidR="00BC1D60" w:rsidRDefault="00BC1D60" w:rsidP="00BC5B38">
            <w:pPr>
              <w:pStyle w:val="ESTableRow"/>
              <w:keepNext/>
              <w:jc w:val="right"/>
            </w:pPr>
            <w:r>
              <w:t>0.17</w:t>
            </w:r>
          </w:p>
        </w:tc>
        <w:tc>
          <w:tcPr>
            <w:tcW w:w="970" w:type="dxa"/>
          </w:tcPr>
          <w:p w:rsidR="00BC1D60" w:rsidRDefault="00BC1D60" w:rsidP="00BC5B38">
            <w:pPr>
              <w:pStyle w:val="ESTableRow"/>
              <w:keepNext/>
              <w:jc w:val="right"/>
            </w:pPr>
            <w:r>
              <w:t>0.33A</w:t>
            </w:r>
          </w:p>
        </w:tc>
        <w:tc>
          <w:tcPr>
            <w:tcW w:w="970" w:type="dxa"/>
          </w:tcPr>
          <w:p w:rsidR="00BC1D60" w:rsidRDefault="00BC1D60" w:rsidP="00BC5B38">
            <w:pPr>
              <w:pStyle w:val="ESTableRow"/>
              <w:keepNext/>
              <w:jc w:val="right"/>
            </w:pPr>
            <w:r>
              <w:t>0.35</w:t>
            </w:r>
          </w:p>
        </w:tc>
        <w:tc>
          <w:tcPr>
            <w:tcW w:w="970" w:type="dxa"/>
          </w:tcPr>
          <w:p w:rsidR="00BC1D60" w:rsidRDefault="00BC1D60" w:rsidP="00BC5B38">
            <w:pPr>
              <w:pStyle w:val="ESTableRow"/>
              <w:keepNext/>
              <w:jc w:val="right"/>
            </w:pPr>
            <w:r>
              <w:t>-</w:t>
            </w:r>
          </w:p>
        </w:tc>
      </w:tr>
      <w:tr w:rsidR="00BC1D60" w:rsidTr="00BC5B38">
        <w:trPr>
          <w:cantSplit/>
        </w:trPr>
        <w:tc>
          <w:tcPr>
            <w:tcW w:w="2000" w:type="dxa"/>
          </w:tcPr>
          <w:p w:rsidR="00BC1D60" w:rsidRDefault="00BC1D60" w:rsidP="00BC5B38">
            <w:pPr>
              <w:pStyle w:val="ESTableRow"/>
              <w:keepNext/>
            </w:pPr>
            <w:r>
              <w:t xml:space="preserve"> Q3 (Sep)</w:t>
            </w:r>
          </w:p>
        </w:tc>
        <w:tc>
          <w:tcPr>
            <w:tcW w:w="970" w:type="dxa"/>
          </w:tcPr>
          <w:p w:rsidR="00BC1D60" w:rsidRDefault="00BC1D60" w:rsidP="00BC5B38">
            <w:pPr>
              <w:pStyle w:val="ESTableRow"/>
              <w:keepNext/>
              <w:jc w:val="right"/>
            </w:pPr>
            <w:r>
              <w:t>0.28</w:t>
            </w:r>
          </w:p>
        </w:tc>
        <w:tc>
          <w:tcPr>
            <w:tcW w:w="970" w:type="dxa"/>
          </w:tcPr>
          <w:p w:rsidR="00BC1D60" w:rsidRDefault="00BC1D60" w:rsidP="00BC5B38">
            <w:pPr>
              <w:pStyle w:val="ESTableRow"/>
              <w:keepNext/>
              <w:jc w:val="right"/>
            </w:pPr>
            <w:r>
              <w:t>0.28</w:t>
            </w:r>
          </w:p>
        </w:tc>
        <w:tc>
          <w:tcPr>
            <w:tcW w:w="970" w:type="dxa"/>
          </w:tcPr>
          <w:p w:rsidR="00BC1D60" w:rsidRDefault="00BC1D60" w:rsidP="00BC5B38">
            <w:pPr>
              <w:pStyle w:val="ESTableRow"/>
              <w:keepNext/>
              <w:jc w:val="right"/>
            </w:pPr>
            <w:r>
              <w:t>0.29A</w:t>
            </w:r>
          </w:p>
        </w:tc>
        <w:tc>
          <w:tcPr>
            <w:tcW w:w="970" w:type="dxa"/>
          </w:tcPr>
          <w:p w:rsidR="00BC1D60" w:rsidRDefault="00BC1D60" w:rsidP="00BC5B38">
            <w:pPr>
              <w:pStyle w:val="ESTableRow"/>
              <w:keepNext/>
              <w:jc w:val="right"/>
            </w:pPr>
            <w:r>
              <w:t>0.37</w:t>
            </w:r>
          </w:p>
        </w:tc>
        <w:tc>
          <w:tcPr>
            <w:tcW w:w="970" w:type="dxa"/>
          </w:tcPr>
          <w:p w:rsidR="00BC1D60" w:rsidRDefault="00BC1D60" w:rsidP="00BC5B38">
            <w:pPr>
              <w:pStyle w:val="ESTableRow"/>
              <w:keepNext/>
              <w:jc w:val="right"/>
            </w:pPr>
            <w:r>
              <w:t>-</w:t>
            </w:r>
          </w:p>
        </w:tc>
      </w:tr>
      <w:tr w:rsidR="00BC1D60" w:rsidTr="00BC5B38">
        <w:trPr>
          <w:cantSplit/>
        </w:trPr>
        <w:tc>
          <w:tcPr>
            <w:tcW w:w="2000" w:type="dxa"/>
          </w:tcPr>
          <w:p w:rsidR="00BC1D60" w:rsidRDefault="00BC1D60" w:rsidP="00BC5B38">
            <w:pPr>
              <w:pStyle w:val="ESTableRow"/>
              <w:keepNext/>
            </w:pPr>
            <w:r>
              <w:t xml:space="preserve"> Q4 (Dec)</w:t>
            </w:r>
          </w:p>
        </w:tc>
        <w:tc>
          <w:tcPr>
            <w:tcW w:w="970" w:type="dxa"/>
          </w:tcPr>
          <w:p w:rsidR="00BC1D60" w:rsidRDefault="00BC1D60" w:rsidP="00BC5B38">
            <w:pPr>
              <w:pStyle w:val="ESTableRow"/>
              <w:keepNext/>
              <w:jc w:val="right"/>
            </w:pPr>
            <w:r>
              <w:t>0.20</w:t>
            </w:r>
          </w:p>
        </w:tc>
        <w:tc>
          <w:tcPr>
            <w:tcW w:w="970" w:type="dxa"/>
          </w:tcPr>
          <w:p w:rsidR="00BC1D60" w:rsidRDefault="00BC1D60" w:rsidP="00BC5B38">
            <w:pPr>
              <w:pStyle w:val="ESTableRow"/>
              <w:keepNext/>
              <w:jc w:val="right"/>
            </w:pPr>
            <w:r>
              <w:t>0.42</w:t>
            </w:r>
          </w:p>
        </w:tc>
        <w:tc>
          <w:tcPr>
            <w:tcW w:w="970" w:type="dxa"/>
          </w:tcPr>
          <w:p w:rsidR="00BC1D60" w:rsidRDefault="00BC1D60" w:rsidP="00BC5B38">
            <w:pPr>
              <w:pStyle w:val="ESTableRow"/>
              <w:keepNext/>
              <w:jc w:val="right"/>
            </w:pPr>
            <w:r>
              <w:t>0.32</w:t>
            </w:r>
          </w:p>
        </w:tc>
        <w:tc>
          <w:tcPr>
            <w:tcW w:w="970" w:type="dxa"/>
          </w:tcPr>
          <w:p w:rsidR="00BC1D60" w:rsidRDefault="00BC1D60" w:rsidP="00BC5B38">
            <w:pPr>
              <w:pStyle w:val="ESTableRow"/>
              <w:keepNext/>
              <w:jc w:val="right"/>
            </w:pPr>
            <w:r>
              <w:t>0.42</w:t>
            </w:r>
          </w:p>
        </w:tc>
        <w:tc>
          <w:tcPr>
            <w:tcW w:w="970" w:type="dxa"/>
          </w:tcPr>
          <w:p w:rsidR="00BC1D60" w:rsidRDefault="00BC1D60" w:rsidP="00BC5B38">
            <w:pPr>
              <w:pStyle w:val="ESTableRow"/>
              <w:keepNext/>
              <w:jc w:val="right"/>
            </w:pPr>
            <w:r>
              <w:t>-</w:t>
            </w:r>
          </w:p>
        </w:tc>
      </w:tr>
      <w:tr w:rsidR="00BC1D60" w:rsidTr="00BC5B38">
        <w:trPr>
          <w:cantSplit/>
        </w:trPr>
        <w:tc>
          <w:tcPr>
            <w:tcW w:w="2000" w:type="dxa"/>
            <w:tcBorders>
              <w:bottom w:val="single" w:sz="4" w:space="0" w:color="auto"/>
            </w:tcBorders>
          </w:tcPr>
          <w:p w:rsidR="00BC1D60" w:rsidRDefault="00BC1D60" w:rsidP="00BC5B38">
            <w:pPr>
              <w:pStyle w:val="ESTableRow"/>
              <w:keepNext/>
            </w:pPr>
            <w:r>
              <w:t xml:space="preserve"> FY</w:t>
            </w:r>
          </w:p>
        </w:tc>
        <w:tc>
          <w:tcPr>
            <w:tcW w:w="970" w:type="dxa"/>
            <w:tcBorders>
              <w:bottom w:val="single" w:sz="4" w:space="0" w:color="auto"/>
            </w:tcBorders>
          </w:tcPr>
          <w:p w:rsidR="00BC1D60" w:rsidRDefault="00BC1D60" w:rsidP="00BC5B38">
            <w:pPr>
              <w:pStyle w:val="ESTableRow"/>
              <w:keepNext/>
              <w:jc w:val="right"/>
            </w:pPr>
            <w:r>
              <w:t>0.97</w:t>
            </w:r>
          </w:p>
        </w:tc>
        <w:tc>
          <w:tcPr>
            <w:tcW w:w="970" w:type="dxa"/>
            <w:tcBorders>
              <w:bottom w:val="single" w:sz="4" w:space="0" w:color="auto"/>
            </w:tcBorders>
          </w:tcPr>
          <w:p w:rsidR="00BC1D60" w:rsidRDefault="00BC1D60" w:rsidP="00BC5B38">
            <w:pPr>
              <w:pStyle w:val="ESTableRow"/>
              <w:keepNext/>
              <w:jc w:val="right"/>
            </w:pPr>
            <w:r>
              <w:t>1.10</w:t>
            </w:r>
          </w:p>
        </w:tc>
        <w:tc>
          <w:tcPr>
            <w:tcW w:w="970" w:type="dxa"/>
            <w:tcBorders>
              <w:bottom w:val="single" w:sz="4" w:space="0" w:color="auto"/>
            </w:tcBorders>
          </w:tcPr>
          <w:p w:rsidR="00BC1D60" w:rsidRDefault="00BC1D60" w:rsidP="00BC5B38">
            <w:pPr>
              <w:pStyle w:val="ESTableRow"/>
              <w:keepNext/>
              <w:jc w:val="right"/>
            </w:pPr>
            <w:r>
              <w:t>1.17</w:t>
            </w:r>
          </w:p>
        </w:tc>
        <w:tc>
          <w:tcPr>
            <w:tcW w:w="970" w:type="dxa"/>
            <w:tcBorders>
              <w:bottom w:val="single" w:sz="4" w:space="0" w:color="auto"/>
            </w:tcBorders>
          </w:tcPr>
          <w:p w:rsidR="00BC1D60" w:rsidRDefault="00BC1D60" w:rsidP="00BC5B38">
            <w:pPr>
              <w:pStyle w:val="ESTableRow"/>
              <w:keepNext/>
              <w:jc w:val="right"/>
            </w:pPr>
            <w:r>
              <w:t>1.44</w:t>
            </w:r>
          </w:p>
        </w:tc>
        <w:tc>
          <w:tcPr>
            <w:tcW w:w="970" w:type="dxa"/>
            <w:tcBorders>
              <w:bottom w:val="single" w:sz="4" w:space="0" w:color="auto"/>
            </w:tcBorders>
          </w:tcPr>
          <w:p w:rsidR="00BC1D60" w:rsidRDefault="00BC1D60" w:rsidP="00BC5B38">
            <w:pPr>
              <w:pStyle w:val="ESTableRow"/>
              <w:keepNext/>
              <w:jc w:val="right"/>
            </w:pPr>
            <w:r>
              <w:t>1.68</w:t>
            </w:r>
          </w:p>
        </w:tc>
      </w:tr>
    </w:tbl>
    <w:p w:rsidR="00BC1D60" w:rsidRPr="004F1ABB" w:rsidRDefault="00BC1D60" w:rsidP="00BC1D60">
      <w:pPr>
        <w:pStyle w:val="Source"/>
      </w:pPr>
      <w:r>
        <w:t>Source: Company data, Bloomberg, J.P. Morgan estimates</w:t>
      </w:r>
    </w:p>
    <w:p w:rsidR="00BC1D60" w:rsidRDefault="00BC1D60" w:rsidP="00BC1D60">
      <w:pPr>
        <w:pStyle w:val="Source"/>
        <w:rPr>
          <w:highlight w:val="yellow"/>
        </w:rPr>
      </w:pPr>
      <w:r w:rsidRPr="004F1ABB">
        <w:rPr>
          <w:highlight w:val="yellow"/>
        </w:rPr>
        <w:br w:type="page"/>
      </w:r>
    </w:p>
    <w:p w:rsidR="00BC1D60" w:rsidRPr="00053456" w:rsidRDefault="00BC1D60" w:rsidP="00BC1D60">
      <w:pPr>
        <w:pStyle w:val="Body"/>
        <w:rPr>
          <w:highlight w:val="yellow"/>
        </w:rPr>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F7136B" w:rsidTr="00BC5B38">
        <w:tc>
          <w:tcPr>
            <w:tcW w:w="10604" w:type="dxa"/>
            <w:gridSpan w:val="3"/>
            <w:shd w:val="clear" w:color="auto" w:fill="auto"/>
          </w:tcPr>
          <w:p w:rsidR="00BC1D60" w:rsidRPr="00F7136B" w:rsidRDefault="00BC1D60" w:rsidP="00BC5B38">
            <w:pPr>
              <w:pStyle w:val="Heading1-NoTOC"/>
            </w:pPr>
            <w:bookmarkStart w:id="172" w:name="_Toc376756077"/>
            <w:bookmarkStart w:id="173" w:name="_Toc376801400"/>
            <w:bookmarkStart w:id="174" w:name="_Toc376802062"/>
            <w:bookmarkStart w:id="175" w:name="_Toc384044967"/>
            <w:bookmarkStart w:id="176" w:name="_Toc384135991"/>
            <w:bookmarkStart w:id="177" w:name="_Toc384136958"/>
            <w:bookmarkStart w:id="178" w:name="_Toc392016353"/>
            <w:bookmarkStart w:id="179" w:name="_Toc392099071"/>
            <w:r w:rsidRPr="00F7136B">
              <w:t>Getting to know our SMid Analysts…</w:t>
            </w:r>
            <w:bookmarkEnd w:id="172"/>
            <w:bookmarkEnd w:id="173"/>
            <w:bookmarkEnd w:id="174"/>
            <w:bookmarkEnd w:id="175"/>
            <w:bookmarkEnd w:id="176"/>
            <w:bookmarkEnd w:id="177"/>
            <w:bookmarkEnd w:id="178"/>
            <w:bookmarkEnd w:id="179"/>
          </w:p>
        </w:tc>
      </w:tr>
      <w:tr w:rsidR="00BC1D60" w:rsidRPr="00F7136B" w:rsidTr="00BC5B38">
        <w:trPr>
          <w:trHeight w:val="3427"/>
        </w:trPr>
        <w:tc>
          <w:tcPr>
            <w:tcW w:w="2666" w:type="dxa"/>
            <w:shd w:val="clear" w:color="auto" w:fill="auto"/>
          </w:tcPr>
          <w:p w:rsidR="00BC1D60" w:rsidRPr="00F7136B" w:rsidRDefault="00BC1D60" w:rsidP="00BC5B38">
            <w:pPr>
              <w:pStyle w:val="Body"/>
              <w:spacing w:after="120"/>
            </w:pPr>
            <w:r w:rsidRPr="00F7136B">
              <w:rPr>
                <w:rFonts w:ascii="Arial" w:hAnsi="Arial" w:cs="Arial"/>
                <w:noProof/>
                <w:color w:val="716F63"/>
                <w:sz w:val="17"/>
                <w:szCs w:val="17"/>
              </w:rPr>
              <w:drawing>
                <wp:inline distT="0" distB="0" distL="0" distR="0">
                  <wp:extent cx="1552575" cy="1796368"/>
                  <wp:effectExtent l="19050" t="0" r="9525" b="0"/>
                  <wp:docPr id="149" name="Picture 24" descr="Marcelo Mot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rcelo Motta"/>
                          <pic:cNvPicPr>
                            <a:picLocks noChangeAspect="1" noChangeArrowheads="1"/>
                          </pic:cNvPicPr>
                        </pic:nvPicPr>
                        <pic:blipFill>
                          <a:blip r:embed="rId76"/>
                          <a:srcRect l="28571" r="17411"/>
                          <a:stretch>
                            <a:fillRect/>
                          </a:stretch>
                        </pic:blipFill>
                        <pic:spPr bwMode="auto">
                          <a:xfrm>
                            <a:off x="0" y="0"/>
                            <a:ext cx="1552575" cy="1796368"/>
                          </a:xfrm>
                          <a:prstGeom prst="rect">
                            <a:avLst/>
                          </a:prstGeom>
                          <a:noFill/>
                          <a:ln w="9525">
                            <a:noFill/>
                            <a:miter lim="800000"/>
                            <a:headEnd/>
                            <a:tailEnd/>
                          </a:ln>
                        </pic:spPr>
                      </pic:pic>
                    </a:graphicData>
                  </a:graphic>
                </wp:inline>
              </w:drawing>
            </w:r>
          </w:p>
        </w:tc>
        <w:tc>
          <w:tcPr>
            <w:tcW w:w="3544" w:type="dxa"/>
            <w:shd w:val="clear" w:color="auto" w:fill="auto"/>
          </w:tcPr>
          <w:p w:rsidR="00BC1D60" w:rsidRPr="00F7136B" w:rsidRDefault="00BC1D60" w:rsidP="00BC5B38">
            <w:pPr>
              <w:pStyle w:val="Heading2"/>
              <w:outlineLvl w:val="1"/>
              <w:rPr>
                <w:lang w:val="fr-FR"/>
              </w:rPr>
            </w:pPr>
            <w:r w:rsidRPr="00F7136B">
              <w:rPr>
                <w:lang w:val="fr-FR"/>
              </w:rPr>
              <w:t>Marcelo Motta</w:t>
            </w:r>
          </w:p>
          <w:p w:rsidR="00BC1D60" w:rsidRPr="00F7136B" w:rsidRDefault="003B051F" w:rsidP="00BC5B38">
            <w:pPr>
              <w:pStyle w:val="Body"/>
              <w:spacing w:after="120"/>
              <w:rPr>
                <w:rStyle w:val="txtblackbld1"/>
                <w:rFonts w:ascii="Arial Narrow" w:hAnsi="Arial Narrow"/>
                <w:b w:val="0"/>
                <w:bCs w:val="0"/>
                <w:szCs w:val="20"/>
                <w:lang w:val="fr-FR"/>
              </w:rPr>
            </w:pPr>
            <w:hyperlink r:id="rId77" w:history="1">
              <w:r w:rsidR="00BC1D60" w:rsidRPr="00F7136B">
                <w:rPr>
                  <w:rStyle w:val="Hyperlink"/>
                  <w:rFonts w:ascii="Arial Narrow" w:hAnsi="Arial Narrow" w:cs="Arial"/>
                  <w:szCs w:val="20"/>
                  <w:lang w:val="fr-FR"/>
                </w:rPr>
                <w:t>marcelo.g.motta@jpmorgan.com</w:t>
              </w:r>
            </w:hyperlink>
          </w:p>
          <w:p w:rsidR="00BC1D60" w:rsidRPr="00F7136B" w:rsidRDefault="00BC1D60" w:rsidP="00BC5B38">
            <w:pPr>
              <w:pStyle w:val="Body"/>
              <w:spacing w:after="120"/>
              <w:rPr>
                <w:rFonts w:ascii="Arial Narrow" w:hAnsi="Arial Narrow"/>
                <w:lang w:val="es-ES_tradnl"/>
              </w:rPr>
            </w:pPr>
            <w:r w:rsidRPr="00F7136B">
              <w:rPr>
                <w:rFonts w:ascii="Arial Narrow" w:hAnsi="Arial Narrow"/>
                <w:lang w:val="es-ES_tradnl"/>
              </w:rPr>
              <w:t>(55-11) 4950-6712</w:t>
            </w:r>
          </w:p>
          <w:p w:rsidR="00BC1D60" w:rsidRPr="00F7136B" w:rsidRDefault="00BC1D60" w:rsidP="00BC5B38">
            <w:pPr>
              <w:pStyle w:val="Body"/>
              <w:spacing w:after="120"/>
              <w:rPr>
                <w:rFonts w:ascii="Arial Narrow" w:hAnsi="Arial Narrow"/>
                <w:lang w:val="es-ES_tradnl"/>
              </w:rPr>
            </w:pPr>
          </w:p>
          <w:p w:rsidR="00BC1D60" w:rsidRPr="00F7136B" w:rsidRDefault="00BC1D60" w:rsidP="00BC5B38">
            <w:pPr>
              <w:pStyle w:val="Body"/>
              <w:spacing w:after="120"/>
              <w:rPr>
                <w:rFonts w:ascii="Arial Narrow" w:hAnsi="Arial Narrow"/>
              </w:rPr>
            </w:pPr>
            <w:r w:rsidRPr="00F7136B">
              <w:rPr>
                <w:rFonts w:ascii="Arial Narrow" w:hAnsi="Arial Narrow"/>
                <w:b/>
              </w:rPr>
              <w:t>Region:</w:t>
            </w:r>
            <w:r w:rsidRPr="00F7136B">
              <w:rPr>
                <w:rFonts w:ascii="Arial Narrow" w:hAnsi="Arial Narrow"/>
              </w:rPr>
              <w:t xml:space="preserve"> LatAm</w:t>
            </w:r>
          </w:p>
          <w:p w:rsidR="00BC1D60" w:rsidRPr="00F7136B" w:rsidRDefault="00BC1D60" w:rsidP="00BC5B38">
            <w:pPr>
              <w:pStyle w:val="Body"/>
              <w:spacing w:after="120"/>
              <w:rPr>
                <w:rFonts w:ascii="Arial Narrow" w:hAnsi="Arial Narrow"/>
              </w:rPr>
            </w:pPr>
            <w:r w:rsidRPr="00F7136B">
              <w:rPr>
                <w:rFonts w:ascii="Arial Narrow" w:hAnsi="Arial Narrow"/>
                <w:b/>
              </w:rPr>
              <w:t>Sector:</w:t>
            </w:r>
            <w:r w:rsidRPr="00F7136B">
              <w:rPr>
                <w:rFonts w:ascii="Arial Narrow" w:hAnsi="Arial Narrow"/>
              </w:rPr>
              <w:t xml:space="preserve"> Cement / Construction / Homebuilders</w:t>
            </w:r>
          </w:p>
          <w:p w:rsidR="00BC1D60" w:rsidRPr="00F7136B" w:rsidRDefault="00BC1D60" w:rsidP="00BC5B38">
            <w:pPr>
              <w:pStyle w:val="Body"/>
            </w:pPr>
          </w:p>
        </w:tc>
        <w:tc>
          <w:tcPr>
            <w:tcW w:w="4394" w:type="dxa"/>
            <w:shd w:val="clear" w:color="auto" w:fill="auto"/>
          </w:tcPr>
          <w:p w:rsidR="00BC1D60" w:rsidRPr="00F7136B" w:rsidRDefault="00BC1D60" w:rsidP="00BC5B38">
            <w:pPr>
              <w:pStyle w:val="Body"/>
              <w:jc w:val="right"/>
            </w:pPr>
            <w:r w:rsidRPr="00F7136B">
              <w:rPr>
                <w:noProof/>
              </w:rPr>
              <w:drawing>
                <wp:inline distT="0" distB="0" distL="0" distR="0">
                  <wp:extent cx="2505456" cy="1414952"/>
                  <wp:effectExtent l="19050" t="0" r="9144" b="0"/>
                  <wp:docPr id="1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srcRect/>
                          <a:stretch>
                            <a:fillRect/>
                          </a:stretch>
                        </pic:blipFill>
                        <pic:spPr bwMode="auto">
                          <a:xfrm>
                            <a:off x="0" y="0"/>
                            <a:ext cx="2505456" cy="1414952"/>
                          </a:xfrm>
                          <a:prstGeom prst="rect">
                            <a:avLst/>
                          </a:prstGeom>
                          <a:noFill/>
                          <a:ln w="9525">
                            <a:noFill/>
                            <a:miter lim="800000"/>
                            <a:headEnd/>
                            <a:tailEnd/>
                          </a:ln>
                        </pic:spPr>
                      </pic:pic>
                    </a:graphicData>
                  </a:graphic>
                </wp:inline>
              </w:drawing>
            </w:r>
            <w:r w:rsidRPr="00F7136B" w:rsidDel="00605141">
              <w:t xml:space="preserve"> </w:t>
            </w:r>
          </w:p>
        </w:tc>
      </w:tr>
    </w:tbl>
    <w:p w:rsidR="00BC1D60" w:rsidRPr="00F7136B" w:rsidRDefault="00BC1D60" w:rsidP="00BC1D60">
      <w:pPr>
        <w:pStyle w:val="Source"/>
        <w:spacing w:before="0"/>
        <w:ind w:left="-3124" w:hanging="137"/>
      </w:pPr>
      <w:r w:rsidRPr="00F7136B">
        <w:rPr>
          <w:noProof/>
        </w:rPr>
        <w:drawing>
          <wp:inline distT="0" distB="0" distL="0" distR="0">
            <wp:extent cx="6702552" cy="2537290"/>
            <wp:effectExtent l="19050" t="0" r="3048" b="0"/>
            <wp:docPr id="1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a:srcRect/>
                    <a:stretch>
                      <a:fillRect/>
                    </a:stretch>
                  </pic:blipFill>
                  <pic:spPr bwMode="auto">
                    <a:xfrm>
                      <a:off x="0" y="0"/>
                      <a:ext cx="6702552" cy="2537290"/>
                    </a:xfrm>
                    <a:prstGeom prst="rect">
                      <a:avLst/>
                    </a:prstGeom>
                    <a:noFill/>
                    <a:ln w="9525">
                      <a:noFill/>
                      <a:miter lim="800000"/>
                      <a:headEnd/>
                      <a:tailEnd/>
                    </a:ln>
                  </pic:spPr>
                </pic:pic>
              </a:graphicData>
            </a:graphic>
          </wp:inline>
        </w:drawing>
      </w:r>
      <w:r w:rsidRPr="00F7136B" w:rsidDel="00605141">
        <w:t xml:space="preserve"> </w:t>
      </w:r>
      <w:r w:rsidRPr="00F7136B">
        <w:t>Source: Bloomberg, Datastream, Factset, J.P. Morgan</w:t>
      </w:r>
      <w:r w:rsidRPr="00F7136B">
        <w:br/>
      </w:r>
      <w:r w:rsidRPr="0087013D">
        <w:t>Prices as of 24 June 2014</w:t>
      </w:r>
    </w:p>
    <w:p w:rsidR="00BC1D60" w:rsidRPr="004F1ABB" w:rsidRDefault="00BC1D60" w:rsidP="00BC1D60">
      <w:pPr>
        <w:pStyle w:val="Body"/>
        <w:rPr>
          <w:highlight w:val="yellow"/>
        </w:rPr>
      </w:pPr>
    </w:p>
    <w:p w:rsidR="00BC1D60" w:rsidRPr="004F1ABB" w:rsidRDefault="00BC1D60" w:rsidP="00BC1D60">
      <w:pPr>
        <w:pStyle w:val="Body"/>
        <w:rPr>
          <w:highlight w:val="yellow"/>
        </w:rPr>
      </w:pPr>
    </w:p>
    <w:p w:rsidR="00BC1D60" w:rsidRPr="004F1ABB" w:rsidRDefault="00BC1D60" w:rsidP="00BC1D60">
      <w:pPr>
        <w:pStyle w:val="Sidecomments"/>
        <w:framePr w:w="0" w:hRule="auto" w:wrap="around"/>
        <w:rPr>
          <w:highlight w:val="yellow"/>
        </w:rPr>
      </w:pPr>
      <w:r w:rsidRPr="00FD7E92">
        <w:rPr>
          <w:noProof/>
        </w:rPr>
        <w:lastRenderedPageBreak/>
        <w:drawing>
          <wp:inline distT="0" distB="0" distL="0" distR="0">
            <wp:extent cx="1737360" cy="7712673"/>
            <wp:effectExtent l="19050" t="0" r="0" b="0"/>
            <wp:docPr id="152"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0"/>
                    <a:srcRect/>
                    <a:stretch>
                      <a:fillRect/>
                    </a:stretch>
                  </pic:blipFill>
                  <pic:spPr bwMode="auto">
                    <a:xfrm>
                      <a:off x="0" y="0"/>
                      <a:ext cx="1737360" cy="7712673"/>
                    </a:xfrm>
                    <a:prstGeom prst="rect">
                      <a:avLst/>
                    </a:prstGeom>
                    <a:noFill/>
                    <a:ln w="9525">
                      <a:noFill/>
                      <a:miter lim="800000"/>
                      <a:headEnd/>
                      <a:tailEnd/>
                    </a:ln>
                  </pic:spPr>
                </pic:pic>
              </a:graphicData>
            </a:graphic>
          </wp:inline>
        </w:drawing>
      </w:r>
      <w:r w:rsidRPr="004F1ABB">
        <w:rPr>
          <w:highlight w:val="yellow"/>
        </w:rPr>
        <w:t xml:space="preserve"> </w:t>
      </w:r>
    </w:p>
    <w:p w:rsidR="00BC1D60" w:rsidRPr="00FD7E92" w:rsidRDefault="00BC1D60" w:rsidP="00BC1D60">
      <w:pPr>
        <w:pStyle w:val="Heading1"/>
        <w:spacing w:before="240" w:after="80"/>
      </w:pPr>
      <w:bookmarkStart w:id="180" w:name="_Ref360567867"/>
      <w:bookmarkStart w:id="181" w:name="_Toc360569894"/>
      <w:bookmarkStart w:id="182" w:name="_Toc368081342"/>
      <w:bookmarkStart w:id="183" w:name="_Toc376802063"/>
      <w:bookmarkStart w:id="184" w:name="_Toc384135992"/>
      <w:bookmarkStart w:id="185" w:name="_Toc392099072"/>
      <w:bookmarkStart w:id="186" w:name="_Toc392081812"/>
      <w:bookmarkStart w:id="187" w:name="_Toc392081875"/>
      <w:r w:rsidRPr="00FD7E92">
        <w:t>Faurecia (EO FP / OW / €27.98)</w:t>
      </w:r>
      <w:bookmarkEnd w:id="180"/>
      <w:bookmarkEnd w:id="181"/>
      <w:bookmarkEnd w:id="182"/>
      <w:bookmarkEnd w:id="183"/>
      <w:bookmarkEnd w:id="184"/>
      <w:bookmarkEnd w:id="185"/>
      <w:bookmarkEnd w:id="186"/>
      <w:bookmarkEnd w:id="187"/>
    </w:p>
    <w:p w:rsidR="00BC1D60" w:rsidRPr="00FD7E92" w:rsidRDefault="00BC1D60" w:rsidP="00BC1D60">
      <w:pPr>
        <w:pStyle w:val="Heading2"/>
        <w:spacing w:after="80"/>
        <w:rPr>
          <w:rFonts w:eastAsiaTheme="minorEastAsia"/>
          <w:i/>
          <w:lang w:eastAsia="ja-JP"/>
        </w:rPr>
      </w:pPr>
      <w:r w:rsidRPr="00FD7E92">
        <w:rPr>
          <w:rFonts w:eastAsiaTheme="minorEastAsia"/>
          <w:i/>
          <w:lang w:eastAsia="ja-JP"/>
        </w:rPr>
        <w:t>Margin expansion on track</w:t>
      </w:r>
    </w:p>
    <w:p w:rsidR="00BC1D60" w:rsidRPr="00FD7E92" w:rsidRDefault="00BC1D60" w:rsidP="00BC1D60">
      <w:pPr>
        <w:pStyle w:val="Heading3"/>
        <w:spacing w:after="0" w:line="220" w:lineRule="exact"/>
        <w:rPr>
          <w:rFonts w:eastAsiaTheme="minorEastAsia"/>
          <w:lang w:eastAsia="ja-JP"/>
        </w:rPr>
      </w:pPr>
      <w:r w:rsidRPr="00FD7E92">
        <w:t>Investment Highlights:</w:t>
      </w:r>
    </w:p>
    <w:p w:rsidR="00BC1D60" w:rsidRPr="00684A70" w:rsidRDefault="00BC1D60" w:rsidP="00BC1D60">
      <w:pPr>
        <w:pStyle w:val="Bullet"/>
        <w:tabs>
          <w:tab w:val="clear" w:pos="288"/>
        </w:tabs>
        <w:spacing w:after="40" w:line="220" w:lineRule="exact"/>
        <w:rPr>
          <w:spacing w:val="-2"/>
          <w:szCs w:val="21"/>
        </w:rPr>
      </w:pPr>
      <w:r w:rsidRPr="00684A70">
        <w:rPr>
          <w:b/>
          <w:spacing w:val="-2"/>
          <w:szCs w:val="21"/>
        </w:rPr>
        <w:t>Rerating potential rather than Recovery play:</w:t>
      </w:r>
      <w:r w:rsidRPr="00684A70">
        <w:rPr>
          <w:spacing w:val="-2"/>
          <w:szCs w:val="21"/>
        </w:rPr>
        <w:t xml:space="preserve"> </w:t>
      </w:r>
      <w:r>
        <w:rPr>
          <w:spacing w:val="-2"/>
          <w:szCs w:val="21"/>
        </w:rPr>
        <w:t>T</w:t>
      </w:r>
      <w:r w:rsidRPr="00684A70">
        <w:rPr>
          <w:spacing w:val="-2"/>
          <w:szCs w:val="21"/>
        </w:rPr>
        <w:t xml:space="preserve">rades on </w:t>
      </w:r>
      <w:r w:rsidRPr="004D7FF0">
        <w:rPr>
          <w:spacing w:val="-2"/>
          <w:szCs w:val="21"/>
        </w:rPr>
        <w:t>a P</w:t>
      </w:r>
      <w:r w:rsidRPr="007A4ECF">
        <w:rPr>
          <w:spacing w:val="-2"/>
          <w:szCs w:val="21"/>
        </w:rPr>
        <w:t>/E 14E of 17.5x</w:t>
      </w:r>
      <w:r w:rsidRPr="00684A70">
        <w:rPr>
          <w:spacing w:val="-2"/>
          <w:szCs w:val="21"/>
        </w:rPr>
        <w:t xml:space="preserve"> with ND/EBITDA of 1.2x and ‘14/’15E EPS Grw of 151%/44% (JPMe), offering re-rating potential without relying on strong economic recovery in our view.</w:t>
      </w:r>
    </w:p>
    <w:p w:rsidR="00BC1D60" w:rsidRPr="00FD7E92" w:rsidRDefault="00BC1D60" w:rsidP="00BC1D60">
      <w:pPr>
        <w:pStyle w:val="Bullet"/>
        <w:tabs>
          <w:tab w:val="clear" w:pos="288"/>
        </w:tabs>
        <w:spacing w:after="40" w:line="220" w:lineRule="exact"/>
        <w:rPr>
          <w:szCs w:val="21"/>
        </w:rPr>
      </w:pPr>
      <w:r w:rsidRPr="00FD7E92">
        <w:rPr>
          <w:b/>
          <w:szCs w:val="21"/>
        </w:rPr>
        <w:t xml:space="preserve">Helped by restructuring: </w:t>
      </w:r>
      <w:r w:rsidRPr="00FD7E92">
        <w:rPr>
          <w:szCs w:val="21"/>
        </w:rPr>
        <w:t xml:space="preserve">We expect Faurecia to post cost savings of €40m in Europe </w:t>
      </w:r>
      <w:r>
        <w:rPr>
          <w:szCs w:val="21"/>
        </w:rPr>
        <w:t>and</w:t>
      </w:r>
      <w:r w:rsidRPr="00FD7E92">
        <w:rPr>
          <w:szCs w:val="21"/>
        </w:rPr>
        <w:t xml:space="preserve"> €10m in North America this yr, followed by another €20m in 2015E, driving EBITDA margins from 5.9% in 2013 to 7.9% by 2015E, taking EBITDA up 50% over the next 2 yrs, and leaving it with an EV/EBITDA of 3.8x (vs the company’s hist avg of 4.5x).</w:t>
      </w:r>
    </w:p>
    <w:p w:rsidR="00BC1D60" w:rsidRPr="00FD7E92" w:rsidRDefault="00BC1D60" w:rsidP="00BC1D60">
      <w:pPr>
        <w:pStyle w:val="Bullet"/>
        <w:tabs>
          <w:tab w:val="clear" w:pos="288"/>
        </w:tabs>
        <w:spacing w:after="40" w:line="220" w:lineRule="exact"/>
        <w:rPr>
          <w:szCs w:val="21"/>
        </w:rPr>
      </w:pPr>
      <w:r w:rsidRPr="00FD7E92">
        <w:rPr>
          <w:b/>
          <w:szCs w:val="21"/>
        </w:rPr>
        <w:t>In an industry with structural tailwinds:</w:t>
      </w:r>
      <w:r w:rsidRPr="00FD7E92">
        <w:rPr>
          <w:szCs w:val="21"/>
        </w:rPr>
        <w:t xml:space="preserve"> Faurecia today operates in a very different environment to that</w:t>
      </w:r>
      <w:r>
        <w:rPr>
          <w:szCs w:val="21"/>
        </w:rPr>
        <w:t xml:space="preserve"> </w:t>
      </w:r>
      <w:r w:rsidRPr="00FD7E92">
        <w:rPr>
          <w:szCs w:val="21"/>
        </w:rPr>
        <w:t>before the crisis.</w:t>
      </w:r>
      <w:r>
        <w:rPr>
          <w:szCs w:val="21"/>
        </w:rPr>
        <w:t xml:space="preserve"> With around one-third</w:t>
      </w:r>
      <w:r w:rsidRPr="00FD7E92">
        <w:rPr>
          <w:szCs w:val="21"/>
        </w:rPr>
        <w:t xml:space="preserve"> of suppliers squeezed into bankruptcy, the structure of the industry has changed to include more stable margins, longer contracts, a more flexible cost structure, </w:t>
      </w:r>
      <w:r>
        <w:rPr>
          <w:szCs w:val="21"/>
        </w:rPr>
        <w:t>and</w:t>
      </w:r>
      <w:r w:rsidRPr="00FD7E92">
        <w:rPr>
          <w:szCs w:val="21"/>
        </w:rPr>
        <w:t xml:space="preserve"> the ability to pass on raw material costs from sub suppliers to OEMs, making suppliers somewhat immune to raw-material inflation. </w:t>
      </w:r>
    </w:p>
    <w:p w:rsidR="00BC1D60" w:rsidRPr="00FD7E92" w:rsidRDefault="00BC1D60" w:rsidP="00BC1D60">
      <w:pPr>
        <w:pStyle w:val="Bullet"/>
        <w:tabs>
          <w:tab w:val="clear" w:pos="288"/>
        </w:tabs>
        <w:spacing w:after="60" w:line="220" w:lineRule="exact"/>
        <w:rPr>
          <w:szCs w:val="21"/>
        </w:rPr>
      </w:pPr>
      <w:r w:rsidRPr="00FD7E92">
        <w:rPr>
          <w:b/>
          <w:szCs w:val="21"/>
        </w:rPr>
        <w:t>A solid balance sheet with FCF generation:</w:t>
      </w:r>
      <w:r w:rsidRPr="00FD7E92">
        <w:rPr>
          <w:szCs w:val="21"/>
        </w:rPr>
        <w:t xml:space="preserve"> Faurecia’s ND/EBITDA stands at 1.2x, falling to 0.7x by 2015E given the €395m in FCF which we believe the company could generate over the next 2 yrs.</w:t>
      </w:r>
    </w:p>
    <w:p w:rsidR="00BC1D60" w:rsidRPr="00FD7E92" w:rsidRDefault="00BC1D60" w:rsidP="00BC1D60">
      <w:pPr>
        <w:pStyle w:val="Body"/>
        <w:spacing w:after="60" w:line="220" w:lineRule="exact"/>
      </w:pPr>
      <w:r w:rsidRPr="00FD7E92">
        <w:rPr>
          <w:b/>
        </w:rPr>
        <w:t xml:space="preserve">Valuation / Risks to our View: </w:t>
      </w:r>
      <w:r w:rsidRPr="00FD7E92">
        <w:t>Our Dec-14 PT of €36 is based on an FY15E EV/Sales multiple of 0.3x, given our forecast for operating mgns of 4.0% in FY15</w:t>
      </w:r>
      <w:r w:rsidRPr="00FD7E92">
        <w:rPr>
          <w:rFonts w:eastAsiaTheme="minorEastAsia"/>
          <w:lang w:eastAsia="ja-JP"/>
        </w:rPr>
        <w:t xml:space="preserve"> (in line with hist multiples when delivering similar margins). Keys risks include: weaker than expected light vehicle production volume growth; production growth underperformance in Europe / US; Faurecia’s ability to continue outperforming mkt grw in Asia; the pace at which Faurecia can consolidate its business in N. America.</w:t>
      </w:r>
    </w:p>
    <w:p w:rsidR="00BC1D60" w:rsidRPr="00FD7E92" w:rsidRDefault="00BC1D60" w:rsidP="00BC1D60">
      <w:pPr>
        <w:pStyle w:val="Heading3"/>
        <w:spacing w:line="220" w:lineRule="exact"/>
        <w:rPr>
          <w:b w:val="0"/>
        </w:rPr>
      </w:pPr>
      <w:r w:rsidRPr="00FD7E92">
        <w:rPr>
          <w:lang w:eastAsia="ja-JP"/>
        </w:rPr>
        <w:t>Faurecia</w:t>
      </w:r>
      <w:r w:rsidRPr="00FD7E92">
        <w:rPr>
          <w:rFonts w:hint="eastAsia"/>
          <w:lang w:eastAsia="ja-JP"/>
        </w:rPr>
        <w:t xml:space="preserve"> </w:t>
      </w:r>
      <w:r w:rsidRPr="00FD7E92">
        <w:t xml:space="preserve">in a Nutshell: </w:t>
      </w:r>
      <w:r w:rsidRPr="00FD7E92">
        <w:rPr>
          <w:b w:val="0"/>
        </w:rPr>
        <w:t>Faurecia is the 3rd largest auto supplier in Europe (6th globally) and is a key player in each of its core businesses: Automotive Seating (#3 globally), Emissions Control Technologies (#1), Interior Systems (#1) and Automotive Exteriors (#2). It is active globally, with a network of 320 production sites in 34 countries (1/3 of these are located in the immediate vicinity of the customers’ assembly lines, the remainder sited for supply chain cost efficiency).</w:t>
      </w:r>
    </w:p>
    <w:p w:rsidR="00BC1D60" w:rsidRPr="00FD7E92" w:rsidRDefault="00BC1D60" w:rsidP="00BC1D60">
      <w:pPr>
        <w:pStyle w:val="Heading3"/>
        <w:spacing w:after="0"/>
      </w:pPr>
      <w:r w:rsidRPr="00FD7E92">
        <w:t>Price Perf vs MSCI All Country World Small Cap (rebased as of 1-yr ago):</w:t>
      </w:r>
    </w:p>
    <w:p w:rsidR="00BC1D60" w:rsidRPr="00FD7E92" w:rsidRDefault="00BC1D60" w:rsidP="00BC1D60">
      <w:pPr>
        <w:pStyle w:val="Body"/>
        <w:spacing w:after="0"/>
        <w:rPr>
          <w:noProof/>
          <w:lang w:val="en-GB" w:eastAsia="en-GB"/>
        </w:rPr>
      </w:pPr>
      <w:r w:rsidRPr="00FD7E92">
        <w:rPr>
          <w:noProof/>
        </w:rPr>
        <w:drawing>
          <wp:inline distT="0" distB="0" distL="0" distR="0">
            <wp:extent cx="4352290" cy="1664621"/>
            <wp:effectExtent l="19050" t="0" r="0" b="0"/>
            <wp:docPr id="15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1"/>
                    <a:srcRect/>
                    <a:stretch>
                      <a:fillRect/>
                    </a:stretch>
                  </pic:blipFill>
                  <pic:spPr bwMode="auto">
                    <a:xfrm>
                      <a:off x="0" y="0"/>
                      <a:ext cx="4352290" cy="1664621"/>
                    </a:xfrm>
                    <a:prstGeom prst="rect">
                      <a:avLst/>
                    </a:prstGeom>
                    <a:noFill/>
                    <a:ln w="9525">
                      <a:noFill/>
                      <a:miter lim="800000"/>
                      <a:headEnd/>
                      <a:tailEnd/>
                    </a:ln>
                  </pic:spPr>
                </pic:pic>
              </a:graphicData>
            </a:graphic>
          </wp:inline>
        </w:drawing>
      </w:r>
    </w:p>
    <w:p w:rsidR="00BC1D60" w:rsidRPr="00FD7E92" w:rsidRDefault="00BC1D60" w:rsidP="00BC1D60">
      <w:pPr>
        <w:pStyle w:val="Source"/>
        <w:spacing w:before="0" w:after="80" w:line="240" w:lineRule="auto"/>
      </w:pPr>
      <w:r w:rsidRPr="00FD7E92">
        <w:t>Source: Bloomberg</w:t>
      </w:r>
    </w:p>
    <w:p w:rsidR="00BC1D60" w:rsidRDefault="00BC1D60" w:rsidP="00BC1D60">
      <w:pPr>
        <w:pStyle w:val="ESTableCaption"/>
        <w:keepNext/>
      </w:pPr>
      <w:r w:rsidRPr="00FF1987">
        <w:t>J.P. Morgan Estimates</w:t>
      </w:r>
      <w:r w:rsidRPr="00FD7E92">
        <w:rPr>
          <w:highlight w:val="red"/>
        </w:rPr>
        <w:br/>
      </w:r>
      <w:r>
        <w:rPr>
          <w:sz w:val="16"/>
        </w:rPr>
        <w:t>Faurecia (EPED.PA;EO FP)</w:t>
      </w:r>
    </w:p>
    <w:tbl>
      <w:tblPr>
        <w:tblW w:w="5000" w:type="pct"/>
        <w:tblCellMar>
          <w:left w:w="0" w:type="dxa"/>
          <w:right w:w="43" w:type="dxa"/>
        </w:tblCellMar>
        <w:tblLook w:val="01E0"/>
      </w:tblPr>
      <w:tblGrid>
        <w:gridCol w:w="2013"/>
        <w:gridCol w:w="976"/>
        <w:gridCol w:w="977"/>
        <w:gridCol w:w="977"/>
        <w:gridCol w:w="977"/>
        <w:gridCol w:w="977"/>
      </w:tblGrid>
      <w:tr w:rsidR="00BC1D60" w:rsidTr="00BC5B38">
        <w:trPr>
          <w:cantSplit/>
        </w:trPr>
        <w:tc>
          <w:tcPr>
            <w:tcW w:w="2000" w:type="dxa"/>
            <w:tcBorders>
              <w:top w:val="single" w:sz="4" w:space="0" w:color="auto"/>
            </w:tcBorders>
          </w:tcPr>
          <w:p w:rsidR="00BC1D60" w:rsidRDefault="00BC1D60" w:rsidP="00BC5B38">
            <w:pPr>
              <w:pStyle w:val="ESTableRow"/>
              <w:keepNext/>
            </w:pPr>
            <w:r>
              <w:rPr>
                <w:b/>
              </w:rPr>
              <w:t>FYE Jan</w:t>
            </w:r>
          </w:p>
        </w:tc>
        <w:tc>
          <w:tcPr>
            <w:tcW w:w="970" w:type="dxa"/>
            <w:tcBorders>
              <w:top w:val="single" w:sz="4" w:space="0" w:color="auto"/>
            </w:tcBorders>
          </w:tcPr>
          <w:p w:rsidR="00BC1D60" w:rsidRDefault="00BC1D60" w:rsidP="00BC5B38">
            <w:pPr>
              <w:pStyle w:val="ESTableRow"/>
              <w:keepNext/>
              <w:jc w:val="right"/>
            </w:pPr>
            <w:r>
              <w:rPr>
                <w:b/>
              </w:rPr>
              <w:t>2011A</w:t>
            </w:r>
          </w:p>
        </w:tc>
        <w:tc>
          <w:tcPr>
            <w:tcW w:w="970" w:type="dxa"/>
            <w:tcBorders>
              <w:top w:val="single" w:sz="4" w:space="0" w:color="auto"/>
            </w:tcBorders>
          </w:tcPr>
          <w:p w:rsidR="00BC1D60" w:rsidRDefault="00BC1D60" w:rsidP="00BC5B38">
            <w:pPr>
              <w:pStyle w:val="ESTableRow"/>
              <w:keepNext/>
              <w:jc w:val="right"/>
            </w:pPr>
            <w:r>
              <w:rPr>
                <w:b/>
              </w:rPr>
              <w:t>2012A</w:t>
            </w:r>
          </w:p>
        </w:tc>
        <w:tc>
          <w:tcPr>
            <w:tcW w:w="970" w:type="dxa"/>
            <w:tcBorders>
              <w:top w:val="single" w:sz="4" w:space="0" w:color="auto"/>
            </w:tcBorders>
          </w:tcPr>
          <w:p w:rsidR="00BC1D60" w:rsidRDefault="00BC1D60" w:rsidP="00BC5B38">
            <w:pPr>
              <w:pStyle w:val="ESTableRow"/>
              <w:keepNext/>
              <w:jc w:val="right"/>
            </w:pPr>
            <w:r>
              <w:rPr>
                <w:b/>
              </w:rPr>
              <w:t>2013A</w:t>
            </w:r>
          </w:p>
        </w:tc>
        <w:tc>
          <w:tcPr>
            <w:tcW w:w="970" w:type="dxa"/>
            <w:tcBorders>
              <w:top w:val="single" w:sz="4" w:space="0" w:color="auto"/>
            </w:tcBorders>
          </w:tcPr>
          <w:p w:rsidR="00BC1D60" w:rsidRDefault="00BC1D60" w:rsidP="00BC5B38">
            <w:pPr>
              <w:pStyle w:val="ESTableRow"/>
              <w:keepNext/>
              <w:jc w:val="right"/>
            </w:pPr>
            <w:r>
              <w:rPr>
                <w:b/>
              </w:rPr>
              <w:t>2014E</w:t>
            </w:r>
          </w:p>
        </w:tc>
        <w:tc>
          <w:tcPr>
            <w:tcW w:w="970" w:type="dxa"/>
            <w:tcBorders>
              <w:top w:val="single" w:sz="4" w:space="0" w:color="auto"/>
            </w:tcBorders>
          </w:tcPr>
          <w:p w:rsidR="00BC1D60" w:rsidRDefault="00BC1D60" w:rsidP="00BC5B38">
            <w:pPr>
              <w:pStyle w:val="ESTableRow"/>
              <w:keepNext/>
              <w:jc w:val="right"/>
            </w:pPr>
            <w:r>
              <w:rPr>
                <w:b/>
              </w:rPr>
              <w:t>2015E</w:t>
            </w:r>
          </w:p>
        </w:tc>
      </w:tr>
      <w:tr w:rsidR="00BC1D60" w:rsidTr="00BC5B38">
        <w:trPr>
          <w:cantSplit/>
        </w:trPr>
        <w:tc>
          <w:tcPr>
            <w:tcW w:w="2000" w:type="dxa"/>
            <w:tcBorders>
              <w:top w:val="single" w:sz="4" w:space="0" w:color="auto"/>
            </w:tcBorders>
          </w:tcPr>
          <w:p w:rsidR="00BC1D60" w:rsidRDefault="00BC1D60" w:rsidP="00BC5B38">
            <w:pPr>
              <w:pStyle w:val="ESTableRow"/>
              <w:keepNext/>
            </w:pPr>
            <w:r>
              <w:t>Adj.EPS FY (€)</w:t>
            </w:r>
          </w:p>
        </w:tc>
        <w:tc>
          <w:tcPr>
            <w:tcW w:w="970" w:type="dxa"/>
            <w:tcBorders>
              <w:top w:val="single" w:sz="4" w:space="0" w:color="auto"/>
            </w:tcBorders>
          </w:tcPr>
          <w:p w:rsidR="00BC1D60" w:rsidRDefault="00BC1D60" w:rsidP="00BC5B38">
            <w:pPr>
              <w:pStyle w:val="ESTableRow"/>
              <w:keepNext/>
              <w:jc w:val="right"/>
            </w:pPr>
            <w:r>
              <w:t>3.11</w:t>
            </w:r>
          </w:p>
        </w:tc>
        <w:tc>
          <w:tcPr>
            <w:tcW w:w="970" w:type="dxa"/>
            <w:tcBorders>
              <w:top w:val="single" w:sz="4" w:space="0" w:color="auto"/>
            </w:tcBorders>
          </w:tcPr>
          <w:p w:rsidR="00BC1D60" w:rsidRDefault="00BC1D60" w:rsidP="00BC5B38">
            <w:pPr>
              <w:pStyle w:val="ESTableRow"/>
              <w:keepNext/>
              <w:jc w:val="right"/>
            </w:pPr>
            <w:r>
              <w:t>1.27</w:t>
            </w:r>
          </w:p>
        </w:tc>
        <w:tc>
          <w:tcPr>
            <w:tcW w:w="970" w:type="dxa"/>
            <w:tcBorders>
              <w:top w:val="single" w:sz="4" w:space="0" w:color="auto"/>
            </w:tcBorders>
          </w:tcPr>
          <w:p w:rsidR="00BC1D60" w:rsidRDefault="00BC1D60" w:rsidP="00BC5B38">
            <w:pPr>
              <w:pStyle w:val="ESTableRow"/>
              <w:keepNext/>
              <w:jc w:val="right"/>
            </w:pPr>
            <w:r>
              <w:t>0.80</w:t>
            </w:r>
          </w:p>
        </w:tc>
        <w:tc>
          <w:tcPr>
            <w:tcW w:w="970" w:type="dxa"/>
            <w:tcBorders>
              <w:top w:val="single" w:sz="4" w:space="0" w:color="auto"/>
            </w:tcBorders>
          </w:tcPr>
          <w:p w:rsidR="00BC1D60" w:rsidRDefault="00BC1D60" w:rsidP="00BC5B38">
            <w:pPr>
              <w:pStyle w:val="ESTableRow"/>
              <w:keepNext/>
              <w:jc w:val="right"/>
            </w:pPr>
            <w:r>
              <w:t>2.01</w:t>
            </w:r>
          </w:p>
        </w:tc>
        <w:tc>
          <w:tcPr>
            <w:tcW w:w="970" w:type="dxa"/>
            <w:tcBorders>
              <w:top w:val="single" w:sz="4" w:space="0" w:color="auto"/>
            </w:tcBorders>
          </w:tcPr>
          <w:p w:rsidR="00BC1D60" w:rsidRDefault="00BC1D60" w:rsidP="00BC5B38">
            <w:pPr>
              <w:pStyle w:val="ESTableRow"/>
              <w:keepNext/>
              <w:jc w:val="right"/>
            </w:pPr>
            <w:r>
              <w:t>2.90</w:t>
            </w:r>
          </w:p>
        </w:tc>
      </w:tr>
      <w:tr w:rsidR="00BC1D60" w:rsidTr="00BC5B38">
        <w:trPr>
          <w:cantSplit/>
        </w:trPr>
        <w:tc>
          <w:tcPr>
            <w:tcW w:w="2000" w:type="dxa"/>
          </w:tcPr>
          <w:p w:rsidR="00BC1D60" w:rsidRDefault="00BC1D60" w:rsidP="00BC5B38">
            <w:pPr>
              <w:pStyle w:val="ESTableRow"/>
              <w:keepNext/>
            </w:pPr>
            <w:r>
              <w:t>Revenue FY (€ mn)</w:t>
            </w:r>
          </w:p>
        </w:tc>
        <w:tc>
          <w:tcPr>
            <w:tcW w:w="970" w:type="dxa"/>
          </w:tcPr>
          <w:p w:rsidR="00BC1D60" w:rsidRDefault="00BC1D60" w:rsidP="00BC5B38">
            <w:pPr>
              <w:pStyle w:val="ESTableRow"/>
              <w:keepNext/>
              <w:jc w:val="right"/>
            </w:pPr>
            <w:r>
              <w:t>16,190</w:t>
            </w:r>
          </w:p>
        </w:tc>
        <w:tc>
          <w:tcPr>
            <w:tcW w:w="970" w:type="dxa"/>
          </w:tcPr>
          <w:p w:rsidR="00BC1D60" w:rsidRDefault="00BC1D60" w:rsidP="00BC5B38">
            <w:pPr>
              <w:pStyle w:val="ESTableRow"/>
              <w:keepNext/>
              <w:jc w:val="right"/>
            </w:pPr>
            <w:r>
              <w:t>17,365</w:t>
            </w:r>
          </w:p>
        </w:tc>
        <w:tc>
          <w:tcPr>
            <w:tcW w:w="970" w:type="dxa"/>
          </w:tcPr>
          <w:p w:rsidR="00BC1D60" w:rsidRDefault="00BC1D60" w:rsidP="00BC5B38">
            <w:pPr>
              <w:pStyle w:val="ESTableRow"/>
              <w:keepNext/>
              <w:jc w:val="right"/>
            </w:pPr>
            <w:r>
              <w:t>18,029</w:t>
            </w:r>
          </w:p>
        </w:tc>
        <w:tc>
          <w:tcPr>
            <w:tcW w:w="970" w:type="dxa"/>
          </w:tcPr>
          <w:p w:rsidR="00BC1D60" w:rsidRDefault="00BC1D60" w:rsidP="00BC5B38">
            <w:pPr>
              <w:pStyle w:val="ESTableRow"/>
              <w:keepNext/>
              <w:jc w:val="right"/>
            </w:pPr>
            <w:r>
              <w:t>18,849</w:t>
            </w:r>
          </w:p>
        </w:tc>
        <w:tc>
          <w:tcPr>
            <w:tcW w:w="970" w:type="dxa"/>
          </w:tcPr>
          <w:p w:rsidR="00BC1D60" w:rsidRDefault="00BC1D60" w:rsidP="00BC5B38">
            <w:pPr>
              <w:pStyle w:val="ESTableRow"/>
              <w:keepNext/>
              <w:jc w:val="right"/>
            </w:pPr>
            <w:r>
              <w:t>20,006</w:t>
            </w:r>
          </w:p>
        </w:tc>
      </w:tr>
      <w:tr w:rsidR="00BC1D60" w:rsidTr="00BC5B38">
        <w:trPr>
          <w:cantSplit/>
        </w:trPr>
        <w:tc>
          <w:tcPr>
            <w:tcW w:w="2000" w:type="dxa"/>
          </w:tcPr>
          <w:p w:rsidR="00BC1D60" w:rsidRDefault="00BC1D60" w:rsidP="00BC5B38">
            <w:pPr>
              <w:pStyle w:val="ESTableRow"/>
              <w:keepNext/>
            </w:pPr>
            <w:r>
              <w:t>EBIT FY (€ mn)</w:t>
            </w:r>
          </w:p>
        </w:tc>
        <w:tc>
          <w:tcPr>
            <w:tcW w:w="970" w:type="dxa"/>
          </w:tcPr>
          <w:p w:rsidR="00BC1D60" w:rsidRDefault="00BC1D60" w:rsidP="00BC5B38">
            <w:pPr>
              <w:pStyle w:val="ESTableRow"/>
              <w:keepNext/>
              <w:jc w:val="right"/>
            </w:pPr>
            <w:r>
              <w:t>651</w:t>
            </w:r>
          </w:p>
        </w:tc>
        <w:tc>
          <w:tcPr>
            <w:tcW w:w="970" w:type="dxa"/>
          </w:tcPr>
          <w:p w:rsidR="00BC1D60" w:rsidRDefault="00BC1D60" w:rsidP="00BC5B38">
            <w:pPr>
              <w:pStyle w:val="ESTableRow"/>
              <w:keepNext/>
              <w:jc w:val="right"/>
            </w:pPr>
            <w:r>
              <w:t>516</w:t>
            </w:r>
          </w:p>
        </w:tc>
        <w:tc>
          <w:tcPr>
            <w:tcW w:w="970" w:type="dxa"/>
          </w:tcPr>
          <w:p w:rsidR="00BC1D60" w:rsidRDefault="00BC1D60" w:rsidP="00BC5B38">
            <w:pPr>
              <w:pStyle w:val="ESTableRow"/>
              <w:keepNext/>
              <w:jc w:val="right"/>
            </w:pPr>
            <w:r>
              <w:t>538</w:t>
            </w:r>
          </w:p>
        </w:tc>
        <w:tc>
          <w:tcPr>
            <w:tcW w:w="970" w:type="dxa"/>
          </w:tcPr>
          <w:p w:rsidR="00BC1D60" w:rsidRDefault="00BC1D60" w:rsidP="00BC5B38">
            <w:pPr>
              <w:pStyle w:val="ESTableRow"/>
              <w:keepNext/>
              <w:jc w:val="right"/>
            </w:pPr>
            <w:r>
              <w:t>660</w:t>
            </w:r>
          </w:p>
        </w:tc>
        <w:tc>
          <w:tcPr>
            <w:tcW w:w="970" w:type="dxa"/>
          </w:tcPr>
          <w:p w:rsidR="00BC1D60" w:rsidRDefault="00BC1D60" w:rsidP="00BC5B38">
            <w:pPr>
              <w:pStyle w:val="ESTableRow"/>
              <w:keepNext/>
              <w:jc w:val="right"/>
            </w:pPr>
            <w:r>
              <w:t>805</w:t>
            </w:r>
          </w:p>
        </w:tc>
      </w:tr>
      <w:tr w:rsidR="00BC1D60" w:rsidTr="00BC5B38">
        <w:trPr>
          <w:cantSplit/>
        </w:trPr>
        <w:tc>
          <w:tcPr>
            <w:tcW w:w="2000" w:type="dxa"/>
          </w:tcPr>
          <w:p w:rsidR="00BC1D60" w:rsidRDefault="00BC1D60" w:rsidP="00BC5B38">
            <w:pPr>
              <w:pStyle w:val="ESTableRow"/>
              <w:keepNext/>
            </w:pPr>
            <w:r>
              <w:t xml:space="preserve">EBIT Margin FY </w:t>
            </w:r>
          </w:p>
        </w:tc>
        <w:tc>
          <w:tcPr>
            <w:tcW w:w="970" w:type="dxa"/>
          </w:tcPr>
          <w:p w:rsidR="00BC1D60" w:rsidRDefault="00BC1D60" w:rsidP="00BC5B38">
            <w:pPr>
              <w:pStyle w:val="ESTableRow"/>
              <w:keepNext/>
              <w:jc w:val="right"/>
            </w:pPr>
            <w:r>
              <w:t>4.0%</w:t>
            </w:r>
          </w:p>
        </w:tc>
        <w:tc>
          <w:tcPr>
            <w:tcW w:w="970" w:type="dxa"/>
          </w:tcPr>
          <w:p w:rsidR="00BC1D60" w:rsidRDefault="00BC1D60" w:rsidP="00BC5B38">
            <w:pPr>
              <w:pStyle w:val="ESTableRow"/>
              <w:keepNext/>
              <w:jc w:val="right"/>
            </w:pPr>
            <w:r>
              <w:t>3.0%</w:t>
            </w:r>
          </w:p>
        </w:tc>
        <w:tc>
          <w:tcPr>
            <w:tcW w:w="970" w:type="dxa"/>
          </w:tcPr>
          <w:p w:rsidR="00BC1D60" w:rsidRDefault="00BC1D60" w:rsidP="00BC5B38">
            <w:pPr>
              <w:pStyle w:val="ESTableRow"/>
              <w:keepNext/>
              <w:jc w:val="right"/>
            </w:pPr>
            <w:r>
              <w:t>3.0%</w:t>
            </w:r>
          </w:p>
        </w:tc>
        <w:tc>
          <w:tcPr>
            <w:tcW w:w="970" w:type="dxa"/>
          </w:tcPr>
          <w:p w:rsidR="00BC1D60" w:rsidRDefault="00BC1D60" w:rsidP="00BC5B38">
            <w:pPr>
              <w:pStyle w:val="ESTableRow"/>
              <w:keepNext/>
              <w:jc w:val="right"/>
            </w:pPr>
            <w:r>
              <w:t>3.5%</w:t>
            </w:r>
          </w:p>
        </w:tc>
        <w:tc>
          <w:tcPr>
            <w:tcW w:w="970" w:type="dxa"/>
          </w:tcPr>
          <w:p w:rsidR="00BC1D60" w:rsidRDefault="00BC1D60" w:rsidP="00BC5B38">
            <w:pPr>
              <w:pStyle w:val="ESTableRow"/>
              <w:keepNext/>
              <w:jc w:val="right"/>
            </w:pPr>
            <w:r>
              <w:t>4.0%</w:t>
            </w:r>
          </w:p>
        </w:tc>
      </w:tr>
      <w:tr w:rsidR="00BC1D60" w:rsidTr="00BC5B38">
        <w:trPr>
          <w:cantSplit/>
        </w:trPr>
        <w:tc>
          <w:tcPr>
            <w:tcW w:w="2000" w:type="dxa"/>
          </w:tcPr>
          <w:p w:rsidR="00BC1D60" w:rsidRDefault="00BC1D60" w:rsidP="00BC5B38">
            <w:pPr>
              <w:pStyle w:val="ESTableRow"/>
              <w:keepNext/>
            </w:pPr>
            <w:r>
              <w:t>Pre Tax Income FY (€ mn)</w:t>
            </w:r>
          </w:p>
        </w:tc>
        <w:tc>
          <w:tcPr>
            <w:tcW w:w="970" w:type="dxa"/>
          </w:tcPr>
          <w:p w:rsidR="00BC1D60" w:rsidRDefault="00BC1D60" w:rsidP="00BC5B38">
            <w:pPr>
              <w:pStyle w:val="ESTableRow"/>
              <w:keepNext/>
              <w:jc w:val="right"/>
            </w:pPr>
            <w:r>
              <w:t>476</w:t>
            </w:r>
          </w:p>
        </w:tc>
        <w:tc>
          <w:tcPr>
            <w:tcW w:w="970" w:type="dxa"/>
          </w:tcPr>
          <w:p w:rsidR="00BC1D60" w:rsidRDefault="00BC1D60" w:rsidP="00BC5B38">
            <w:pPr>
              <w:pStyle w:val="ESTableRow"/>
              <w:keepNext/>
              <w:jc w:val="right"/>
            </w:pPr>
            <w:r>
              <w:t>233</w:t>
            </w:r>
          </w:p>
        </w:tc>
        <w:tc>
          <w:tcPr>
            <w:tcW w:w="970" w:type="dxa"/>
          </w:tcPr>
          <w:p w:rsidR="00BC1D60" w:rsidRDefault="00BC1D60" w:rsidP="00BC5B38">
            <w:pPr>
              <w:pStyle w:val="ESTableRow"/>
              <w:keepNext/>
              <w:jc w:val="right"/>
            </w:pPr>
            <w:r>
              <w:t>197</w:t>
            </w:r>
          </w:p>
        </w:tc>
        <w:tc>
          <w:tcPr>
            <w:tcW w:w="970" w:type="dxa"/>
          </w:tcPr>
          <w:p w:rsidR="00BC1D60" w:rsidRDefault="00BC1D60" w:rsidP="00BC5B38">
            <w:pPr>
              <w:pStyle w:val="ESTableRow"/>
              <w:keepNext/>
              <w:jc w:val="right"/>
            </w:pPr>
            <w:r>
              <w:t>408</w:t>
            </w:r>
          </w:p>
        </w:tc>
        <w:tc>
          <w:tcPr>
            <w:tcW w:w="970" w:type="dxa"/>
          </w:tcPr>
          <w:p w:rsidR="00BC1D60" w:rsidRDefault="00BC1D60" w:rsidP="00BC5B38">
            <w:pPr>
              <w:pStyle w:val="ESTableRow"/>
              <w:keepNext/>
              <w:jc w:val="right"/>
            </w:pPr>
            <w:r>
              <w:t>589</w:t>
            </w:r>
          </w:p>
        </w:tc>
      </w:tr>
      <w:tr w:rsidR="00BC1D60" w:rsidTr="00BC5B38">
        <w:trPr>
          <w:cantSplit/>
        </w:trPr>
        <w:tc>
          <w:tcPr>
            <w:tcW w:w="2000" w:type="dxa"/>
          </w:tcPr>
          <w:p w:rsidR="00BC1D60" w:rsidRDefault="00BC1D60" w:rsidP="00BC5B38">
            <w:pPr>
              <w:pStyle w:val="ESTableRow"/>
              <w:keepNext/>
            </w:pPr>
            <w:r>
              <w:t>Net Income FY (€ mn)</w:t>
            </w:r>
          </w:p>
        </w:tc>
        <w:tc>
          <w:tcPr>
            <w:tcW w:w="970" w:type="dxa"/>
          </w:tcPr>
          <w:p w:rsidR="00BC1D60" w:rsidRDefault="00BC1D60" w:rsidP="00BC5B38">
            <w:pPr>
              <w:pStyle w:val="ESTableRow"/>
              <w:keepNext/>
              <w:jc w:val="right"/>
            </w:pPr>
            <w:r>
              <w:t>371</w:t>
            </w:r>
          </w:p>
        </w:tc>
        <w:tc>
          <w:tcPr>
            <w:tcW w:w="970" w:type="dxa"/>
          </w:tcPr>
          <w:p w:rsidR="00BC1D60" w:rsidRDefault="00BC1D60" w:rsidP="00BC5B38">
            <w:pPr>
              <w:pStyle w:val="ESTableRow"/>
              <w:keepNext/>
              <w:jc w:val="right"/>
            </w:pPr>
            <w:r>
              <w:t>145</w:t>
            </w:r>
          </w:p>
        </w:tc>
        <w:tc>
          <w:tcPr>
            <w:tcW w:w="970" w:type="dxa"/>
          </w:tcPr>
          <w:p w:rsidR="00BC1D60" w:rsidRDefault="00BC1D60" w:rsidP="00BC5B38">
            <w:pPr>
              <w:pStyle w:val="ESTableRow"/>
              <w:keepNext/>
              <w:jc w:val="right"/>
            </w:pPr>
            <w:r>
              <w:t>91</w:t>
            </w:r>
          </w:p>
        </w:tc>
        <w:tc>
          <w:tcPr>
            <w:tcW w:w="970" w:type="dxa"/>
          </w:tcPr>
          <w:p w:rsidR="00BC1D60" w:rsidRDefault="00BC1D60" w:rsidP="00BC5B38">
            <w:pPr>
              <w:pStyle w:val="ESTableRow"/>
              <w:keepNext/>
              <w:jc w:val="right"/>
            </w:pPr>
            <w:r>
              <w:t>252</w:t>
            </w:r>
          </w:p>
        </w:tc>
        <w:tc>
          <w:tcPr>
            <w:tcW w:w="970" w:type="dxa"/>
          </w:tcPr>
          <w:p w:rsidR="00BC1D60" w:rsidRDefault="00BC1D60" w:rsidP="00BC5B38">
            <w:pPr>
              <w:pStyle w:val="ESTableRow"/>
              <w:keepNext/>
              <w:jc w:val="right"/>
            </w:pPr>
            <w:r>
              <w:t>363</w:t>
            </w:r>
          </w:p>
        </w:tc>
      </w:tr>
      <w:tr w:rsidR="00BC1D60" w:rsidTr="00BC5B38">
        <w:trPr>
          <w:cantSplit/>
        </w:trPr>
        <w:tc>
          <w:tcPr>
            <w:tcW w:w="2000" w:type="dxa"/>
          </w:tcPr>
          <w:p w:rsidR="00BC1D60" w:rsidRDefault="00BC1D60" w:rsidP="00BC5B38">
            <w:pPr>
              <w:pStyle w:val="ESTableRow"/>
              <w:keepNext/>
            </w:pPr>
            <w:r>
              <w:t xml:space="preserve">Industrial P/E FY </w:t>
            </w:r>
          </w:p>
        </w:tc>
        <w:tc>
          <w:tcPr>
            <w:tcW w:w="970" w:type="dxa"/>
          </w:tcPr>
          <w:p w:rsidR="00BC1D60" w:rsidRDefault="00BC1D60" w:rsidP="00BC5B38">
            <w:pPr>
              <w:pStyle w:val="ESTableRow"/>
              <w:keepNext/>
              <w:jc w:val="right"/>
            </w:pPr>
            <w:r>
              <w:t>6.8</w:t>
            </w:r>
          </w:p>
        </w:tc>
        <w:tc>
          <w:tcPr>
            <w:tcW w:w="970" w:type="dxa"/>
          </w:tcPr>
          <w:p w:rsidR="00BC1D60" w:rsidRDefault="00BC1D60" w:rsidP="00BC5B38">
            <w:pPr>
              <w:pStyle w:val="ESTableRow"/>
              <w:keepNext/>
              <w:jc w:val="right"/>
            </w:pPr>
            <w:r>
              <w:t>11.6</w:t>
            </w:r>
          </w:p>
        </w:tc>
        <w:tc>
          <w:tcPr>
            <w:tcW w:w="970" w:type="dxa"/>
          </w:tcPr>
          <w:p w:rsidR="00BC1D60" w:rsidRDefault="00BC1D60" w:rsidP="00BC5B38">
            <w:pPr>
              <w:pStyle w:val="ESTableRow"/>
              <w:keepNext/>
              <w:jc w:val="right"/>
            </w:pPr>
            <w:r>
              <w:t>22.9</w:t>
            </w:r>
          </w:p>
        </w:tc>
        <w:tc>
          <w:tcPr>
            <w:tcW w:w="970" w:type="dxa"/>
          </w:tcPr>
          <w:p w:rsidR="00BC1D60" w:rsidRDefault="00BC1D60" w:rsidP="00BC5B38">
            <w:pPr>
              <w:pStyle w:val="ESTableRow"/>
              <w:keepNext/>
              <w:jc w:val="right"/>
            </w:pPr>
            <w:r>
              <w:t>17.5</w:t>
            </w:r>
          </w:p>
        </w:tc>
        <w:tc>
          <w:tcPr>
            <w:tcW w:w="970" w:type="dxa"/>
          </w:tcPr>
          <w:p w:rsidR="00BC1D60" w:rsidRDefault="00BC1D60" w:rsidP="00BC5B38">
            <w:pPr>
              <w:pStyle w:val="ESTableRow"/>
              <w:keepNext/>
              <w:jc w:val="right"/>
            </w:pPr>
            <w:r>
              <w:t>12.1</w:t>
            </w:r>
          </w:p>
        </w:tc>
      </w:tr>
      <w:tr w:rsidR="00BC1D60" w:rsidTr="00BC5B38">
        <w:trPr>
          <w:cantSplit/>
        </w:trPr>
        <w:tc>
          <w:tcPr>
            <w:tcW w:w="2000" w:type="dxa"/>
            <w:tcBorders>
              <w:bottom w:val="single" w:sz="4" w:space="0" w:color="auto"/>
            </w:tcBorders>
          </w:tcPr>
          <w:p w:rsidR="00BC1D60" w:rsidRDefault="00BC1D60" w:rsidP="00BC5B38">
            <w:pPr>
              <w:pStyle w:val="ESTableRow"/>
              <w:keepNext/>
            </w:pPr>
            <w:r>
              <w:t xml:space="preserve">Industrial EV/Sales FY </w:t>
            </w:r>
          </w:p>
        </w:tc>
        <w:tc>
          <w:tcPr>
            <w:tcW w:w="970" w:type="dxa"/>
            <w:tcBorders>
              <w:bottom w:val="single" w:sz="4" w:space="0" w:color="auto"/>
            </w:tcBorders>
          </w:tcPr>
          <w:p w:rsidR="00BC1D60" w:rsidRDefault="00BC1D60" w:rsidP="00BC5B38">
            <w:pPr>
              <w:pStyle w:val="ESTableRow"/>
              <w:keepNext/>
              <w:jc w:val="right"/>
            </w:pPr>
            <w:r>
              <w:t>0.3</w:t>
            </w:r>
          </w:p>
        </w:tc>
        <w:tc>
          <w:tcPr>
            <w:tcW w:w="970" w:type="dxa"/>
            <w:tcBorders>
              <w:bottom w:val="single" w:sz="4" w:space="0" w:color="auto"/>
            </w:tcBorders>
          </w:tcPr>
          <w:p w:rsidR="00BC1D60" w:rsidRDefault="00BC1D60" w:rsidP="00BC5B38">
            <w:pPr>
              <w:pStyle w:val="ESTableRow"/>
              <w:keepNext/>
              <w:jc w:val="right"/>
            </w:pPr>
            <w:r>
              <w:t>0.2</w:t>
            </w:r>
          </w:p>
        </w:tc>
        <w:tc>
          <w:tcPr>
            <w:tcW w:w="970" w:type="dxa"/>
            <w:tcBorders>
              <w:bottom w:val="single" w:sz="4" w:space="0" w:color="auto"/>
            </w:tcBorders>
          </w:tcPr>
          <w:p w:rsidR="00BC1D60" w:rsidRDefault="00BC1D60" w:rsidP="00BC5B38">
            <w:pPr>
              <w:pStyle w:val="ESTableRow"/>
              <w:keepNext/>
              <w:jc w:val="right"/>
            </w:pPr>
            <w:r>
              <w:t>0.2</w:t>
            </w:r>
          </w:p>
        </w:tc>
        <w:tc>
          <w:tcPr>
            <w:tcW w:w="970" w:type="dxa"/>
            <w:tcBorders>
              <w:bottom w:val="single" w:sz="4" w:space="0" w:color="auto"/>
            </w:tcBorders>
          </w:tcPr>
          <w:p w:rsidR="00BC1D60" w:rsidRDefault="00BC1D60" w:rsidP="00BC5B38">
            <w:pPr>
              <w:pStyle w:val="ESTableRow"/>
              <w:keepNext/>
              <w:jc w:val="right"/>
            </w:pPr>
            <w:r>
              <w:t>0.3</w:t>
            </w:r>
          </w:p>
        </w:tc>
        <w:tc>
          <w:tcPr>
            <w:tcW w:w="970" w:type="dxa"/>
            <w:tcBorders>
              <w:bottom w:val="single" w:sz="4" w:space="0" w:color="auto"/>
            </w:tcBorders>
          </w:tcPr>
          <w:p w:rsidR="00BC1D60" w:rsidRDefault="00BC1D60" w:rsidP="00BC5B38">
            <w:pPr>
              <w:pStyle w:val="ESTableRow"/>
              <w:keepNext/>
              <w:jc w:val="right"/>
            </w:pPr>
            <w:r>
              <w:t>0.3</w:t>
            </w:r>
          </w:p>
        </w:tc>
      </w:tr>
    </w:tbl>
    <w:p w:rsidR="00BC1D60" w:rsidRDefault="00BC1D60" w:rsidP="00BC1D60">
      <w:pPr>
        <w:pStyle w:val="Source"/>
        <w:rPr>
          <w:highlight w:val="yellow"/>
        </w:rPr>
      </w:pPr>
      <w:r>
        <w:t>Source: Company data, Bloomberg, J.P. Morgan estimates</w:t>
      </w:r>
      <w:r w:rsidRPr="004F1ABB">
        <w:rPr>
          <w:highlight w:val="yellow"/>
        </w:rPr>
        <w:br w:type="page"/>
      </w:r>
    </w:p>
    <w:p w:rsidR="00BC1D60" w:rsidRPr="00053456" w:rsidRDefault="00BC1D60" w:rsidP="00BC1D60">
      <w:pPr>
        <w:pStyle w:val="Body"/>
        <w:rPr>
          <w:highlight w:val="yellow"/>
        </w:rPr>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F7136B" w:rsidTr="00BC5B38">
        <w:tc>
          <w:tcPr>
            <w:tcW w:w="10604" w:type="dxa"/>
            <w:gridSpan w:val="3"/>
            <w:shd w:val="clear" w:color="auto" w:fill="auto"/>
          </w:tcPr>
          <w:p w:rsidR="00BC1D60" w:rsidRPr="00F7136B" w:rsidRDefault="00BC1D60" w:rsidP="00BC5B38">
            <w:pPr>
              <w:pStyle w:val="Heading1-NoTOC"/>
            </w:pPr>
            <w:bookmarkStart w:id="188" w:name="_Toc384044969"/>
            <w:bookmarkStart w:id="189" w:name="_Toc384135993"/>
            <w:bookmarkStart w:id="190" w:name="_Toc384136960"/>
            <w:bookmarkStart w:id="191" w:name="_Toc392016355"/>
            <w:bookmarkStart w:id="192" w:name="_Toc392099073"/>
            <w:r w:rsidRPr="00F7136B">
              <w:t>Getting to know our SMid Analysts…</w:t>
            </w:r>
            <w:bookmarkEnd w:id="188"/>
            <w:bookmarkEnd w:id="189"/>
            <w:bookmarkEnd w:id="190"/>
            <w:bookmarkEnd w:id="191"/>
            <w:bookmarkEnd w:id="192"/>
          </w:p>
        </w:tc>
      </w:tr>
      <w:tr w:rsidR="00BC1D60" w:rsidRPr="00F7136B" w:rsidTr="00BC5B38">
        <w:trPr>
          <w:trHeight w:val="3427"/>
        </w:trPr>
        <w:tc>
          <w:tcPr>
            <w:tcW w:w="2666" w:type="dxa"/>
            <w:shd w:val="clear" w:color="auto" w:fill="auto"/>
          </w:tcPr>
          <w:p w:rsidR="00BC1D60" w:rsidRPr="00F7136B" w:rsidRDefault="00BC1D60" w:rsidP="00BC5B38">
            <w:pPr>
              <w:pStyle w:val="Body"/>
              <w:spacing w:after="120"/>
            </w:pPr>
            <w:r w:rsidRPr="00F7136B">
              <w:rPr>
                <w:rFonts w:ascii="Arial" w:hAnsi="Arial" w:cs="Arial"/>
                <w:noProof/>
                <w:color w:val="716F63"/>
                <w:sz w:val="17"/>
                <w:szCs w:val="17"/>
              </w:rPr>
              <w:drawing>
                <wp:inline distT="0" distB="0" distL="0" distR="0">
                  <wp:extent cx="1571625" cy="1600200"/>
                  <wp:effectExtent l="19050" t="0" r="9525" b="0"/>
                  <wp:docPr id="154" name="Picture 89" descr="Jose M Asume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Jose M Asumendi"/>
                          <pic:cNvPicPr>
                            <a:picLocks noChangeAspect="1" noChangeArrowheads="1"/>
                          </pic:cNvPicPr>
                        </pic:nvPicPr>
                        <pic:blipFill>
                          <a:blip r:embed="rId82"/>
                          <a:srcRect l="42857" b="6762"/>
                          <a:stretch>
                            <a:fillRect/>
                          </a:stretch>
                        </pic:blipFill>
                        <pic:spPr bwMode="auto">
                          <a:xfrm>
                            <a:off x="0" y="0"/>
                            <a:ext cx="1571625" cy="1600200"/>
                          </a:xfrm>
                          <a:prstGeom prst="rect">
                            <a:avLst/>
                          </a:prstGeom>
                          <a:noFill/>
                          <a:ln w="9525">
                            <a:noFill/>
                            <a:miter lim="800000"/>
                            <a:headEnd/>
                            <a:tailEnd/>
                          </a:ln>
                        </pic:spPr>
                      </pic:pic>
                    </a:graphicData>
                  </a:graphic>
                </wp:inline>
              </w:drawing>
            </w:r>
          </w:p>
        </w:tc>
        <w:tc>
          <w:tcPr>
            <w:tcW w:w="3544" w:type="dxa"/>
            <w:shd w:val="clear" w:color="auto" w:fill="auto"/>
          </w:tcPr>
          <w:p w:rsidR="00BC1D60" w:rsidRPr="00F7136B" w:rsidRDefault="00BC1D60" w:rsidP="00BC5B38">
            <w:pPr>
              <w:pStyle w:val="Heading2"/>
              <w:outlineLvl w:val="1"/>
              <w:rPr>
                <w:lang w:val="es-ES_tradnl"/>
              </w:rPr>
            </w:pPr>
            <w:r w:rsidRPr="00F7136B">
              <w:rPr>
                <w:lang w:val="es-ES_tradnl"/>
              </w:rPr>
              <w:t>Jose Asumendi</w:t>
            </w:r>
          </w:p>
          <w:p w:rsidR="00BC1D60" w:rsidRPr="00F7136B" w:rsidRDefault="003B051F" w:rsidP="00BC5B38">
            <w:pPr>
              <w:pStyle w:val="Body"/>
              <w:spacing w:after="120"/>
              <w:rPr>
                <w:rFonts w:ascii="Arial Narrow" w:hAnsi="Arial Narrow"/>
                <w:lang w:val="es-ES_tradnl"/>
              </w:rPr>
            </w:pPr>
            <w:hyperlink r:id="rId83" w:history="1">
              <w:r w:rsidR="00BC1D60" w:rsidRPr="00F7136B">
                <w:rPr>
                  <w:rStyle w:val="Hyperlink"/>
                  <w:rFonts w:ascii="Arial Narrow" w:hAnsi="Arial Narrow"/>
                  <w:lang w:val="es-ES_tradnl"/>
                </w:rPr>
                <w:t>jose.m.asumendi@jpmorgan.com</w:t>
              </w:r>
            </w:hyperlink>
          </w:p>
          <w:p w:rsidR="00BC1D60" w:rsidRPr="00F7136B" w:rsidRDefault="00BC1D60" w:rsidP="00BC5B38">
            <w:pPr>
              <w:pStyle w:val="Body"/>
              <w:spacing w:after="120"/>
              <w:rPr>
                <w:rFonts w:ascii="Arial Narrow" w:hAnsi="Arial Narrow"/>
                <w:lang w:val="es-ES_tradnl"/>
              </w:rPr>
            </w:pPr>
            <w:r w:rsidRPr="00F7136B">
              <w:rPr>
                <w:rFonts w:ascii="Arial Narrow" w:hAnsi="Arial Narrow"/>
                <w:lang w:val="es-ES_tradnl"/>
              </w:rPr>
              <w:t>(44-20) 7742-5315</w:t>
            </w:r>
          </w:p>
          <w:p w:rsidR="00BC1D60" w:rsidRPr="00F7136B" w:rsidRDefault="00BC1D60" w:rsidP="00BC5B38">
            <w:pPr>
              <w:pStyle w:val="Body"/>
              <w:spacing w:after="120"/>
              <w:rPr>
                <w:rFonts w:ascii="Arial Narrow" w:hAnsi="Arial Narrow"/>
                <w:lang w:val="es-ES_tradnl"/>
              </w:rPr>
            </w:pPr>
          </w:p>
          <w:p w:rsidR="00BC1D60" w:rsidRPr="00F7136B" w:rsidRDefault="00BC1D60" w:rsidP="00BC5B38">
            <w:pPr>
              <w:pStyle w:val="Body"/>
              <w:spacing w:after="120"/>
              <w:rPr>
                <w:rFonts w:ascii="Arial Narrow" w:hAnsi="Arial Narrow"/>
                <w:lang w:val="es-ES_tradnl"/>
              </w:rPr>
            </w:pPr>
            <w:r w:rsidRPr="00F7136B">
              <w:rPr>
                <w:rFonts w:ascii="Arial Narrow" w:hAnsi="Arial Narrow"/>
                <w:b/>
                <w:lang w:val="es-ES_tradnl"/>
              </w:rPr>
              <w:t>Region:</w:t>
            </w:r>
            <w:r w:rsidRPr="00F7136B">
              <w:rPr>
                <w:rFonts w:ascii="Arial Narrow" w:hAnsi="Arial Narrow"/>
                <w:lang w:val="es-ES_tradnl"/>
              </w:rPr>
              <w:t xml:space="preserve"> W. Europe</w:t>
            </w:r>
          </w:p>
          <w:p w:rsidR="00BC1D60" w:rsidRPr="00F7136B" w:rsidRDefault="00BC1D60" w:rsidP="00BC5B38">
            <w:pPr>
              <w:pStyle w:val="Body"/>
              <w:spacing w:after="120"/>
              <w:rPr>
                <w:rFonts w:ascii="Arial Narrow" w:hAnsi="Arial Narrow"/>
              </w:rPr>
            </w:pPr>
            <w:r w:rsidRPr="00F7136B">
              <w:rPr>
                <w:rFonts w:ascii="Arial Narrow" w:hAnsi="Arial Narrow"/>
                <w:b/>
              </w:rPr>
              <w:t>Sector:</w:t>
            </w:r>
            <w:r w:rsidRPr="00F7136B">
              <w:rPr>
                <w:rFonts w:ascii="Arial Narrow" w:hAnsi="Arial Narrow"/>
              </w:rPr>
              <w:t xml:space="preserve"> European Autos</w:t>
            </w:r>
          </w:p>
          <w:p w:rsidR="00BC1D60" w:rsidRPr="00F7136B" w:rsidRDefault="00BC1D60" w:rsidP="00BC5B38">
            <w:pPr>
              <w:pStyle w:val="Body"/>
            </w:pPr>
          </w:p>
        </w:tc>
        <w:tc>
          <w:tcPr>
            <w:tcW w:w="4394" w:type="dxa"/>
            <w:shd w:val="clear" w:color="auto" w:fill="auto"/>
          </w:tcPr>
          <w:p w:rsidR="00BC1D60" w:rsidRPr="00F7136B" w:rsidRDefault="00BC1D60" w:rsidP="00BC5B38">
            <w:pPr>
              <w:pStyle w:val="Body"/>
              <w:jc w:val="right"/>
            </w:pPr>
            <w:r w:rsidRPr="00F7136B">
              <w:rPr>
                <w:noProof/>
              </w:rPr>
              <w:drawing>
                <wp:inline distT="0" distB="0" distL="0" distR="0">
                  <wp:extent cx="2505456" cy="1414952"/>
                  <wp:effectExtent l="19050" t="0" r="9144" b="0"/>
                  <wp:docPr id="1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srcRect/>
                          <a:stretch>
                            <a:fillRect/>
                          </a:stretch>
                        </pic:blipFill>
                        <pic:spPr bwMode="auto">
                          <a:xfrm>
                            <a:off x="0" y="0"/>
                            <a:ext cx="2505456" cy="1414952"/>
                          </a:xfrm>
                          <a:prstGeom prst="rect">
                            <a:avLst/>
                          </a:prstGeom>
                          <a:noFill/>
                          <a:ln w="9525">
                            <a:noFill/>
                            <a:miter lim="800000"/>
                            <a:headEnd/>
                            <a:tailEnd/>
                          </a:ln>
                        </pic:spPr>
                      </pic:pic>
                    </a:graphicData>
                  </a:graphic>
                </wp:inline>
              </w:drawing>
            </w:r>
          </w:p>
        </w:tc>
      </w:tr>
    </w:tbl>
    <w:p w:rsidR="00BC1D60" w:rsidRPr="00F7136B" w:rsidRDefault="00BC1D60" w:rsidP="00BC1D60">
      <w:pPr>
        <w:pStyle w:val="Source"/>
        <w:spacing w:before="0"/>
        <w:ind w:left="-3124" w:hanging="137"/>
      </w:pPr>
      <w:r w:rsidRPr="00F7136B">
        <w:rPr>
          <w:noProof/>
        </w:rPr>
        <w:drawing>
          <wp:inline distT="0" distB="0" distL="0" distR="0">
            <wp:extent cx="6702552" cy="1129314"/>
            <wp:effectExtent l="19050" t="0" r="3048" b="0"/>
            <wp:docPr id="1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a:srcRect/>
                    <a:stretch>
                      <a:fillRect/>
                    </a:stretch>
                  </pic:blipFill>
                  <pic:spPr bwMode="auto">
                    <a:xfrm>
                      <a:off x="0" y="0"/>
                      <a:ext cx="6702552" cy="1129314"/>
                    </a:xfrm>
                    <a:prstGeom prst="rect">
                      <a:avLst/>
                    </a:prstGeom>
                    <a:noFill/>
                    <a:ln w="9525">
                      <a:noFill/>
                      <a:miter lim="800000"/>
                      <a:headEnd/>
                      <a:tailEnd/>
                    </a:ln>
                  </pic:spPr>
                </pic:pic>
              </a:graphicData>
            </a:graphic>
          </wp:inline>
        </w:drawing>
      </w:r>
      <w:r w:rsidRPr="00F7136B">
        <w:t>Source: Bloomberg, Datastream, Factset, J.P. Morgan</w:t>
      </w:r>
      <w:r w:rsidRPr="00F7136B">
        <w:br/>
      </w:r>
      <w:r w:rsidRPr="0087013D">
        <w:t>Prices as of 24 June 2014</w:t>
      </w:r>
    </w:p>
    <w:p w:rsidR="00BC1D60" w:rsidRPr="004F1ABB" w:rsidRDefault="00BC1D60" w:rsidP="00BC1D60">
      <w:pPr>
        <w:pStyle w:val="Sidecomments"/>
        <w:framePr w:w="2853" w:hRule="auto" w:wrap="around" w:y="5"/>
        <w:rPr>
          <w:highlight w:val="yellow"/>
        </w:rPr>
      </w:pPr>
      <w:r w:rsidRPr="004F1ABB">
        <w:rPr>
          <w:highlight w:val="yellow"/>
        </w:rPr>
        <w:lastRenderedPageBreak/>
        <w:br/>
      </w:r>
      <w:r>
        <w:rPr>
          <w:noProof/>
        </w:rPr>
        <w:drawing>
          <wp:inline distT="0" distB="0" distL="0" distR="0">
            <wp:extent cx="1737360" cy="7726680"/>
            <wp:effectExtent l="19050" t="0" r="0" b="0"/>
            <wp:docPr id="1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srcRect/>
                    <a:stretch>
                      <a:fillRect/>
                    </a:stretch>
                  </pic:blipFill>
                  <pic:spPr bwMode="auto">
                    <a:xfrm>
                      <a:off x="0" y="0"/>
                      <a:ext cx="1737360" cy="7726680"/>
                    </a:xfrm>
                    <a:prstGeom prst="rect">
                      <a:avLst/>
                    </a:prstGeom>
                    <a:noFill/>
                    <a:ln w="9525">
                      <a:noFill/>
                      <a:miter lim="800000"/>
                      <a:headEnd/>
                      <a:tailEnd/>
                    </a:ln>
                  </pic:spPr>
                </pic:pic>
              </a:graphicData>
            </a:graphic>
          </wp:inline>
        </w:drawing>
      </w:r>
    </w:p>
    <w:p w:rsidR="00BC1D60" w:rsidRPr="00011697" w:rsidRDefault="00BC1D60" w:rsidP="00BC1D60">
      <w:pPr>
        <w:pStyle w:val="Heading1"/>
        <w:spacing w:before="240" w:after="120"/>
      </w:pPr>
      <w:bookmarkStart w:id="193" w:name="_Toc392099074"/>
      <w:bookmarkStart w:id="194" w:name="_Toc392081813"/>
      <w:bookmarkStart w:id="195" w:name="_Toc392081876"/>
      <w:r w:rsidRPr="00011697">
        <w:t>Gameloft (GFT FP / OW / €6.60)</w:t>
      </w:r>
      <w:bookmarkEnd w:id="193"/>
      <w:bookmarkEnd w:id="194"/>
      <w:bookmarkEnd w:id="195"/>
    </w:p>
    <w:p w:rsidR="00BC1D60" w:rsidRPr="00011697" w:rsidRDefault="00BC1D60" w:rsidP="00BC1D60">
      <w:pPr>
        <w:pStyle w:val="Heading2"/>
        <w:spacing w:after="120"/>
        <w:rPr>
          <w:rFonts w:eastAsia="Times New Roman"/>
          <w:bCs/>
          <w:i/>
          <w:iCs/>
        </w:rPr>
      </w:pPr>
      <w:r w:rsidRPr="00011697">
        <w:rPr>
          <w:rFonts w:eastAsia="Times New Roman"/>
          <w:bCs/>
          <w:i/>
          <w:iCs/>
        </w:rPr>
        <w:t xml:space="preserve">Playing online &amp; mobile structural growth </w:t>
      </w:r>
    </w:p>
    <w:p w:rsidR="00BC1D60" w:rsidRPr="00011697" w:rsidRDefault="00BC1D60" w:rsidP="00BC1D60">
      <w:pPr>
        <w:pStyle w:val="Heading3"/>
        <w:rPr>
          <w:rFonts w:eastAsia="Times New Roman"/>
          <w:bCs w:val="0"/>
        </w:rPr>
      </w:pPr>
      <w:r w:rsidRPr="00011697">
        <w:rPr>
          <w:rFonts w:eastAsia="Times New Roman"/>
          <w:bCs w:val="0"/>
        </w:rPr>
        <w:t>Investment Highlights:</w:t>
      </w:r>
    </w:p>
    <w:p w:rsidR="00BC1D60" w:rsidRPr="00011697" w:rsidRDefault="00BC1D60" w:rsidP="00BC1D60">
      <w:pPr>
        <w:pStyle w:val="Bullet"/>
        <w:tabs>
          <w:tab w:val="clear" w:pos="288"/>
        </w:tabs>
        <w:spacing w:after="60"/>
        <w:rPr>
          <w:rFonts w:eastAsiaTheme="minorHAnsi"/>
          <w:lang w:val="en-GB"/>
        </w:rPr>
      </w:pPr>
      <w:r w:rsidRPr="00011697">
        <w:rPr>
          <w:b/>
          <w:lang w:val="en-GB"/>
        </w:rPr>
        <w:t>Positive industry trends:</w:t>
      </w:r>
      <w:r w:rsidRPr="00011697">
        <w:rPr>
          <w:lang w:val="en-GB"/>
        </w:rPr>
        <w:t xml:space="preserve"> </w:t>
      </w:r>
      <w:r w:rsidRPr="00FF2E38">
        <w:rPr>
          <w:lang w:val="en-GB"/>
        </w:rPr>
        <w:t>adoption of mobile devices should continue to fuel growth for Gameloft (700m smartphones sold in 2012 vs 490m in 2011) with low-end smartphones/tablets being a potential driver in 2014. While barriers to entry appear low, Gameloft’s sheer size, global reach, and 14-yr experience across mobile and fixed devices should enable it to remain an industry leader</w:t>
      </w:r>
      <w:r w:rsidRPr="00011697">
        <w:rPr>
          <w:lang w:val="en-GB"/>
        </w:rPr>
        <w:t>.</w:t>
      </w:r>
    </w:p>
    <w:p w:rsidR="00BC1D60" w:rsidRPr="00011697" w:rsidRDefault="00BC1D60" w:rsidP="00BC1D60">
      <w:pPr>
        <w:pStyle w:val="Bullet"/>
        <w:tabs>
          <w:tab w:val="clear" w:pos="288"/>
        </w:tabs>
        <w:spacing w:after="60"/>
        <w:rPr>
          <w:lang w:val="en-GB"/>
        </w:rPr>
      </w:pPr>
      <w:r w:rsidRPr="00011697">
        <w:rPr>
          <w:b/>
          <w:lang w:val="en-GB"/>
        </w:rPr>
        <w:t>Significant potential growth and margin expansion:</w:t>
      </w:r>
      <w:r w:rsidRPr="00011697">
        <w:rPr>
          <w:lang w:val="en-GB"/>
        </w:rPr>
        <w:t xml:space="preserve"> </w:t>
      </w:r>
      <w:r w:rsidRPr="00FF2E38">
        <w:rPr>
          <w:lang w:val="en-GB"/>
        </w:rPr>
        <w:t>mgmt guidance calls for 2014 grw in sales, profitability and net cash, with consensus estimates calling for net income to more than double from 2013 to 2016 (thanks to a 14% top-line CAGR and 580bps expansion in EBITA mgns — up to 80% of costs are fixed and developer workforce is right-sized for now)</w:t>
      </w:r>
      <w:r w:rsidRPr="00011697">
        <w:rPr>
          <w:lang w:val="en-GB"/>
        </w:rPr>
        <w:t>.</w:t>
      </w:r>
    </w:p>
    <w:p w:rsidR="00BC1D60" w:rsidRPr="00011697" w:rsidRDefault="00BC1D60" w:rsidP="00BC1D60">
      <w:pPr>
        <w:pStyle w:val="Bullet"/>
        <w:tabs>
          <w:tab w:val="clear" w:pos="288"/>
        </w:tabs>
        <w:spacing w:after="60"/>
        <w:rPr>
          <w:lang w:val="en-GB"/>
        </w:rPr>
      </w:pPr>
      <w:r w:rsidRPr="00011697">
        <w:rPr>
          <w:b/>
          <w:lang w:val="en-GB"/>
        </w:rPr>
        <w:t>Attractive valuations:</w:t>
      </w:r>
      <w:r w:rsidRPr="00011697">
        <w:rPr>
          <w:lang w:val="en-GB"/>
        </w:rPr>
        <w:t xml:space="preserve"> </w:t>
      </w:r>
      <w:r w:rsidRPr="00FF2E38">
        <w:rPr>
          <w:lang w:val="en-GB"/>
        </w:rPr>
        <w:t>Bloomberg consensus estimates, a P/E and FCF Yld of 26.9x and 6.5%% in 14E, and 19.0x and 7.0% in 15E, respectively</w:t>
      </w:r>
      <w:r w:rsidRPr="00011697">
        <w:rPr>
          <w:lang w:val="en-GB"/>
        </w:rPr>
        <w:t xml:space="preserve">. </w:t>
      </w:r>
    </w:p>
    <w:p w:rsidR="00BC1D60" w:rsidRPr="00011697" w:rsidRDefault="00BC1D60" w:rsidP="00BC1D60">
      <w:pPr>
        <w:pStyle w:val="Bullet"/>
        <w:tabs>
          <w:tab w:val="clear" w:pos="288"/>
        </w:tabs>
        <w:spacing w:after="60"/>
        <w:rPr>
          <w:lang w:val="en-GB"/>
        </w:rPr>
      </w:pPr>
      <w:r w:rsidRPr="00011697">
        <w:rPr>
          <w:b/>
          <w:lang w:val="en-GB"/>
        </w:rPr>
        <w:t>Strong balance sheet:</w:t>
      </w:r>
      <w:r w:rsidRPr="00011697">
        <w:rPr>
          <w:lang w:val="en-GB"/>
        </w:rPr>
        <w:t xml:space="preserve"> </w:t>
      </w:r>
      <w:r w:rsidRPr="00FF2E38">
        <w:rPr>
          <w:lang w:val="en-GB"/>
        </w:rPr>
        <w:t>Consensus estimates a net cash position of €102m by 2015 (18% of current mkt cap), while mgmt showed willingness to return cash to shareholders through a 1.5m share buyback plan in 2013</w:t>
      </w:r>
      <w:r w:rsidRPr="00011697">
        <w:rPr>
          <w:lang w:val="en-GB"/>
        </w:rPr>
        <w:t>.</w:t>
      </w:r>
      <w:r w:rsidRPr="00011697">
        <w:t xml:space="preserve">  </w:t>
      </w:r>
    </w:p>
    <w:p w:rsidR="00BC1D60" w:rsidRPr="00011697" w:rsidRDefault="00BC1D60" w:rsidP="00BC1D60">
      <w:pPr>
        <w:pStyle w:val="Heading3"/>
        <w:spacing w:after="120"/>
        <w:rPr>
          <w:rFonts w:eastAsia="Times New Roman"/>
          <w:b w:val="0"/>
        </w:rPr>
      </w:pPr>
      <w:r w:rsidRPr="00011697">
        <w:rPr>
          <w:rFonts w:eastAsia="Times New Roman"/>
          <w:bCs w:val="0"/>
        </w:rPr>
        <w:t>Risks to our View:</w:t>
      </w:r>
      <w:r w:rsidRPr="00011697">
        <w:rPr>
          <w:rFonts w:eastAsia="Times New Roman"/>
          <w:b w:val="0"/>
          <w:bCs w:val="0"/>
        </w:rPr>
        <w:t xml:space="preserve"> </w:t>
      </w:r>
      <w:r w:rsidRPr="00FF2E38">
        <w:rPr>
          <w:rFonts w:eastAsia="Times New Roman"/>
          <w:b w:val="0"/>
        </w:rPr>
        <w:t>Key Risks: a) Maintenance of partnerships with digital stores (Apple App store, Google Play) and establishing new partnerships; b) Increasing concentration of competition; c) Technological changes might require significantly higher R&amp;D costs than currently forecast; and d) FX translation risk</w:t>
      </w:r>
      <w:r w:rsidRPr="00011697">
        <w:rPr>
          <w:rFonts w:eastAsia="Times New Roman"/>
          <w:b w:val="0"/>
        </w:rPr>
        <w:t>.</w:t>
      </w:r>
    </w:p>
    <w:p w:rsidR="00BC1D60" w:rsidRPr="00011697" w:rsidRDefault="00BC1D60" w:rsidP="00BC1D60">
      <w:pPr>
        <w:pStyle w:val="Heading3"/>
        <w:spacing w:after="80"/>
        <w:rPr>
          <w:b w:val="0"/>
        </w:rPr>
      </w:pPr>
      <w:r w:rsidRPr="00011697">
        <w:rPr>
          <w:rFonts w:eastAsia="Times New Roman"/>
          <w:bCs w:val="0"/>
        </w:rPr>
        <w:t xml:space="preserve">Gameloft in a Nutshell: </w:t>
      </w:r>
      <w:r w:rsidRPr="00FF2E38">
        <w:rPr>
          <w:rFonts w:eastAsia="Times New Roman"/>
          <w:b w:val="0"/>
        </w:rPr>
        <w:t>Gameloft is a developer, publisher and distributer of games for mobile handsets (majority of sales) and other devices including set-top boxes, and smart TVs. The company’s products are a mix of own franchises (~60% of sales) and licensing deals (Marvel, Hasbro, Disney, Mattel, etc). Europe makes up 30% of sales (NA another 30%). The co’s games are available in 12 languages and 100 countries</w:t>
      </w:r>
      <w:r w:rsidRPr="00011697">
        <w:rPr>
          <w:b w:val="0"/>
        </w:rPr>
        <w:t xml:space="preserve">. </w:t>
      </w:r>
    </w:p>
    <w:p w:rsidR="00BC1D60" w:rsidRPr="00011697" w:rsidRDefault="00BC1D60" w:rsidP="00BC1D60">
      <w:pPr>
        <w:pStyle w:val="Heading3"/>
      </w:pPr>
      <w:r w:rsidRPr="00011697">
        <w:t>Price Perf vs MSCI All Country World Small Cap (rebased as of 1-yr ago):</w:t>
      </w:r>
    </w:p>
    <w:p w:rsidR="00BC1D60" w:rsidRPr="00011697" w:rsidRDefault="00BC1D60" w:rsidP="00BC1D60">
      <w:pPr>
        <w:pStyle w:val="Body"/>
        <w:spacing w:after="0"/>
        <w:rPr>
          <w:noProof/>
          <w:lang w:val="en-GB" w:eastAsia="en-GB"/>
        </w:rPr>
      </w:pPr>
      <w:r>
        <w:rPr>
          <w:noProof/>
        </w:rPr>
        <w:drawing>
          <wp:inline distT="0" distB="0" distL="0" distR="0">
            <wp:extent cx="4352290" cy="1664621"/>
            <wp:effectExtent l="19050" t="0" r="0" b="0"/>
            <wp:docPr id="1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srcRect/>
                    <a:stretch>
                      <a:fillRect/>
                    </a:stretch>
                  </pic:blipFill>
                  <pic:spPr bwMode="auto">
                    <a:xfrm>
                      <a:off x="0" y="0"/>
                      <a:ext cx="4352290" cy="1664621"/>
                    </a:xfrm>
                    <a:prstGeom prst="rect">
                      <a:avLst/>
                    </a:prstGeom>
                    <a:noFill/>
                    <a:ln w="9525">
                      <a:noFill/>
                      <a:miter lim="800000"/>
                      <a:headEnd/>
                      <a:tailEnd/>
                    </a:ln>
                  </pic:spPr>
                </pic:pic>
              </a:graphicData>
            </a:graphic>
          </wp:inline>
        </w:drawing>
      </w:r>
    </w:p>
    <w:p w:rsidR="00BC1D60" w:rsidRPr="00011697" w:rsidRDefault="00BC1D60" w:rsidP="00BC1D60">
      <w:pPr>
        <w:pStyle w:val="Source"/>
        <w:spacing w:before="0" w:after="80" w:line="240" w:lineRule="auto"/>
      </w:pPr>
      <w:r w:rsidRPr="00011697">
        <w:t>Source: Bloomberg</w:t>
      </w:r>
    </w:p>
    <w:p w:rsidR="00BC1D60" w:rsidRDefault="00BC1D60" w:rsidP="00BC1D60">
      <w:pPr>
        <w:pStyle w:val="Sidecomments"/>
        <w:framePr w:w="2853" w:hRule="auto" w:wrap="around" w:y="5"/>
      </w:pPr>
      <w:r w:rsidRPr="00FF1987">
        <w:t>J.P. Morgan Estimates</w:t>
      </w:r>
      <w:r w:rsidRPr="004F1ABB">
        <w:rPr>
          <w:highlight w:val="yellow"/>
        </w:rPr>
        <w:br/>
      </w:r>
      <w:r>
        <w:t>Gameloft SE (GLFT.PA;GFT FP)</w:t>
      </w:r>
    </w:p>
    <w:tbl>
      <w:tblPr>
        <w:tblW w:w="5000" w:type="pct"/>
        <w:tblCellMar>
          <w:left w:w="0" w:type="dxa"/>
          <w:right w:w="43" w:type="dxa"/>
        </w:tblCellMar>
        <w:tblLook w:val="01E0"/>
      </w:tblPr>
      <w:tblGrid>
        <w:gridCol w:w="2013"/>
        <w:gridCol w:w="1221"/>
        <w:gridCol w:w="1221"/>
        <w:gridCol w:w="1221"/>
        <w:gridCol w:w="1221"/>
      </w:tblGrid>
      <w:tr w:rsidR="00BC1D60" w:rsidTr="00BC5B38">
        <w:trPr>
          <w:cantSplit/>
        </w:trPr>
        <w:tc>
          <w:tcPr>
            <w:tcW w:w="2000" w:type="dxa"/>
            <w:tcBorders>
              <w:top w:val="single" w:sz="4" w:space="0" w:color="auto"/>
            </w:tcBorders>
          </w:tcPr>
          <w:p w:rsidR="00BC1D60" w:rsidRDefault="00BC1D60" w:rsidP="00BC5B38">
            <w:pPr>
              <w:pStyle w:val="ESTableRow"/>
              <w:keepNext/>
            </w:pPr>
            <w:r>
              <w:rPr>
                <w:b/>
              </w:rPr>
              <w:t>FYE Dec</w:t>
            </w:r>
          </w:p>
        </w:tc>
        <w:tc>
          <w:tcPr>
            <w:tcW w:w="1212" w:type="dxa"/>
            <w:tcBorders>
              <w:top w:val="single" w:sz="4" w:space="0" w:color="auto"/>
            </w:tcBorders>
          </w:tcPr>
          <w:p w:rsidR="00BC1D60" w:rsidRDefault="00BC1D60" w:rsidP="00BC5B38">
            <w:pPr>
              <w:pStyle w:val="ESTableRow"/>
              <w:keepNext/>
              <w:jc w:val="right"/>
            </w:pPr>
            <w:r>
              <w:rPr>
                <w:b/>
              </w:rPr>
              <w:t>2012A</w:t>
            </w:r>
          </w:p>
        </w:tc>
        <w:tc>
          <w:tcPr>
            <w:tcW w:w="1212" w:type="dxa"/>
            <w:tcBorders>
              <w:top w:val="single" w:sz="4" w:space="0" w:color="auto"/>
            </w:tcBorders>
          </w:tcPr>
          <w:p w:rsidR="00BC1D60" w:rsidRDefault="00BC1D60" w:rsidP="00BC5B38">
            <w:pPr>
              <w:pStyle w:val="ESTableRow"/>
              <w:keepNext/>
              <w:jc w:val="right"/>
            </w:pPr>
            <w:r>
              <w:rPr>
                <w:b/>
              </w:rPr>
              <w:t>2013E</w:t>
            </w:r>
          </w:p>
        </w:tc>
        <w:tc>
          <w:tcPr>
            <w:tcW w:w="1212" w:type="dxa"/>
            <w:tcBorders>
              <w:top w:val="single" w:sz="4" w:space="0" w:color="auto"/>
            </w:tcBorders>
          </w:tcPr>
          <w:p w:rsidR="00BC1D60" w:rsidRDefault="00BC1D60" w:rsidP="00BC5B38">
            <w:pPr>
              <w:pStyle w:val="ESTableRow"/>
              <w:keepNext/>
              <w:jc w:val="right"/>
            </w:pPr>
            <w:r>
              <w:rPr>
                <w:b/>
              </w:rPr>
              <w:t>2014E</w:t>
            </w:r>
          </w:p>
        </w:tc>
        <w:tc>
          <w:tcPr>
            <w:tcW w:w="1212" w:type="dxa"/>
            <w:tcBorders>
              <w:top w:val="single" w:sz="4" w:space="0" w:color="auto"/>
            </w:tcBorders>
          </w:tcPr>
          <w:p w:rsidR="00BC1D60" w:rsidRDefault="00BC1D60" w:rsidP="00BC5B38">
            <w:pPr>
              <w:pStyle w:val="ESTableRow"/>
              <w:keepNext/>
              <w:jc w:val="right"/>
            </w:pPr>
            <w:r>
              <w:rPr>
                <w:b/>
              </w:rPr>
              <w:t>2015E</w:t>
            </w:r>
          </w:p>
        </w:tc>
      </w:tr>
      <w:tr w:rsidR="00BC1D60" w:rsidTr="00BC5B38">
        <w:trPr>
          <w:cantSplit/>
        </w:trPr>
        <w:tc>
          <w:tcPr>
            <w:tcW w:w="2000" w:type="dxa"/>
            <w:tcBorders>
              <w:top w:val="single" w:sz="4" w:space="0" w:color="auto"/>
            </w:tcBorders>
          </w:tcPr>
          <w:p w:rsidR="00BC1D60" w:rsidRDefault="00BC1D60" w:rsidP="00BC5B38">
            <w:pPr>
              <w:pStyle w:val="ESTableRow"/>
              <w:keepNext/>
            </w:pPr>
            <w:r>
              <w:t>Adj. EPS FY (€)</w:t>
            </w:r>
          </w:p>
        </w:tc>
        <w:tc>
          <w:tcPr>
            <w:tcW w:w="1212" w:type="dxa"/>
            <w:tcBorders>
              <w:top w:val="single" w:sz="4" w:space="0" w:color="auto"/>
            </w:tcBorders>
          </w:tcPr>
          <w:p w:rsidR="00BC1D60" w:rsidRDefault="00BC1D60" w:rsidP="00BC5B38">
            <w:pPr>
              <w:pStyle w:val="ESTableRow"/>
              <w:keepNext/>
              <w:jc w:val="right"/>
            </w:pPr>
            <w:r>
              <w:t>0.16</w:t>
            </w:r>
          </w:p>
        </w:tc>
        <w:tc>
          <w:tcPr>
            <w:tcW w:w="1212" w:type="dxa"/>
            <w:tcBorders>
              <w:top w:val="single" w:sz="4" w:space="0" w:color="auto"/>
            </w:tcBorders>
          </w:tcPr>
          <w:p w:rsidR="00BC1D60" w:rsidRDefault="00BC1D60" w:rsidP="00BC5B38">
            <w:pPr>
              <w:pStyle w:val="ESTableRow"/>
              <w:keepNext/>
              <w:jc w:val="right"/>
            </w:pPr>
            <w:r>
              <w:t>0.19</w:t>
            </w:r>
          </w:p>
        </w:tc>
        <w:tc>
          <w:tcPr>
            <w:tcW w:w="1212" w:type="dxa"/>
            <w:tcBorders>
              <w:top w:val="single" w:sz="4" w:space="0" w:color="auto"/>
            </w:tcBorders>
          </w:tcPr>
          <w:p w:rsidR="00BC1D60" w:rsidRDefault="00BC1D60" w:rsidP="00BC5B38">
            <w:pPr>
              <w:pStyle w:val="ESTableRow"/>
              <w:keepNext/>
              <w:jc w:val="right"/>
            </w:pPr>
            <w:r>
              <w:t>0.35</w:t>
            </w:r>
          </w:p>
        </w:tc>
        <w:tc>
          <w:tcPr>
            <w:tcW w:w="1212" w:type="dxa"/>
            <w:tcBorders>
              <w:top w:val="single" w:sz="4" w:space="0" w:color="auto"/>
            </w:tcBorders>
          </w:tcPr>
          <w:p w:rsidR="00BC1D60" w:rsidRDefault="00BC1D60" w:rsidP="00BC5B38">
            <w:pPr>
              <w:pStyle w:val="ESTableRow"/>
              <w:keepNext/>
              <w:jc w:val="right"/>
            </w:pPr>
            <w:r>
              <w:t>0.57</w:t>
            </w:r>
          </w:p>
        </w:tc>
      </w:tr>
      <w:tr w:rsidR="00BC1D60" w:rsidTr="00BC5B38">
        <w:trPr>
          <w:cantSplit/>
        </w:trPr>
        <w:tc>
          <w:tcPr>
            <w:tcW w:w="2000" w:type="dxa"/>
          </w:tcPr>
          <w:p w:rsidR="00BC1D60" w:rsidRDefault="00BC1D60" w:rsidP="00BC5B38">
            <w:pPr>
              <w:pStyle w:val="ESTableRow"/>
              <w:keepNext/>
            </w:pPr>
            <w:r>
              <w:t>Revenue FY (€ mn)</w:t>
            </w:r>
          </w:p>
        </w:tc>
        <w:tc>
          <w:tcPr>
            <w:tcW w:w="1212" w:type="dxa"/>
          </w:tcPr>
          <w:p w:rsidR="00BC1D60" w:rsidRDefault="00BC1D60" w:rsidP="00BC5B38">
            <w:pPr>
              <w:pStyle w:val="ESTableRow"/>
              <w:keepNext/>
              <w:jc w:val="right"/>
            </w:pPr>
            <w:r>
              <w:t>208</w:t>
            </w:r>
          </w:p>
        </w:tc>
        <w:tc>
          <w:tcPr>
            <w:tcW w:w="1212" w:type="dxa"/>
          </w:tcPr>
          <w:p w:rsidR="00BC1D60" w:rsidRDefault="00BC1D60" w:rsidP="00BC5B38">
            <w:pPr>
              <w:pStyle w:val="ESTableRow"/>
              <w:keepNext/>
              <w:jc w:val="right"/>
            </w:pPr>
            <w:r>
              <w:t>233</w:t>
            </w:r>
          </w:p>
        </w:tc>
        <w:tc>
          <w:tcPr>
            <w:tcW w:w="1212" w:type="dxa"/>
          </w:tcPr>
          <w:p w:rsidR="00BC1D60" w:rsidRDefault="00BC1D60" w:rsidP="00BC5B38">
            <w:pPr>
              <w:pStyle w:val="ESTableRow"/>
              <w:keepNext/>
              <w:jc w:val="right"/>
            </w:pPr>
            <w:r>
              <w:t>272</w:t>
            </w:r>
          </w:p>
        </w:tc>
        <w:tc>
          <w:tcPr>
            <w:tcW w:w="1212" w:type="dxa"/>
          </w:tcPr>
          <w:p w:rsidR="00BC1D60" w:rsidRDefault="00BC1D60" w:rsidP="00BC5B38">
            <w:pPr>
              <w:pStyle w:val="ESTableRow"/>
              <w:keepNext/>
              <w:jc w:val="right"/>
            </w:pPr>
            <w:r>
              <w:t>323</w:t>
            </w:r>
          </w:p>
        </w:tc>
      </w:tr>
      <w:tr w:rsidR="00BC1D60" w:rsidTr="00BC5B38">
        <w:trPr>
          <w:cantSplit/>
        </w:trPr>
        <w:tc>
          <w:tcPr>
            <w:tcW w:w="2000" w:type="dxa"/>
          </w:tcPr>
          <w:p w:rsidR="00BC1D60" w:rsidRDefault="00BC1D60" w:rsidP="00BC5B38">
            <w:pPr>
              <w:pStyle w:val="ESTableRow"/>
              <w:keepNext/>
            </w:pPr>
            <w:r>
              <w:t>EBITDA FY (€ mn)</w:t>
            </w:r>
          </w:p>
        </w:tc>
        <w:tc>
          <w:tcPr>
            <w:tcW w:w="1212" w:type="dxa"/>
          </w:tcPr>
          <w:p w:rsidR="00BC1D60" w:rsidRDefault="00BC1D60" w:rsidP="00BC5B38">
            <w:pPr>
              <w:pStyle w:val="ESTableRow"/>
              <w:keepNext/>
              <w:jc w:val="right"/>
            </w:pPr>
            <w:r>
              <w:t>37</w:t>
            </w:r>
          </w:p>
        </w:tc>
        <w:tc>
          <w:tcPr>
            <w:tcW w:w="1212" w:type="dxa"/>
          </w:tcPr>
          <w:p w:rsidR="00BC1D60" w:rsidRDefault="00BC1D60" w:rsidP="00BC5B38">
            <w:pPr>
              <w:pStyle w:val="ESTableRow"/>
              <w:keepNext/>
              <w:jc w:val="right"/>
            </w:pPr>
            <w:r>
              <w:t>44</w:t>
            </w:r>
          </w:p>
        </w:tc>
        <w:tc>
          <w:tcPr>
            <w:tcW w:w="1212" w:type="dxa"/>
          </w:tcPr>
          <w:p w:rsidR="00BC1D60" w:rsidRDefault="00BC1D60" w:rsidP="00BC5B38">
            <w:pPr>
              <w:pStyle w:val="ESTableRow"/>
              <w:keepNext/>
              <w:jc w:val="right"/>
            </w:pPr>
            <w:r>
              <w:t>61</w:t>
            </w:r>
          </w:p>
        </w:tc>
        <w:tc>
          <w:tcPr>
            <w:tcW w:w="1212" w:type="dxa"/>
          </w:tcPr>
          <w:p w:rsidR="00BC1D60" w:rsidRDefault="00BC1D60" w:rsidP="00BC5B38">
            <w:pPr>
              <w:pStyle w:val="ESTableRow"/>
              <w:keepNext/>
              <w:jc w:val="right"/>
            </w:pPr>
            <w:r>
              <w:t>85</w:t>
            </w:r>
          </w:p>
        </w:tc>
      </w:tr>
      <w:tr w:rsidR="00BC1D60" w:rsidTr="00BC5B38">
        <w:trPr>
          <w:cantSplit/>
        </w:trPr>
        <w:tc>
          <w:tcPr>
            <w:tcW w:w="2000" w:type="dxa"/>
          </w:tcPr>
          <w:p w:rsidR="00BC1D60" w:rsidRDefault="00BC1D60" w:rsidP="00BC5B38">
            <w:pPr>
              <w:pStyle w:val="ESTableRow"/>
              <w:keepNext/>
            </w:pPr>
            <w:r>
              <w:t xml:space="preserve">EBITDA Margin FY </w:t>
            </w:r>
          </w:p>
        </w:tc>
        <w:tc>
          <w:tcPr>
            <w:tcW w:w="1212" w:type="dxa"/>
          </w:tcPr>
          <w:p w:rsidR="00BC1D60" w:rsidRDefault="00BC1D60" w:rsidP="00BC5B38">
            <w:pPr>
              <w:pStyle w:val="ESTableRow"/>
              <w:keepNext/>
              <w:jc w:val="right"/>
            </w:pPr>
            <w:r>
              <w:t>17.7%</w:t>
            </w:r>
          </w:p>
        </w:tc>
        <w:tc>
          <w:tcPr>
            <w:tcW w:w="1212" w:type="dxa"/>
          </w:tcPr>
          <w:p w:rsidR="00BC1D60" w:rsidRDefault="00BC1D60" w:rsidP="00BC5B38">
            <w:pPr>
              <w:pStyle w:val="ESTableRow"/>
              <w:keepNext/>
              <w:jc w:val="right"/>
            </w:pPr>
            <w:r>
              <w:t>19.0%</w:t>
            </w:r>
          </w:p>
        </w:tc>
        <w:tc>
          <w:tcPr>
            <w:tcW w:w="1212" w:type="dxa"/>
          </w:tcPr>
          <w:p w:rsidR="00BC1D60" w:rsidRDefault="00BC1D60" w:rsidP="00BC5B38">
            <w:pPr>
              <w:pStyle w:val="ESTableRow"/>
              <w:keepNext/>
              <w:jc w:val="right"/>
            </w:pPr>
            <w:r>
              <w:t>22.6%</w:t>
            </w:r>
          </w:p>
        </w:tc>
        <w:tc>
          <w:tcPr>
            <w:tcW w:w="1212" w:type="dxa"/>
          </w:tcPr>
          <w:p w:rsidR="00BC1D60" w:rsidRDefault="00BC1D60" w:rsidP="00BC5B38">
            <w:pPr>
              <w:pStyle w:val="ESTableRow"/>
              <w:keepNext/>
              <w:jc w:val="right"/>
            </w:pPr>
            <w:r>
              <w:t>26.4%</w:t>
            </w:r>
          </w:p>
        </w:tc>
      </w:tr>
      <w:tr w:rsidR="00BC1D60" w:rsidTr="00BC5B38">
        <w:trPr>
          <w:cantSplit/>
        </w:trPr>
        <w:tc>
          <w:tcPr>
            <w:tcW w:w="2000" w:type="dxa"/>
          </w:tcPr>
          <w:p w:rsidR="00BC1D60" w:rsidRDefault="00BC1D60" w:rsidP="00BC5B38">
            <w:pPr>
              <w:pStyle w:val="ESTableRow"/>
              <w:keepNext/>
            </w:pPr>
            <w:r>
              <w:t>EBITA (Calc) FY (€ mn)</w:t>
            </w:r>
          </w:p>
        </w:tc>
        <w:tc>
          <w:tcPr>
            <w:tcW w:w="1212" w:type="dxa"/>
          </w:tcPr>
          <w:p w:rsidR="00BC1D60" w:rsidRDefault="00BC1D60" w:rsidP="00BC5B38">
            <w:pPr>
              <w:pStyle w:val="ESTableRow"/>
              <w:keepNext/>
              <w:jc w:val="right"/>
            </w:pPr>
            <w:r>
              <w:t>20</w:t>
            </w:r>
          </w:p>
        </w:tc>
        <w:tc>
          <w:tcPr>
            <w:tcW w:w="1212" w:type="dxa"/>
          </w:tcPr>
          <w:p w:rsidR="00BC1D60" w:rsidRDefault="00BC1D60" w:rsidP="00BC5B38">
            <w:pPr>
              <w:pStyle w:val="ESTableRow"/>
              <w:keepNext/>
              <w:jc w:val="right"/>
            </w:pPr>
            <w:r>
              <w:t>28</w:t>
            </w:r>
          </w:p>
        </w:tc>
        <w:tc>
          <w:tcPr>
            <w:tcW w:w="1212" w:type="dxa"/>
          </w:tcPr>
          <w:p w:rsidR="00BC1D60" w:rsidRDefault="00BC1D60" w:rsidP="00BC5B38">
            <w:pPr>
              <w:pStyle w:val="ESTableRow"/>
              <w:keepNext/>
              <w:jc w:val="right"/>
            </w:pPr>
            <w:r>
              <w:t>45</w:t>
            </w:r>
          </w:p>
        </w:tc>
        <w:tc>
          <w:tcPr>
            <w:tcW w:w="1212" w:type="dxa"/>
          </w:tcPr>
          <w:p w:rsidR="00BC1D60" w:rsidRDefault="00BC1D60" w:rsidP="00BC5B38">
            <w:pPr>
              <w:pStyle w:val="ESTableRow"/>
              <w:keepNext/>
              <w:jc w:val="right"/>
            </w:pPr>
            <w:r>
              <w:t>69</w:t>
            </w:r>
          </w:p>
        </w:tc>
      </w:tr>
      <w:tr w:rsidR="00BC1D60" w:rsidTr="00BC5B38">
        <w:trPr>
          <w:cantSplit/>
        </w:trPr>
        <w:tc>
          <w:tcPr>
            <w:tcW w:w="2000" w:type="dxa"/>
          </w:tcPr>
          <w:p w:rsidR="00BC1D60" w:rsidRDefault="00BC1D60" w:rsidP="00BC5B38">
            <w:pPr>
              <w:pStyle w:val="ESTableRow"/>
              <w:keepNext/>
            </w:pPr>
            <w:r>
              <w:t xml:space="preserve">Adj P/E FY </w:t>
            </w:r>
          </w:p>
        </w:tc>
        <w:tc>
          <w:tcPr>
            <w:tcW w:w="1212" w:type="dxa"/>
          </w:tcPr>
          <w:p w:rsidR="00BC1D60" w:rsidRDefault="00BC1D60" w:rsidP="00BC5B38">
            <w:pPr>
              <w:pStyle w:val="ESTableRow"/>
              <w:keepNext/>
              <w:jc w:val="right"/>
            </w:pPr>
            <w:r>
              <w:t>40.4</w:t>
            </w:r>
          </w:p>
        </w:tc>
        <w:tc>
          <w:tcPr>
            <w:tcW w:w="1212" w:type="dxa"/>
          </w:tcPr>
          <w:p w:rsidR="00BC1D60" w:rsidRDefault="00BC1D60" w:rsidP="00BC5B38">
            <w:pPr>
              <w:pStyle w:val="ESTableRow"/>
              <w:keepNext/>
              <w:jc w:val="right"/>
            </w:pPr>
            <w:r>
              <w:t>34.1</w:t>
            </w:r>
          </w:p>
        </w:tc>
        <w:tc>
          <w:tcPr>
            <w:tcW w:w="1212" w:type="dxa"/>
          </w:tcPr>
          <w:p w:rsidR="00BC1D60" w:rsidRDefault="00BC1D60" w:rsidP="00BC5B38">
            <w:pPr>
              <w:pStyle w:val="ESTableRow"/>
              <w:keepNext/>
              <w:jc w:val="right"/>
            </w:pPr>
            <w:r>
              <w:t>18.7</w:t>
            </w:r>
          </w:p>
        </w:tc>
        <w:tc>
          <w:tcPr>
            <w:tcW w:w="1212" w:type="dxa"/>
          </w:tcPr>
          <w:p w:rsidR="00BC1D60" w:rsidRDefault="00BC1D60" w:rsidP="00BC5B38">
            <w:pPr>
              <w:pStyle w:val="ESTableRow"/>
              <w:keepNext/>
              <w:jc w:val="right"/>
            </w:pPr>
            <w:r>
              <w:t>11.6</w:t>
            </w:r>
          </w:p>
        </w:tc>
      </w:tr>
      <w:tr w:rsidR="00BC1D60" w:rsidTr="00BC5B38">
        <w:trPr>
          <w:cantSplit/>
        </w:trPr>
        <w:tc>
          <w:tcPr>
            <w:tcW w:w="2000" w:type="dxa"/>
          </w:tcPr>
          <w:p w:rsidR="00BC1D60" w:rsidRDefault="00BC1D60" w:rsidP="00BC5B38">
            <w:pPr>
              <w:pStyle w:val="ESTableRow"/>
              <w:keepNext/>
            </w:pPr>
            <w:r>
              <w:t>Net Income adjusted FY (€ mn)</w:t>
            </w:r>
          </w:p>
        </w:tc>
        <w:tc>
          <w:tcPr>
            <w:tcW w:w="1212" w:type="dxa"/>
          </w:tcPr>
          <w:p w:rsidR="00BC1D60" w:rsidRDefault="00BC1D60" w:rsidP="00BC5B38">
            <w:pPr>
              <w:pStyle w:val="ESTableRow"/>
              <w:keepNext/>
              <w:jc w:val="right"/>
            </w:pPr>
            <w:r>
              <w:t>13</w:t>
            </w:r>
          </w:p>
        </w:tc>
        <w:tc>
          <w:tcPr>
            <w:tcW w:w="1212" w:type="dxa"/>
          </w:tcPr>
          <w:p w:rsidR="00BC1D60" w:rsidRDefault="00BC1D60" w:rsidP="00BC5B38">
            <w:pPr>
              <w:pStyle w:val="ESTableRow"/>
              <w:keepNext/>
              <w:jc w:val="right"/>
            </w:pPr>
            <w:r>
              <w:t>17</w:t>
            </w:r>
          </w:p>
        </w:tc>
        <w:tc>
          <w:tcPr>
            <w:tcW w:w="1212" w:type="dxa"/>
          </w:tcPr>
          <w:p w:rsidR="00BC1D60" w:rsidRDefault="00BC1D60" w:rsidP="00BC5B38">
            <w:pPr>
              <w:pStyle w:val="ESTableRow"/>
              <w:keepNext/>
              <w:jc w:val="right"/>
            </w:pPr>
            <w:r>
              <w:t>30</w:t>
            </w:r>
          </w:p>
        </w:tc>
        <w:tc>
          <w:tcPr>
            <w:tcW w:w="1212" w:type="dxa"/>
          </w:tcPr>
          <w:p w:rsidR="00BC1D60" w:rsidRDefault="00BC1D60" w:rsidP="00BC5B38">
            <w:pPr>
              <w:pStyle w:val="ESTableRow"/>
              <w:keepNext/>
              <w:jc w:val="right"/>
            </w:pPr>
            <w:r>
              <w:t>49</w:t>
            </w:r>
          </w:p>
        </w:tc>
      </w:tr>
      <w:tr w:rsidR="00BC1D60" w:rsidTr="00BC5B38">
        <w:trPr>
          <w:cantSplit/>
        </w:trPr>
        <w:tc>
          <w:tcPr>
            <w:tcW w:w="2000" w:type="dxa"/>
            <w:tcBorders>
              <w:bottom w:val="single" w:sz="4" w:space="0" w:color="auto"/>
            </w:tcBorders>
          </w:tcPr>
          <w:p w:rsidR="00BC1D60" w:rsidRDefault="00BC1D60" w:rsidP="00BC5B38">
            <w:pPr>
              <w:pStyle w:val="ESTableRow"/>
              <w:keepNext/>
            </w:pPr>
            <w:r>
              <w:t>Bloomberg EPS FY (€)</w:t>
            </w:r>
          </w:p>
        </w:tc>
        <w:tc>
          <w:tcPr>
            <w:tcW w:w="1212" w:type="dxa"/>
            <w:tcBorders>
              <w:bottom w:val="single" w:sz="4" w:space="0" w:color="auto"/>
            </w:tcBorders>
          </w:tcPr>
          <w:p w:rsidR="00BC1D60" w:rsidRDefault="00BC1D60" w:rsidP="00BC5B38">
            <w:pPr>
              <w:pStyle w:val="ESTableRow"/>
              <w:keepNext/>
              <w:jc w:val="right"/>
            </w:pPr>
            <w:r>
              <w:t>0.20</w:t>
            </w:r>
          </w:p>
        </w:tc>
        <w:tc>
          <w:tcPr>
            <w:tcW w:w="1212" w:type="dxa"/>
            <w:tcBorders>
              <w:bottom w:val="single" w:sz="4" w:space="0" w:color="auto"/>
            </w:tcBorders>
          </w:tcPr>
          <w:p w:rsidR="00BC1D60" w:rsidRDefault="00BC1D60" w:rsidP="00BC5B38">
            <w:pPr>
              <w:pStyle w:val="ESTableRow"/>
              <w:keepNext/>
              <w:jc w:val="right"/>
            </w:pPr>
            <w:r>
              <w:t>0.16</w:t>
            </w:r>
          </w:p>
        </w:tc>
        <w:tc>
          <w:tcPr>
            <w:tcW w:w="1212" w:type="dxa"/>
            <w:tcBorders>
              <w:bottom w:val="single" w:sz="4" w:space="0" w:color="auto"/>
            </w:tcBorders>
          </w:tcPr>
          <w:p w:rsidR="00BC1D60" w:rsidRDefault="00BC1D60" w:rsidP="00BC5B38">
            <w:pPr>
              <w:pStyle w:val="ESTableRow"/>
              <w:keepNext/>
              <w:jc w:val="right"/>
            </w:pPr>
            <w:r>
              <w:t>0.25</w:t>
            </w:r>
          </w:p>
        </w:tc>
        <w:tc>
          <w:tcPr>
            <w:tcW w:w="1212" w:type="dxa"/>
            <w:tcBorders>
              <w:bottom w:val="single" w:sz="4" w:space="0" w:color="auto"/>
            </w:tcBorders>
          </w:tcPr>
          <w:p w:rsidR="00BC1D60" w:rsidRDefault="00BC1D60" w:rsidP="00BC5B38">
            <w:pPr>
              <w:pStyle w:val="ESTableRow"/>
              <w:keepNext/>
              <w:jc w:val="right"/>
            </w:pPr>
            <w:r>
              <w:t>0.35</w:t>
            </w:r>
          </w:p>
        </w:tc>
      </w:tr>
    </w:tbl>
    <w:p w:rsidR="00BC1D60" w:rsidRPr="004F1ABB" w:rsidRDefault="00BC1D60" w:rsidP="00BC1D60">
      <w:pPr>
        <w:pStyle w:val="Source"/>
      </w:pPr>
      <w:r>
        <w:t>Source: Company data, Bloomberg, J.P. Morgan estimates</w:t>
      </w:r>
    </w:p>
    <w:p w:rsidR="00BC1D60" w:rsidRDefault="00BC1D60" w:rsidP="00BC1D60">
      <w:pPr>
        <w:pStyle w:val="Source"/>
        <w:rPr>
          <w:highlight w:val="yellow"/>
        </w:rPr>
      </w:pPr>
      <w:r w:rsidRPr="004F1ABB">
        <w:rPr>
          <w:highlight w:val="yellow"/>
        </w:rPr>
        <w:br w:type="page"/>
      </w:r>
    </w:p>
    <w:p w:rsidR="00BC1D60" w:rsidRPr="00053456" w:rsidRDefault="00BC1D60" w:rsidP="00BC1D60">
      <w:pPr>
        <w:pStyle w:val="Body"/>
        <w:rPr>
          <w:highlight w:val="yellow"/>
        </w:rPr>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F7136B" w:rsidTr="00BC5B38">
        <w:tc>
          <w:tcPr>
            <w:tcW w:w="10604" w:type="dxa"/>
            <w:gridSpan w:val="3"/>
            <w:shd w:val="clear" w:color="auto" w:fill="auto"/>
          </w:tcPr>
          <w:p w:rsidR="00BC1D60" w:rsidRPr="00F7136B" w:rsidRDefault="00BC1D60" w:rsidP="00BC5B38">
            <w:pPr>
              <w:pStyle w:val="Heading1-NoTOC"/>
            </w:pPr>
            <w:bookmarkStart w:id="196" w:name="_Toc360569113"/>
            <w:bookmarkStart w:id="197" w:name="_Toc360569897"/>
            <w:bookmarkStart w:id="198" w:name="_Toc368054120"/>
            <w:bookmarkStart w:id="199" w:name="_Toc368081345"/>
            <w:bookmarkStart w:id="200" w:name="_Toc376756081"/>
            <w:bookmarkStart w:id="201" w:name="_Toc376801404"/>
            <w:bookmarkStart w:id="202" w:name="_Toc376802066"/>
            <w:bookmarkStart w:id="203" w:name="_Toc384044971"/>
            <w:bookmarkStart w:id="204" w:name="_Toc384135995"/>
            <w:bookmarkStart w:id="205" w:name="_Toc384136962"/>
            <w:bookmarkStart w:id="206" w:name="_Toc392016357"/>
            <w:bookmarkStart w:id="207" w:name="_Toc392099075"/>
            <w:r w:rsidRPr="00F7136B">
              <w:t>Getting to know our SMid Analysts…</w:t>
            </w:r>
            <w:bookmarkEnd w:id="196"/>
            <w:bookmarkEnd w:id="197"/>
            <w:bookmarkEnd w:id="198"/>
            <w:bookmarkEnd w:id="199"/>
            <w:bookmarkEnd w:id="200"/>
            <w:bookmarkEnd w:id="201"/>
            <w:bookmarkEnd w:id="202"/>
            <w:bookmarkEnd w:id="203"/>
            <w:bookmarkEnd w:id="204"/>
            <w:bookmarkEnd w:id="205"/>
            <w:bookmarkEnd w:id="206"/>
            <w:bookmarkEnd w:id="207"/>
          </w:p>
        </w:tc>
      </w:tr>
      <w:tr w:rsidR="00BC1D60" w:rsidRPr="00F7136B" w:rsidTr="00BC5B38">
        <w:trPr>
          <w:trHeight w:val="3427"/>
        </w:trPr>
        <w:tc>
          <w:tcPr>
            <w:tcW w:w="2666" w:type="dxa"/>
            <w:shd w:val="clear" w:color="auto" w:fill="auto"/>
          </w:tcPr>
          <w:p w:rsidR="00BC1D60" w:rsidRPr="00F7136B" w:rsidRDefault="00BC1D60" w:rsidP="00BC5B38">
            <w:pPr>
              <w:pStyle w:val="Body"/>
              <w:spacing w:after="120"/>
            </w:pPr>
            <w:r w:rsidRPr="00F7136B">
              <w:rPr>
                <w:noProof/>
              </w:rPr>
              <w:drawing>
                <wp:inline distT="0" distB="0" distL="0" distR="0">
                  <wp:extent cx="1586467" cy="1721302"/>
                  <wp:effectExtent l="19050" t="0" r="0" b="0"/>
                  <wp:docPr id="159" name="Picture 6" descr="Mark O'Donn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k O'Donnell"/>
                          <pic:cNvPicPr>
                            <a:picLocks noChangeAspect="1" noChangeArrowheads="1"/>
                          </pic:cNvPicPr>
                        </pic:nvPicPr>
                        <pic:blipFill>
                          <a:blip r:embed="rId88"/>
                          <a:srcRect l="20977" r="21689"/>
                          <a:stretch>
                            <a:fillRect/>
                          </a:stretch>
                        </pic:blipFill>
                        <pic:spPr bwMode="auto">
                          <a:xfrm>
                            <a:off x="0" y="0"/>
                            <a:ext cx="1586467" cy="1721302"/>
                          </a:xfrm>
                          <a:prstGeom prst="rect">
                            <a:avLst/>
                          </a:prstGeom>
                          <a:noFill/>
                          <a:ln w="9525">
                            <a:noFill/>
                            <a:miter lim="800000"/>
                            <a:headEnd/>
                            <a:tailEnd/>
                          </a:ln>
                        </pic:spPr>
                      </pic:pic>
                    </a:graphicData>
                  </a:graphic>
                </wp:inline>
              </w:drawing>
            </w:r>
          </w:p>
        </w:tc>
        <w:tc>
          <w:tcPr>
            <w:tcW w:w="3544" w:type="dxa"/>
            <w:shd w:val="clear" w:color="auto" w:fill="auto"/>
          </w:tcPr>
          <w:p w:rsidR="00BC1D60" w:rsidRPr="00F7136B" w:rsidRDefault="00BC1D60" w:rsidP="00BC5B38">
            <w:pPr>
              <w:pStyle w:val="Heading2"/>
              <w:outlineLvl w:val="1"/>
              <w:rPr>
                <w:lang w:val="es-ES_tradnl"/>
              </w:rPr>
            </w:pPr>
            <w:r w:rsidRPr="00F7136B">
              <w:rPr>
                <w:lang w:val="es-ES_tradnl"/>
              </w:rPr>
              <w:t>Mark O’Donnell</w:t>
            </w:r>
          </w:p>
          <w:p w:rsidR="00BC1D60" w:rsidRPr="00F7136B" w:rsidRDefault="003B051F" w:rsidP="00BC5B38">
            <w:pPr>
              <w:pStyle w:val="Body"/>
              <w:spacing w:after="120"/>
              <w:rPr>
                <w:rFonts w:ascii="Arial Narrow" w:hAnsi="Arial Narrow"/>
                <w:lang w:val="es-ES_tradnl"/>
              </w:rPr>
            </w:pPr>
            <w:hyperlink r:id="rId89" w:history="1">
              <w:r w:rsidR="00BC1D60" w:rsidRPr="00F7136B">
                <w:rPr>
                  <w:rStyle w:val="Hyperlink"/>
                  <w:rFonts w:ascii="Arial Narrow" w:hAnsi="Arial Narrow"/>
                  <w:lang w:val="es-ES_tradnl"/>
                </w:rPr>
                <w:t>mark.x.odonnell@jpmorgan.com</w:t>
              </w:r>
            </w:hyperlink>
          </w:p>
          <w:p w:rsidR="00BC1D60" w:rsidRPr="00F7136B" w:rsidRDefault="00BC1D60" w:rsidP="00BC5B38">
            <w:pPr>
              <w:pStyle w:val="Body"/>
              <w:spacing w:after="120"/>
              <w:rPr>
                <w:rFonts w:ascii="Arial Narrow" w:hAnsi="Arial Narrow"/>
                <w:lang w:val="es-ES_tradnl"/>
              </w:rPr>
            </w:pPr>
            <w:r w:rsidRPr="00F7136B">
              <w:rPr>
                <w:rFonts w:ascii="Arial Narrow" w:hAnsi="Arial Narrow"/>
                <w:lang w:val="es-ES_tradnl"/>
              </w:rPr>
              <w:t>(44-20) 7134-4853</w:t>
            </w:r>
          </w:p>
          <w:p w:rsidR="00BC1D60" w:rsidRPr="00F7136B" w:rsidRDefault="00BC1D60" w:rsidP="00BC5B38">
            <w:pPr>
              <w:pStyle w:val="Body"/>
              <w:spacing w:after="120"/>
              <w:rPr>
                <w:rFonts w:ascii="Arial Narrow" w:hAnsi="Arial Narrow"/>
                <w:lang w:val="es-ES_tradnl"/>
              </w:rPr>
            </w:pPr>
          </w:p>
          <w:p w:rsidR="00BC1D60" w:rsidRPr="00F7136B" w:rsidRDefault="00BC1D60" w:rsidP="00BC5B38">
            <w:pPr>
              <w:pStyle w:val="Body"/>
              <w:spacing w:after="120"/>
              <w:rPr>
                <w:rFonts w:ascii="Arial Narrow" w:hAnsi="Arial Narrow"/>
                <w:lang w:val="es-ES_tradnl"/>
              </w:rPr>
            </w:pPr>
            <w:r w:rsidRPr="00F7136B">
              <w:rPr>
                <w:rFonts w:ascii="Arial Narrow" w:hAnsi="Arial Narrow"/>
                <w:b/>
                <w:lang w:val="es-ES_tradnl"/>
              </w:rPr>
              <w:t>Region:</w:t>
            </w:r>
            <w:r w:rsidRPr="00F7136B">
              <w:rPr>
                <w:rFonts w:ascii="Arial Narrow" w:hAnsi="Arial Narrow"/>
                <w:lang w:val="es-ES_tradnl"/>
              </w:rPr>
              <w:t xml:space="preserve"> W. Europe</w:t>
            </w:r>
          </w:p>
          <w:p w:rsidR="00BC1D60" w:rsidRPr="00F7136B" w:rsidRDefault="00BC1D60" w:rsidP="00BC5B38">
            <w:pPr>
              <w:pStyle w:val="Body"/>
              <w:spacing w:after="120"/>
              <w:rPr>
                <w:rFonts w:ascii="Arial Narrow" w:hAnsi="Arial Narrow"/>
                <w:lang w:val="es-ES_tradnl"/>
              </w:rPr>
            </w:pPr>
            <w:r w:rsidRPr="00F7136B">
              <w:rPr>
                <w:rFonts w:ascii="Arial Narrow" w:hAnsi="Arial Narrow"/>
                <w:b/>
                <w:lang w:val="es-ES_tradnl"/>
              </w:rPr>
              <w:t>Sector:</w:t>
            </w:r>
            <w:r w:rsidRPr="00F7136B">
              <w:rPr>
                <w:rFonts w:ascii="Arial Narrow" w:hAnsi="Arial Narrow"/>
                <w:lang w:val="es-ES_tradnl"/>
              </w:rPr>
              <w:t xml:space="preserve"> </w:t>
            </w:r>
            <w:r w:rsidRPr="00F7136B">
              <w:rPr>
                <w:rFonts w:ascii="Arial Narrow" w:hAnsi="Arial Narrow"/>
                <w:bCs/>
                <w:lang w:val="es-ES_tradnl"/>
              </w:rPr>
              <w:t>Media &amp; Internet</w:t>
            </w:r>
          </w:p>
          <w:p w:rsidR="00BC1D60" w:rsidRPr="00F7136B" w:rsidRDefault="00BC1D60" w:rsidP="00BC5B38">
            <w:pPr>
              <w:pStyle w:val="Body"/>
              <w:rPr>
                <w:lang w:val="es-ES_tradnl"/>
              </w:rPr>
            </w:pPr>
          </w:p>
        </w:tc>
        <w:tc>
          <w:tcPr>
            <w:tcW w:w="4394" w:type="dxa"/>
            <w:shd w:val="clear" w:color="auto" w:fill="auto"/>
          </w:tcPr>
          <w:p w:rsidR="00BC1D60" w:rsidRPr="00F7136B" w:rsidRDefault="00BC1D60" w:rsidP="00BC5B38">
            <w:pPr>
              <w:pStyle w:val="Body"/>
              <w:jc w:val="right"/>
            </w:pPr>
            <w:r w:rsidRPr="00F7136B">
              <w:rPr>
                <w:noProof/>
              </w:rPr>
              <w:drawing>
                <wp:inline distT="0" distB="0" distL="0" distR="0">
                  <wp:extent cx="2505456" cy="1856561"/>
                  <wp:effectExtent l="19050" t="0" r="9144" b="0"/>
                  <wp:docPr id="8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srcRect/>
                          <a:stretch>
                            <a:fillRect/>
                          </a:stretch>
                        </pic:blipFill>
                        <pic:spPr bwMode="auto">
                          <a:xfrm>
                            <a:off x="0" y="0"/>
                            <a:ext cx="2505456" cy="1856561"/>
                          </a:xfrm>
                          <a:prstGeom prst="rect">
                            <a:avLst/>
                          </a:prstGeom>
                          <a:noFill/>
                          <a:ln w="9525">
                            <a:noFill/>
                            <a:miter lim="800000"/>
                            <a:headEnd/>
                            <a:tailEnd/>
                          </a:ln>
                        </pic:spPr>
                      </pic:pic>
                    </a:graphicData>
                  </a:graphic>
                </wp:inline>
              </w:drawing>
            </w:r>
            <w:r w:rsidRPr="00F7136B">
              <w:t xml:space="preserve"> </w:t>
            </w:r>
          </w:p>
        </w:tc>
      </w:tr>
    </w:tbl>
    <w:p w:rsidR="00BC1D60" w:rsidRPr="00F7136B" w:rsidRDefault="00BC1D60" w:rsidP="00BC1D60">
      <w:pPr>
        <w:pStyle w:val="Source"/>
        <w:spacing w:before="0"/>
        <w:ind w:left="-3124" w:hanging="137"/>
      </w:pPr>
      <w:r w:rsidRPr="00F7136B">
        <w:rPr>
          <w:noProof/>
        </w:rPr>
        <w:drawing>
          <wp:inline distT="0" distB="0" distL="0" distR="0">
            <wp:extent cx="6702552" cy="1994633"/>
            <wp:effectExtent l="19050" t="0" r="3048" b="0"/>
            <wp:docPr id="8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a:srcRect/>
                    <a:stretch>
                      <a:fillRect/>
                    </a:stretch>
                  </pic:blipFill>
                  <pic:spPr bwMode="auto">
                    <a:xfrm>
                      <a:off x="0" y="0"/>
                      <a:ext cx="6702552" cy="1994633"/>
                    </a:xfrm>
                    <a:prstGeom prst="rect">
                      <a:avLst/>
                    </a:prstGeom>
                    <a:noFill/>
                    <a:ln w="9525">
                      <a:noFill/>
                      <a:miter lim="800000"/>
                      <a:headEnd/>
                      <a:tailEnd/>
                    </a:ln>
                  </pic:spPr>
                </pic:pic>
              </a:graphicData>
            </a:graphic>
          </wp:inline>
        </w:drawing>
      </w:r>
      <w:r>
        <w:t xml:space="preserve"> </w:t>
      </w:r>
      <w:r w:rsidRPr="00F7136B">
        <w:t>Source: Bloomberg, Datastream, Factset, J.P. Morgan</w:t>
      </w:r>
      <w:r w:rsidRPr="00F7136B">
        <w:br/>
      </w:r>
      <w:r w:rsidRPr="0087013D">
        <w:t>Prices as of 24 June 2014</w:t>
      </w:r>
    </w:p>
    <w:p w:rsidR="00BC1D60" w:rsidRPr="004F1ABB" w:rsidRDefault="00BC1D60" w:rsidP="00BC1D60">
      <w:pPr>
        <w:pStyle w:val="Sidecomments"/>
        <w:framePr w:w="2853" w:hRule="auto" w:wrap="around" w:y="5"/>
        <w:rPr>
          <w:highlight w:val="yellow"/>
        </w:rPr>
      </w:pPr>
      <w:r w:rsidRPr="004F1ABB">
        <w:rPr>
          <w:highlight w:val="yellow"/>
        </w:rPr>
        <w:lastRenderedPageBreak/>
        <w:br/>
      </w:r>
      <w:r w:rsidRPr="003B2474">
        <w:rPr>
          <w:noProof/>
        </w:rPr>
        <w:drawing>
          <wp:inline distT="0" distB="0" distL="0" distR="0">
            <wp:extent cx="1737360" cy="7726680"/>
            <wp:effectExtent l="19050" t="0" r="0" b="0"/>
            <wp:docPr id="866"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2"/>
                    <a:srcRect/>
                    <a:stretch>
                      <a:fillRect/>
                    </a:stretch>
                  </pic:blipFill>
                  <pic:spPr bwMode="auto">
                    <a:xfrm>
                      <a:off x="0" y="0"/>
                      <a:ext cx="1737360" cy="7726680"/>
                    </a:xfrm>
                    <a:prstGeom prst="rect">
                      <a:avLst/>
                    </a:prstGeom>
                    <a:noFill/>
                    <a:ln w="9525">
                      <a:noFill/>
                      <a:miter lim="800000"/>
                      <a:headEnd/>
                      <a:tailEnd/>
                    </a:ln>
                  </pic:spPr>
                </pic:pic>
              </a:graphicData>
            </a:graphic>
          </wp:inline>
        </w:drawing>
      </w:r>
    </w:p>
    <w:p w:rsidR="00BC1D60" w:rsidRPr="003B2474" w:rsidRDefault="00BC1D60" w:rsidP="00BC1D60">
      <w:pPr>
        <w:pStyle w:val="Heading1"/>
        <w:spacing w:before="240" w:after="80"/>
      </w:pPr>
      <w:bookmarkStart w:id="208" w:name="_Toc392099076"/>
      <w:bookmarkStart w:id="209" w:name="_Toc392081814"/>
      <w:bookmarkStart w:id="210" w:name="_Toc392081877"/>
      <w:r w:rsidRPr="003B2474">
        <w:t>Gem Diamonds (GEMD LN/OW/GBp143)</w:t>
      </w:r>
      <w:bookmarkEnd w:id="208"/>
      <w:bookmarkEnd w:id="209"/>
      <w:bookmarkEnd w:id="210"/>
    </w:p>
    <w:p w:rsidR="00BC1D60" w:rsidRPr="00BA7220" w:rsidRDefault="00BC1D60" w:rsidP="00BC1D60">
      <w:pPr>
        <w:pStyle w:val="Heading2"/>
        <w:spacing w:after="80"/>
        <w:rPr>
          <w:i/>
        </w:rPr>
      </w:pPr>
      <w:r w:rsidRPr="00B27A19">
        <w:rPr>
          <w:i/>
        </w:rPr>
        <w:t xml:space="preserve">A </w:t>
      </w:r>
      <w:r>
        <w:rPr>
          <w:i/>
        </w:rPr>
        <w:t xml:space="preserve">relatively </w:t>
      </w:r>
      <w:r w:rsidRPr="00B27A19">
        <w:rPr>
          <w:i/>
        </w:rPr>
        <w:t>safe play on positive outlook for diamonds</w:t>
      </w:r>
    </w:p>
    <w:p w:rsidR="00BC1D60" w:rsidRPr="00BA7220" w:rsidRDefault="00BC1D60" w:rsidP="00BC1D60">
      <w:pPr>
        <w:pStyle w:val="Heading3"/>
        <w:spacing w:after="0" w:line="220" w:lineRule="exact"/>
        <w:rPr>
          <w:rFonts w:eastAsia="Times New Roman"/>
        </w:rPr>
      </w:pPr>
      <w:r w:rsidRPr="00BA7220">
        <w:rPr>
          <w:rFonts w:eastAsia="Times New Roman"/>
        </w:rPr>
        <w:t>Investment Highlights:</w:t>
      </w:r>
    </w:p>
    <w:p w:rsidR="00BC1D60" w:rsidRPr="00BA7220" w:rsidRDefault="00BC1D60" w:rsidP="00BC1D60">
      <w:pPr>
        <w:pStyle w:val="Bullet"/>
        <w:spacing w:after="40" w:line="220" w:lineRule="exact"/>
      </w:pPr>
      <w:r w:rsidRPr="00BB6DC4">
        <w:rPr>
          <w:b/>
        </w:rPr>
        <w:t xml:space="preserve">Q1 production &amp; pricing solid: </w:t>
      </w:r>
      <w:r w:rsidRPr="00BA7220">
        <w:t>Letseng</w:t>
      </w:r>
      <w:r>
        <w:t xml:space="preserve"> is</w:t>
      </w:r>
      <w:r w:rsidRPr="00BA7220">
        <w:t xml:space="preserve"> tracking at 28% of our full</w:t>
      </w:r>
      <w:r>
        <w:t>-</w:t>
      </w:r>
      <w:r w:rsidRPr="00BA7220">
        <w:t xml:space="preserve">year ’14 </w:t>
      </w:r>
      <w:r>
        <w:t>est</w:t>
      </w:r>
      <w:r w:rsidRPr="00BA7220">
        <w:t xml:space="preserve"> of 92.9kct. Sales of 30.1kcts from the first three tenders of the </w:t>
      </w:r>
      <w:r>
        <w:t>yr</w:t>
      </w:r>
      <w:r w:rsidRPr="00BA7220">
        <w:t xml:space="preserve"> were up 3% YoY, while </w:t>
      </w:r>
      <w:r>
        <w:t>avg</w:t>
      </w:r>
      <w:r w:rsidRPr="00BA7220">
        <w:t xml:space="preserve"> realised prices of $2,723/ct were up 70% YoY, 8% QoQ and 21% ahead of </w:t>
      </w:r>
      <w:r>
        <w:t>JPMe</w:t>
      </w:r>
      <w:r w:rsidRPr="00BA7220">
        <w:t xml:space="preserve"> FY14 average due to a favourable ore mix and a solid underlying rough diamond </w:t>
      </w:r>
      <w:r>
        <w:t>mkt</w:t>
      </w:r>
      <w:r w:rsidRPr="00BA7220">
        <w:t xml:space="preserve">. </w:t>
      </w:r>
      <w:r>
        <w:t>End March consolidated net cash of $89m, +$18m QoQ, appears to be on track to meet or exceed our Dec’14 est of $78m.</w:t>
      </w:r>
    </w:p>
    <w:p w:rsidR="00BC1D60" w:rsidRPr="00BA7220" w:rsidRDefault="00BC1D60" w:rsidP="00BC1D60">
      <w:pPr>
        <w:pStyle w:val="Bullet"/>
        <w:spacing w:after="40" w:line="220" w:lineRule="exact"/>
      </w:pPr>
      <w:r w:rsidRPr="00BB6DC4">
        <w:rPr>
          <w:b/>
        </w:rPr>
        <w:t>Ghaghoo commissioning on track:</w:t>
      </w:r>
      <w:r w:rsidRPr="00BA7220">
        <w:t xml:space="preserve"> the company reported solid progress at th</w:t>
      </w:r>
      <w:r>
        <w:t>e Ghaghoo project in Botswana</w:t>
      </w:r>
      <w:r w:rsidRPr="00BA7220">
        <w:t>. The project remains on track to meet the H2’14 commercial production target, while capex appears to be in check with $76.3m of the $96m budget spent as of the end of March.</w:t>
      </w:r>
    </w:p>
    <w:p w:rsidR="00BC1D60" w:rsidRPr="003B2474" w:rsidRDefault="00BC1D60" w:rsidP="00BC1D60">
      <w:pPr>
        <w:pStyle w:val="Bullet"/>
        <w:spacing w:after="40" w:line="220" w:lineRule="exact"/>
      </w:pPr>
      <w:r w:rsidRPr="00BB6DC4">
        <w:rPr>
          <w:b/>
        </w:rPr>
        <w:t>Letseng coarse recovery plant expected in Q2’15:</w:t>
      </w:r>
      <w:r w:rsidRPr="00BA7220">
        <w:t xml:space="preserve"> detailed design work has commenced and long-lead items have been procured for a new plant to treat the high value, </w:t>
      </w:r>
      <w:r>
        <w:t>coarse fraction of the ore at</w:t>
      </w:r>
      <w:r w:rsidRPr="00BA7220">
        <w:t xml:space="preserve"> Letseng. The new plant will use X-Ray Transmissive technology to improve recovery of high value type II diamonds, as well as </w:t>
      </w:r>
      <w:r w:rsidRPr="003B2474">
        <w:t>incorporate security improvements.</w:t>
      </w:r>
    </w:p>
    <w:p w:rsidR="00BC1D60" w:rsidRPr="003B2474" w:rsidRDefault="00BC1D60" w:rsidP="00BC1D60">
      <w:pPr>
        <w:pStyle w:val="Bullet"/>
        <w:tabs>
          <w:tab w:val="clear" w:pos="288"/>
        </w:tabs>
        <w:spacing w:after="60" w:line="220" w:lineRule="exact"/>
        <w:rPr>
          <w:lang w:val="en-GB"/>
        </w:rPr>
      </w:pPr>
      <w:r w:rsidRPr="003B2474">
        <w:rPr>
          <w:b/>
        </w:rPr>
        <w:t>Diamonds remain interesting:</w:t>
      </w:r>
      <w:r w:rsidRPr="003B2474">
        <w:t xml:space="preserve"> we continue to view diamonds as a play on late-cycle growth in emerging markets, especially China, with an increasingly middle-class consumer base driving jewellery demand, as well as ongoing recovery in OECD markets. Recent share price weakness also appears to be undeserved as press speculation of an imminent coup in Lesotho has so far proved unfounded</w:t>
      </w:r>
      <w:r w:rsidRPr="003B2474">
        <w:rPr>
          <w:lang w:val="en-GB"/>
        </w:rPr>
        <w:t>.</w:t>
      </w:r>
      <w:r>
        <w:t xml:space="preserve"> </w:t>
      </w:r>
    </w:p>
    <w:p w:rsidR="00BC1D60" w:rsidRPr="003B2474" w:rsidRDefault="00BC1D60" w:rsidP="00BC1D60">
      <w:pPr>
        <w:pStyle w:val="Heading3"/>
        <w:spacing w:after="120" w:line="220" w:lineRule="exact"/>
        <w:rPr>
          <w:rFonts w:eastAsia="Times New Roman"/>
          <w:b w:val="0"/>
        </w:rPr>
      </w:pPr>
      <w:r w:rsidRPr="003B2474">
        <w:rPr>
          <w:rFonts w:eastAsia="Times New Roman"/>
          <w:bCs w:val="0"/>
        </w:rPr>
        <w:t>Valuation / Risks to our View:</w:t>
      </w:r>
      <w:r w:rsidRPr="003B2474">
        <w:rPr>
          <w:rFonts w:eastAsia="Times New Roman"/>
          <w:b w:val="0"/>
          <w:bCs w:val="0"/>
        </w:rPr>
        <w:t xml:space="preserve"> </w:t>
      </w:r>
      <w:r w:rsidRPr="003B2474">
        <w:rPr>
          <w:rFonts w:eastAsia="Times New Roman"/>
          <w:b w:val="0"/>
        </w:rPr>
        <w:t>We use ~1.0x our FY14E year-end NPV estimates to set a Dec '14E price target for GEMD at 200p (9% WACC, no terminal growth), in line with the methodology used across the sector. Key risks include: project</w:t>
      </w:r>
      <w:r>
        <w:rPr>
          <w:rFonts w:eastAsia="Times New Roman"/>
          <w:b w:val="0"/>
        </w:rPr>
        <w:t xml:space="preserve"> and </w:t>
      </w:r>
      <w:r w:rsidRPr="003B2474">
        <w:rPr>
          <w:rFonts w:eastAsia="Times New Roman"/>
          <w:b w:val="0"/>
        </w:rPr>
        <w:t>regulatory risk; project delays; cost inflation and FX; diamond prices; and funding.</w:t>
      </w:r>
    </w:p>
    <w:p w:rsidR="00BC1D60" w:rsidRPr="003B2474" w:rsidRDefault="00BC1D60" w:rsidP="00BC1D60">
      <w:pPr>
        <w:pStyle w:val="Heading3"/>
        <w:spacing w:after="80" w:line="220" w:lineRule="exact"/>
        <w:rPr>
          <w:b w:val="0"/>
        </w:rPr>
      </w:pPr>
      <w:r w:rsidRPr="003B2474">
        <w:rPr>
          <w:rFonts w:eastAsia="Times New Roman"/>
          <w:bCs w:val="0"/>
        </w:rPr>
        <w:t xml:space="preserve">Gem Diamonds in a Nutshell: </w:t>
      </w:r>
      <w:r w:rsidRPr="003B2474">
        <w:rPr>
          <w:b w:val="0"/>
        </w:rPr>
        <w:t xml:space="preserve">Gem Diamonds Ltd produces high-quality rough diamonds from the Letseng mine in Lesotho, and markets them via tender in Antwerp. As well as rough sales, the company has small-scale downstream processing capacity, allowing it to cut and polish a portion of its production in-house to be sold in polished form. GEMD is also developing the Ghaghoo project in Botswana, with first output due mid ’14. </w:t>
      </w:r>
    </w:p>
    <w:p w:rsidR="00BC1D60" w:rsidRPr="003B2474" w:rsidRDefault="00BC1D60" w:rsidP="00BC1D60">
      <w:pPr>
        <w:pStyle w:val="Heading3"/>
        <w:spacing w:after="0"/>
      </w:pPr>
      <w:r w:rsidRPr="003B2474">
        <w:t>Price Perf vs MSCI All Country World Small Cap (rebased as of 1-yr ago):</w:t>
      </w:r>
    </w:p>
    <w:p w:rsidR="00BC1D60" w:rsidRPr="003B2474" w:rsidRDefault="00BC1D60" w:rsidP="00BC1D60">
      <w:pPr>
        <w:pStyle w:val="Body"/>
        <w:spacing w:after="0"/>
        <w:rPr>
          <w:noProof/>
          <w:lang w:val="en-GB" w:eastAsia="en-GB"/>
        </w:rPr>
      </w:pPr>
      <w:r w:rsidRPr="003B2474">
        <w:rPr>
          <w:noProof/>
        </w:rPr>
        <w:drawing>
          <wp:inline distT="0" distB="0" distL="0" distR="0">
            <wp:extent cx="4352925" cy="1466850"/>
            <wp:effectExtent l="19050" t="0" r="9525" b="0"/>
            <wp:docPr id="867"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3"/>
                    <a:srcRect t="6286" b="5714"/>
                    <a:stretch>
                      <a:fillRect/>
                    </a:stretch>
                  </pic:blipFill>
                  <pic:spPr bwMode="auto">
                    <a:xfrm>
                      <a:off x="0" y="0"/>
                      <a:ext cx="4352925" cy="1466850"/>
                    </a:xfrm>
                    <a:prstGeom prst="rect">
                      <a:avLst/>
                    </a:prstGeom>
                    <a:noFill/>
                    <a:ln w="9525">
                      <a:noFill/>
                      <a:miter lim="800000"/>
                      <a:headEnd/>
                      <a:tailEnd/>
                    </a:ln>
                  </pic:spPr>
                </pic:pic>
              </a:graphicData>
            </a:graphic>
          </wp:inline>
        </w:drawing>
      </w:r>
    </w:p>
    <w:p w:rsidR="00BC1D60" w:rsidRPr="003B2474" w:rsidRDefault="00BC1D60" w:rsidP="00BC1D60">
      <w:pPr>
        <w:pStyle w:val="Source"/>
        <w:spacing w:before="0" w:after="40" w:line="240" w:lineRule="auto"/>
      </w:pPr>
      <w:r w:rsidRPr="003B2474">
        <w:t>Source: Bloomberg</w:t>
      </w:r>
    </w:p>
    <w:p w:rsidR="00BC1D60" w:rsidRDefault="00BC1D60" w:rsidP="00BC1D60">
      <w:pPr>
        <w:pStyle w:val="ESTableCaption"/>
        <w:keepNext/>
      </w:pPr>
      <w:r w:rsidRPr="003B2474">
        <w:t>J.P. Morgan Estimates</w:t>
      </w:r>
      <w:r w:rsidRPr="003B2474">
        <w:br/>
      </w:r>
      <w:r>
        <w:rPr>
          <w:sz w:val="16"/>
        </w:rPr>
        <w:t>Gem Diamonds Ltd (GEMD.L;GEMD LN)</w:t>
      </w:r>
    </w:p>
    <w:tbl>
      <w:tblPr>
        <w:tblW w:w="5000" w:type="pct"/>
        <w:tblCellMar>
          <w:left w:w="0" w:type="dxa"/>
          <w:right w:w="43" w:type="dxa"/>
        </w:tblCellMar>
        <w:tblLook w:val="01E0"/>
      </w:tblPr>
      <w:tblGrid>
        <w:gridCol w:w="2013"/>
        <w:gridCol w:w="1221"/>
        <w:gridCol w:w="1221"/>
        <w:gridCol w:w="1221"/>
        <w:gridCol w:w="1221"/>
      </w:tblGrid>
      <w:tr w:rsidR="00BC1D60" w:rsidTr="00BC5B38">
        <w:trPr>
          <w:cantSplit/>
        </w:trPr>
        <w:tc>
          <w:tcPr>
            <w:tcW w:w="2000" w:type="dxa"/>
            <w:tcBorders>
              <w:top w:val="single" w:sz="4" w:space="0" w:color="auto"/>
            </w:tcBorders>
          </w:tcPr>
          <w:p w:rsidR="00BC1D60" w:rsidRDefault="00BC1D60" w:rsidP="00BC5B38">
            <w:pPr>
              <w:pStyle w:val="ESTableRow"/>
              <w:keepNext/>
            </w:pPr>
            <w:r>
              <w:rPr>
                <w:b/>
              </w:rPr>
              <w:t>FYE Dec</w:t>
            </w:r>
          </w:p>
        </w:tc>
        <w:tc>
          <w:tcPr>
            <w:tcW w:w="1212" w:type="dxa"/>
            <w:tcBorders>
              <w:top w:val="single" w:sz="4" w:space="0" w:color="auto"/>
            </w:tcBorders>
          </w:tcPr>
          <w:p w:rsidR="00BC1D60" w:rsidRDefault="00BC1D60" w:rsidP="00BC5B38">
            <w:pPr>
              <w:pStyle w:val="ESTableRow"/>
              <w:keepNext/>
              <w:jc w:val="right"/>
            </w:pPr>
            <w:r>
              <w:rPr>
                <w:b/>
              </w:rPr>
              <w:t>2012A</w:t>
            </w:r>
          </w:p>
        </w:tc>
        <w:tc>
          <w:tcPr>
            <w:tcW w:w="1212" w:type="dxa"/>
            <w:tcBorders>
              <w:top w:val="single" w:sz="4" w:space="0" w:color="auto"/>
            </w:tcBorders>
          </w:tcPr>
          <w:p w:rsidR="00BC1D60" w:rsidRDefault="00BC1D60" w:rsidP="00BC5B38">
            <w:pPr>
              <w:pStyle w:val="ESTableRow"/>
              <w:keepNext/>
              <w:jc w:val="right"/>
            </w:pPr>
            <w:r>
              <w:rPr>
                <w:b/>
              </w:rPr>
              <w:t>2013A</w:t>
            </w:r>
          </w:p>
        </w:tc>
        <w:tc>
          <w:tcPr>
            <w:tcW w:w="1212" w:type="dxa"/>
            <w:tcBorders>
              <w:top w:val="single" w:sz="4" w:space="0" w:color="auto"/>
            </w:tcBorders>
          </w:tcPr>
          <w:p w:rsidR="00BC1D60" w:rsidRDefault="00BC1D60" w:rsidP="00BC5B38">
            <w:pPr>
              <w:pStyle w:val="ESTableRow"/>
              <w:keepNext/>
              <w:jc w:val="right"/>
            </w:pPr>
            <w:r>
              <w:rPr>
                <w:b/>
              </w:rPr>
              <w:t>2014E</w:t>
            </w:r>
          </w:p>
        </w:tc>
        <w:tc>
          <w:tcPr>
            <w:tcW w:w="1212" w:type="dxa"/>
            <w:tcBorders>
              <w:top w:val="single" w:sz="4" w:space="0" w:color="auto"/>
            </w:tcBorders>
          </w:tcPr>
          <w:p w:rsidR="00BC1D60" w:rsidRDefault="00BC1D60" w:rsidP="00BC5B38">
            <w:pPr>
              <w:pStyle w:val="ESTableRow"/>
              <w:keepNext/>
              <w:jc w:val="right"/>
            </w:pPr>
            <w:r>
              <w:rPr>
                <w:b/>
              </w:rPr>
              <w:t>2015E</w:t>
            </w:r>
          </w:p>
        </w:tc>
      </w:tr>
      <w:tr w:rsidR="00BC1D60" w:rsidTr="00BC5B38">
        <w:trPr>
          <w:cantSplit/>
        </w:trPr>
        <w:tc>
          <w:tcPr>
            <w:tcW w:w="2000" w:type="dxa"/>
            <w:tcBorders>
              <w:top w:val="single" w:sz="4" w:space="0" w:color="auto"/>
            </w:tcBorders>
          </w:tcPr>
          <w:p w:rsidR="00BC1D60" w:rsidRDefault="00BC1D60" w:rsidP="00BC5B38">
            <w:pPr>
              <w:pStyle w:val="ESTableRow"/>
              <w:keepNext/>
            </w:pPr>
            <w:r>
              <w:t>Adj. EPS FY ($)</w:t>
            </w:r>
          </w:p>
        </w:tc>
        <w:tc>
          <w:tcPr>
            <w:tcW w:w="1212" w:type="dxa"/>
            <w:tcBorders>
              <w:top w:val="single" w:sz="4" w:space="0" w:color="auto"/>
            </w:tcBorders>
          </w:tcPr>
          <w:p w:rsidR="00BC1D60" w:rsidRDefault="00BC1D60" w:rsidP="00BC5B38">
            <w:pPr>
              <w:pStyle w:val="ESTableRow"/>
              <w:keepNext/>
              <w:jc w:val="right"/>
            </w:pPr>
            <w:r>
              <w:t>0.12</w:t>
            </w:r>
          </w:p>
        </w:tc>
        <w:tc>
          <w:tcPr>
            <w:tcW w:w="1212" w:type="dxa"/>
            <w:tcBorders>
              <w:top w:val="single" w:sz="4" w:space="0" w:color="auto"/>
            </w:tcBorders>
          </w:tcPr>
          <w:p w:rsidR="00BC1D60" w:rsidRDefault="00BC1D60" w:rsidP="00BC5B38">
            <w:pPr>
              <w:pStyle w:val="ESTableRow"/>
              <w:keepNext/>
              <w:jc w:val="right"/>
            </w:pPr>
            <w:r>
              <w:t>0.15</w:t>
            </w:r>
          </w:p>
        </w:tc>
        <w:tc>
          <w:tcPr>
            <w:tcW w:w="1212" w:type="dxa"/>
            <w:tcBorders>
              <w:top w:val="single" w:sz="4" w:space="0" w:color="auto"/>
            </w:tcBorders>
          </w:tcPr>
          <w:p w:rsidR="00BC1D60" w:rsidRDefault="00BC1D60" w:rsidP="00BC5B38">
            <w:pPr>
              <w:pStyle w:val="ESTableRow"/>
              <w:keepNext/>
              <w:jc w:val="right"/>
            </w:pPr>
            <w:r>
              <w:t>0.18</w:t>
            </w:r>
          </w:p>
        </w:tc>
        <w:tc>
          <w:tcPr>
            <w:tcW w:w="1212" w:type="dxa"/>
            <w:tcBorders>
              <w:top w:val="single" w:sz="4" w:space="0" w:color="auto"/>
            </w:tcBorders>
          </w:tcPr>
          <w:p w:rsidR="00BC1D60" w:rsidRDefault="00BC1D60" w:rsidP="00BC5B38">
            <w:pPr>
              <w:pStyle w:val="ESTableRow"/>
              <w:keepNext/>
              <w:jc w:val="right"/>
            </w:pPr>
            <w:r>
              <w:t>0.21</w:t>
            </w:r>
          </w:p>
        </w:tc>
      </w:tr>
      <w:tr w:rsidR="00BC1D60" w:rsidTr="00BC5B38">
        <w:trPr>
          <w:cantSplit/>
        </w:trPr>
        <w:tc>
          <w:tcPr>
            <w:tcW w:w="2000" w:type="dxa"/>
          </w:tcPr>
          <w:p w:rsidR="00BC1D60" w:rsidRDefault="00BC1D60" w:rsidP="00BC5B38">
            <w:pPr>
              <w:pStyle w:val="ESTableRow"/>
              <w:keepNext/>
            </w:pPr>
            <w:r>
              <w:t>Bloomberg EPS FY ($)</w:t>
            </w:r>
          </w:p>
        </w:tc>
        <w:tc>
          <w:tcPr>
            <w:tcW w:w="1212" w:type="dxa"/>
          </w:tcPr>
          <w:p w:rsidR="00BC1D60" w:rsidRDefault="00BC1D60" w:rsidP="00BC5B38">
            <w:pPr>
              <w:pStyle w:val="ESTableRow"/>
              <w:keepNext/>
              <w:jc w:val="right"/>
            </w:pPr>
            <w:r>
              <w:t>0.04</w:t>
            </w:r>
          </w:p>
        </w:tc>
        <w:tc>
          <w:tcPr>
            <w:tcW w:w="1212" w:type="dxa"/>
          </w:tcPr>
          <w:p w:rsidR="00BC1D60" w:rsidRDefault="00BC1D60" w:rsidP="00BC5B38">
            <w:pPr>
              <w:pStyle w:val="ESTableRow"/>
              <w:keepNext/>
              <w:jc w:val="right"/>
            </w:pPr>
            <w:r>
              <w:t>0.14</w:t>
            </w:r>
          </w:p>
        </w:tc>
        <w:tc>
          <w:tcPr>
            <w:tcW w:w="1212" w:type="dxa"/>
          </w:tcPr>
          <w:p w:rsidR="00BC1D60" w:rsidRDefault="00BC1D60" w:rsidP="00BC5B38">
            <w:pPr>
              <w:pStyle w:val="ESTableRow"/>
              <w:keepNext/>
              <w:jc w:val="right"/>
            </w:pPr>
            <w:r>
              <w:t>0.22</w:t>
            </w:r>
          </w:p>
        </w:tc>
        <w:tc>
          <w:tcPr>
            <w:tcW w:w="1212" w:type="dxa"/>
          </w:tcPr>
          <w:p w:rsidR="00BC1D60" w:rsidRDefault="00BC1D60" w:rsidP="00BC5B38">
            <w:pPr>
              <w:pStyle w:val="ESTableRow"/>
              <w:keepNext/>
              <w:jc w:val="right"/>
            </w:pPr>
            <w:r>
              <w:t>0.27</w:t>
            </w:r>
          </w:p>
        </w:tc>
      </w:tr>
      <w:tr w:rsidR="00BC1D60" w:rsidTr="00BC5B38">
        <w:trPr>
          <w:cantSplit/>
        </w:trPr>
        <w:tc>
          <w:tcPr>
            <w:tcW w:w="2000" w:type="dxa"/>
          </w:tcPr>
          <w:p w:rsidR="00BC1D60" w:rsidRDefault="00BC1D60" w:rsidP="00BC5B38">
            <w:pPr>
              <w:pStyle w:val="ESTableRow"/>
              <w:keepNext/>
            </w:pPr>
            <w:r>
              <w:t>EBITDA FY ($ mn)</w:t>
            </w:r>
          </w:p>
        </w:tc>
        <w:tc>
          <w:tcPr>
            <w:tcW w:w="1212" w:type="dxa"/>
          </w:tcPr>
          <w:p w:rsidR="00BC1D60" w:rsidRDefault="00BC1D60" w:rsidP="00BC5B38">
            <w:pPr>
              <w:pStyle w:val="ESTableRow"/>
              <w:keepNext/>
              <w:jc w:val="right"/>
            </w:pPr>
            <w:r>
              <w:t>66</w:t>
            </w:r>
          </w:p>
        </w:tc>
        <w:tc>
          <w:tcPr>
            <w:tcW w:w="1212" w:type="dxa"/>
          </w:tcPr>
          <w:p w:rsidR="00BC1D60" w:rsidRDefault="00BC1D60" w:rsidP="00BC5B38">
            <w:pPr>
              <w:pStyle w:val="ESTableRow"/>
              <w:keepNext/>
              <w:jc w:val="right"/>
            </w:pPr>
            <w:r>
              <w:t>77</w:t>
            </w:r>
          </w:p>
        </w:tc>
        <w:tc>
          <w:tcPr>
            <w:tcW w:w="1212" w:type="dxa"/>
          </w:tcPr>
          <w:p w:rsidR="00BC1D60" w:rsidRDefault="00BC1D60" w:rsidP="00BC5B38">
            <w:pPr>
              <w:pStyle w:val="ESTableRow"/>
              <w:keepNext/>
              <w:jc w:val="right"/>
            </w:pPr>
            <w:r>
              <w:t>79</w:t>
            </w:r>
          </w:p>
        </w:tc>
        <w:tc>
          <w:tcPr>
            <w:tcW w:w="1212" w:type="dxa"/>
          </w:tcPr>
          <w:p w:rsidR="00BC1D60" w:rsidRDefault="00BC1D60" w:rsidP="00BC5B38">
            <w:pPr>
              <w:pStyle w:val="ESTableRow"/>
              <w:keepNext/>
              <w:jc w:val="right"/>
            </w:pPr>
            <w:r>
              <w:t>93</w:t>
            </w:r>
          </w:p>
        </w:tc>
      </w:tr>
      <w:tr w:rsidR="00BC1D60" w:rsidTr="00BC5B38">
        <w:trPr>
          <w:cantSplit/>
        </w:trPr>
        <w:tc>
          <w:tcPr>
            <w:tcW w:w="2000" w:type="dxa"/>
          </w:tcPr>
          <w:p w:rsidR="00BC1D60" w:rsidRDefault="00BC1D60" w:rsidP="00BC5B38">
            <w:pPr>
              <w:pStyle w:val="ESTableRow"/>
              <w:keepNext/>
            </w:pPr>
            <w:r>
              <w:t xml:space="preserve">EBITDA Margin FY </w:t>
            </w:r>
          </w:p>
        </w:tc>
        <w:tc>
          <w:tcPr>
            <w:tcW w:w="1212" w:type="dxa"/>
          </w:tcPr>
          <w:p w:rsidR="00BC1D60" w:rsidRDefault="00BC1D60" w:rsidP="00BC5B38">
            <w:pPr>
              <w:pStyle w:val="ESTableRow"/>
              <w:keepNext/>
              <w:jc w:val="right"/>
            </w:pPr>
            <w:r>
              <w:t>32.4%</w:t>
            </w:r>
          </w:p>
        </w:tc>
        <w:tc>
          <w:tcPr>
            <w:tcW w:w="1212" w:type="dxa"/>
          </w:tcPr>
          <w:p w:rsidR="00BC1D60" w:rsidRDefault="00BC1D60" w:rsidP="00BC5B38">
            <w:pPr>
              <w:pStyle w:val="ESTableRow"/>
              <w:keepNext/>
              <w:jc w:val="right"/>
            </w:pPr>
            <w:r>
              <w:t>36.4%</w:t>
            </w:r>
          </w:p>
        </w:tc>
        <w:tc>
          <w:tcPr>
            <w:tcW w:w="1212" w:type="dxa"/>
          </w:tcPr>
          <w:p w:rsidR="00BC1D60" w:rsidRDefault="00BC1D60" w:rsidP="00BC5B38">
            <w:pPr>
              <w:pStyle w:val="ESTableRow"/>
              <w:keepNext/>
              <w:jc w:val="right"/>
            </w:pPr>
            <w:r>
              <w:t>34.6%</w:t>
            </w:r>
          </w:p>
        </w:tc>
        <w:tc>
          <w:tcPr>
            <w:tcW w:w="1212" w:type="dxa"/>
          </w:tcPr>
          <w:p w:rsidR="00BC1D60" w:rsidRDefault="00BC1D60" w:rsidP="00BC5B38">
            <w:pPr>
              <w:pStyle w:val="ESTableRow"/>
              <w:keepNext/>
              <w:jc w:val="right"/>
            </w:pPr>
            <w:r>
              <w:t>33.5%</w:t>
            </w:r>
          </w:p>
        </w:tc>
      </w:tr>
      <w:tr w:rsidR="00BC1D60" w:rsidTr="00BC5B38">
        <w:trPr>
          <w:cantSplit/>
        </w:trPr>
        <w:tc>
          <w:tcPr>
            <w:tcW w:w="2000" w:type="dxa"/>
          </w:tcPr>
          <w:p w:rsidR="00BC1D60" w:rsidRDefault="00BC1D60" w:rsidP="00BC5B38">
            <w:pPr>
              <w:pStyle w:val="ESTableRow"/>
              <w:keepNext/>
            </w:pPr>
            <w:r>
              <w:t xml:space="preserve">Adj P/E FY </w:t>
            </w:r>
          </w:p>
        </w:tc>
        <w:tc>
          <w:tcPr>
            <w:tcW w:w="1212" w:type="dxa"/>
          </w:tcPr>
          <w:p w:rsidR="00BC1D60" w:rsidRDefault="00BC1D60" w:rsidP="00BC5B38">
            <w:pPr>
              <w:pStyle w:val="ESTableRow"/>
              <w:keepNext/>
              <w:jc w:val="right"/>
            </w:pPr>
            <w:r>
              <w:t>19.6</w:t>
            </w:r>
          </w:p>
        </w:tc>
        <w:tc>
          <w:tcPr>
            <w:tcW w:w="1212" w:type="dxa"/>
          </w:tcPr>
          <w:p w:rsidR="00BC1D60" w:rsidRDefault="00BC1D60" w:rsidP="00BC5B38">
            <w:pPr>
              <w:pStyle w:val="ESTableRow"/>
              <w:keepNext/>
              <w:jc w:val="right"/>
            </w:pPr>
            <w:r>
              <w:t>16.0</w:t>
            </w:r>
          </w:p>
        </w:tc>
        <w:tc>
          <w:tcPr>
            <w:tcW w:w="1212" w:type="dxa"/>
          </w:tcPr>
          <w:p w:rsidR="00BC1D60" w:rsidRDefault="00BC1D60" w:rsidP="00BC5B38">
            <w:pPr>
              <w:pStyle w:val="ESTableRow"/>
              <w:keepNext/>
              <w:jc w:val="right"/>
            </w:pPr>
            <w:r>
              <w:t>13.7</w:t>
            </w:r>
          </w:p>
        </w:tc>
        <w:tc>
          <w:tcPr>
            <w:tcW w:w="1212" w:type="dxa"/>
          </w:tcPr>
          <w:p w:rsidR="00BC1D60" w:rsidRDefault="00BC1D60" w:rsidP="00BC5B38">
            <w:pPr>
              <w:pStyle w:val="ESTableRow"/>
              <w:keepNext/>
              <w:jc w:val="right"/>
            </w:pPr>
            <w:r>
              <w:t>11.4</w:t>
            </w:r>
          </w:p>
        </w:tc>
      </w:tr>
      <w:tr w:rsidR="00BC1D60" w:rsidTr="00BC5B38">
        <w:trPr>
          <w:cantSplit/>
        </w:trPr>
        <w:tc>
          <w:tcPr>
            <w:tcW w:w="2000" w:type="dxa"/>
          </w:tcPr>
          <w:p w:rsidR="00BC1D60" w:rsidRDefault="00BC1D60" w:rsidP="00BC5B38">
            <w:pPr>
              <w:pStyle w:val="ESTableRow"/>
              <w:keepNext/>
            </w:pPr>
            <w:r>
              <w:t xml:space="preserve">EV/EBITDA FY </w:t>
            </w:r>
          </w:p>
        </w:tc>
        <w:tc>
          <w:tcPr>
            <w:tcW w:w="1212" w:type="dxa"/>
          </w:tcPr>
          <w:p w:rsidR="00BC1D60" w:rsidRDefault="00BC1D60" w:rsidP="00BC5B38">
            <w:pPr>
              <w:pStyle w:val="ESTableRow"/>
              <w:keepNext/>
              <w:jc w:val="right"/>
            </w:pPr>
            <w:r>
              <w:t>6.5</w:t>
            </w:r>
          </w:p>
        </w:tc>
        <w:tc>
          <w:tcPr>
            <w:tcW w:w="1212" w:type="dxa"/>
          </w:tcPr>
          <w:p w:rsidR="00BC1D60" w:rsidRDefault="00BC1D60" w:rsidP="00BC5B38">
            <w:pPr>
              <w:pStyle w:val="ESTableRow"/>
              <w:keepNext/>
              <w:jc w:val="right"/>
            </w:pPr>
            <w:r>
              <w:t>7.0</w:t>
            </w:r>
          </w:p>
        </w:tc>
        <w:tc>
          <w:tcPr>
            <w:tcW w:w="1212" w:type="dxa"/>
          </w:tcPr>
          <w:p w:rsidR="00BC1D60" w:rsidRDefault="00BC1D60" w:rsidP="00BC5B38">
            <w:pPr>
              <w:pStyle w:val="ESTableRow"/>
              <w:keepNext/>
              <w:jc w:val="right"/>
            </w:pPr>
            <w:r>
              <w:t>6.5</w:t>
            </w:r>
          </w:p>
        </w:tc>
        <w:tc>
          <w:tcPr>
            <w:tcW w:w="1212" w:type="dxa"/>
          </w:tcPr>
          <w:p w:rsidR="00BC1D60" w:rsidRDefault="00BC1D60" w:rsidP="00BC5B38">
            <w:pPr>
              <w:pStyle w:val="ESTableRow"/>
              <w:keepNext/>
              <w:jc w:val="right"/>
            </w:pPr>
            <w:r>
              <w:t>5.0</w:t>
            </w:r>
          </w:p>
        </w:tc>
      </w:tr>
      <w:tr w:rsidR="00BC1D60" w:rsidTr="00BC5B38">
        <w:trPr>
          <w:cantSplit/>
        </w:trPr>
        <w:tc>
          <w:tcPr>
            <w:tcW w:w="2000" w:type="dxa"/>
          </w:tcPr>
          <w:p w:rsidR="00BC1D60" w:rsidRDefault="00BC1D60" w:rsidP="00BC5B38">
            <w:pPr>
              <w:pStyle w:val="ESTableRow"/>
              <w:keepNext/>
            </w:pPr>
            <w:r>
              <w:t xml:space="preserve">FCFF Yield FY </w:t>
            </w:r>
          </w:p>
        </w:tc>
        <w:tc>
          <w:tcPr>
            <w:tcW w:w="1212" w:type="dxa"/>
          </w:tcPr>
          <w:p w:rsidR="00BC1D60" w:rsidRDefault="00BC1D60" w:rsidP="00BC5B38">
            <w:pPr>
              <w:pStyle w:val="ESTableRow"/>
              <w:keepNext/>
              <w:jc w:val="right"/>
            </w:pPr>
            <w:r>
              <w:t>(37.3%)</w:t>
            </w:r>
          </w:p>
        </w:tc>
        <w:tc>
          <w:tcPr>
            <w:tcW w:w="1212" w:type="dxa"/>
          </w:tcPr>
          <w:p w:rsidR="00BC1D60" w:rsidRDefault="00BC1D60" w:rsidP="00BC5B38">
            <w:pPr>
              <w:pStyle w:val="ESTableRow"/>
              <w:keepNext/>
              <w:jc w:val="right"/>
            </w:pPr>
            <w:r>
              <w:t>(8.0%)</w:t>
            </w:r>
          </w:p>
        </w:tc>
        <w:tc>
          <w:tcPr>
            <w:tcW w:w="1212" w:type="dxa"/>
          </w:tcPr>
          <w:p w:rsidR="00BC1D60" w:rsidRDefault="00BC1D60" w:rsidP="00BC5B38">
            <w:pPr>
              <w:pStyle w:val="ESTableRow"/>
              <w:keepNext/>
              <w:jc w:val="right"/>
            </w:pPr>
            <w:r>
              <w:t>(7.2%)</w:t>
            </w:r>
          </w:p>
        </w:tc>
        <w:tc>
          <w:tcPr>
            <w:tcW w:w="1212" w:type="dxa"/>
          </w:tcPr>
          <w:p w:rsidR="00BC1D60" w:rsidRDefault="00BC1D60" w:rsidP="00BC5B38">
            <w:pPr>
              <w:pStyle w:val="ESTableRow"/>
              <w:keepNext/>
              <w:jc w:val="right"/>
            </w:pPr>
            <w:r>
              <w:t>2.2%</w:t>
            </w:r>
          </w:p>
        </w:tc>
      </w:tr>
      <w:tr w:rsidR="00BC1D60" w:rsidTr="00BC5B38">
        <w:trPr>
          <w:cantSplit/>
        </w:trPr>
        <w:tc>
          <w:tcPr>
            <w:tcW w:w="2000" w:type="dxa"/>
            <w:tcBorders>
              <w:bottom w:val="single" w:sz="4" w:space="0" w:color="auto"/>
            </w:tcBorders>
          </w:tcPr>
          <w:p w:rsidR="00BC1D60" w:rsidRDefault="00BC1D60" w:rsidP="00BC5B38">
            <w:pPr>
              <w:pStyle w:val="ESTableRow"/>
              <w:keepNext/>
            </w:pPr>
            <w:r>
              <w:t xml:space="preserve">ROE FY </w:t>
            </w:r>
          </w:p>
        </w:tc>
        <w:tc>
          <w:tcPr>
            <w:tcW w:w="1212" w:type="dxa"/>
            <w:tcBorders>
              <w:bottom w:val="single" w:sz="4" w:space="0" w:color="auto"/>
            </w:tcBorders>
          </w:tcPr>
          <w:p w:rsidR="00BC1D60" w:rsidRDefault="00BC1D60" w:rsidP="00BC5B38">
            <w:pPr>
              <w:pStyle w:val="ESTableRow"/>
              <w:keepNext/>
              <w:jc w:val="right"/>
            </w:pPr>
            <w:r>
              <w:t>4.6%</w:t>
            </w:r>
          </w:p>
        </w:tc>
        <w:tc>
          <w:tcPr>
            <w:tcW w:w="1212" w:type="dxa"/>
            <w:tcBorders>
              <w:bottom w:val="single" w:sz="4" w:space="0" w:color="auto"/>
            </w:tcBorders>
          </w:tcPr>
          <w:p w:rsidR="00BC1D60" w:rsidRDefault="00BC1D60" w:rsidP="00BC5B38">
            <w:pPr>
              <w:pStyle w:val="ESTableRow"/>
              <w:keepNext/>
              <w:jc w:val="right"/>
            </w:pPr>
            <w:r>
              <w:t>6.7%</w:t>
            </w:r>
          </w:p>
        </w:tc>
        <w:tc>
          <w:tcPr>
            <w:tcW w:w="1212" w:type="dxa"/>
            <w:tcBorders>
              <w:bottom w:val="single" w:sz="4" w:space="0" w:color="auto"/>
            </w:tcBorders>
          </w:tcPr>
          <w:p w:rsidR="00BC1D60" w:rsidRDefault="00BC1D60" w:rsidP="00BC5B38">
            <w:pPr>
              <w:pStyle w:val="ESTableRow"/>
              <w:keepNext/>
              <w:jc w:val="right"/>
            </w:pPr>
            <w:r>
              <w:t>7.9%</w:t>
            </w:r>
          </w:p>
        </w:tc>
        <w:tc>
          <w:tcPr>
            <w:tcW w:w="1212" w:type="dxa"/>
            <w:tcBorders>
              <w:bottom w:val="single" w:sz="4" w:space="0" w:color="auto"/>
            </w:tcBorders>
          </w:tcPr>
          <w:p w:rsidR="00BC1D60" w:rsidRDefault="00BC1D60" w:rsidP="00BC5B38">
            <w:pPr>
              <w:pStyle w:val="ESTableRow"/>
              <w:keepNext/>
              <w:jc w:val="right"/>
            </w:pPr>
            <w:r>
              <w:t>8.7%</w:t>
            </w:r>
          </w:p>
        </w:tc>
      </w:tr>
    </w:tbl>
    <w:p w:rsidR="00BC1D60" w:rsidRDefault="00BC1D60" w:rsidP="00BC1D60">
      <w:pPr>
        <w:pStyle w:val="Source"/>
        <w:rPr>
          <w:highlight w:val="yellow"/>
        </w:rPr>
      </w:pPr>
      <w:r>
        <w:t>Source: Company data, Bloomberg, J.P. Morgan estimates</w:t>
      </w:r>
      <w:r w:rsidRPr="004F1ABB">
        <w:rPr>
          <w:highlight w:val="yellow"/>
        </w:rPr>
        <w:br w:type="page"/>
      </w:r>
    </w:p>
    <w:p w:rsidR="00BC1D60" w:rsidRPr="00053456" w:rsidRDefault="00BC1D60" w:rsidP="00BC1D60">
      <w:pPr>
        <w:pStyle w:val="Body"/>
        <w:rPr>
          <w:highlight w:val="yellow"/>
        </w:rPr>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3425E8" w:rsidTr="00BC5B38">
        <w:tc>
          <w:tcPr>
            <w:tcW w:w="10604" w:type="dxa"/>
            <w:gridSpan w:val="3"/>
            <w:shd w:val="clear" w:color="auto" w:fill="auto"/>
          </w:tcPr>
          <w:p w:rsidR="00BC1D60" w:rsidRPr="003425E8" w:rsidRDefault="00BC1D60" w:rsidP="00BC5B38">
            <w:pPr>
              <w:pStyle w:val="Heading1-NoTOC"/>
            </w:pPr>
            <w:bookmarkStart w:id="211" w:name="_Toc392016359"/>
            <w:bookmarkStart w:id="212" w:name="_Toc392099077"/>
            <w:r w:rsidRPr="003425E8">
              <w:t>Getting to know our SMid Analysts…</w:t>
            </w:r>
            <w:bookmarkEnd w:id="211"/>
            <w:bookmarkEnd w:id="212"/>
          </w:p>
        </w:tc>
      </w:tr>
      <w:tr w:rsidR="00BC1D60" w:rsidRPr="003425E8" w:rsidTr="00BC5B38">
        <w:trPr>
          <w:trHeight w:val="3427"/>
        </w:trPr>
        <w:tc>
          <w:tcPr>
            <w:tcW w:w="2666" w:type="dxa"/>
            <w:shd w:val="clear" w:color="auto" w:fill="auto"/>
          </w:tcPr>
          <w:p w:rsidR="00BC1D60" w:rsidRPr="003425E8" w:rsidRDefault="00BC1D60" w:rsidP="00BC5B38">
            <w:pPr>
              <w:pStyle w:val="Body"/>
              <w:spacing w:after="120"/>
            </w:pPr>
            <w:r w:rsidRPr="003425E8">
              <w:rPr>
                <w:rFonts w:ascii="Arial" w:hAnsi="Arial" w:cs="Arial"/>
                <w:noProof/>
                <w:color w:val="716F63"/>
                <w:sz w:val="17"/>
                <w:szCs w:val="17"/>
              </w:rPr>
              <w:drawing>
                <wp:inline distT="0" distB="0" distL="0" distR="0">
                  <wp:extent cx="1609725" cy="1694447"/>
                  <wp:effectExtent l="19050" t="0" r="9525" b="0"/>
                  <wp:docPr id="868" name="Picture 34" descr="Roger Bell, C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oger Bell, CFA"/>
                          <pic:cNvPicPr>
                            <a:picLocks noChangeAspect="1" noChangeArrowheads="1"/>
                          </pic:cNvPicPr>
                        </pic:nvPicPr>
                        <pic:blipFill>
                          <a:blip r:embed="rId94"/>
                          <a:srcRect l="26339" r="14286"/>
                          <a:stretch>
                            <a:fillRect/>
                          </a:stretch>
                        </pic:blipFill>
                        <pic:spPr bwMode="auto">
                          <a:xfrm>
                            <a:off x="0" y="0"/>
                            <a:ext cx="1609725" cy="1694447"/>
                          </a:xfrm>
                          <a:prstGeom prst="rect">
                            <a:avLst/>
                          </a:prstGeom>
                          <a:noFill/>
                          <a:ln w="9525">
                            <a:noFill/>
                            <a:miter lim="800000"/>
                            <a:headEnd/>
                            <a:tailEnd/>
                          </a:ln>
                        </pic:spPr>
                      </pic:pic>
                    </a:graphicData>
                  </a:graphic>
                </wp:inline>
              </w:drawing>
            </w:r>
          </w:p>
        </w:tc>
        <w:tc>
          <w:tcPr>
            <w:tcW w:w="3544" w:type="dxa"/>
            <w:shd w:val="clear" w:color="auto" w:fill="auto"/>
          </w:tcPr>
          <w:p w:rsidR="00BC1D60" w:rsidRPr="003425E8" w:rsidRDefault="00BC1D60" w:rsidP="00BC5B38">
            <w:pPr>
              <w:pStyle w:val="Heading2"/>
              <w:outlineLvl w:val="1"/>
              <w:rPr>
                <w:lang w:val="es-ES_tradnl"/>
              </w:rPr>
            </w:pPr>
            <w:r w:rsidRPr="003425E8">
              <w:rPr>
                <w:lang w:val="es-ES_tradnl"/>
              </w:rPr>
              <w:t>Roger Bell</w:t>
            </w:r>
          </w:p>
          <w:p w:rsidR="00BC1D60" w:rsidRPr="003425E8" w:rsidRDefault="003B051F" w:rsidP="00BC5B38">
            <w:pPr>
              <w:pStyle w:val="Body"/>
              <w:spacing w:after="120"/>
              <w:rPr>
                <w:rFonts w:ascii="Arial Narrow" w:hAnsi="Arial Narrow"/>
                <w:lang w:val="es-ES_tradnl"/>
              </w:rPr>
            </w:pPr>
            <w:hyperlink r:id="rId95" w:history="1">
              <w:r w:rsidR="00BC1D60" w:rsidRPr="003425E8">
                <w:rPr>
                  <w:rStyle w:val="Hyperlink"/>
                  <w:rFonts w:ascii="Arial Narrow" w:hAnsi="Arial Narrow"/>
                  <w:lang w:val="es-ES_tradnl"/>
                </w:rPr>
                <w:t>roger.m.bell@jpmorgan.com</w:t>
              </w:r>
            </w:hyperlink>
          </w:p>
          <w:p w:rsidR="00BC1D60" w:rsidRPr="003425E8" w:rsidRDefault="00BC1D60" w:rsidP="00BC5B38">
            <w:pPr>
              <w:pStyle w:val="Body"/>
              <w:spacing w:after="120"/>
              <w:rPr>
                <w:rFonts w:ascii="Arial Narrow" w:hAnsi="Arial Narrow"/>
                <w:lang w:val="es-ES_tradnl"/>
              </w:rPr>
            </w:pPr>
            <w:r w:rsidRPr="003425E8">
              <w:rPr>
                <w:rFonts w:ascii="Arial Narrow" w:hAnsi="Arial Narrow"/>
                <w:lang w:val="es-ES_tradnl"/>
              </w:rPr>
              <w:t>(44-20) 7134-5932</w:t>
            </w:r>
          </w:p>
          <w:p w:rsidR="00BC1D60" w:rsidRPr="003425E8" w:rsidRDefault="00BC1D60" w:rsidP="00BC5B38">
            <w:pPr>
              <w:pStyle w:val="Body"/>
              <w:spacing w:after="120"/>
              <w:rPr>
                <w:rFonts w:ascii="Arial Narrow" w:hAnsi="Arial Narrow"/>
                <w:lang w:val="es-ES_tradnl"/>
              </w:rPr>
            </w:pPr>
          </w:p>
          <w:p w:rsidR="00BC1D60" w:rsidRPr="003425E8" w:rsidRDefault="00BC1D60" w:rsidP="00BC5B38">
            <w:pPr>
              <w:pStyle w:val="Body"/>
              <w:spacing w:after="120"/>
              <w:rPr>
                <w:rFonts w:ascii="Arial Narrow" w:hAnsi="Arial Narrow"/>
                <w:lang w:val="es-ES_tradnl"/>
              </w:rPr>
            </w:pPr>
            <w:r w:rsidRPr="003425E8">
              <w:rPr>
                <w:rFonts w:ascii="Arial Narrow" w:hAnsi="Arial Narrow"/>
                <w:b/>
                <w:lang w:val="es-ES_tradnl"/>
              </w:rPr>
              <w:t>Region:</w:t>
            </w:r>
            <w:r w:rsidRPr="003425E8">
              <w:rPr>
                <w:rFonts w:ascii="Arial Narrow" w:hAnsi="Arial Narrow"/>
                <w:lang w:val="es-ES_tradnl"/>
              </w:rPr>
              <w:t xml:space="preserve"> W. Europe</w:t>
            </w:r>
          </w:p>
          <w:p w:rsidR="00BC1D60" w:rsidRPr="003425E8" w:rsidRDefault="00BC1D60" w:rsidP="00BC5B38">
            <w:pPr>
              <w:pStyle w:val="Body"/>
              <w:spacing w:after="120"/>
              <w:rPr>
                <w:rFonts w:ascii="Arial Narrow" w:hAnsi="Arial Narrow"/>
                <w:lang w:val="es-ES_tradnl"/>
              </w:rPr>
            </w:pPr>
            <w:r w:rsidRPr="003425E8">
              <w:rPr>
                <w:rFonts w:ascii="Arial Narrow" w:hAnsi="Arial Narrow"/>
                <w:b/>
                <w:lang w:val="es-ES_tradnl"/>
              </w:rPr>
              <w:t>Sector:</w:t>
            </w:r>
            <w:r w:rsidRPr="003425E8">
              <w:rPr>
                <w:rFonts w:ascii="Arial Narrow" w:hAnsi="Arial Narrow"/>
                <w:lang w:val="es-ES_tradnl"/>
              </w:rPr>
              <w:t xml:space="preserve"> </w:t>
            </w:r>
            <w:r w:rsidRPr="003425E8">
              <w:rPr>
                <w:rFonts w:ascii="Arial Narrow" w:hAnsi="Arial Narrow"/>
                <w:bCs/>
                <w:lang w:val="es-ES_tradnl"/>
              </w:rPr>
              <w:t>Metals, Mining &amp; Steel</w:t>
            </w:r>
          </w:p>
          <w:p w:rsidR="00BC1D60" w:rsidRPr="003425E8" w:rsidRDefault="00BC1D60" w:rsidP="00BC5B38">
            <w:pPr>
              <w:pStyle w:val="Body"/>
              <w:rPr>
                <w:lang w:val="es-ES_tradnl"/>
              </w:rPr>
            </w:pPr>
          </w:p>
        </w:tc>
        <w:tc>
          <w:tcPr>
            <w:tcW w:w="4394" w:type="dxa"/>
            <w:shd w:val="clear" w:color="auto" w:fill="auto"/>
          </w:tcPr>
          <w:p w:rsidR="00BC1D60" w:rsidRPr="003425E8" w:rsidRDefault="00BC1D60" w:rsidP="00BC5B38">
            <w:pPr>
              <w:pStyle w:val="Body"/>
              <w:jc w:val="right"/>
            </w:pPr>
            <w:r w:rsidRPr="003425E8">
              <w:rPr>
                <w:noProof/>
              </w:rPr>
              <w:drawing>
                <wp:inline distT="0" distB="0" distL="0" distR="0">
                  <wp:extent cx="2505456" cy="1270753"/>
                  <wp:effectExtent l="19050" t="0" r="9144" b="0"/>
                  <wp:docPr id="86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6"/>
                          <a:srcRect/>
                          <a:stretch>
                            <a:fillRect/>
                          </a:stretch>
                        </pic:blipFill>
                        <pic:spPr bwMode="auto">
                          <a:xfrm>
                            <a:off x="0" y="0"/>
                            <a:ext cx="2505456" cy="1270753"/>
                          </a:xfrm>
                          <a:prstGeom prst="rect">
                            <a:avLst/>
                          </a:prstGeom>
                          <a:noFill/>
                          <a:ln w="9525">
                            <a:noFill/>
                            <a:miter lim="800000"/>
                            <a:headEnd/>
                            <a:tailEnd/>
                          </a:ln>
                        </pic:spPr>
                      </pic:pic>
                    </a:graphicData>
                  </a:graphic>
                </wp:inline>
              </w:drawing>
            </w:r>
            <w:r w:rsidRPr="003425E8">
              <w:t xml:space="preserve"> </w:t>
            </w:r>
          </w:p>
        </w:tc>
      </w:tr>
    </w:tbl>
    <w:p w:rsidR="00BC1D60" w:rsidRPr="003425E8" w:rsidRDefault="00BC1D60" w:rsidP="00BC1D60">
      <w:pPr>
        <w:pStyle w:val="Source"/>
        <w:spacing w:before="0"/>
        <w:ind w:left="-3124" w:hanging="137"/>
      </w:pPr>
      <w:r w:rsidRPr="003425E8">
        <w:rPr>
          <w:noProof/>
        </w:rPr>
        <w:drawing>
          <wp:inline distT="0" distB="0" distL="0" distR="0">
            <wp:extent cx="6702552" cy="1129314"/>
            <wp:effectExtent l="19050" t="0" r="3048" b="0"/>
            <wp:docPr id="87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7"/>
                    <a:srcRect/>
                    <a:stretch>
                      <a:fillRect/>
                    </a:stretch>
                  </pic:blipFill>
                  <pic:spPr bwMode="auto">
                    <a:xfrm>
                      <a:off x="0" y="0"/>
                      <a:ext cx="6702552" cy="1129314"/>
                    </a:xfrm>
                    <a:prstGeom prst="rect">
                      <a:avLst/>
                    </a:prstGeom>
                    <a:noFill/>
                    <a:ln w="9525">
                      <a:noFill/>
                      <a:miter lim="800000"/>
                      <a:headEnd/>
                      <a:tailEnd/>
                    </a:ln>
                  </pic:spPr>
                </pic:pic>
              </a:graphicData>
            </a:graphic>
          </wp:inline>
        </w:drawing>
      </w:r>
      <w:r>
        <w:t xml:space="preserve"> </w:t>
      </w:r>
      <w:r w:rsidRPr="003425E8">
        <w:t>Source: Bloomberg, Datastream, Factset, J.P. Morgan</w:t>
      </w:r>
      <w:r w:rsidRPr="003425E8">
        <w:br/>
      </w:r>
      <w:r w:rsidRPr="0087013D">
        <w:t>Prices as of 24 June 2014</w:t>
      </w:r>
    </w:p>
    <w:p w:rsidR="00BC1D60" w:rsidRPr="004F1ABB" w:rsidRDefault="00BC1D60" w:rsidP="00BC1D60">
      <w:pPr>
        <w:pStyle w:val="Body"/>
        <w:rPr>
          <w:highlight w:val="yellow"/>
        </w:rPr>
      </w:pPr>
    </w:p>
    <w:p w:rsidR="00BC1D60" w:rsidRPr="004F1ABB" w:rsidRDefault="00BC1D60" w:rsidP="00BC1D60">
      <w:pPr>
        <w:pStyle w:val="Sidecomments"/>
        <w:framePr w:w="0" w:hRule="auto" w:wrap="around"/>
        <w:rPr>
          <w:highlight w:val="yellow"/>
        </w:rPr>
      </w:pPr>
      <w:r>
        <w:rPr>
          <w:noProof/>
        </w:rPr>
        <w:lastRenderedPageBreak/>
        <w:drawing>
          <wp:inline distT="0" distB="0" distL="0" distR="0">
            <wp:extent cx="1737360" cy="7712673"/>
            <wp:effectExtent l="19050" t="0" r="0" b="0"/>
            <wp:docPr id="8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srcRect/>
                    <a:stretch>
                      <a:fillRect/>
                    </a:stretch>
                  </pic:blipFill>
                  <pic:spPr bwMode="auto">
                    <a:xfrm>
                      <a:off x="0" y="0"/>
                      <a:ext cx="1737360" cy="7712673"/>
                    </a:xfrm>
                    <a:prstGeom prst="rect">
                      <a:avLst/>
                    </a:prstGeom>
                    <a:noFill/>
                    <a:ln w="9525">
                      <a:noFill/>
                      <a:miter lim="800000"/>
                      <a:headEnd/>
                      <a:tailEnd/>
                    </a:ln>
                  </pic:spPr>
                </pic:pic>
              </a:graphicData>
            </a:graphic>
          </wp:inline>
        </w:drawing>
      </w:r>
    </w:p>
    <w:p w:rsidR="00BC1D60" w:rsidRDefault="00BC1D60" w:rsidP="00BC1D60">
      <w:pPr>
        <w:pStyle w:val="Heading1"/>
        <w:spacing w:before="0" w:after="120"/>
      </w:pPr>
      <w:bookmarkStart w:id="213" w:name="_Toc392099078"/>
      <w:bookmarkStart w:id="214" w:name="_Toc392081815"/>
      <w:bookmarkStart w:id="215" w:name="_Toc392081878"/>
      <w:r w:rsidRPr="00D17BB1">
        <w:t>Havas (HAV FP/N/€</w:t>
      </w:r>
      <w:r>
        <w:t>6.01</w:t>
      </w:r>
      <w:r w:rsidRPr="00D17BB1">
        <w:t>)</w:t>
      </w:r>
      <w:bookmarkEnd w:id="213"/>
      <w:bookmarkEnd w:id="214"/>
      <w:bookmarkEnd w:id="215"/>
    </w:p>
    <w:p w:rsidR="00BC1D60" w:rsidRDefault="00BC1D60" w:rsidP="00BC1D60">
      <w:pPr>
        <w:pStyle w:val="Heading2"/>
        <w:spacing w:after="40"/>
        <w:rPr>
          <w:i/>
        </w:rPr>
      </w:pPr>
      <w:r w:rsidRPr="00D17BB1">
        <w:rPr>
          <w:i/>
        </w:rPr>
        <w:t>Growth story with attractive FCF yield</w:t>
      </w:r>
    </w:p>
    <w:p w:rsidR="00BC1D60" w:rsidRPr="00D17BB1" w:rsidRDefault="00BC1D60" w:rsidP="00BC1D60">
      <w:pPr>
        <w:pStyle w:val="Heading3"/>
        <w:spacing w:after="0"/>
      </w:pPr>
      <w:r w:rsidRPr="00D17BB1">
        <w:t>Investment Highlights:</w:t>
      </w:r>
    </w:p>
    <w:p w:rsidR="00BC1D60" w:rsidRDefault="00BC1D60" w:rsidP="00BC1D60">
      <w:pPr>
        <w:pStyle w:val="Bullet"/>
        <w:tabs>
          <w:tab w:val="clear" w:pos="288"/>
        </w:tabs>
        <w:spacing w:after="60"/>
        <w:rPr>
          <w:lang w:val="en-GB"/>
        </w:rPr>
      </w:pPr>
      <w:r w:rsidRPr="00D17BB1">
        <w:rPr>
          <w:b/>
          <w:lang w:val="en-GB"/>
        </w:rPr>
        <w:t>Good fit with our top-down views:</w:t>
      </w:r>
      <w:r w:rsidRPr="00D17BB1">
        <w:rPr>
          <w:lang w:val="en-GB"/>
        </w:rPr>
        <w:t xml:space="preserve"> The SMid </w:t>
      </w:r>
      <w:r>
        <w:rPr>
          <w:lang w:val="en-GB"/>
        </w:rPr>
        <w:t>S</w:t>
      </w:r>
      <w:r w:rsidRPr="00D17BB1">
        <w:rPr>
          <w:lang w:val="en-GB"/>
        </w:rPr>
        <w:t>trategy team has maintained a constant OW on Media in recent years, considering Ad Agencies an attractive wa</w:t>
      </w:r>
      <w:r w:rsidRPr="00F76734">
        <w:rPr>
          <w:lang w:val="en-GB"/>
        </w:rPr>
        <w:t xml:space="preserve">y to capture the growth inherent in the global digital revolution. We believe that the role of advertising agencies will have to expand as the barriers between mktg and technology continue to get more blurred, thanks to the growth in SMAC (social, mobile, analytics/big data, clouds) and e-commerce.  </w:t>
      </w:r>
    </w:p>
    <w:p w:rsidR="00BC1D60" w:rsidRDefault="00BC1D60" w:rsidP="00BC1D60">
      <w:pPr>
        <w:pStyle w:val="Bullet"/>
        <w:spacing w:after="60"/>
        <w:rPr>
          <w:bCs/>
          <w:u w:val="single"/>
          <w:lang w:val="en-GB"/>
        </w:rPr>
      </w:pPr>
      <w:r w:rsidRPr="00F76734">
        <w:rPr>
          <w:b/>
          <w:lang w:val="en-GB"/>
        </w:rPr>
        <w:t>Attractive valuation for the grw.</w:t>
      </w:r>
      <w:r w:rsidRPr="00F76734">
        <w:rPr>
          <w:bCs/>
          <w:lang w:val="en-GB"/>
        </w:rPr>
        <w:t xml:space="preserve"> The stock trades on a Fw P/E of 16.2x (IBES) for a stock that grew earnings every yr throughout the crisis at a rate of &gt;10% /yr and for which IBES estimates forecast &gt;10% CAGR from ’13-‘16E.  At present, among European SMid-Caps, stocks with estimated 7% or better EPS growth and solid balance sheets are at present commanding an avg trailing P/E of &gt;24x (Havas’s multiple stands at 19.1x).</w:t>
      </w:r>
    </w:p>
    <w:p w:rsidR="00BC1D60" w:rsidRDefault="00BC1D60" w:rsidP="00BC1D60">
      <w:pPr>
        <w:pStyle w:val="Bullet"/>
        <w:spacing w:after="60"/>
        <w:rPr>
          <w:bCs/>
          <w:u w:val="single"/>
          <w:lang w:val="en-GB"/>
        </w:rPr>
      </w:pPr>
      <w:r w:rsidRPr="00F76734">
        <w:rPr>
          <w:b/>
          <w:lang w:val="en-GB"/>
        </w:rPr>
        <w:t>Compelling FCF Yld story.</w:t>
      </w:r>
      <w:r w:rsidRPr="00F76734">
        <w:rPr>
          <w:bCs/>
          <w:lang w:val="en-GB"/>
        </w:rPr>
        <w:t xml:space="preserve">  Havas’s FCF Yld stands at 4.5% for 2013A… moving to 7.2% in ’14 on JPMe.  Match this with its strong balance sheet (0.4x ND/EBITDA on JPMe ‘14E) and in our view, there is significant firepower for the company to create value for investors.</w:t>
      </w:r>
      <w:r w:rsidRPr="00F76734">
        <w:rPr>
          <w:bCs/>
          <w:u w:val="single"/>
          <w:lang w:val="en-GB"/>
        </w:rPr>
        <w:t xml:space="preserve"> </w:t>
      </w:r>
    </w:p>
    <w:p w:rsidR="00BC1D60" w:rsidRPr="00F76734" w:rsidRDefault="00BC1D60" w:rsidP="00BC1D60">
      <w:pPr>
        <w:pStyle w:val="Bullet"/>
        <w:rPr>
          <w:bCs/>
          <w:u w:val="single"/>
          <w:lang w:val="en-GB"/>
        </w:rPr>
      </w:pPr>
      <w:r w:rsidRPr="00F76734">
        <w:rPr>
          <w:b/>
          <w:lang w:val="en-GB"/>
        </w:rPr>
        <w:t xml:space="preserve">Potential player in further industry consolidation. </w:t>
      </w:r>
      <w:r w:rsidRPr="00F76734">
        <w:rPr>
          <w:lang w:val="en-GB"/>
        </w:rPr>
        <w:t>The termination of the PUB/OMC merger increased interest in Havas as a potential player in further industry consolidation (source: Reuters news article May 11</w:t>
      </w:r>
      <w:r w:rsidRPr="00F76734">
        <w:rPr>
          <w:vertAlign w:val="superscript"/>
          <w:lang w:val="en-GB"/>
        </w:rPr>
        <w:t>th</w:t>
      </w:r>
      <w:r w:rsidRPr="00F76734">
        <w:rPr>
          <w:lang w:val="en-GB"/>
        </w:rPr>
        <w:t xml:space="preserve">). </w:t>
      </w:r>
      <w:r w:rsidRPr="00F76734">
        <w:rPr>
          <w:bCs/>
          <w:u w:val="single"/>
          <w:lang w:val="en-GB"/>
        </w:rPr>
        <w:t xml:space="preserve"> </w:t>
      </w:r>
    </w:p>
    <w:p w:rsidR="00BC1D60" w:rsidRPr="00F76734" w:rsidRDefault="00BC1D60" w:rsidP="00BC1D60">
      <w:pPr>
        <w:pStyle w:val="Heading3"/>
        <w:spacing w:after="120" w:line="220" w:lineRule="exact"/>
        <w:rPr>
          <w:b w:val="0"/>
        </w:rPr>
      </w:pPr>
      <w:r w:rsidRPr="00F76734">
        <w:t xml:space="preserve">Valuation/Risks to our view: </w:t>
      </w:r>
      <w:r w:rsidRPr="00F76734">
        <w:rPr>
          <w:b w:val="0"/>
        </w:rPr>
        <w:t>Our DCF-based Jun’15 PT is €6.7. Key risks to our view include: i) a quicker/slower improvement in European advertising trends than currently anticipated; ii) significant new business wins/losses; iii) value-destroying acquisitions; and iv) upside risks include a potential share buyback or special div.</w:t>
      </w:r>
    </w:p>
    <w:p w:rsidR="00BC1D60" w:rsidRPr="00F76734" w:rsidRDefault="00BC1D60" w:rsidP="00BC1D60">
      <w:pPr>
        <w:pStyle w:val="Heading3"/>
        <w:spacing w:after="120"/>
        <w:rPr>
          <w:b w:val="0"/>
        </w:rPr>
      </w:pPr>
      <w:r w:rsidRPr="00F76734">
        <w:t xml:space="preserve">Havas in a Nutshell: </w:t>
      </w:r>
      <w:r w:rsidRPr="00F76734">
        <w:rPr>
          <w:b w:val="0"/>
        </w:rPr>
        <w:t>Havas</w:t>
      </w:r>
      <w:r w:rsidRPr="00F76734">
        <w:t xml:space="preserve"> </w:t>
      </w:r>
      <w:r w:rsidRPr="00F76734">
        <w:rPr>
          <w:b w:val="0"/>
        </w:rPr>
        <w:t xml:space="preserve">is one of the world’s largest global advertising, digital and communication groups, with two main business units—Havas Worldwide and Havas Media. Havas Worldwide includes the co’s chief global advertising network, which offers a full suite of advertising and marketing services businesses, as well as some smaller local agencies. Media buying is handled by Havas Media, which includes Havas Digital, Media Planning Group (MPG), Media Contacts, and Arena. </w:t>
      </w:r>
    </w:p>
    <w:p w:rsidR="00BC1D60" w:rsidRPr="00F76734" w:rsidRDefault="00BC1D60" w:rsidP="00BC1D60">
      <w:pPr>
        <w:pStyle w:val="Heading3"/>
        <w:spacing w:after="0"/>
      </w:pPr>
      <w:r w:rsidRPr="00F76734">
        <w:t>Price Perf vs MSCI All Country World Small Cap (rebased as of 1-yr ago):</w:t>
      </w:r>
    </w:p>
    <w:p w:rsidR="00BC1D60" w:rsidRPr="00F76734" w:rsidRDefault="00BC1D60" w:rsidP="00BC1D60">
      <w:pPr>
        <w:pStyle w:val="Body"/>
        <w:spacing w:after="0"/>
        <w:rPr>
          <w:noProof/>
          <w:lang w:val="en-GB" w:eastAsia="en-GB"/>
        </w:rPr>
      </w:pPr>
      <w:r>
        <w:rPr>
          <w:noProof/>
        </w:rPr>
        <w:drawing>
          <wp:inline distT="0" distB="0" distL="0" distR="0">
            <wp:extent cx="4352925" cy="1485900"/>
            <wp:effectExtent l="19050" t="0" r="9525" b="0"/>
            <wp:docPr id="8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srcRect t="6857" b="4000"/>
                    <a:stretch>
                      <a:fillRect/>
                    </a:stretch>
                  </pic:blipFill>
                  <pic:spPr bwMode="auto">
                    <a:xfrm>
                      <a:off x="0" y="0"/>
                      <a:ext cx="4352925" cy="1485900"/>
                    </a:xfrm>
                    <a:prstGeom prst="rect">
                      <a:avLst/>
                    </a:prstGeom>
                    <a:noFill/>
                    <a:ln w="9525">
                      <a:noFill/>
                      <a:miter lim="800000"/>
                      <a:headEnd/>
                      <a:tailEnd/>
                    </a:ln>
                  </pic:spPr>
                </pic:pic>
              </a:graphicData>
            </a:graphic>
          </wp:inline>
        </w:drawing>
      </w:r>
    </w:p>
    <w:p w:rsidR="00BC1D60" w:rsidRPr="00F76734" w:rsidRDefault="00BC1D60" w:rsidP="00BC1D60">
      <w:pPr>
        <w:pStyle w:val="Source"/>
        <w:spacing w:before="0" w:after="120" w:line="240" w:lineRule="auto"/>
      </w:pPr>
      <w:r w:rsidRPr="00F76734">
        <w:t>Source: Bloomberg</w:t>
      </w:r>
    </w:p>
    <w:p w:rsidR="00BC1D60" w:rsidRDefault="00BC1D60" w:rsidP="00BC1D60">
      <w:pPr>
        <w:pStyle w:val="ESTableCaption"/>
        <w:keepNext/>
      </w:pPr>
      <w:r w:rsidRPr="00FF1987">
        <w:t>J.P. Morgan Estimates</w:t>
      </w:r>
      <w:r w:rsidRPr="004F1ABB">
        <w:rPr>
          <w:highlight w:val="yellow"/>
        </w:rPr>
        <w:br/>
      </w:r>
      <w:r>
        <w:rPr>
          <w:sz w:val="16"/>
        </w:rPr>
        <w:t>Havas SA (EURC.PA;HAV FP)</w:t>
      </w:r>
    </w:p>
    <w:tbl>
      <w:tblPr>
        <w:tblW w:w="5000" w:type="pct"/>
        <w:tblCellMar>
          <w:left w:w="0" w:type="dxa"/>
          <w:right w:w="43" w:type="dxa"/>
        </w:tblCellMar>
        <w:tblLook w:val="01E0"/>
      </w:tblPr>
      <w:tblGrid>
        <w:gridCol w:w="2013"/>
        <w:gridCol w:w="976"/>
        <w:gridCol w:w="977"/>
        <w:gridCol w:w="977"/>
        <w:gridCol w:w="977"/>
        <w:gridCol w:w="977"/>
      </w:tblGrid>
      <w:tr w:rsidR="00BC1D60" w:rsidTr="00BC5B38">
        <w:trPr>
          <w:cantSplit/>
        </w:trPr>
        <w:tc>
          <w:tcPr>
            <w:tcW w:w="2000" w:type="dxa"/>
            <w:tcBorders>
              <w:top w:val="single" w:sz="4" w:space="0" w:color="auto"/>
            </w:tcBorders>
          </w:tcPr>
          <w:p w:rsidR="00BC1D60" w:rsidRDefault="00BC1D60" w:rsidP="00BC5B38">
            <w:pPr>
              <w:pStyle w:val="ESTableRow"/>
              <w:keepNext/>
            </w:pPr>
            <w:r>
              <w:rPr>
                <w:b/>
              </w:rPr>
              <w:t>FYE Dec</w:t>
            </w:r>
          </w:p>
        </w:tc>
        <w:tc>
          <w:tcPr>
            <w:tcW w:w="970" w:type="dxa"/>
            <w:tcBorders>
              <w:top w:val="single" w:sz="4" w:space="0" w:color="auto"/>
            </w:tcBorders>
          </w:tcPr>
          <w:p w:rsidR="00BC1D60" w:rsidRDefault="00BC1D60" w:rsidP="00BC5B38">
            <w:pPr>
              <w:pStyle w:val="ESTableRow"/>
              <w:keepNext/>
              <w:jc w:val="right"/>
            </w:pPr>
            <w:r>
              <w:rPr>
                <w:b/>
              </w:rPr>
              <w:t>2011A</w:t>
            </w:r>
          </w:p>
        </w:tc>
        <w:tc>
          <w:tcPr>
            <w:tcW w:w="970" w:type="dxa"/>
            <w:tcBorders>
              <w:top w:val="single" w:sz="4" w:space="0" w:color="auto"/>
            </w:tcBorders>
          </w:tcPr>
          <w:p w:rsidR="00BC1D60" w:rsidRDefault="00BC1D60" w:rsidP="00BC5B38">
            <w:pPr>
              <w:pStyle w:val="ESTableRow"/>
              <w:keepNext/>
              <w:jc w:val="right"/>
            </w:pPr>
            <w:r>
              <w:rPr>
                <w:b/>
              </w:rPr>
              <w:t>2012A</w:t>
            </w:r>
          </w:p>
        </w:tc>
        <w:tc>
          <w:tcPr>
            <w:tcW w:w="970" w:type="dxa"/>
            <w:tcBorders>
              <w:top w:val="single" w:sz="4" w:space="0" w:color="auto"/>
            </w:tcBorders>
          </w:tcPr>
          <w:p w:rsidR="00BC1D60" w:rsidRDefault="00BC1D60" w:rsidP="00BC5B38">
            <w:pPr>
              <w:pStyle w:val="ESTableRow"/>
              <w:keepNext/>
              <w:jc w:val="right"/>
            </w:pPr>
            <w:r>
              <w:rPr>
                <w:b/>
              </w:rPr>
              <w:t>2013A</w:t>
            </w:r>
          </w:p>
        </w:tc>
        <w:tc>
          <w:tcPr>
            <w:tcW w:w="970" w:type="dxa"/>
            <w:tcBorders>
              <w:top w:val="single" w:sz="4" w:space="0" w:color="auto"/>
            </w:tcBorders>
          </w:tcPr>
          <w:p w:rsidR="00BC1D60" w:rsidRDefault="00BC1D60" w:rsidP="00BC5B38">
            <w:pPr>
              <w:pStyle w:val="ESTableRow"/>
              <w:keepNext/>
              <w:jc w:val="right"/>
            </w:pPr>
            <w:r>
              <w:rPr>
                <w:b/>
              </w:rPr>
              <w:t>2014E</w:t>
            </w:r>
          </w:p>
        </w:tc>
        <w:tc>
          <w:tcPr>
            <w:tcW w:w="970" w:type="dxa"/>
            <w:tcBorders>
              <w:top w:val="single" w:sz="4" w:space="0" w:color="auto"/>
            </w:tcBorders>
          </w:tcPr>
          <w:p w:rsidR="00BC1D60" w:rsidRDefault="00BC1D60" w:rsidP="00BC5B38">
            <w:pPr>
              <w:pStyle w:val="ESTableRow"/>
              <w:keepNext/>
              <w:jc w:val="right"/>
            </w:pPr>
            <w:r>
              <w:rPr>
                <w:b/>
              </w:rPr>
              <w:t>2015E</w:t>
            </w:r>
          </w:p>
        </w:tc>
      </w:tr>
      <w:tr w:rsidR="00BC1D60" w:rsidTr="00BC5B38">
        <w:trPr>
          <w:cantSplit/>
        </w:trPr>
        <w:tc>
          <w:tcPr>
            <w:tcW w:w="2000" w:type="dxa"/>
            <w:tcBorders>
              <w:top w:val="single" w:sz="4" w:space="0" w:color="auto"/>
            </w:tcBorders>
          </w:tcPr>
          <w:p w:rsidR="00BC1D60" w:rsidRDefault="00BC1D60" w:rsidP="00BC5B38">
            <w:pPr>
              <w:pStyle w:val="ESTableRow"/>
              <w:keepNext/>
            </w:pPr>
            <w:r>
              <w:t>Adj. EPS FY (€)</w:t>
            </w:r>
          </w:p>
        </w:tc>
        <w:tc>
          <w:tcPr>
            <w:tcW w:w="970" w:type="dxa"/>
            <w:tcBorders>
              <w:top w:val="single" w:sz="4" w:space="0" w:color="auto"/>
            </w:tcBorders>
          </w:tcPr>
          <w:p w:rsidR="00BC1D60" w:rsidRDefault="00BC1D60" w:rsidP="00BC5B38">
            <w:pPr>
              <w:pStyle w:val="ESTableRow"/>
              <w:keepNext/>
              <w:jc w:val="right"/>
            </w:pPr>
            <w:r>
              <w:t>0.28</w:t>
            </w:r>
          </w:p>
        </w:tc>
        <w:tc>
          <w:tcPr>
            <w:tcW w:w="970" w:type="dxa"/>
            <w:tcBorders>
              <w:top w:val="single" w:sz="4" w:space="0" w:color="auto"/>
            </w:tcBorders>
          </w:tcPr>
          <w:p w:rsidR="00BC1D60" w:rsidRDefault="00BC1D60" w:rsidP="00BC5B38">
            <w:pPr>
              <w:pStyle w:val="ESTableRow"/>
              <w:keepNext/>
              <w:jc w:val="right"/>
            </w:pPr>
            <w:r>
              <w:t>0.32</w:t>
            </w:r>
          </w:p>
        </w:tc>
        <w:tc>
          <w:tcPr>
            <w:tcW w:w="970" w:type="dxa"/>
            <w:tcBorders>
              <w:top w:val="single" w:sz="4" w:space="0" w:color="auto"/>
            </w:tcBorders>
          </w:tcPr>
          <w:p w:rsidR="00BC1D60" w:rsidRDefault="00BC1D60" w:rsidP="00BC5B38">
            <w:pPr>
              <w:pStyle w:val="ESTableRow"/>
              <w:keepNext/>
              <w:jc w:val="right"/>
            </w:pPr>
            <w:r>
              <w:t>0.32</w:t>
            </w:r>
          </w:p>
        </w:tc>
        <w:tc>
          <w:tcPr>
            <w:tcW w:w="970" w:type="dxa"/>
            <w:tcBorders>
              <w:top w:val="single" w:sz="4" w:space="0" w:color="auto"/>
            </w:tcBorders>
          </w:tcPr>
          <w:p w:rsidR="00BC1D60" w:rsidRDefault="00BC1D60" w:rsidP="00BC5B38">
            <w:pPr>
              <w:pStyle w:val="ESTableRow"/>
              <w:keepNext/>
              <w:jc w:val="right"/>
            </w:pPr>
            <w:r>
              <w:t>0.36</w:t>
            </w:r>
          </w:p>
        </w:tc>
        <w:tc>
          <w:tcPr>
            <w:tcW w:w="970" w:type="dxa"/>
            <w:tcBorders>
              <w:top w:val="single" w:sz="4" w:space="0" w:color="auto"/>
            </w:tcBorders>
          </w:tcPr>
          <w:p w:rsidR="00BC1D60" w:rsidRDefault="00BC1D60" w:rsidP="00BC5B38">
            <w:pPr>
              <w:pStyle w:val="ESTableRow"/>
              <w:keepNext/>
              <w:jc w:val="right"/>
            </w:pPr>
            <w:r>
              <w:t>0.39</w:t>
            </w:r>
          </w:p>
        </w:tc>
      </w:tr>
      <w:tr w:rsidR="00BC1D60" w:rsidTr="00BC5B38">
        <w:trPr>
          <w:cantSplit/>
        </w:trPr>
        <w:tc>
          <w:tcPr>
            <w:tcW w:w="2000" w:type="dxa"/>
          </w:tcPr>
          <w:p w:rsidR="00BC1D60" w:rsidRDefault="00BC1D60" w:rsidP="00BC5B38">
            <w:pPr>
              <w:pStyle w:val="ESTableRow"/>
              <w:keepNext/>
            </w:pPr>
            <w:r>
              <w:t>Revenue FY (€ mn)</w:t>
            </w:r>
          </w:p>
        </w:tc>
        <w:tc>
          <w:tcPr>
            <w:tcW w:w="970" w:type="dxa"/>
          </w:tcPr>
          <w:p w:rsidR="00BC1D60" w:rsidRDefault="00BC1D60" w:rsidP="00BC5B38">
            <w:pPr>
              <w:pStyle w:val="ESTableRow"/>
              <w:keepNext/>
              <w:jc w:val="right"/>
            </w:pPr>
            <w:r>
              <w:t>1,645</w:t>
            </w:r>
          </w:p>
        </w:tc>
        <w:tc>
          <w:tcPr>
            <w:tcW w:w="970" w:type="dxa"/>
          </w:tcPr>
          <w:p w:rsidR="00BC1D60" w:rsidRDefault="00BC1D60" w:rsidP="00BC5B38">
            <w:pPr>
              <w:pStyle w:val="ESTableRow"/>
              <w:keepNext/>
              <w:jc w:val="right"/>
            </w:pPr>
            <w:r>
              <w:t>1,778</w:t>
            </w:r>
          </w:p>
        </w:tc>
        <w:tc>
          <w:tcPr>
            <w:tcW w:w="970" w:type="dxa"/>
          </w:tcPr>
          <w:p w:rsidR="00BC1D60" w:rsidRDefault="00BC1D60" w:rsidP="00BC5B38">
            <w:pPr>
              <w:pStyle w:val="ESTableRow"/>
              <w:keepNext/>
              <w:jc w:val="right"/>
            </w:pPr>
            <w:r>
              <w:t>1,772</w:t>
            </w:r>
          </w:p>
        </w:tc>
        <w:tc>
          <w:tcPr>
            <w:tcW w:w="970" w:type="dxa"/>
          </w:tcPr>
          <w:p w:rsidR="00BC1D60" w:rsidRDefault="00BC1D60" w:rsidP="00BC5B38">
            <w:pPr>
              <w:pStyle w:val="ESTableRow"/>
              <w:keepNext/>
              <w:jc w:val="right"/>
            </w:pPr>
            <w:r>
              <w:t>1,821</w:t>
            </w:r>
          </w:p>
        </w:tc>
        <w:tc>
          <w:tcPr>
            <w:tcW w:w="970" w:type="dxa"/>
          </w:tcPr>
          <w:p w:rsidR="00BC1D60" w:rsidRDefault="00BC1D60" w:rsidP="00BC5B38">
            <w:pPr>
              <w:pStyle w:val="ESTableRow"/>
              <w:keepNext/>
              <w:jc w:val="right"/>
            </w:pPr>
            <w:r>
              <w:t>1,865</w:t>
            </w:r>
          </w:p>
        </w:tc>
      </w:tr>
      <w:tr w:rsidR="00BC1D60" w:rsidTr="00BC5B38">
        <w:trPr>
          <w:cantSplit/>
        </w:trPr>
        <w:tc>
          <w:tcPr>
            <w:tcW w:w="2000" w:type="dxa"/>
          </w:tcPr>
          <w:p w:rsidR="00BC1D60" w:rsidRDefault="00BC1D60" w:rsidP="00BC5B38">
            <w:pPr>
              <w:pStyle w:val="ESTableRow"/>
              <w:keepNext/>
            </w:pPr>
            <w:r>
              <w:t>EBITDA FY (€ mn)</w:t>
            </w:r>
          </w:p>
        </w:tc>
        <w:tc>
          <w:tcPr>
            <w:tcW w:w="970" w:type="dxa"/>
          </w:tcPr>
          <w:p w:rsidR="00BC1D60" w:rsidRDefault="00BC1D60" w:rsidP="00BC5B38">
            <w:pPr>
              <w:pStyle w:val="ESTableRow"/>
              <w:keepNext/>
              <w:jc w:val="right"/>
            </w:pPr>
            <w:r>
              <w:t>235</w:t>
            </w:r>
          </w:p>
        </w:tc>
        <w:tc>
          <w:tcPr>
            <w:tcW w:w="970" w:type="dxa"/>
          </w:tcPr>
          <w:p w:rsidR="00BC1D60" w:rsidRDefault="00BC1D60" w:rsidP="00BC5B38">
            <w:pPr>
              <w:pStyle w:val="ESTableRow"/>
              <w:keepNext/>
              <w:jc w:val="right"/>
            </w:pPr>
            <w:r>
              <w:t>258</w:t>
            </w:r>
          </w:p>
        </w:tc>
        <w:tc>
          <w:tcPr>
            <w:tcW w:w="970" w:type="dxa"/>
          </w:tcPr>
          <w:p w:rsidR="00BC1D60" w:rsidRDefault="00BC1D60" w:rsidP="00BC5B38">
            <w:pPr>
              <w:pStyle w:val="ESTableRow"/>
              <w:keepNext/>
              <w:jc w:val="right"/>
            </w:pPr>
            <w:r>
              <w:t>280</w:t>
            </w:r>
          </w:p>
        </w:tc>
        <w:tc>
          <w:tcPr>
            <w:tcW w:w="970" w:type="dxa"/>
          </w:tcPr>
          <w:p w:rsidR="00BC1D60" w:rsidRDefault="00BC1D60" w:rsidP="00BC5B38">
            <w:pPr>
              <w:pStyle w:val="ESTableRow"/>
              <w:keepNext/>
              <w:jc w:val="right"/>
            </w:pPr>
            <w:r>
              <w:t>303</w:t>
            </w:r>
          </w:p>
        </w:tc>
        <w:tc>
          <w:tcPr>
            <w:tcW w:w="970" w:type="dxa"/>
          </w:tcPr>
          <w:p w:rsidR="00BC1D60" w:rsidRDefault="00BC1D60" w:rsidP="00BC5B38">
            <w:pPr>
              <w:pStyle w:val="ESTableRow"/>
              <w:keepNext/>
              <w:jc w:val="right"/>
            </w:pPr>
            <w:r>
              <w:t>318</w:t>
            </w:r>
          </w:p>
        </w:tc>
      </w:tr>
      <w:tr w:rsidR="00BC1D60" w:rsidTr="00BC5B38">
        <w:trPr>
          <w:cantSplit/>
        </w:trPr>
        <w:tc>
          <w:tcPr>
            <w:tcW w:w="2000" w:type="dxa"/>
          </w:tcPr>
          <w:p w:rsidR="00BC1D60" w:rsidRDefault="00BC1D60" w:rsidP="00BC5B38">
            <w:pPr>
              <w:pStyle w:val="ESTableRow"/>
              <w:keepNext/>
            </w:pPr>
            <w:r>
              <w:t xml:space="preserve">EBITDA Margin FY </w:t>
            </w:r>
          </w:p>
        </w:tc>
        <w:tc>
          <w:tcPr>
            <w:tcW w:w="970" w:type="dxa"/>
          </w:tcPr>
          <w:p w:rsidR="00BC1D60" w:rsidRDefault="00BC1D60" w:rsidP="00BC5B38">
            <w:pPr>
              <w:pStyle w:val="ESTableRow"/>
              <w:keepNext/>
              <w:jc w:val="right"/>
            </w:pPr>
            <w:r>
              <w:t>14.3%</w:t>
            </w:r>
          </w:p>
        </w:tc>
        <w:tc>
          <w:tcPr>
            <w:tcW w:w="970" w:type="dxa"/>
          </w:tcPr>
          <w:p w:rsidR="00BC1D60" w:rsidRDefault="00BC1D60" w:rsidP="00BC5B38">
            <w:pPr>
              <w:pStyle w:val="ESTableRow"/>
              <w:keepNext/>
              <w:jc w:val="right"/>
            </w:pPr>
            <w:r>
              <w:t>14.5%</w:t>
            </w:r>
          </w:p>
        </w:tc>
        <w:tc>
          <w:tcPr>
            <w:tcW w:w="970" w:type="dxa"/>
          </w:tcPr>
          <w:p w:rsidR="00BC1D60" w:rsidRDefault="00BC1D60" w:rsidP="00BC5B38">
            <w:pPr>
              <w:pStyle w:val="ESTableRow"/>
              <w:keepNext/>
              <w:jc w:val="right"/>
            </w:pPr>
            <w:r>
              <w:t>15.8%</w:t>
            </w:r>
          </w:p>
        </w:tc>
        <w:tc>
          <w:tcPr>
            <w:tcW w:w="970" w:type="dxa"/>
          </w:tcPr>
          <w:p w:rsidR="00BC1D60" w:rsidRDefault="00BC1D60" w:rsidP="00BC5B38">
            <w:pPr>
              <w:pStyle w:val="ESTableRow"/>
              <w:keepNext/>
              <w:jc w:val="right"/>
            </w:pPr>
            <w:r>
              <w:t>16.7%</w:t>
            </w:r>
          </w:p>
        </w:tc>
        <w:tc>
          <w:tcPr>
            <w:tcW w:w="970" w:type="dxa"/>
          </w:tcPr>
          <w:p w:rsidR="00BC1D60" w:rsidRDefault="00BC1D60" w:rsidP="00BC5B38">
            <w:pPr>
              <w:pStyle w:val="ESTableRow"/>
              <w:keepNext/>
              <w:jc w:val="right"/>
            </w:pPr>
            <w:r>
              <w:t>17.0%</w:t>
            </w:r>
          </w:p>
        </w:tc>
      </w:tr>
      <w:tr w:rsidR="00BC1D60" w:rsidTr="00BC5B38">
        <w:trPr>
          <w:cantSplit/>
        </w:trPr>
        <w:tc>
          <w:tcPr>
            <w:tcW w:w="2000" w:type="dxa"/>
          </w:tcPr>
          <w:p w:rsidR="00BC1D60" w:rsidRDefault="00BC1D60" w:rsidP="00BC5B38">
            <w:pPr>
              <w:pStyle w:val="ESTableRow"/>
              <w:keepNext/>
            </w:pPr>
            <w:r>
              <w:t>EBIT FY (€ mn)</w:t>
            </w:r>
          </w:p>
        </w:tc>
        <w:tc>
          <w:tcPr>
            <w:tcW w:w="970" w:type="dxa"/>
          </w:tcPr>
          <w:p w:rsidR="00BC1D60" w:rsidRDefault="00BC1D60" w:rsidP="00BC5B38">
            <w:pPr>
              <w:pStyle w:val="ESTableRow"/>
              <w:keepNext/>
              <w:jc w:val="right"/>
            </w:pPr>
            <w:r>
              <w:t>197</w:t>
            </w:r>
          </w:p>
        </w:tc>
        <w:tc>
          <w:tcPr>
            <w:tcW w:w="970" w:type="dxa"/>
          </w:tcPr>
          <w:p w:rsidR="00BC1D60" w:rsidRDefault="00BC1D60" w:rsidP="00BC5B38">
            <w:pPr>
              <w:pStyle w:val="ESTableRow"/>
              <w:keepNext/>
              <w:jc w:val="right"/>
            </w:pPr>
            <w:r>
              <w:t>219</w:t>
            </w:r>
          </w:p>
        </w:tc>
        <w:tc>
          <w:tcPr>
            <w:tcW w:w="970" w:type="dxa"/>
          </w:tcPr>
          <w:p w:rsidR="00BC1D60" w:rsidRDefault="00BC1D60" w:rsidP="00BC5B38">
            <w:pPr>
              <w:pStyle w:val="ESTableRow"/>
              <w:keepNext/>
              <w:jc w:val="right"/>
            </w:pPr>
            <w:r>
              <w:t>226</w:t>
            </w:r>
          </w:p>
        </w:tc>
        <w:tc>
          <w:tcPr>
            <w:tcW w:w="970" w:type="dxa"/>
          </w:tcPr>
          <w:p w:rsidR="00BC1D60" w:rsidRDefault="00BC1D60" w:rsidP="00BC5B38">
            <w:pPr>
              <w:pStyle w:val="ESTableRow"/>
              <w:keepNext/>
              <w:jc w:val="right"/>
            </w:pPr>
            <w:r>
              <w:t>247</w:t>
            </w:r>
          </w:p>
        </w:tc>
        <w:tc>
          <w:tcPr>
            <w:tcW w:w="970" w:type="dxa"/>
          </w:tcPr>
          <w:p w:rsidR="00BC1D60" w:rsidRDefault="00BC1D60" w:rsidP="00BC5B38">
            <w:pPr>
              <w:pStyle w:val="ESTableRow"/>
              <w:keepNext/>
              <w:jc w:val="right"/>
            </w:pPr>
            <w:r>
              <w:t>262</w:t>
            </w:r>
          </w:p>
        </w:tc>
      </w:tr>
      <w:tr w:rsidR="00BC1D60" w:rsidTr="00BC5B38">
        <w:trPr>
          <w:cantSplit/>
        </w:trPr>
        <w:tc>
          <w:tcPr>
            <w:tcW w:w="2000" w:type="dxa"/>
          </w:tcPr>
          <w:p w:rsidR="00BC1D60" w:rsidRDefault="00BC1D60" w:rsidP="00BC5B38">
            <w:pPr>
              <w:pStyle w:val="ESTableRow"/>
              <w:keepNext/>
            </w:pPr>
            <w:r>
              <w:t xml:space="preserve">EBIT Margin FY </w:t>
            </w:r>
          </w:p>
        </w:tc>
        <w:tc>
          <w:tcPr>
            <w:tcW w:w="970" w:type="dxa"/>
          </w:tcPr>
          <w:p w:rsidR="00BC1D60" w:rsidRDefault="00BC1D60" w:rsidP="00BC5B38">
            <w:pPr>
              <w:pStyle w:val="ESTableRow"/>
              <w:keepNext/>
              <w:jc w:val="right"/>
            </w:pPr>
            <w:r>
              <w:t>12.0%</w:t>
            </w:r>
          </w:p>
        </w:tc>
        <w:tc>
          <w:tcPr>
            <w:tcW w:w="970" w:type="dxa"/>
          </w:tcPr>
          <w:p w:rsidR="00BC1D60" w:rsidRDefault="00BC1D60" w:rsidP="00BC5B38">
            <w:pPr>
              <w:pStyle w:val="ESTableRow"/>
              <w:keepNext/>
              <w:jc w:val="right"/>
            </w:pPr>
            <w:r>
              <w:t>12.3%</w:t>
            </w:r>
          </w:p>
        </w:tc>
        <w:tc>
          <w:tcPr>
            <w:tcW w:w="970" w:type="dxa"/>
          </w:tcPr>
          <w:p w:rsidR="00BC1D60" w:rsidRDefault="00BC1D60" w:rsidP="00BC5B38">
            <w:pPr>
              <w:pStyle w:val="ESTableRow"/>
              <w:keepNext/>
              <w:jc w:val="right"/>
            </w:pPr>
            <w:r>
              <w:t>12.7%</w:t>
            </w:r>
          </w:p>
        </w:tc>
        <w:tc>
          <w:tcPr>
            <w:tcW w:w="970" w:type="dxa"/>
          </w:tcPr>
          <w:p w:rsidR="00BC1D60" w:rsidRDefault="00BC1D60" w:rsidP="00BC5B38">
            <w:pPr>
              <w:pStyle w:val="ESTableRow"/>
              <w:keepNext/>
              <w:jc w:val="right"/>
            </w:pPr>
            <w:r>
              <w:t>13.6%</w:t>
            </w:r>
          </w:p>
        </w:tc>
        <w:tc>
          <w:tcPr>
            <w:tcW w:w="970" w:type="dxa"/>
          </w:tcPr>
          <w:p w:rsidR="00BC1D60" w:rsidRDefault="00BC1D60" w:rsidP="00BC5B38">
            <w:pPr>
              <w:pStyle w:val="ESTableRow"/>
              <w:keepNext/>
              <w:jc w:val="right"/>
            </w:pPr>
            <w:r>
              <w:t>14.0%</w:t>
            </w:r>
          </w:p>
        </w:tc>
      </w:tr>
      <w:tr w:rsidR="00BC1D60" w:rsidTr="00BC5B38">
        <w:trPr>
          <w:cantSplit/>
        </w:trPr>
        <w:tc>
          <w:tcPr>
            <w:tcW w:w="2000" w:type="dxa"/>
          </w:tcPr>
          <w:p w:rsidR="00BC1D60" w:rsidRDefault="00BC1D60" w:rsidP="00BC5B38">
            <w:pPr>
              <w:pStyle w:val="ESTableRow"/>
              <w:keepNext/>
            </w:pPr>
            <w:r>
              <w:t xml:space="preserve">Adj P/E FY </w:t>
            </w:r>
          </w:p>
        </w:tc>
        <w:tc>
          <w:tcPr>
            <w:tcW w:w="970" w:type="dxa"/>
          </w:tcPr>
          <w:p w:rsidR="00BC1D60" w:rsidRDefault="00BC1D60" w:rsidP="00BC5B38">
            <w:pPr>
              <w:pStyle w:val="ESTableRow"/>
              <w:keepNext/>
              <w:jc w:val="right"/>
            </w:pPr>
            <w:r>
              <w:t>21.5</w:t>
            </w:r>
          </w:p>
        </w:tc>
        <w:tc>
          <w:tcPr>
            <w:tcW w:w="970" w:type="dxa"/>
          </w:tcPr>
          <w:p w:rsidR="00BC1D60" w:rsidRDefault="00BC1D60" w:rsidP="00BC5B38">
            <w:pPr>
              <w:pStyle w:val="ESTableRow"/>
              <w:keepNext/>
              <w:jc w:val="right"/>
            </w:pPr>
            <w:r>
              <w:t>18.7</w:t>
            </w:r>
          </w:p>
        </w:tc>
        <w:tc>
          <w:tcPr>
            <w:tcW w:w="970" w:type="dxa"/>
          </w:tcPr>
          <w:p w:rsidR="00BC1D60" w:rsidRDefault="00BC1D60" w:rsidP="00BC5B38">
            <w:pPr>
              <w:pStyle w:val="ESTableRow"/>
              <w:keepNext/>
              <w:jc w:val="right"/>
            </w:pPr>
            <w:r>
              <w:t>18.5</w:t>
            </w:r>
          </w:p>
        </w:tc>
        <w:tc>
          <w:tcPr>
            <w:tcW w:w="970" w:type="dxa"/>
          </w:tcPr>
          <w:p w:rsidR="00BC1D60" w:rsidRDefault="00BC1D60" w:rsidP="00BC5B38">
            <w:pPr>
              <w:pStyle w:val="ESTableRow"/>
              <w:keepNext/>
              <w:jc w:val="right"/>
            </w:pPr>
            <w:r>
              <w:t>16.9</w:t>
            </w:r>
          </w:p>
        </w:tc>
        <w:tc>
          <w:tcPr>
            <w:tcW w:w="970" w:type="dxa"/>
          </w:tcPr>
          <w:p w:rsidR="00BC1D60" w:rsidRDefault="00BC1D60" w:rsidP="00BC5B38">
            <w:pPr>
              <w:pStyle w:val="ESTableRow"/>
              <w:keepNext/>
              <w:jc w:val="right"/>
            </w:pPr>
            <w:r>
              <w:t>15.5</w:t>
            </w:r>
          </w:p>
        </w:tc>
      </w:tr>
      <w:tr w:rsidR="00BC1D60" w:rsidTr="00BC5B38">
        <w:trPr>
          <w:cantSplit/>
        </w:trPr>
        <w:tc>
          <w:tcPr>
            <w:tcW w:w="2000" w:type="dxa"/>
            <w:tcBorders>
              <w:bottom w:val="single" w:sz="4" w:space="0" w:color="auto"/>
            </w:tcBorders>
          </w:tcPr>
          <w:p w:rsidR="00BC1D60" w:rsidRDefault="00BC1D60" w:rsidP="00BC5B38">
            <w:pPr>
              <w:pStyle w:val="ESTableRow"/>
              <w:keepNext/>
            </w:pPr>
            <w:r>
              <w:t>Net Att. Income FY (€ mn)</w:t>
            </w:r>
          </w:p>
        </w:tc>
        <w:tc>
          <w:tcPr>
            <w:tcW w:w="970" w:type="dxa"/>
            <w:tcBorders>
              <w:bottom w:val="single" w:sz="4" w:space="0" w:color="auto"/>
            </w:tcBorders>
          </w:tcPr>
          <w:p w:rsidR="00BC1D60" w:rsidRDefault="00BC1D60" w:rsidP="00BC5B38">
            <w:pPr>
              <w:pStyle w:val="ESTableRow"/>
              <w:keepNext/>
              <w:jc w:val="right"/>
            </w:pPr>
            <w:r>
              <w:t>120</w:t>
            </w:r>
          </w:p>
        </w:tc>
        <w:tc>
          <w:tcPr>
            <w:tcW w:w="970" w:type="dxa"/>
            <w:tcBorders>
              <w:bottom w:val="single" w:sz="4" w:space="0" w:color="auto"/>
            </w:tcBorders>
          </w:tcPr>
          <w:p w:rsidR="00BC1D60" w:rsidRDefault="00BC1D60" w:rsidP="00BC5B38">
            <w:pPr>
              <w:pStyle w:val="ESTableRow"/>
              <w:keepNext/>
              <w:jc w:val="right"/>
            </w:pPr>
            <w:r>
              <w:t>126</w:t>
            </w:r>
          </w:p>
        </w:tc>
        <w:tc>
          <w:tcPr>
            <w:tcW w:w="970" w:type="dxa"/>
            <w:tcBorders>
              <w:bottom w:val="single" w:sz="4" w:space="0" w:color="auto"/>
            </w:tcBorders>
          </w:tcPr>
          <w:p w:rsidR="00BC1D60" w:rsidRDefault="00BC1D60" w:rsidP="00BC5B38">
            <w:pPr>
              <w:pStyle w:val="ESTableRow"/>
              <w:keepNext/>
              <w:jc w:val="right"/>
            </w:pPr>
            <w:r>
              <w:t>128</w:t>
            </w:r>
          </w:p>
        </w:tc>
        <w:tc>
          <w:tcPr>
            <w:tcW w:w="970" w:type="dxa"/>
            <w:tcBorders>
              <w:bottom w:val="single" w:sz="4" w:space="0" w:color="auto"/>
            </w:tcBorders>
          </w:tcPr>
          <w:p w:rsidR="00BC1D60" w:rsidRDefault="00BC1D60" w:rsidP="00BC5B38">
            <w:pPr>
              <w:pStyle w:val="ESTableRow"/>
              <w:keepNext/>
              <w:jc w:val="right"/>
            </w:pPr>
            <w:r>
              <w:t>146</w:t>
            </w:r>
          </w:p>
        </w:tc>
        <w:tc>
          <w:tcPr>
            <w:tcW w:w="970" w:type="dxa"/>
            <w:tcBorders>
              <w:bottom w:val="single" w:sz="4" w:space="0" w:color="auto"/>
            </w:tcBorders>
          </w:tcPr>
          <w:p w:rsidR="00BC1D60" w:rsidRDefault="00BC1D60" w:rsidP="00BC5B38">
            <w:pPr>
              <w:pStyle w:val="ESTableRow"/>
              <w:keepNext/>
              <w:jc w:val="right"/>
            </w:pPr>
            <w:r>
              <w:t>159</w:t>
            </w:r>
          </w:p>
        </w:tc>
      </w:tr>
    </w:tbl>
    <w:p w:rsidR="00BC1D60" w:rsidRDefault="00BC1D60" w:rsidP="00BC1D60">
      <w:pPr>
        <w:pStyle w:val="Source"/>
        <w:rPr>
          <w:highlight w:val="yellow"/>
        </w:rPr>
      </w:pPr>
      <w:r>
        <w:t>Source: Company data, Bloomberg, J.P. Morgan estimates</w:t>
      </w:r>
      <w:r w:rsidRPr="004F1ABB">
        <w:rPr>
          <w:highlight w:val="yellow"/>
        </w:rPr>
        <w:br w:type="page"/>
      </w:r>
    </w:p>
    <w:p w:rsidR="00BC1D60" w:rsidRPr="00053456" w:rsidRDefault="00BC1D60" w:rsidP="00BC1D60">
      <w:pPr>
        <w:pStyle w:val="Body"/>
        <w:rPr>
          <w:highlight w:val="yellow"/>
        </w:rPr>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414DFD" w:rsidTr="00BC5B38">
        <w:tc>
          <w:tcPr>
            <w:tcW w:w="10604" w:type="dxa"/>
            <w:gridSpan w:val="3"/>
            <w:shd w:val="clear" w:color="auto" w:fill="auto"/>
          </w:tcPr>
          <w:p w:rsidR="00BC1D60" w:rsidRPr="00414DFD" w:rsidRDefault="00BC1D60" w:rsidP="00BC5B38">
            <w:pPr>
              <w:pStyle w:val="Heading1-NoTOC"/>
            </w:pPr>
            <w:bookmarkStart w:id="216" w:name="_Toc384044973"/>
            <w:bookmarkStart w:id="217" w:name="_Toc384135997"/>
            <w:bookmarkStart w:id="218" w:name="_Toc384136964"/>
            <w:bookmarkStart w:id="219" w:name="_Toc392016361"/>
            <w:bookmarkStart w:id="220" w:name="_Toc392099079"/>
            <w:r w:rsidRPr="00414DFD">
              <w:t>Getting to know our SMid Analysts…</w:t>
            </w:r>
            <w:bookmarkEnd w:id="216"/>
            <w:bookmarkEnd w:id="217"/>
            <w:bookmarkEnd w:id="218"/>
            <w:bookmarkEnd w:id="219"/>
            <w:bookmarkEnd w:id="220"/>
          </w:p>
        </w:tc>
      </w:tr>
      <w:tr w:rsidR="00BC1D60" w:rsidRPr="00414DFD" w:rsidTr="00BC5B38">
        <w:trPr>
          <w:trHeight w:val="3427"/>
        </w:trPr>
        <w:tc>
          <w:tcPr>
            <w:tcW w:w="2666" w:type="dxa"/>
            <w:shd w:val="clear" w:color="auto" w:fill="auto"/>
          </w:tcPr>
          <w:p w:rsidR="00BC1D60" w:rsidRPr="00414DFD" w:rsidRDefault="00BC1D60" w:rsidP="00BC5B38">
            <w:pPr>
              <w:pStyle w:val="Body"/>
              <w:spacing w:after="120"/>
            </w:pPr>
            <w:r w:rsidRPr="00414DFD">
              <w:rPr>
                <w:rFonts w:ascii="Arial" w:hAnsi="Arial" w:cs="Arial"/>
                <w:noProof/>
                <w:color w:val="666666"/>
                <w:sz w:val="15"/>
                <w:szCs w:val="15"/>
              </w:rPr>
              <w:drawing>
                <wp:inline distT="0" distB="0" distL="0" distR="0">
                  <wp:extent cx="1570727" cy="1880558"/>
                  <wp:effectExtent l="19050" t="0" r="0" b="0"/>
                  <wp:docPr id="873" name="Picture 13" descr="https://mm.jpmorgan.com/ImageServlet?sid=N018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m.jpmorgan.com/ImageServlet?sid=N018185"/>
                          <pic:cNvPicPr>
                            <a:picLocks noChangeAspect="1" noChangeArrowheads="1"/>
                          </pic:cNvPicPr>
                        </pic:nvPicPr>
                        <pic:blipFill>
                          <a:blip r:embed="rId100"/>
                          <a:srcRect l="19957" r="27478"/>
                          <a:stretch>
                            <a:fillRect/>
                          </a:stretch>
                        </pic:blipFill>
                        <pic:spPr bwMode="auto">
                          <a:xfrm>
                            <a:off x="0" y="0"/>
                            <a:ext cx="1573592" cy="1883989"/>
                          </a:xfrm>
                          <a:prstGeom prst="rect">
                            <a:avLst/>
                          </a:prstGeom>
                          <a:noFill/>
                          <a:ln w="9525">
                            <a:noFill/>
                            <a:miter lim="800000"/>
                            <a:headEnd/>
                            <a:tailEnd/>
                          </a:ln>
                        </pic:spPr>
                      </pic:pic>
                    </a:graphicData>
                  </a:graphic>
                </wp:inline>
              </w:drawing>
            </w:r>
          </w:p>
        </w:tc>
        <w:tc>
          <w:tcPr>
            <w:tcW w:w="3544" w:type="dxa"/>
            <w:shd w:val="clear" w:color="auto" w:fill="auto"/>
          </w:tcPr>
          <w:p w:rsidR="00BC1D60" w:rsidRPr="00414DFD" w:rsidRDefault="00BC1D60" w:rsidP="00BC5B38">
            <w:pPr>
              <w:pStyle w:val="Heading2"/>
              <w:outlineLvl w:val="1"/>
              <w:rPr>
                <w:lang w:val="fr-FR"/>
              </w:rPr>
            </w:pPr>
            <w:r w:rsidRPr="00414DFD">
              <w:rPr>
                <w:lang w:val="fr-FR"/>
              </w:rPr>
              <w:t>Filippo Lo Franco</w:t>
            </w:r>
          </w:p>
          <w:p w:rsidR="00BC1D60" w:rsidRPr="00414DFD" w:rsidRDefault="003B051F" w:rsidP="00BC5B38">
            <w:pPr>
              <w:pStyle w:val="Body"/>
              <w:spacing w:after="120"/>
              <w:rPr>
                <w:rStyle w:val="txtblackbld1"/>
                <w:rFonts w:ascii="Arial Narrow" w:hAnsi="Arial Narrow"/>
                <w:b w:val="0"/>
                <w:bCs w:val="0"/>
                <w:szCs w:val="20"/>
                <w:lang w:val="fr-FR"/>
              </w:rPr>
            </w:pPr>
            <w:hyperlink r:id="rId101" w:history="1">
              <w:r w:rsidR="00BC1D60" w:rsidRPr="00414DFD">
                <w:rPr>
                  <w:rStyle w:val="Hyperlink"/>
                  <w:rFonts w:ascii="Arial Narrow" w:hAnsi="Arial Narrow" w:cs="Arial"/>
                  <w:szCs w:val="20"/>
                  <w:lang w:val="fr-FR"/>
                </w:rPr>
                <w:t>filippo.p.lofranco@jpmorgan.com</w:t>
              </w:r>
            </w:hyperlink>
          </w:p>
          <w:p w:rsidR="00BC1D60" w:rsidRPr="00414DFD" w:rsidRDefault="00BC1D60" w:rsidP="00BC5B38">
            <w:pPr>
              <w:pStyle w:val="Body"/>
              <w:spacing w:after="120"/>
              <w:rPr>
                <w:rFonts w:ascii="Arial Narrow" w:hAnsi="Arial Narrow"/>
                <w:lang w:val="es-ES_tradnl"/>
              </w:rPr>
            </w:pPr>
            <w:r w:rsidRPr="00414DFD">
              <w:rPr>
                <w:rFonts w:ascii="Arial Narrow" w:hAnsi="Arial Narrow"/>
                <w:lang w:val="es-ES_tradnl"/>
              </w:rPr>
              <w:t>(44-20) 7134-9779</w:t>
            </w:r>
          </w:p>
          <w:p w:rsidR="00BC1D60" w:rsidRPr="00414DFD" w:rsidRDefault="00BC1D60" w:rsidP="00BC5B38">
            <w:pPr>
              <w:pStyle w:val="Body"/>
              <w:spacing w:after="120"/>
              <w:rPr>
                <w:rFonts w:ascii="Arial Narrow" w:hAnsi="Arial Narrow"/>
                <w:lang w:val="es-ES_tradnl"/>
              </w:rPr>
            </w:pPr>
          </w:p>
          <w:p w:rsidR="00BC1D60" w:rsidRPr="00414DFD" w:rsidRDefault="00BC1D60" w:rsidP="00BC5B38">
            <w:pPr>
              <w:pStyle w:val="Body"/>
              <w:spacing w:after="120"/>
              <w:rPr>
                <w:rFonts w:ascii="Arial Narrow" w:hAnsi="Arial Narrow"/>
              </w:rPr>
            </w:pPr>
            <w:r w:rsidRPr="00414DFD">
              <w:rPr>
                <w:rFonts w:ascii="Arial Narrow" w:hAnsi="Arial Narrow"/>
                <w:b/>
              </w:rPr>
              <w:t>Region:</w:t>
            </w:r>
            <w:r w:rsidRPr="00414DFD">
              <w:rPr>
                <w:rFonts w:ascii="Arial Narrow" w:hAnsi="Arial Narrow"/>
              </w:rPr>
              <w:t xml:space="preserve"> W. Europe</w:t>
            </w:r>
          </w:p>
          <w:p w:rsidR="00BC1D60" w:rsidRPr="00414DFD" w:rsidRDefault="00BC1D60" w:rsidP="00BC5B38">
            <w:pPr>
              <w:pStyle w:val="Body"/>
              <w:spacing w:after="120"/>
              <w:rPr>
                <w:rFonts w:ascii="Arial Narrow" w:hAnsi="Arial Narrow"/>
              </w:rPr>
            </w:pPr>
            <w:r w:rsidRPr="00414DFD">
              <w:rPr>
                <w:rFonts w:ascii="Arial Narrow" w:hAnsi="Arial Narrow"/>
                <w:b/>
              </w:rPr>
              <w:t>Sector:</w:t>
            </w:r>
            <w:r w:rsidRPr="00414DFD">
              <w:rPr>
                <w:rFonts w:ascii="Arial Narrow" w:hAnsi="Arial Narrow"/>
              </w:rPr>
              <w:t xml:space="preserve"> Media</w:t>
            </w:r>
          </w:p>
          <w:p w:rsidR="00BC1D60" w:rsidRPr="00414DFD" w:rsidRDefault="00BC1D60" w:rsidP="00BC5B38">
            <w:pPr>
              <w:pStyle w:val="Body"/>
            </w:pPr>
          </w:p>
        </w:tc>
        <w:tc>
          <w:tcPr>
            <w:tcW w:w="4394" w:type="dxa"/>
            <w:shd w:val="clear" w:color="auto" w:fill="auto"/>
          </w:tcPr>
          <w:p w:rsidR="00BC1D60" w:rsidRPr="00414DFD" w:rsidRDefault="00BC1D60" w:rsidP="00BC5B38">
            <w:pPr>
              <w:pStyle w:val="Body"/>
              <w:jc w:val="right"/>
            </w:pPr>
            <w:r w:rsidRPr="00414DFD">
              <w:rPr>
                <w:noProof/>
              </w:rPr>
              <w:drawing>
                <wp:inline distT="0" distB="0" distL="0" distR="0">
                  <wp:extent cx="2505456" cy="1712362"/>
                  <wp:effectExtent l="19050" t="0" r="9144" b="0"/>
                  <wp:docPr id="87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2"/>
                          <a:srcRect/>
                          <a:stretch>
                            <a:fillRect/>
                          </a:stretch>
                        </pic:blipFill>
                        <pic:spPr bwMode="auto">
                          <a:xfrm>
                            <a:off x="0" y="0"/>
                            <a:ext cx="2505456" cy="1712362"/>
                          </a:xfrm>
                          <a:prstGeom prst="rect">
                            <a:avLst/>
                          </a:prstGeom>
                          <a:noFill/>
                          <a:ln w="9525">
                            <a:noFill/>
                            <a:miter lim="800000"/>
                            <a:headEnd/>
                            <a:tailEnd/>
                          </a:ln>
                        </pic:spPr>
                      </pic:pic>
                    </a:graphicData>
                  </a:graphic>
                </wp:inline>
              </w:drawing>
            </w:r>
            <w:r w:rsidRPr="00414DFD" w:rsidDel="00605141">
              <w:t xml:space="preserve"> </w:t>
            </w:r>
          </w:p>
        </w:tc>
      </w:tr>
    </w:tbl>
    <w:p w:rsidR="00BC1D60" w:rsidRPr="00414DFD" w:rsidRDefault="00BC1D60" w:rsidP="00BC1D60">
      <w:pPr>
        <w:pStyle w:val="Source"/>
        <w:spacing w:before="0"/>
        <w:ind w:left="-3124" w:hanging="137"/>
      </w:pPr>
      <w:r w:rsidRPr="00414DFD">
        <w:rPr>
          <w:noProof/>
        </w:rPr>
        <w:drawing>
          <wp:inline distT="0" distB="0" distL="0" distR="0">
            <wp:extent cx="6702552" cy="1783497"/>
            <wp:effectExtent l="19050" t="0" r="3048" b="0"/>
            <wp:docPr id="87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a:srcRect/>
                    <a:stretch>
                      <a:fillRect/>
                    </a:stretch>
                  </pic:blipFill>
                  <pic:spPr bwMode="auto">
                    <a:xfrm>
                      <a:off x="0" y="0"/>
                      <a:ext cx="6702552" cy="1783497"/>
                    </a:xfrm>
                    <a:prstGeom prst="rect">
                      <a:avLst/>
                    </a:prstGeom>
                    <a:noFill/>
                    <a:ln w="9525">
                      <a:noFill/>
                      <a:miter lim="800000"/>
                      <a:headEnd/>
                      <a:tailEnd/>
                    </a:ln>
                  </pic:spPr>
                </pic:pic>
              </a:graphicData>
            </a:graphic>
          </wp:inline>
        </w:drawing>
      </w:r>
      <w:r w:rsidRPr="00414DFD" w:rsidDel="00605141">
        <w:t xml:space="preserve"> </w:t>
      </w:r>
      <w:r w:rsidRPr="00414DFD">
        <w:t>Source: Bloomberg, Datastream, Factset, J.P. Morgan</w:t>
      </w:r>
      <w:r w:rsidRPr="00414DFD">
        <w:br/>
      </w:r>
      <w:r w:rsidRPr="0087013D">
        <w:t>Prices as of 24 June 2014</w:t>
      </w:r>
    </w:p>
    <w:p w:rsidR="00BC1D60" w:rsidRPr="004F1ABB" w:rsidRDefault="00BC1D60" w:rsidP="00BC1D60">
      <w:pPr>
        <w:pStyle w:val="Body"/>
        <w:rPr>
          <w:highlight w:val="yellow"/>
        </w:rPr>
      </w:pPr>
    </w:p>
    <w:p w:rsidR="00BC1D60" w:rsidRPr="004F1ABB" w:rsidRDefault="00BC1D60" w:rsidP="00BC1D60">
      <w:pPr>
        <w:pStyle w:val="Body"/>
        <w:rPr>
          <w:highlight w:val="yellow"/>
        </w:rPr>
      </w:pPr>
    </w:p>
    <w:p w:rsidR="00BC1D60" w:rsidRPr="004F1ABB" w:rsidRDefault="00BC1D60" w:rsidP="00BC1D60">
      <w:pPr>
        <w:pStyle w:val="Body"/>
        <w:rPr>
          <w:highlight w:val="yellow"/>
        </w:rPr>
      </w:pPr>
    </w:p>
    <w:p w:rsidR="00BC1D60" w:rsidRPr="004F1ABB" w:rsidRDefault="00BC1D60" w:rsidP="00BC1D60">
      <w:pPr>
        <w:spacing w:line="264" w:lineRule="atLeast"/>
        <w:ind w:left="-3125"/>
        <w:rPr>
          <w:rFonts w:ascii="Arial Narrow" w:hAnsi="Arial Narrow" w:cs="Arial"/>
          <w:sz w:val="16"/>
          <w:szCs w:val="16"/>
          <w:highlight w:val="yellow"/>
        </w:rPr>
      </w:pPr>
    </w:p>
    <w:p w:rsidR="00BC1D60" w:rsidRPr="004F1ABB" w:rsidRDefault="00BC1D60" w:rsidP="00BC1D60">
      <w:pPr>
        <w:spacing w:line="264" w:lineRule="atLeast"/>
        <w:ind w:left="-3125"/>
        <w:rPr>
          <w:rFonts w:ascii="Arial Narrow" w:hAnsi="Arial Narrow" w:cs="Arial"/>
          <w:sz w:val="16"/>
          <w:szCs w:val="16"/>
          <w:highlight w:val="yellow"/>
        </w:rPr>
      </w:pPr>
    </w:p>
    <w:p w:rsidR="00BC1D60" w:rsidRPr="004F1ABB" w:rsidRDefault="00BC1D60" w:rsidP="00BC1D60">
      <w:pPr>
        <w:spacing w:line="264" w:lineRule="atLeast"/>
        <w:ind w:left="-3125"/>
        <w:rPr>
          <w:rFonts w:ascii="Arial Narrow" w:hAnsi="Arial Narrow" w:cs="Arial"/>
          <w:sz w:val="16"/>
          <w:szCs w:val="16"/>
          <w:highlight w:val="yellow"/>
        </w:rPr>
      </w:pPr>
    </w:p>
    <w:p w:rsidR="00BC1D60" w:rsidRPr="004F1ABB" w:rsidRDefault="00BC1D60" w:rsidP="00BC1D60">
      <w:pPr>
        <w:spacing w:after="480" w:line="0" w:lineRule="auto"/>
        <w:rPr>
          <w:rFonts w:ascii="Arial" w:hAnsi="Arial" w:cs="Arial"/>
          <w:bCs/>
          <w:color w:val="4E8ABE"/>
          <w:kern w:val="32"/>
          <w:sz w:val="34"/>
          <w:szCs w:val="34"/>
          <w:highlight w:val="yellow"/>
        </w:rPr>
      </w:pPr>
      <w:r w:rsidRPr="004F1ABB">
        <w:rPr>
          <w:sz w:val="34"/>
          <w:szCs w:val="34"/>
          <w:highlight w:val="yellow"/>
        </w:rPr>
        <w:br w:type="page"/>
      </w:r>
    </w:p>
    <w:p w:rsidR="00BC1D60" w:rsidRPr="004F1ABB" w:rsidRDefault="00BC1D60" w:rsidP="00BC1D60">
      <w:pPr>
        <w:pStyle w:val="Sidecomments"/>
        <w:framePr w:w="0" w:hRule="auto" w:wrap="around"/>
        <w:rPr>
          <w:highlight w:val="yellow"/>
        </w:rPr>
      </w:pPr>
      <w:r>
        <w:rPr>
          <w:noProof/>
        </w:rPr>
        <w:lastRenderedPageBreak/>
        <w:drawing>
          <wp:inline distT="0" distB="0" distL="0" distR="0">
            <wp:extent cx="1737360" cy="7723698"/>
            <wp:effectExtent l="19050" t="0" r="0" b="0"/>
            <wp:docPr id="8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srcRect/>
                    <a:stretch>
                      <a:fillRect/>
                    </a:stretch>
                  </pic:blipFill>
                  <pic:spPr bwMode="auto">
                    <a:xfrm>
                      <a:off x="0" y="0"/>
                      <a:ext cx="1737360" cy="7723698"/>
                    </a:xfrm>
                    <a:prstGeom prst="rect">
                      <a:avLst/>
                    </a:prstGeom>
                    <a:noFill/>
                    <a:ln w="9525">
                      <a:noFill/>
                      <a:miter lim="800000"/>
                      <a:headEnd/>
                      <a:tailEnd/>
                    </a:ln>
                  </pic:spPr>
                </pic:pic>
              </a:graphicData>
            </a:graphic>
          </wp:inline>
        </w:drawing>
      </w:r>
    </w:p>
    <w:p w:rsidR="00BC1D60" w:rsidRPr="00770327" w:rsidRDefault="00BC1D60" w:rsidP="00BC1D60">
      <w:pPr>
        <w:pStyle w:val="Heading1"/>
        <w:spacing w:before="0" w:after="60"/>
        <w:rPr>
          <w:sz w:val="34"/>
          <w:szCs w:val="34"/>
          <w:lang w:val="en-GB"/>
        </w:rPr>
      </w:pPr>
      <w:bookmarkStart w:id="221" w:name="_Toc392099080"/>
      <w:bookmarkStart w:id="222" w:name="_Toc392081816"/>
      <w:bookmarkStart w:id="223" w:name="_Toc392081879"/>
      <w:r w:rsidRPr="00770327">
        <w:rPr>
          <w:sz w:val="34"/>
          <w:szCs w:val="34"/>
          <w:lang w:val="en-GB"/>
        </w:rPr>
        <w:t>Jupiter Fund Mgmt (JUP LN/OW/GBp 400.7)</w:t>
      </w:r>
      <w:bookmarkEnd w:id="221"/>
      <w:bookmarkEnd w:id="222"/>
      <w:bookmarkEnd w:id="223"/>
    </w:p>
    <w:p w:rsidR="00BC1D60" w:rsidRPr="00F76734" w:rsidRDefault="00BC1D60" w:rsidP="00BC1D60">
      <w:pPr>
        <w:pStyle w:val="Heading2"/>
        <w:spacing w:after="40"/>
        <w:rPr>
          <w:i/>
          <w:lang w:val="en-GB"/>
        </w:rPr>
      </w:pPr>
      <w:r w:rsidRPr="00770327">
        <w:rPr>
          <w:i/>
          <w:lang w:val="en-GB"/>
        </w:rPr>
        <w:t>Increased capital return warrants a re-rating</w:t>
      </w:r>
    </w:p>
    <w:p w:rsidR="00BC1D60" w:rsidRPr="00F76734" w:rsidRDefault="00BC1D60" w:rsidP="00BC1D60">
      <w:pPr>
        <w:pStyle w:val="Heading3"/>
        <w:spacing w:after="0"/>
        <w:rPr>
          <w:lang w:val="en-GB"/>
        </w:rPr>
      </w:pPr>
      <w:r w:rsidRPr="00F76734">
        <w:rPr>
          <w:lang w:val="en-GB"/>
        </w:rPr>
        <w:t>Investment Highlights</w:t>
      </w:r>
    </w:p>
    <w:p w:rsidR="00BC1D60" w:rsidRPr="00770327" w:rsidRDefault="00BC1D60" w:rsidP="00BC1D60">
      <w:pPr>
        <w:pStyle w:val="Bullet"/>
        <w:spacing w:after="40"/>
        <w:rPr>
          <w:lang w:val="en-GB" w:eastAsia="ja-JP"/>
        </w:rPr>
      </w:pPr>
      <w:r>
        <w:rPr>
          <w:lang w:val="en-GB" w:eastAsia="ja-JP"/>
        </w:rPr>
        <w:t xml:space="preserve">Jupiter’s long-term investment track record and strong brand should serve it well in the retail savings market in the UK post the introduction of the Retail Distribution Review (RDR), in our view. </w:t>
      </w:r>
    </w:p>
    <w:p w:rsidR="00BC1D60" w:rsidRPr="00770327" w:rsidRDefault="00BC1D60" w:rsidP="00BC1D60">
      <w:pPr>
        <w:pStyle w:val="Bullet"/>
        <w:spacing w:after="40"/>
        <w:rPr>
          <w:lang w:val="en-GB" w:eastAsia="ja-JP"/>
        </w:rPr>
      </w:pPr>
      <w:r>
        <w:rPr>
          <w:lang w:val="en-GB" w:eastAsia="ja-JP"/>
        </w:rPr>
        <w:t>In particular, the company’s already successful Merlin Fund of Funds business should continue to attract material inflows, as we believe fund of funds is likely to be a beneficiary of changes in the nature of financial advice offered. In addition the company is expanding its international distribution capabilities, having previously concentrated its efforts within the UK.  </w:t>
      </w:r>
    </w:p>
    <w:p w:rsidR="00BC1D60" w:rsidRPr="00770327" w:rsidRDefault="00BC1D60" w:rsidP="00BC1D60">
      <w:pPr>
        <w:pStyle w:val="Bullet"/>
        <w:spacing w:after="40"/>
        <w:rPr>
          <w:lang w:val="en-GB" w:eastAsia="ja-JP"/>
        </w:rPr>
      </w:pPr>
      <w:r w:rsidRPr="00770327">
        <w:rPr>
          <w:lang w:val="en-GB" w:eastAsia="ja-JP"/>
        </w:rPr>
        <w:t xml:space="preserve">Jupiter has traded out of the need for its consolidated capital waiver, and has a sufficiently prudent buffer to operate at similar capital levels in future. With the last of its debt repaid in February, we believe that shareholders stand to receive a materially improved proportion of the company’s generated cash. </w:t>
      </w:r>
    </w:p>
    <w:p w:rsidR="00BC1D60" w:rsidRPr="00770327" w:rsidRDefault="00BC1D60" w:rsidP="00BC1D60">
      <w:pPr>
        <w:pStyle w:val="Bullet"/>
        <w:spacing w:after="40"/>
        <w:rPr>
          <w:lang w:val="en-GB" w:eastAsia="ja-JP"/>
        </w:rPr>
      </w:pPr>
      <w:r w:rsidRPr="00770327">
        <w:rPr>
          <w:lang w:val="en-GB" w:eastAsia="ja-JP"/>
        </w:rPr>
        <w:t xml:space="preserve">As a result we expect ordinary dividends to be supplemented by additional capital return from the end of this year. We have assumed that the payout ratio for the ordinary </w:t>
      </w:r>
      <w:r>
        <w:rPr>
          <w:lang w:val="en-GB" w:eastAsia="ja-JP"/>
        </w:rPr>
        <w:t>div</w:t>
      </w:r>
      <w:r w:rsidRPr="00770327">
        <w:rPr>
          <w:lang w:val="en-GB" w:eastAsia="ja-JP"/>
        </w:rPr>
        <w:t xml:space="preserve"> is maintained at 50%, yet see opportunity for the </w:t>
      </w:r>
      <w:r>
        <w:rPr>
          <w:lang w:val="en-GB" w:eastAsia="ja-JP"/>
        </w:rPr>
        <w:t>co.</w:t>
      </w:r>
      <w:r w:rsidRPr="00770327">
        <w:rPr>
          <w:lang w:val="en-GB" w:eastAsia="ja-JP"/>
        </w:rPr>
        <w:t xml:space="preserve"> to distribute a further £117m of its cash to shareholders over the next three years. This implies total payout ratio of 80% by 2015E, which may prove conservative we believe. </w:t>
      </w:r>
    </w:p>
    <w:p w:rsidR="00BC1D60" w:rsidRDefault="00BC1D60" w:rsidP="00BC1D60">
      <w:pPr>
        <w:pStyle w:val="Bullet"/>
        <w:spacing w:after="40"/>
        <w:rPr>
          <w:lang w:val="en-GB" w:eastAsia="ja-JP"/>
        </w:rPr>
      </w:pPr>
      <w:r w:rsidRPr="00770327">
        <w:rPr>
          <w:lang w:val="en-GB" w:eastAsia="ja-JP"/>
        </w:rPr>
        <w:t>The prospect of 6% dividend yield and double digit EPS growth is compelling we believe, and may result in a re-rating of the shares.</w:t>
      </w:r>
    </w:p>
    <w:p w:rsidR="00BC1D60" w:rsidRPr="00F76734" w:rsidRDefault="00BC1D60" w:rsidP="00BC1D60">
      <w:pPr>
        <w:autoSpaceDE w:val="0"/>
        <w:autoSpaceDN w:val="0"/>
        <w:adjustRightInd w:val="0"/>
        <w:rPr>
          <w:lang w:val="en-GB" w:eastAsia="ja-JP"/>
        </w:rPr>
      </w:pPr>
      <w:r w:rsidRPr="00F76734">
        <w:rPr>
          <w:rFonts w:cs="Arial"/>
          <w:b/>
          <w:bCs/>
          <w:sz w:val="20"/>
          <w:szCs w:val="26"/>
        </w:rPr>
        <w:t>Valuation / Risks to our View:</w:t>
      </w:r>
      <w:r w:rsidRPr="00F76734">
        <w:rPr>
          <w:rFonts w:cs="Arial"/>
          <w:b/>
          <w:bCs/>
          <w:szCs w:val="26"/>
        </w:rPr>
        <w:t xml:space="preserve"> </w:t>
      </w:r>
      <w:r w:rsidRPr="00770327">
        <w:rPr>
          <w:sz w:val="20"/>
          <w:lang w:val="en-GB"/>
        </w:rPr>
        <w:t xml:space="preserve">We determine our PT using relative </w:t>
      </w:r>
      <w:r>
        <w:rPr>
          <w:sz w:val="20"/>
          <w:lang w:val="en-GB"/>
        </w:rPr>
        <w:t>fwd</w:t>
      </w:r>
      <w:r w:rsidRPr="00770327">
        <w:rPr>
          <w:sz w:val="20"/>
          <w:lang w:val="en-GB"/>
        </w:rPr>
        <w:t xml:space="preserve"> PERs, comparing the </w:t>
      </w:r>
      <w:r>
        <w:rPr>
          <w:sz w:val="20"/>
          <w:lang w:val="en-GB"/>
        </w:rPr>
        <w:t>co</w:t>
      </w:r>
      <w:r w:rsidRPr="00770327">
        <w:rPr>
          <w:sz w:val="20"/>
          <w:lang w:val="en-GB"/>
        </w:rPr>
        <w:t xml:space="preserve"> with a broad peer group and taking into account factors such as profitability </w:t>
      </w:r>
      <w:r>
        <w:rPr>
          <w:sz w:val="20"/>
          <w:lang w:val="en-GB"/>
        </w:rPr>
        <w:t>&amp;</w:t>
      </w:r>
      <w:r w:rsidRPr="00770327">
        <w:rPr>
          <w:sz w:val="20"/>
          <w:lang w:val="en-GB"/>
        </w:rPr>
        <w:t xml:space="preserve"> balance sheet structure. On this basis, we assume a 20% premium valuation to the sector (13.7x) to derive our Dec ‘14 PT of 474p. As with any ass</w:t>
      </w:r>
      <w:r>
        <w:rPr>
          <w:sz w:val="20"/>
          <w:lang w:val="en-GB"/>
        </w:rPr>
        <w:t>et manager</w:t>
      </w:r>
      <w:r w:rsidRPr="00770327">
        <w:rPr>
          <w:sz w:val="20"/>
          <w:lang w:val="en-GB"/>
        </w:rPr>
        <w:t xml:space="preserve"> the salient risk to our investment thesis is a different outcome for </w:t>
      </w:r>
      <w:r>
        <w:rPr>
          <w:sz w:val="20"/>
          <w:lang w:val="en-GB"/>
        </w:rPr>
        <w:t>mkt</w:t>
      </w:r>
      <w:r w:rsidRPr="00770327">
        <w:rPr>
          <w:sz w:val="20"/>
          <w:lang w:val="en-GB"/>
        </w:rPr>
        <w:t xml:space="preserve"> levels compared with our </w:t>
      </w:r>
      <w:r>
        <w:rPr>
          <w:sz w:val="20"/>
          <w:lang w:val="en-GB"/>
        </w:rPr>
        <w:t>ests</w:t>
      </w:r>
      <w:r w:rsidRPr="00770327">
        <w:rPr>
          <w:sz w:val="20"/>
          <w:lang w:val="en-GB"/>
        </w:rPr>
        <w:t xml:space="preserve">. This would inevitably affect AUM, but also potentially </w:t>
      </w:r>
      <w:r>
        <w:rPr>
          <w:sz w:val="20"/>
          <w:lang w:val="en-GB"/>
        </w:rPr>
        <w:t>ests</w:t>
      </w:r>
      <w:r w:rsidRPr="00770327">
        <w:rPr>
          <w:sz w:val="20"/>
          <w:lang w:val="en-GB"/>
        </w:rPr>
        <w:t xml:space="preserve"> of future flows, with consequences for group’s </w:t>
      </w:r>
      <w:r>
        <w:rPr>
          <w:sz w:val="20"/>
          <w:lang w:val="en-GB"/>
        </w:rPr>
        <w:t>revs</w:t>
      </w:r>
      <w:r w:rsidRPr="00770327">
        <w:rPr>
          <w:sz w:val="20"/>
          <w:lang w:val="en-GB"/>
        </w:rPr>
        <w:t xml:space="preserve">. The </w:t>
      </w:r>
      <w:r>
        <w:rPr>
          <w:sz w:val="20"/>
          <w:lang w:val="en-GB"/>
        </w:rPr>
        <w:t>bus.</w:t>
      </w:r>
      <w:r w:rsidRPr="00770327">
        <w:rPr>
          <w:sz w:val="20"/>
          <w:lang w:val="en-GB"/>
        </w:rPr>
        <w:t xml:space="preserve"> model has inherently high operational gearing, so the effect on profits would be more pronounced</w:t>
      </w:r>
      <w:r w:rsidRPr="00F76734">
        <w:rPr>
          <w:sz w:val="20"/>
          <w:lang w:val="en-GB"/>
        </w:rPr>
        <w:t>.</w:t>
      </w:r>
    </w:p>
    <w:p w:rsidR="00BC1D60" w:rsidRPr="00F76734" w:rsidRDefault="00BC1D60" w:rsidP="00BC1D60">
      <w:pPr>
        <w:pStyle w:val="Body"/>
        <w:spacing w:after="60"/>
        <w:rPr>
          <w:lang w:val="en-GB"/>
        </w:rPr>
      </w:pPr>
      <w:r w:rsidRPr="00F76734">
        <w:rPr>
          <w:b/>
          <w:lang w:val="en-GB"/>
        </w:rPr>
        <w:t xml:space="preserve">Jupiter in a Nutshell: </w:t>
      </w:r>
      <w:r w:rsidRPr="00770327">
        <w:rPr>
          <w:lang w:val="en-GB"/>
        </w:rPr>
        <w:t>Jupiter is a focused, active fund manager with a well-known brand and an established track record, seeking to add value for clients through the delivery of investment outperformance over the medium to long term. It is primarily an equity investor but with a growing presence in fixed income</w:t>
      </w:r>
      <w:r w:rsidRPr="00F76734">
        <w:rPr>
          <w:lang w:val="en-GB"/>
        </w:rPr>
        <w:t>.</w:t>
      </w:r>
    </w:p>
    <w:p w:rsidR="00BC1D60" w:rsidRPr="00F76734" w:rsidRDefault="00BC1D60" w:rsidP="00BC1D60">
      <w:pPr>
        <w:pStyle w:val="Heading3"/>
        <w:spacing w:after="0"/>
      </w:pPr>
      <w:r w:rsidRPr="00F76734">
        <w:t>Price Perf vs MSCI All Country World Small Cap (rebased as of 1-year ago)</w:t>
      </w:r>
    </w:p>
    <w:p w:rsidR="00BC1D60" w:rsidRPr="00F76734" w:rsidRDefault="00BC1D60" w:rsidP="00BC1D60">
      <w:pPr>
        <w:pStyle w:val="Body"/>
        <w:spacing w:after="0"/>
        <w:rPr>
          <w:noProof/>
          <w:lang w:val="en-GB" w:eastAsia="en-GB"/>
        </w:rPr>
      </w:pPr>
      <w:r>
        <w:rPr>
          <w:noProof/>
        </w:rPr>
        <w:drawing>
          <wp:inline distT="0" distB="0" distL="0" distR="0">
            <wp:extent cx="4352925" cy="1466850"/>
            <wp:effectExtent l="19050" t="0" r="9525" b="0"/>
            <wp:docPr id="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srcRect t="6857" b="5143"/>
                    <a:stretch>
                      <a:fillRect/>
                    </a:stretch>
                  </pic:blipFill>
                  <pic:spPr bwMode="auto">
                    <a:xfrm>
                      <a:off x="0" y="0"/>
                      <a:ext cx="4352925" cy="1466850"/>
                    </a:xfrm>
                    <a:prstGeom prst="rect">
                      <a:avLst/>
                    </a:prstGeom>
                    <a:noFill/>
                    <a:ln w="9525">
                      <a:noFill/>
                      <a:miter lim="800000"/>
                      <a:headEnd/>
                      <a:tailEnd/>
                    </a:ln>
                  </pic:spPr>
                </pic:pic>
              </a:graphicData>
            </a:graphic>
          </wp:inline>
        </w:drawing>
      </w:r>
    </w:p>
    <w:p w:rsidR="00BC1D60" w:rsidRDefault="00BC1D60" w:rsidP="00BC1D60">
      <w:pPr>
        <w:pStyle w:val="ESTableCaption"/>
        <w:keepNext/>
      </w:pPr>
      <w:r w:rsidRPr="00F76734">
        <w:t>J.P. Morgan Estimates</w:t>
      </w:r>
      <w:r w:rsidRPr="004F1ABB">
        <w:rPr>
          <w:highlight w:val="yellow"/>
        </w:rPr>
        <w:br/>
      </w:r>
      <w:r>
        <w:rPr>
          <w:sz w:val="16"/>
        </w:rPr>
        <w:t>Jupiter Fund Management plc (JUP.L;JUP LN)</w:t>
      </w:r>
    </w:p>
    <w:tbl>
      <w:tblPr>
        <w:tblW w:w="5000" w:type="pct"/>
        <w:tblCellMar>
          <w:left w:w="0" w:type="dxa"/>
          <w:right w:w="43" w:type="dxa"/>
        </w:tblCellMar>
        <w:tblLook w:val="01E0"/>
      </w:tblPr>
      <w:tblGrid>
        <w:gridCol w:w="2013"/>
        <w:gridCol w:w="1221"/>
        <w:gridCol w:w="1221"/>
        <w:gridCol w:w="1221"/>
        <w:gridCol w:w="1221"/>
      </w:tblGrid>
      <w:tr w:rsidR="00BC1D60" w:rsidTr="00BC5B38">
        <w:trPr>
          <w:cantSplit/>
        </w:trPr>
        <w:tc>
          <w:tcPr>
            <w:tcW w:w="2000" w:type="dxa"/>
            <w:tcBorders>
              <w:top w:val="single" w:sz="4" w:space="0" w:color="auto"/>
            </w:tcBorders>
          </w:tcPr>
          <w:p w:rsidR="00BC1D60" w:rsidRDefault="00BC1D60" w:rsidP="00BC5B38">
            <w:pPr>
              <w:pStyle w:val="ESTableRow"/>
              <w:keepNext/>
            </w:pPr>
            <w:r>
              <w:rPr>
                <w:b/>
              </w:rPr>
              <w:t>FYE Dec</w:t>
            </w:r>
          </w:p>
        </w:tc>
        <w:tc>
          <w:tcPr>
            <w:tcW w:w="1212" w:type="dxa"/>
            <w:tcBorders>
              <w:top w:val="single" w:sz="4" w:space="0" w:color="auto"/>
            </w:tcBorders>
          </w:tcPr>
          <w:p w:rsidR="00BC1D60" w:rsidRDefault="00BC1D60" w:rsidP="00BC5B38">
            <w:pPr>
              <w:pStyle w:val="ESTableRow"/>
              <w:keepNext/>
              <w:jc w:val="right"/>
            </w:pPr>
            <w:r>
              <w:rPr>
                <w:b/>
              </w:rPr>
              <w:t>2012A</w:t>
            </w:r>
          </w:p>
        </w:tc>
        <w:tc>
          <w:tcPr>
            <w:tcW w:w="1212" w:type="dxa"/>
            <w:tcBorders>
              <w:top w:val="single" w:sz="4" w:space="0" w:color="auto"/>
            </w:tcBorders>
          </w:tcPr>
          <w:p w:rsidR="00BC1D60" w:rsidRDefault="00BC1D60" w:rsidP="00BC5B38">
            <w:pPr>
              <w:pStyle w:val="ESTableRow"/>
              <w:keepNext/>
              <w:jc w:val="right"/>
            </w:pPr>
            <w:r>
              <w:rPr>
                <w:b/>
              </w:rPr>
              <w:t>2013A</w:t>
            </w:r>
          </w:p>
        </w:tc>
        <w:tc>
          <w:tcPr>
            <w:tcW w:w="1212" w:type="dxa"/>
            <w:tcBorders>
              <w:top w:val="single" w:sz="4" w:space="0" w:color="auto"/>
            </w:tcBorders>
          </w:tcPr>
          <w:p w:rsidR="00BC1D60" w:rsidRDefault="00BC1D60" w:rsidP="00BC5B38">
            <w:pPr>
              <w:pStyle w:val="ESTableRow"/>
              <w:keepNext/>
              <w:jc w:val="right"/>
            </w:pPr>
            <w:r>
              <w:rPr>
                <w:b/>
              </w:rPr>
              <w:t>2014E</w:t>
            </w:r>
          </w:p>
        </w:tc>
        <w:tc>
          <w:tcPr>
            <w:tcW w:w="1212" w:type="dxa"/>
            <w:tcBorders>
              <w:top w:val="single" w:sz="4" w:space="0" w:color="auto"/>
            </w:tcBorders>
          </w:tcPr>
          <w:p w:rsidR="00BC1D60" w:rsidRDefault="00BC1D60" w:rsidP="00BC5B38">
            <w:pPr>
              <w:pStyle w:val="ESTableRow"/>
              <w:keepNext/>
              <w:jc w:val="right"/>
            </w:pPr>
            <w:r>
              <w:rPr>
                <w:b/>
              </w:rPr>
              <w:t>2015E</w:t>
            </w:r>
          </w:p>
        </w:tc>
      </w:tr>
      <w:tr w:rsidR="00BC1D60" w:rsidTr="00BC5B38">
        <w:trPr>
          <w:cantSplit/>
        </w:trPr>
        <w:tc>
          <w:tcPr>
            <w:tcW w:w="2000" w:type="dxa"/>
            <w:tcBorders>
              <w:top w:val="single" w:sz="4" w:space="0" w:color="auto"/>
            </w:tcBorders>
          </w:tcPr>
          <w:p w:rsidR="00BC1D60" w:rsidRDefault="00BC1D60" w:rsidP="00BC5B38">
            <w:pPr>
              <w:pStyle w:val="ESTableRow"/>
              <w:keepNext/>
            </w:pPr>
            <w:r>
              <w:t>Adj. EPS FY (p)</w:t>
            </w:r>
          </w:p>
        </w:tc>
        <w:tc>
          <w:tcPr>
            <w:tcW w:w="1212" w:type="dxa"/>
            <w:tcBorders>
              <w:top w:val="single" w:sz="4" w:space="0" w:color="auto"/>
            </w:tcBorders>
          </w:tcPr>
          <w:p w:rsidR="00BC1D60" w:rsidRDefault="00BC1D60" w:rsidP="00BC5B38">
            <w:pPr>
              <w:pStyle w:val="ESTableRow"/>
              <w:keepNext/>
              <w:jc w:val="right"/>
            </w:pPr>
            <w:r>
              <w:t>19.0</w:t>
            </w:r>
          </w:p>
        </w:tc>
        <w:tc>
          <w:tcPr>
            <w:tcW w:w="1212" w:type="dxa"/>
            <w:tcBorders>
              <w:top w:val="single" w:sz="4" w:space="0" w:color="auto"/>
            </w:tcBorders>
          </w:tcPr>
          <w:p w:rsidR="00BC1D60" w:rsidRDefault="00BC1D60" w:rsidP="00BC5B38">
            <w:pPr>
              <w:pStyle w:val="ESTableRow"/>
              <w:keepNext/>
              <w:jc w:val="right"/>
            </w:pPr>
            <w:r>
              <w:t>25.2</w:t>
            </w:r>
          </w:p>
        </w:tc>
        <w:tc>
          <w:tcPr>
            <w:tcW w:w="1212" w:type="dxa"/>
            <w:tcBorders>
              <w:top w:val="single" w:sz="4" w:space="0" w:color="auto"/>
            </w:tcBorders>
          </w:tcPr>
          <w:p w:rsidR="00BC1D60" w:rsidRDefault="00BC1D60" w:rsidP="00BC5B38">
            <w:pPr>
              <w:pStyle w:val="ESTableRow"/>
              <w:keepNext/>
              <w:jc w:val="right"/>
            </w:pPr>
            <w:r>
              <w:t>27.2</w:t>
            </w:r>
          </w:p>
        </w:tc>
        <w:tc>
          <w:tcPr>
            <w:tcW w:w="1212" w:type="dxa"/>
            <w:tcBorders>
              <w:top w:val="single" w:sz="4" w:space="0" w:color="auto"/>
            </w:tcBorders>
          </w:tcPr>
          <w:p w:rsidR="00BC1D60" w:rsidRDefault="00BC1D60" w:rsidP="00BC5B38">
            <w:pPr>
              <w:pStyle w:val="ESTableRow"/>
              <w:keepNext/>
              <w:jc w:val="right"/>
            </w:pPr>
            <w:r>
              <w:t>29.7</w:t>
            </w:r>
          </w:p>
        </w:tc>
      </w:tr>
      <w:tr w:rsidR="00BC1D60" w:rsidTr="00BC5B38">
        <w:trPr>
          <w:cantSplit/>
        </w:trPr>
        <w:tc>
          <w:tcPr>
            <w:tcW w:w="2000" w:type="dxa"/>
          </w:tcPr>
          <w:p w:rsidR="00BC1D60" w:rsidRDefault="00BC1D60" w:rsidP="00BC5B38">
            <w:pPr>
              <w:pStyle w:val="ESTableRow"/>
              <w:keepNext/>
            </w:pPr>
            <w:r>
              <w:t>Bloomberg EPS FY (p)</w:t>
            </w:r>
          </w:p>
        </w:tc>
        <w:tc>
          <w:tcPr>
            <w:tcW w:w="1212" w:type="dxa"/>
          </w:tcPr>
          <w:p w:rsidR="00BC1D60" w:rsidRDefault="00BC1D60" w:rsidP="00BC5B38">
            <w:pPr>
              <w:pStyle w:val="ESTableRow"/>
              <w:keepNext/>
              <w:jc w:val="right"/>
            </w:pPr>
            <w:r>
              <w:t>19.10</w:t>
            </w:r>
          </w:p>
        </w:tc>
        <w:tc>
          <w:tcPr>
            <w:tcW w:w="1212" w:type="dxa"/>
          </w:tcPr>
          <w:p w:rsidR="00BC1D60" w:rsidRDefault="00BC1D60" w:rsidP="00BC5B38">
            <w:pPr>
              <w:pStyle w:val="ESTableRow"/>
              <w:keepNext/>
              <w:jc w:val="right"/>
            </w:pPr>
            <w:r>
              <w:t>25.30</w:t>
            </w:r>
          </w:p>
        </w:tc>
        <w:tc>
          <w:tcPr>
            <w:tcW w:w="1212" w:type="dxa"/>
          </w:tcPr>
          <w:p w:rsidR="00BC1D60" w:rsidRDefault="00BC1D60" w:rsidP="00BC5B38">
            <w:pPr>
              <w:pStyle w:val="ESTableRow"/>
              <w:keepNext/>
              <w:jc w:val="right"/>
            </w:pPr>
            <w:r>
              <w:t>28.10</w:t>
            </w:r>
          </w:p>
        </w:tc>
        <w:tc>
          <w:tcPr>
            <w:tcW w:w="1212" w:type="dxa"/>
          </w:tcPr>
          <w:p w:rsidR="00BC1D60" w:rsidRDefault="00BC1D60" w:rsidP="00BC5B38">
            <w:pPr>
              <w:pStyle w:val="ESTableRow"/>
              <w:keepNext/>
              <w:jc w:val="right"/>
            </w:pPr>
            <w:r>
              <w:t>30.50</w:t>
            </w:r>
          </w:p>
        </w:tc>
      </w:tr>
      <w:tr w:rsidR="00BC1D60" w:rsidTr="00BC5B38">
        <w:trPr>
          <w:cantSplit/>
        </w:trPr>
        <w:tc>
          <w:tcPr>
            <w:tcW w:w="2000" w:type="dxa"/>
          </w:tcPr>
          <w:p w:rsidR="00BC1D60" w:rsidRDefault="00BC1D60" w:rsidP="00BC5B38">
            <w:pPr>
              <w:pStyle w:val="ESTableRow"/>
              <w:keepNext/>
            </w:pPr>
            <w:r>
              <w:t xml:space="preserve">Adj P/E FY </w:t>
            </w:r>
          </w:p>
        </w:tc>
        <w:tc>
          <w:tcPr>
            <w:tcW w:w="1212" w:type="dxa"/>
          </w:tcPr>
          <w:p w:rsidR="00BC1D60" w:rsidRDefault="00BC1D60" w:rsidP="00BC5B38">
            <w:pPr>
              <w:pStyle w:val="ESTableRow"/>
              <w:keepNext/>
              <w:jc w:val="right"/>
            </w:pPr>
            <w:r>
              <w:t>21.1</w:t>
            </w:r>
          </w:p>
        </w:tc>
        <w:tc>
          <w:tcPr>
            <w:tcW w:w="1212" w:type="dxa"/>
          </w:tcPr>
          <w:p w:rsidR="00BC1D60" w:rsidRDefault="00BC1D60" w:rsidP="00BC5B38">
            <w:pPr>
              <w:pStyle w:val="ESTableRow"/>
              <w:keepNext/>
              <w:jc w:val="right"/>
            </w:pPr>
            <w:r>
              <w:t>15.9</w:t>
            </w:r>
          </w:p>
        </w:tc>
        <w:tc>
          <w:tcPr>
            <w:tcW w:w="1212" w:type="dxa"/>
          </w:tcPr>
          <w:p w:rsidR="00BC1D60" w:rsidRDefault="00BC1D60" w:rsidP="00BC5B38">
            <w:pPr>
              <w:pStyle w:val="ESTableRow"/>
              <w:keepNext/>
              <w:jc w:val="right"/>
            </w:pPr>
            <w:r>
              <w:t>14.7</w:t>
            </w:r>
          </w:p>
        </w:tc>
        <w:tc>
          <w:tcPr>
            <w:tcW w:w="1212" w:type="dxa"/>
          </w:tcPr>
          <w:p w:rsidR="00BC1D60" w:rsidRDefault="00BC1D60" w:rsidP="00BC5B38">
            <w:pPr>
              <w:pStyle w:val="ESTableRow"/>
              <w:keepNext/>
              <w:jc w:val="right"/>
            </w:pPr>
            <w:r>
              <w:t>13.5</w:t>
            </w:r>
          </w:p>
        </w:tc>
      </w:tr>
      <w:tr w:rsidR="00BC1D60" w:rsidTr="00BC5B38">
        <w:trPr>
          <w:cantSplit/>
        </w:trPr>
        <w:tc>
          <w:tcPr>
            <w:tcW w:w="2000" w:type="dxa"/>
          </w:tcPr>
          <w:p w:rsidR="00BC1D60" w:rsidRDefault="00BC1D60" w:rsidP="00BC5B38">
            <w:pPr>
              <w:pStyle w:val="ESTableRow"/>
              <w:keepNext/>
            </w:pPr>
            <w:r>
              <w:t>DPS (Net) FY (p)</w:t>
            </w:r>
          </w:p>
        </w:tc>
        <w:tc>
          <w:tcPr>
            <w:tcW w:w="1212" w:type="dxa"/>
          </w:tcPr>
          <w:p w:rsidR="00BC1D60" w:rsidRDefault="00BC1D60" w:rsidP="00BC5B38">
            <w:pPr>
              <w:pStyle w:val="ESTableRow"/>
              <w:keepNext/>
              <w:jc w:val="right"/>
            </w:pPr>
            <w:r>
              <w:t>8.8</w:t>
            </w:r>
          </w:p>
        </w:tc>
        <w:tc>
          <w:tcPr>
            <w:tcW w:w="1212" w:type="dxa"/>
          </w:tcPr>
          <w:p w:rsidR="00BC1D60" w:rsidRDefault="00BC1D60" w:rsidP="00BC5B38">
            <w:pPr>
              <w:pStyle w:val="ESTableRow"/>
              <w:keepNext/>
              <w:jc w:val="right"/>
            </w:pPr>
            <w:r>
              <w:t>12.6</w:t>
            </w:r>
          </w:p>
        </w:tc>
        <w:tc>
          <w:tcPr>
            <w:tcW w:w="1212" w:type="dxa"/>
          </w:tcPr>
          <w:p w:rsidR="00BC1D60" w:rsidRDefault="00BC1D60" w:rsidP="00BC5B38">
            <w:pPr>
              <w:pStyle w:val="ESTableRow"/>
              <w:keepNext/>
              <w:jc w:val="right"/>
            </w:pPr>
            <w:r>
              <w:t>14.5</w:t>
            </w:r>
          </w:p>
        </w:tc>
        <w:tc>
          <w:tcPr>
            <w:tcW w:w="1212" w:type="dxa"/>
          </w:tcPr>
          <w:p w:rsidR="00BC1D60" w:rsidRDefault="00BC1D60" w:rsidP="00BC5B38">
            <w:pPr>
              <w:pStyle w:val="ESTableRow"/>
              <w:keepNext/>
              <w:jc w:val="right"/>
            </w:pPr>
            <w:r>
              <w:t>16.5</w:t>
            </w:r>
          </w:p>
        </w:tc>
      </w:tr>
      <w:tr w:rsidR="00BC1D60" w:rsidTr="00BC5B38">
        <w:trPr>
          <w:cantSplit/>
        </w:trPr>
        <w:tc>
          <w:tcPr>
            <w:tcW w:w="2000" w:type="dxa"/>
          </w:tcPr>
          <w:p w:rsidR="00BC1D60" w:rsidRDefault="00BC1D60" w:rsidP="00BC5B38">
            <w:pPr>
              <w:pStyle w:val="ESTableRow"/>
              <w:keepNext/>
            </w:pPr>
            <w:r>
              <w:t xml:space="preserve">Net Yield FY </w:t>
            </w:r>
          </w:p>
        </w:tc>
        <w:tc>
          <w:tcPr>
            <w:tcW w:w="1212" w:type="dxa"/>
          </w:tcPr>
          <w:p w:rsidR="00BC1D60" w:rsidRDefault="00BC1D60" w:rsidP="00BC5B38">
            <w:pPr>
              <w:pStyle w:val="ESTableRow"/>
              <w:keepNext/>
              <w:jc w:val="right"/>
            </w:pPr>
            <w:r>
              <w:t>2.2%</w:t>
            </w:r>
          </w:p>
        </w:tc>
        <w:tc>
          <w:tcPr>
            <w:tcW w:w="1212" w:type="dxa"/>
          </w:tcPr>
          <w:p w:rsidR="00BC1D60" w:rsidRDefault="00BC1D60" w:rsidP="00BC5B38">
            <w:pPr>
              <w:pStyle w:val="ESTableRow"/>
              <w:keepNext/>
              <w:jc w:val="right"/>
            </w:pPr>
            <w:r>
              <w:t>3.1%</w:t>
            </w:r>
          </w:p>
        </w:tc>
        <w:tc>
          <w:tcPr>
            <w:tcW w:w="1212" w:type="dxa"/>
          </w:tcPr>
          <w:p w:rsidR="00BC1D60" w:rsidRDefault="00BC1D60" w:rsidP="00BC5B38">
            <w:pPr>
              <w:pStyle w:val="ESTableRow"/>
              <w:keepNext/>
              <w:jc w:val="right"/>
            </w:pPr>
            <w:r>
              <w:t>3.6%</w:t>
            </w:r>
          </w:p>
        </w:tc>
        <w:tc>
          <w:tcPr>
            <w:tcW w:w="1212" w:type="dxa"/>
          </w:tcPr>
          <w:p w:rsidR="00BC1D60" w:rsidRDefault="00BC1D60" w:rsidP="00BC5B38">
            <w:pPr>
              <w:pStyle w:val="ESTableRow"/>
              <w:keepNext/>
              <w:jc w:val="right"/>
            </w:pPr>
            <w:r>
              <w:t>4.1%</w:t>
            </w:r>
          </w:p>
        </w:tc>
      </w:tr>
      <w:tr w:rsidR="00BC1D60" w:rsidTr="00BC5B38">
        <w:trPr>
          <w:cantSplit/>
        </w:trPr>
        <w:tc>
          <w:tcPr>
            <w:tcW w:w="2000" w:type="dxa"/>
          </w:tcPr>
          <w:p w:rsidR="00BC1D60" w:rsidRDefault="00BC1D60" w:rsidP="00BC5B38">
            <w:pPr>
              <w:pStyle w:val="ESTableRow"/>
              <w:keepNext/>
            </w:pPr>
            <w:r>
              <w:t>Revenue FY (£ mn)</w:t>
            </w:r>
          </w:p>
        </w:tc>
        <w:tc>
          <w:tcPr>
            <w:tcW w:w="1212" w:type="dxa"/>
          </w:tcPr>
          <w:p w:rsidR="00BC1D60" w:rsidRDefault="00BC1D60" w:rsidP="00BC5B38">
            <w:pPr>
              <w:pStyle w:val="ESTableRow"/>
              <w:keepNext/>
              <w:jc w:val="right"/>
            </w:pPr>
            <w:r>
              <w:t>245</w:t>
            </w:r>
          </w:p>
        </w:tc>
        <w:tc>
          <w:tcPr>
            <w:tcW w:w="1212" w:type="dxa"/>
          </w:tcPr>
          <w:p w:rsidR="00BC1D60" w:rsidRDefault="00BC1D60" w:rsidP="00BC5B38">
            <w:pPr>
              <w:pStyle w:val="ESTableRow"/>
              <w:keepNext/>
              <w:jc w:val="right"/>
            </w:pPr>
            <w:r>
              <w:t>289</w:t>
            </w:r>
          </w:p>
        </w:tc>
        <w:tc>
          <w:tcPr>
            <w:tcW w:w="1212" w:type="dxa"/>
          </w:tcPr>
          <w:p w:rsidR="00BC1D60" w:rsidRDefault="00BC1D60" w:rsidP="00BC5B38">
            <w:pPr>
              <w:pStyle w:val="ESTableRow"/>
              <w:keepNext/>
              <w:jc w:val="right"/>
            </w:pPr>
            <w:r>
              <w:t>309</w:t>
            </w:r>
          </w:p>
        </w:tc>
        <w:tc>
          <w:tcPr>
            <w:tcW w:w="1212" w:type="dxa"/>
          </w:tcPr>
          <w:p w:rsidR="00BC1D60" w:rsidRDefault="00BC1D60" w:rsidP="00BC5B38">
            <w:pPr>
              <w:pStyle w:val="ESTableRow"/>
              <w:keepNext/>
              <w:jc w:val="right"/>
            </w:pPr>
            <w:r>
              <w:t>334</w:t>
            </w:r>
          </w:p>
        </w:tc>
      </w:tr>
      <w:tr w:rsidR="00BC1D60" w:rsidTr="00BC5B38">
        <w:trPr>
          <w:cantSplit/>
        </w:trPr>
        <w:tc>
          <w:tcPr>
            <w:tcW w:w="2000" w:type="dxa"/>
          </w:tcPr>
          <w:p w:rsidR="00BC1D60" w:rsidRDefault="00BC1D60" w:rsidP="00BC5B38">
            <w:pPr>
              <w:pStyle w:val="ESTableRow"/>
              <w:keepNext/>
            </w:pPr>
            <w:r>
              <w:t>Adjusted EBIT FY (£ mn)</w:t>
            </w:r>
          </w:p>
        </w:tc>
        <w:tc>
          <w:tcPr>
            <w:tcW w:w="1212" w:type="dxa"/>
          </w:tcPr>
          <w:p w:rsidR="00BC1D60" w:rsidRDefault="00BC1D60" w:rsidP="00BC5B38">
            <w:pPr>
              <w:pStyle w:val="ESTableRow"/>
              <w:keepNext/>
              <w:jc w:val="right"/>
            </w:pPr>
            <w:r>
              <w:t>123</w:t>
            </w:r>
          </w:p>
        </w:tc>
        <w:tc>
          <w:tcPr>
            <w:tcW w:w="1212" w:type="dxa"/>
          </w:tcPr>
          <w:p w:rsidR="00BC1D60" w:rsidRDefault="00BC1D60" w:rsidP="00BC5B38">
            <w:pPr>
              <w:pStyle w:val="ESTableRow"/>
              <w:keepNext/>
              <w:jc w:val="right"/>
            </w:pPr>
            <w:r>
              <w:t>151</w:t>
            </w:r>
          </w:p>
        </w:tc>
        <w:tc>
          <w:tcPr>
            <w:tcW w:w="1212" w:type="dxa"/>
          </w:tcPr>
          <w:p w:rsidR="00BC1D60" w:rsidRDefault="00BC1D60" w:rsidP="00BC5B38">
            <w:pPr>
              <w:pStyle w:val="ESTableRow"/>
              <w:keepNext/>
              <w:jc w:val="right"/>
            </w:pPr>
            <w:r>
              <w:t>157</w:t>
            </w:r>
          </w:p>
        </w:tc>
        <w:tc>
          <w:tcPr>
            <w:tcW w:w="1212" w:type="dxa"/>
          </w:tcPr>
          <w:p w:rsidR="00BC1D60" w:rsidRDefault="00BC1D60" w:rsidP="00BC5B38">
            <w:pPr>
              <w:pStyle w:val="ESTableRow"/>
              <w:keepNext/>
              <w:jc w:val="right"/>
            </w:pPr>
            <w:r>
              <w:t>168</w:t>
            </w:r>
          </w:p>
        </w:tc>
      </w:tr>
      <w:tr w:rsidR="00BC1D60" w:rsidTr="00BC5B38">
        <w:trPr>
          <w:cantSplit/>
        </w:trPr>
        <w:tc>
          <w:tcPr>
            <w:tcW w:w="2000" w:type="dxa"/>
            <w:tcBorders>
              <w:bottom w:val="single" w:sz="4" w:space="0" w:color="auto"/>
            </w:tcBorders>
          </w:tcPr>
          <w:p w:rsidR="00BC1D60" w:rsidRDefault="00BC1D60" w:rsidP="00BC5B38">
            <w:pPr>
              <w:pStyle w:val="ESTableRow"/>
              <w:keepNext/>
            </w:pPr>
            <w:r>
              <w:t>Pretax Profit Adjusted FY (£ mn)</w:t>
            </w:r>
          </w:p>
        </w:tc>
        <w:tc>
          <w:tcPr>
            <w:tcW w:w="1212" w:type="dxa"/>
            <w:tcBorders>
              <w:bottom w:val="single" w:sz="4" w:space="0" w:color="auto"/>
            </w:tcBorders>
          </w:tcPr>
          <w:p w:rsidR="00BC1D60" w:rsidRDefault="00BC1D60" w:rsidP="00BC5B38">
            <w:pPr>
              <w:pStyle w:val="ESTableRow"/>
              <w:keepNext/>
              <w:jc w:val="right"/>
            </w:pPr>
            <w:r>
              <w:t>74</w:t>
            </w:r>
          </w:p>
        </w:tc>
        <w:tc>
          <w:tcPr>
            <w:tcW w:w="1212" w:type="dxa"/>
            <w:tcBorders>
              <w:bottom w:val="single" w:sz="4" w:space="0" w:color="auto"/>
            </w:tcBorders>
          </w:tcPr>
          <w:p w:rsidR="00BC1D60" w:rsidRDefault="00BC1D60" w:rsidP="00BC5B38">
            <w:pPr>
              <w:pStyle w:val="ESTableRow"/>
              <w:keepNext/>
              <w:jc w:val="right"/>
            </w:pPr>
            <w:r>
              <w:t>114</w:t>
            </w:r>
          </w:p>
        </w:tc>
        <w:tc>
          <w:tcPr>
            <w:tcW w:w="1212" w:type="dxa"/>
            <w:tcBorders>
              <w:bottom w:val="single" w:sz="4" w:space="0" w:color="auto"/>
            </w:tcBorders>
          </w:tcPr>
          <w:p w:rsidR="00BC1D60" w:rsidRDefault="00BC1D60" w:rsidP="00BC5B38">
            <w:pPr>
              <w:pStyle w:val="ESTableRow"/>
              <w:keepNext/>
              <w:jc w:val="right"/>
            </w:pPr>
            <w:r>
              <w:t>120</w:t>
            </w:r>
          </w:p>
        </w:tc>
        <w:tc>
          <w:tcPr>
            <w:tcW w:w="1212" w:type="dxa"/>
            <w:tcBorders>
              <w:bottom w:val="single" w:sz="4" w:space="0" w:color="auto"/>
            </w:tcBorders>
          </w:tcPr>
          <w:p w:rsidR="00BC1D60" w:rsidRDefault="00BC1D60" w:rsidP="00BC5B38">
            <w:pPr>
              <w:pStyle w:val="ESTableRow"/>
              <w:keepNext/>
              <w:jc w:val="right"/>
            </w:pPr>
            <w:r>
              <w:t>132</w:t>
            </w:r>
          </w:p>
        </w:tc>
      </w:tr>
    </w:tbl>
    <w:p w:rsidR="00BC1D60" w:rsidRDefault="00BC1D60" w:rsidP="00BC1D60">
      <w:pPr>
        <w:pStyle w:val="Source"/>
      </w:pPr>
      <w:r>
        <w:t>Source: Company data, Bloomberg, J.P. Morgan estimates.</w:t>
      </w:r>
    </w:p>
    <w:p w:rsidR="00BC1D60" w:rsidRPr="00053456" w:rsidRDefault="00BC1D60" w:rsidP="00BC1D60">
      <w:pPr>
        <w:pStyle w:val="Body"/>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414DFD" w:rsidTr="00BC5B38">
        <w:tc>
          <w:tcPr>
            <w:tcW w:w="10604" w:type="dxa"/>
            <w:gridSpan w:val="3"/>
            <w:shd w:val="clear" w:color="auto" w:fill="auto"/>
          </w:tcPr>
          <w:p w:rsidR="00BC1D60" w:rsidRPr="00414DFD" w:rsidRDefault="00BC1D60" w:rsidP="00BC5B38">
            <w:pPr>
              <w:pStyle w:val="Heading1-NoTOC"/>
            </w:pPr>
            <w:bookmarkStart w:id="224" w:name="_Toc328673075"/>
            <w:bookmarkStart w:id="225" w:name="_Toc328684375"/>
            <w:bookmarkStart w:id="226" w:name="_Toc328731264"/>
            <w:bookmarkStart w:id="227" w:name="_Toc336526074"/>
            <w:bookmarkStart w:id="228" w:name="_Toc336584851"/>
            <w:bookmarkStart w:id="229" w:name="_Toc345009153"/>
            <w:bookmarkStart w:id="230" w:name="_Toc352249271"/>
            <w:bookmarkStart w:id="231" w:name="_Toc352262692"/>
            <w:bookmarkStart w:id="232" w:name="_Toc352262866"/>
            <w:bookmarkStart w:id="233" w:name="_Toc360569123"/>
            <w:bookmarkStart w:id="234" w:name="_Toc360569907"/>
            <w:bookmarkStart w:id="235" w:name="_Toc368054130"/>
            <w:bookmarkStart w:id="236" w:name="_Toc368081355"/>
            <w:bookmarkStart w:id="237" w:name="_Toc376756093"/>
            <w:bookmarkStart w:id="238" w:name="_Toc376801414"/>
            <w:bookmarkStart w:id="239" w:name="_Toc376802076"/>
            <w:bookmarkStart w:id="240" w:name="_Toc384044975"/>
            <w:bookmarkStart w:id="241" w:name="_Toc384135999"/>
            <w:bookmarkStart w:id="242" w:name="_Toc384136966"/>
            <w:bookmarkStart w:id="243" w:name="_Toc392016363"/>
            <w:bookmarkStart w:id="244" w:name="_Toc392099081"/>
            <w:r w:rsidRPr="00414DFD">
              <w:t>Getting to know our SMid Analysts…</w:t>
            </w:r>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tc>
      </w:tr>
      <w:tr w:rsidR="00BC1D60" w:rsidRPr="00414DFD" w:rsidTr="00BC5B38">
        <w:trPr>
          <w:trHeight w:val="3427"/>
        </w:trPr>
        <w:tc>
          <w:tcPr>
            <w:tcW w:w="2666" w:type="dxa"/>
            <w:shd w:val="clear" w:color="auto" w:fill="auto"/>
          </w:tcPr>
          <w:p w:rsidR="00BC1D60" w:rsidRPr="00414DFD" w:rsidRDefault="00BC1D60" w:rsidP="00BC5B38">
            <w:pPr>
              <w:shd w:val="clear" w:color="auto" w:fill="F6F6F6"/>
              <w:spacing w:line="336" w:lineRule="atLeast"/>
              <w:jc w:val="center"/>
              <w:rPr>
                <w:rFonts w:ascii="Arial" w:hAnsi="Arial" w:cs="Arial"/>
                <w:color w:val="666666"/>
                <w:sz w:val="15"/>
                <w:szCs w:val="15"/>
              </w:rPr>
            </w:pPr>
            <w:r w:rsidRPr="00414DFD">
              <w:rPr>
                <w:rFonts w:ascii="Arial" w:hAnsi="Arial" w:cs="Arial"/>
                <w:noProof/>
                <w:color w:val="716F63"/>
                <w:sz w:val="17"/>
                <w:szCs w:val="17"/>
              </w:rPr>
              <w:drawing>
                <wp:inline distT="0" distB="0" distL="0" distR="0">
                  <wp:extent cx="1400175" cy="1465087"/>
                  <wp:effectExtent l="19050" t="0" r="9525" b="0"/>
                  <wp:docPr id="878" name="Picture 40" descr="Edward Morris, C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dward Morris, CFA"/>
                          <pic:cNvPicPr>
                            <a:picLocks noChangeAspect="1" noChangeArrowheads="1"/>
                          </pic:cNvPicPr>
                        </pic:nvPicPr>
                        <pic:blipFill>
                          <a:blip r:embed="rId106"/>
                          <a:srcRect l="51242" r="4963" b="26639"/>
                          <a:stretch>
                            <a:fillRect/>
                          </a:stretch>
                        </pic:blipFill>
                        <pic:spPr bwMode="auto">
                          <a:xfrm>
                            <a:off x="0" y="0"/>
                            <a:ext cx="1400175" cy="1465087"/>
                          </a:xfrm>
                          <a:prstGeom prst="rect">
                            <a:avLst/>
                          </a:prstGeom>
                          <a:noFill/>
                          <a:ln w="9525">
                            <a:noFill/>
                            <a:miter lim="800000"/>
                            <a:headEnd/>
                            <a:tailEnd/>
                          </a:ln>
                        </pic:spPr>
                      </pic:pic>
                    </a:graphicData>
                  </a:graphic>
                </wp:inline>
              </w:drawing>
            </w:r>
          </w:p>
          <w:p w:rsidR="00BC1D60" w:rsidRPr="00414DFD" w:rsidRDefault="00BC1D60" w:rsidP="00BC5B38">
            <w:pPr>
              <w:pStyle w:val="Body"/>
              <w:spacing w:after="120"/>
            </w:pPr>
          </w:p>
        </w:tc>
        <w:tc>
          <w:tcPr>
            <w:tcW w:w="3544" w:type="dxa"/>
            <w:shd w:val="clear" w:color="auto" w:fill="auto"/>
          </w:tcPr>
          <w:p w:rsidR="00BC1D60" w:rsidRPr="00414DFD" w:rsidRDefault="00BC1D60" w:rsidP="00BC5B38">
            <w:pPr>
              <w:pStyle w:val="Heading2"/>
              <w:outlineLvl w:val="1"/>
              <w:rPr>
                <w:lang w:val="es-ES_tradnl"/>
              </w:rPr>
            </w:pPr>
            <w:r w:rsidRPr="00414DFD">
              <w:rPr>
                <w:lang w:val="es-ES_tradnl"/>
              </w:rPr>
              <w:t>Edward Morris</w:t>
            </w:r>
          </w:p>
          <w:p w:rsidR="00BC1D60" w:rsidRPr="00414DFD" w:rsidRDefault="003B051F" w:rsidP="00BC5B38">
            <w:pPr>
              <w:pStyle w:val="Body"/>
              <w:spacing w:after="120"/>
              <w:rPr>
                <w:rFonts w:ascii="Arial Narrow" w:hAnsi="Arial Narrow"/>
                <w:lang w:val="es-ES_tradnl"/>
              </w:rPr>
            </w:pPr>
            <w:hyperlink r:id="rId107" w:history="1">
              <w:r w:rsidR="00BC1D60" w:rsidRPr="00414DFD">
                <w:rPr>
                  <w:rStyle w:val="Hyperlink"/>
                  <w:rFonts w:ascii="Arial Narrow" w:hAnsi="Arial Narrow"/>
                  <w:lang w:val="es-ES_tradnl"/>
                </w:rPr>
                <w:t>edward.morris@jpmorgan.com</w:t>
              </w:r>
            </w:hyperlink>
          </w:p>
          <w:p w:rsidR="00BC1D60" w:rsidRPr="00414DFD" w:rsidRDefault="00BC1D60" w:rsidP="00BC5B38">
            <w:pPr>
              <w:pStyle w:val="Body"/>
              <w:spacing w:after="120"/>
              <w:rPr>
                <w:rFonts w:ascii="Arial Narrow" w:hAnsi="Arial Narrow"/>
                <w:lang w:val="es-ES_tradnl"/>
              </w:rPr>
            </w:pPr>
            <w:r w:rsidRPr="00414DFD">
              <w:rPr>
                <w:rFonts w:ascii="Arial Narrow" w:hAnsi="Arial Narrow"/>
                <w:lang w:val="es-ES_tradnl"/>
              </w:rPr>
              <w:t>(44-20) 7134-0636</w:t>
            </w:r>
          </w:p>
          <w:p w:rsidR="00BC1D60" w:rsidRPr="00414DFD" w:rsidRDefault="00BC1D60" w:rsidP="00BC5B38">
            <w:pPr>
              <w:pStyle w:val="Body"/>
              <w:spacing w:after="120"/>
              <w:rPr>
                <w:rFonts w:ascii="Arial Narrow" w:hAnsi="Arial Narrow"/>
                <w:lang w:val="es-ES_tradnl"/>
              </w:rPr>
            </w:pPr>
          </w:p>
          <w:p w:rsidR="00BC1D60" w:rsidRPr="00414DFD" w:rsidRDefault="00BC1D60" w:rsidP="00BC5B38">
            <w:pPr>
              <w:pStyle w:val="Body"/>
              <w:spacing w:after="120"/>
              <w:rPr>
                <w:rFonts w:ascii="Arial Narrow" w:hAnsi="Arial Narrow"/>
              </w:rPr>
            </w:pPr>
            <w:r w:rsidRPr="00414DFD">
              <w:rPr>
                <w:rFonts w:ascii="Arial Narrow" w:hAnsi="Arial Narrow"/>
                <w:b/>
              </w:rPr>
              <w:t>Region:</w:t>
            </w:r>
            <w:r w:rsidRPr="00414DFD">
              <w:rPr>
                <w:rFonts w:ascii="Arial Narrow" w:hAnsi="Arial Narrow"/>
              </w:rPr>
              <w:t xml:space="preserve"> W. Europe</w:t>
            </w:r>
          </w:p>
          <w:p w:rsidR="00BC1D60" w:rsidRPr="00414DFD" w:rsidRDefault="00BC1D60" w:rsidP="00BC5B38">
            <w:pPr>
              <w:pStyle w:val="Body"/>
              <w:spacing w:after="120"/>
              <w:rPr>
                <w:rFonts w:ascii="Arial Narrow" w:hAnsi="Arial Narrow"/>
              </w:rPr>
            </w:pPr>
            <w:r w:rsidRPr="00414DFD">
              <w:rPr>
                <w:rFonts w:ascii="Arial Narrow" w:hAnsi="Arial Narrow"/>
                <w:b/>
              </w:rPr>
              <w:t>Sector:</w:t>
            </w:r>
            <w:r w:rsidRPr="00414DFD">
              <w:rPr>
                <w:rFonts w:ascii="Arial Narrow" w:hAnsi="Arial Narrow"/>
              </w:rPr>
              <w:t xml:space="preserve"> General Financials</w:t>
            </w:r>
          </w:p>
          <w:p w:rsidR="00BC1D60" w:rsidRPr="00414DFD" w:rsidRDefault="00BC1D60" w:rsidP="00BC5B38">
            <w:pPr>
              <w:pStyle w:val="Body"/>
            </w:pPr>
          </w:p>
        </w:tc>
        <w:tc>
          <w:tcPr>
            <w:tcW w:w="4394" w:type="dxa"/>
            <w:shd w:val="clear" w:color="auto" w:fill="auto"/>
          </w:tcPr>
          <w:p w:rsidR="00BC1D60" w:rsidRPr="00414DFD" w:rsidRDefault="00BC1D60" w:rsidP="00BC5B38">
            <w:pPr>
              <w:pStyle w:val="Body"/>
              <w:jc w:val="right"/>
            </w:pPr>
            <w:r w:rsidRPr="00414DFD">
              <w:rPr>
                <w:noProof/>
              </w:rPr>
              <w:drawing>
                <wp:inline distT="0" distB="0" distL="0" distR="0">
                  <wp:extent cx="2505456" cy="1414952"/>
                  <wp:effectExtent l="19050" t="0" r="9144" b="0"/>
                  <wp:docPr id="8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8"/>
                          <a:srcRect/>
                          <a:stretch>
                            <a:fillRect/>
                          </a:stretch>
                        </pic:blipFill>
                        <pic:spPr bwMode="auto">
                          <a:xfrm>
                            <a:off x="0" y="0"/>
                            <a:ext cx="2505456" cy="1414952"/>
                          </a:xfrm>
                          <a:prstGeom prst="rect">
                            <a:avLst/>
                          </a:prstGeom>
                          <a:noFill/>
                          <a:ln w="9525">
                            <a:noFill/>
                            <a:miter lim="800000"/>
                            <a:headEnd/>
                            <a:tailEnd/>
                          </a:ln>
                        </pic:spPr>
                      </pic:pic>
                    </a:graphicData>
                  </a:graphic>
                </wp:inline>
              </w:drawing>
            </w:r>
            <w:r w:rsidRPr="00414DFD">
              <w:t xml:space="preserve"> </w:t>
            </w:r>
          </w:p>
        </w:tc>
      </w:tr>
    </w:tbl>
    <w:p w:rsidR="00BC1D60" w:rsidRPr="00414DFD" w:rsidRDefault="00BC1D60" w:rsidP="00BC1D60">
      <w:pPr>
        <w:pStyle w:val="Source"/>
        <w:spacing w:before="0" w:after="0"/>
        <w:ind w:left="-3124" w:hanging="137"/>
      </w:pPr>
      <w:r w:rsidRPr="00414DFD">
        <w:rPr>
          <w:noProof/>
        </w:rPr>
        <w:drawing>
          <wp:inline distT="0" distB="0" distL="0" distR="0">
            <wp:extent cx="6702552" cy="1891968"/>
            <wp:effectExtent l="19050" t="0" r="3048" b="0"/>
            <wp:docPr id="88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9"/>
                    <a:srcRect/>
                    <a:stretch>
                      <a:fillRect/>
                    </a:stretch>
                  </pic:blipFill>
                  <pic:spPr bwMode="auto">
                    <a:xfrm>
                      <a:off x="0" y="0"/>
                      <a:ext cx="6702552" cy="1891968"/>
                    </a:xfrm>
                    <a:prstGeom prst="rect">
                      <a:avLst/>
                    </a:prstGeom>
                    <a:noFill/>
                    <a:ln w="9525">
                      <a:noFill/>
                      <a:miter lim="800000"/>
                      <a:headEnd/>
                      <a:tailEnd/>
                    </a:ln>
                  </pic:spPr>
                </pic:pic>
              </a:graphicData>
            </a:graphic>
          </wp:inline>
        </w:drawing>
      </w:r>
    </w:p>
    <w:p w:rsidR="00BC1D60" w:rsidRPr="00414DFD" w:rsidRDefault="00BC1D60" w:rsidP="00BC1D60">
      <w:pPr>
        <w:pStyle w:val="Source"/>
        <w:spacing w:before="0"/>
        <w:ind w:left="-3124" w:hanging="137"/>
      </w:pPr>
      <w:r>
        <w:t xml:space="preserve"> </w:t>
      </w:r>
      <w:r w:rsidRPr="00414DFD">
        <w:t>Source: Bloomberg, Datastream, Factset, J.P. Morgan</w:t>
      </w:r>
      <w:r w:rsidRPr="00414DFD">
        <w:br/>
      </w:r>
      <w:r w:rsidRPr="0087013D">
        <w:t>Prices as of 24 June 2014</w:t>
      </w:r>
      <w:r w:rsidRPr="00414DFD">
        <w:t xml:space="preserve"> </w:t>
      </w:r>
    </w:p>
    <w:p w:rsidR="00BC1D60" w:rsidRPr="004F1ABB" w:rsidRDefault="00BC1D60" w:rsidP="00BC1D60">
      <w:pPr>
        <w:spacing w:line="264" w:lineRule="atLeast"/>
        <w:ind w:left="-3125"/>
        <w:rPr>
          <w:rFonts w:ascii="Arial Narrow" w:hAnsi="Arial Narrow" w:cs="Arial"/>
          <w:sz w:val="16"/>
          <w:szCs w:val="16"/>
          <w:highlight w:val="yellow"/>
        </w:rPr>
      </w:pPr>
    </w:p>
    <w:p w:rsidR="00BC1D60" w:rsidRPr="004F1ABB" w:rsidRDefault="00BC1D60" w:rsidP="00BC1D60">
      <w:pPr>
        <w:pStyle w:val="Source"/>
        <w:spacing w:before="0"/>
        <w:ind w:left="-3124" w:hanging="137"/>
        <w:rPr>
          <w:highlight w:val="yellow"/>
        </w:rPr>
      </w:pPr>
    </w:p>
    <w:p w:rsidR="00BC1D60" w:rsidRPr="004F1ABB" w:rsidRDefault="00BC1D60" w:rsidP="00BC1D60">
      <w:pPr>
        <w:pStyle w:val="Sidecomments"/>
        <w:framePr w:w="0" w:hRule="auto" w:wrap="around"/>
        <w:rPr>
          <w:highlight w:val="yellow"/>
        </w:rPr>
      </w:pPr>
      <w:r>
        <w:rPr>
          <w:noProof/>
        </w:rPr>
        <w:lastRenderedPageBreak/>
        <w:drawing>
          <wp:inline distT="0" distB="0" distL="0" distR="0">
            <wp:extent cx="1737360" cy="7712673"/>
            <wp:effectExtent l="19050" t="0" r="0" b="0"/>
            <wp:docPr id="8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srcRect/>
                    <a:stretch>
                      <a:fillRect/>
                    </a:stretch>
                  </pic:blipFill>
                  <pic:spPr bwMode="auto">
                    <a:xfrm>
                      <a:off x="0" y="0"/>
                      <a:ext cx="1737360" cy="7712673"/>
                    </a:xfrm>
                    <a:prstGeom prst="rect">
                      <a:avLst/>
                    </a:prstGeom>
                    <a:noFill/>
                    <a:ln w="9525">
                      <a:noFill/>
                      <a:miter lim="800000"/>
                      <a:headEnd/>
                      <a:tailEnd/>
                    </a:ln>
                  </pic:spPr>
                </pic:pic>
              </a:graphicData>
            </a:graphic>
          </wp:inline>
        </w:drawing>
      </w:r>
    </w:p>
    <w:p w:rsidR="00BC1D60" w:rsidRPr="00BE1630" w:rsidRDefault="00BC1D60" w:rsidP="00BC1D60">
      <w:pPr>
        <w:pStyle w:val="Heading1"/>
        <w:spacing w:before="0" w:after="100"/>
        <w:rPr>
          <w:lang w:val="fr-FR"/>
        </w:rPr>
      </w:pPr>
      <w:bookmarkStart w:id="245" w:name="_Toc392099082"/>
      <w:bookmarkStart w:id="246" w:name="_Toc392081817"/>
      <w:bookmarkStart w:id="247" w:name="_Toc392081880"/>
      <w:r w:rsidRPr="00BE1630">
        <w:rPr>
          <w:lang w:val="fr-FR"/>
        </w:rPr>
        <w:t xml:space="preserve">Laird (LRD LN / OW / GBp </w:t>
      </w:r>
      <w:r>
        <w:rPr>
          <w:lang w:val="fr-FR"/>
        </w:rPr>
        <w:t>288.0</w:t>
      </w:r>
      <w:r w:rsidRPr="00BE1630">
        <w:rPr>
          <w:lang w:val="fr-FR"/>
        </w:rPr>
        <w:t>)</w:t>
      </w:r>
      <w:bookmarkEnd w:id="245"/>
      <w:bookmarkEnd w:id="246"/>
      <w:bookmarkEnd w:id="247"/>
    </w:p>
    <w:p w:rsidR="00BC1D60" w:rsidRPr="00BE1630" w:rsidRDefault="00BC1D60" w:rsidP="00BC1D60">
      <w:pPr>
        <w:pStyle w:val="Heading2"/>
        <w:spacing w:after="80"/>
        <w:rPr>
          <w:rFonts w:eastAsia="Times New Roman"/>
          <w:bCs/>
          <w:i/>
          <w:iCs/>
        </w:rPr>
      </w:pPr>
      <w:r w:rsidRPr="00BE1630">
        <w:rPr>
          <w:rFonts w:eastAsia="Times New Roman"/>
          <w:bCs/>
          <w:i/>
          <w:iCs/>
        </w:rPr>
        <w:t>Operational gearing crucial to achieving estimates</w:t>
      </w:r>
    </w:p>
    <w:p w:rsidR="00BC1D60" w:rsidRPr="00BE1630" w:rsidRDefault="00BC1D60" w:rsidP="00BC1D60">
      <w:pPr>
        <w:pStyle w:val="Heading3"/>
        <w:spacing w:after="0"/>
        <w:rPr>
          <w:rFonts w:eastAsia="Times New Roman"/>
        </w:rPr>
      </w:pPr>
      <w:r w:rsidRPr="00BE1630">
        <w:rPr>
          <w:rFonts w:eastAsia="Times New Roman"/>
          <w:bCs w:val="0"/>
        </w:rPr>
        <w:t>Investment Highlights:</w:t>
      </w:r>
    </w:p>
    <w:p w:rsidR="00BC1D60" w:rsidRPr="00BE1630" w:rsidRDefault="00BC1D60" w:rsidP="00BC1D60">
      <w:pPr>
        <w:pStyle w:val="Bullet"/>
        <w:tabs>
          <w:tab w:val="clear" w:pos="288"/>
        </w:tabs>
        <w:spacing w:after="60"/>
        <w:ind w:left="225" w:hanging="225"/>
        <w:rPr>
          <w:rFonts w:eastAsiaTheme="minorHAnsi"/>
          <w:color w:val="C0C0C0"/>
          <w:sz w:val="18"/>
          <w:szCs w:val="18"/>
        </w:rPr>
      </w:pPr>
      <w:r w:rsidRPr="00BE1630">
        <w:rPr>
          <w:rFonts w:hint="eastAsia"/>
          <w:lang w:val="en-GB"/>
        </w:rPr>
        <w:t>Apple</w:t>
      </w:r>
      <w:r w:rsidRPr="00BE1630">
        <w:rPr>
          <w:lang w:val="en-GB"/>
        </w:rPr>
        <w:t>’</w:t>
      </w:r>
      <w:r w:rsidRPr="00BE1630">
        <w:rPr>
          <w:rFonts w:hint="eastAsia"/>
          <w:lang w:val="en-GB"/>
        </w:rPr>
        <w:t>s launch of the iPhone 5S and 5C was good news for Laird. Apple is Laird</w:t>
      </w:r>
      <w:r w:rsidRPr="00BE1630">
        <w:rPr>
          <w:lang w:val="en-GB"/>
        </w:rPr>
        <w:t>’</w:t>
      </w:r>
      <w:r w:rsidRPr="00BE1630">
        <w:rPr>
          <w:rFonts w:hint="eastAsia"/>
          <w:lang w:val="en-GB"/>
        </w:rPr>
        <w:t xml:space="preserve">s largest customer and we believe that Laird </w:t>
      </w:r>
      <w:r w:rsidRPr="00BE1630">
        <w:rPr>
          <w:lang w:val="en-GB"/>
        </w:rPr>
        <w:t>was</w:t>
      </w:r>
      <w:r w:rsidRPr="00BE1630">
        <w:rPr>
          <w:rFonts w:hint="eastAsia"/>
          <w:lang w:val="en-GB"/>
        </w:rPr>
        <w:t xml:space="preserve"> contracted to supply EMI shielding on the </w:t>
      </w:r>
      <w:r w:rsidRPr="00BE1630">
        <w:rPr>
          <w:lang w:val="en-GB"/>
        </w:rPr>
        <w:t>latest</w:t>
      </w:r>
      <w:r w:rsidRPr="00BE1630">
        <w:rPr>
          <w:rFonts w:hint="eastAsia"/>
          <w:lang w:val="en-GB"/>
        </w:rPr>
        <w:t xml:space="preserve"> iPhones. This, together with the launch of the Xbox One in </w:t>
      </w:r>
      <w:r w:rsidRPr="00BE1630">
        <w:rPr>
          <w:lang w:val="en-GB"/>
        </w:rPr>
        <w:t>Nov</w:t>
      </w:r>
      <w:r w:rsidRPr="00BE1630">
        <w:rPr>
          <w:rFonts w:hint="eastAsia"/>
          <w:lang w:val="en-GB"/>
        </w:rPr>
        <w:t xml:space="preserve"> </w:t>
      </w:r>
      <w:r w:rsidRPr="00BE1630">
        <w:rPr>
          <w:lang w:val="en-GB"/>
        </w:rPr>
        <w:t>’13 underpinned the significantly stronger 2H13 (profit 2x 1H level) — mgmt continues to expect its earnings to accelerate as we progress through 2014 and to be weighted to the second half, and we anticipate a similar H1/H2 split to 2013 driven by increasing demand for EMI products from Apple and Samsung as well as a new telematics contract and increased LTE/MIMO activity contributing to Wireless Systems</w:t>
      </w:r>
      <w:r w:rsidRPr="00BE1630">
        <w:rPr>
          <w:rFonts w:hint="eastAsia"/>
          <w:lang w:val="en-GB"/>
        </w:rPr>
        <w:t>. Laird</w:t>
      </w:r>
      <w:r w:rsidRPr="00BE1630">
        <w:rPr>
          <w:lang w:val="en-GB"/>
        </w:rPr>
        <w:t>’</w:t>
      </w:r>
      <w:r w:rsidRPr="00BE1630">
        <w:rPr>
          <w:rFonts w:hint="eastAsia"/>
          <w:lang w:val="en-GB"/>
        </w:rPr>
        <w:t xml:space="preserve">s revenues can be impacted by variations in the level of orders from key customers, but </w:t>
      </w:r>
      <w:r w:rsidRPr="00BE1630">
        <w:rPr>
          <w:lang w:val="en-GB"/>
        </w:rPr>
        <w:t xml:space="preserve">we note that </w:t>
      </w:r>
      <w:r w:rsidRPr="00BE1630">
        <w:rPr>
          <w:rFonts w:hint="eastAsia"/>
          <w:lang w:val="en-GB"/>
        </w:rPr>
        <w:t>its success is built on the longevity of relationships with some of the largest manufacturers in the world.</w:t>
      </w:r>
    </w:p>
    <w:p w:rsidR="00BC1D60" w:rsidRPr="00BE1630" w:rsidRDefault="00BC1D60" w:rsidP="00BC1D60">
      <w:pPr>
        <w:pStyle w:val="Bullet"/>
        <w:tabs>
          <w:tab w:val="clear" w:pos="288"/>
          <w:tab w:val="left" w:pos="360"/>
          <w:tab w:val="left" w:pos="450"/>
        </w:tabs>
        <w:spacing w:after="80"/>
        <w:ind w:left="225" w:hanging="225"/>
      </w:pPr>
      <w:r w:rsidRPr="00BE1630">
        <w:rPr>
          <w:sz w:val="18"/>
          <w:szCs w:val="18"/>
        </w:rPr>
        <w:t>We</w:t>
      </w:r>
      <w:r w:rsidRPr="00BE1630">
        <w:t xml:space="preserve"> believe Laird aspires to broaden its EMI and thermal businesses by increasing its penetration of other smartphone and tablet manufacturers. As the global mkt for tablets becomes increasingly fragmented, we expect opportunities to arise for Laird to work with smaller players in this space. Laird is developing a manufacturing facility at Hanoi to supply EMI products that will work alongside a design facility in Seoul — potentially to supply a major South Korean customer.</w:t>
      </w:r>
    </w:p>
    <w:p w:rsidR="00BC1D60" w:rsidRPr="00BE1630" w:rsidRDefault="00BC1D60" w:rsidP="00BC1D60">
      <w:pPr>
        <w:pStyle w:val="Body"/>
        <w:spacing w:after="60"/>
      </w:pPr>
      <w:r w:rsidRPr="00BE1630">
        <w:rPr>
          <w:b/>
        </w:rPr>
        <w:t xml:space="preserve">Valuation / Risks to our View: </w:t>
      </w:r>
      <w:r w:rsidRPr="00BE1630">
        <w:rPr>
          <w:szCs w:val="20"/>
        </w:rPr>
        <w:t xml:space="preserve">Our Mar-15 PT of 340p is a 50:50 weighted avg of our DCF and SOTP valuations. Our SOTP is based on 14.5x EV/EBIT FY14E, a 10% discount to peer grp avg. Risks include: key customer risk; FX transaction and translation exposure; limited visibility; competition encouraged by OEMs; reliance on manufacturing in low cost countries reduces ability to further mitigate price deflation in its mkts — greater than expected infl (esp in China) could negatively impact profitability; ability to get Laird's products onto next gen OEM products. </w:t>
      </w:r>
    </w:p>
    <w:p w:rsidR="00BC1D60" w:rsidRPr="00CE2937" w:rsidRDefault="00BC1D60" w:rsidP="00BC1D60">
      <w:pPr>
        <w:pStyle w:val="Heading3"/>
        <w:spacing w:after="120"/>
        <w:rPr>
          <w:b w:val="0"/>
        </w:rPr>
      </w:pPr>
      <w:r w:rsidRPr="00BE1630">
        <w:t xml:space="preserve">Laird in a Nutshell: </w:t>
      </w:r>
      <w:r w:rsidRPr="00BE1630">
        <w:rPr>
          <w:b w:val="0"/>
        </w:rPr>
        <w:t xml:space="preserve">Laird designs and manufactures technology that protects electronic devices from </w:t>
      </w:r>
      <w:r w:rsidRPr="00CE2937">
        <w:rPr>
          <w:b w:val="0"/>
        </w:rPr>
        <w:t>electromagnetic interference and heat, and that enable wireless and antenna-based connectivity. It operates from 46 engineering, manufacturing and sales facilities around the world, including 20 research laboratories, and employs 9,000 people. The business was established as a Liverpool-based shipbuilder in 1824 and had a long history as an industrial conglomerate before coming to focus on electronic protection and connectivity technology in the 2000s</w:t>
      </w:r>
      <w:r w:rsidRPr="00CE2937">
        <w:rPr>
          <w:b w:val="0"/>
          <w:szCs w:val="20"/>
        </w:rPr>
        <w:t>.</w:t>
      </w:r>
      <w:r w:rsidRPr="00CE2937">
        <w:rPr>
          <w:szCs w:val="20"/>
        </w:rPr>
        <w:t xml:space="preserve">  </w:t>
      </w:r>
    </w:p>
    <w:p w:rsidR="00BC1D60" w:rsidRPr="00CE2937" w:rsidRDefault="00BC1D60" w:rsidP="00BC1D60">
      <w:pPr>
        <w:pStyle w:val="Heading3"/>
        <w:spacing w:after="0"/>
      </w:pPr>
      <w:r w:rsidRPr="00CE2937">
        <w:t>Price Perf vs MSCI All Country World Small Cap (rebased as of 1-year ago)</w:t>
      </w:r>
    </w:p>
    <w:p w:rsidR="00BC1D60" w:rsidRPr="006E0904" w:rsidRDefault="00BC1D60" w:rsidP="00BC1D60">
      <w:pPr>
        <w:pStyle w:val="Body"/>
        <w:spacing w:after="0"/>
      </w:pPr>
      <w:r>
        <w:rPr>
          <w:noProof/>
        </w:rPr>
        <w:drawing>
          <wp:inline distT="0" distB="0" distL="0" distR="0">
            <wp:extent cx="4352925" cy="1485900"/>
            <wp:effectExtent l="19050" t="0" r="9525" b="0"/>
            <wp:docPr id="8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srcRect t="5714" b="5143"/>
                    <a:stretch>
                      <a:fillRect/>
                    </a:stretch>
                  </pic:blipFill>
                  <pic:spPr bwMode="auto">
                    <a:xfrm>
                      <a:off x="0" y="0"/>
                      <a:ext cx="4352925" cy="1485900"/>
                    </a:xfrm>
                    <a:prstGeom prst="rect">
                      <a:avLst/>
                    </a:prstGeom>
                    <a:noFill/>
                    <a:ln w="9525">
                      <a:noFill/>
                      <a:miter lim="800000"/>
                      <a:headEnd/>
                      <a:tailEnd/>
                    </a:ln>
                  </pic:spPr>
                </pic:pic>
              </a:graphicData>
            </a:graphic>
          </wp:inline>
        </w:drawing>
      </w:r>
    </w:p>
    <w:p w:rsidR="00BC1D60" w:rsidRPr="006E0904" w:rsidRDefault="00BC1D60" w:rsidP="00BC1D60">
      <w:pPr>
        <w:pStyle w:val="Body"/>
        <w:spacing w:after="0"/>
        <w:rPr>
          <w:noProof/>
          <w:lang w:val="en-GB" w:eastAsia="en-GB"/>
        </w:rPr>
      </w:pPr>
      <w:r w:rsidRPr="007A4ECF">
        <w:rPr>
          <w:rFonts w:ascii="Arial" w:hAnsi="Arial" w:cs="Arial"/>
          <w:b/>
          <w:noProof/>
          <w:sz w:val="18"/>
          <w:szCs w:val="18"/>
        </w:rPr>
        <w:t>J.P. Morgan Estimates</w:t>
      </w:r>
    </w:p>
    <w:p w:rsidR="00BC1D60" w:rsidRDefault="00BC1D60" w:rsidP="00BC1D60">
      <w:pPr>
        <w:pStyle w:val="ESTableCaption"/>
        <w:keepNext/>
      </w:pPr>
      <w:r>
        <w:rPr>
          <w:sz w:val="16"/>
        </w:rPr>
        <w:t>Laird Plc (LRD.L;LRD LN)</w:t>
      </w:r>
    </w:p>
    <w:tbl>
      <w:tblPr>
        <w:tblW w:w="5000" w:type="pct"/>
        <w:tblCellMar>
          <w:left w:w="0" w:type="dxa"/>
          <w:right w:w="43" w:type="dxa"/>
        </w:tblCellMar>
        <w:tblLook w:val="01E0"/>
      </w:tblPr>
      <w:tblGrid>
        <w:gridCol w:w="2013"/>
        <w:gridCol w:w="1221"/>
        <w:gridCol w:w="1221"/>
        <w:gridCol w:w="1221"/>
        <w:gridCol w:w="1221"/>
      </w:tblGrid>
      <w:tr w:rsidR="00BC1D60" w:rsidTr="00BC5B38">
        <w:trPr>
          <w:cantSplit/>
        </w:trPr>
        <w:tc>
          <w:tcPr>
            <w:tcW w:w="2000" w:type="dxa"/>
            <w:tcBorders>
              <w:top w:val="single" w:sz="4" w:space="0" w:color="auto"/>
            </w:tcBorders>
          </w:tcPr>
          <w:p w:rsidR="00BC1D60" w:rsidRDefault="00BC1D60" w:rsidP="00BC5B38">
            <w:pPr>
              <w:pStyle w:val="ESTableRow"/>
              <w:keepNext/>
            </w:pPr>
            <w:r>
              <w:rPr>
                <w:b/>
              </w:rPr>
              <w:t>FYE Dec</w:t>
            </w:r>
          </w:p>
        </w:tc>
        <w:tc>
          <w:tcPr>
            <w:tcW w:w="1212" w:type="dxa"/>
            <w:tcBorders>
              <w:top w:val="single" w:sz="4" w:space="0" w:color="auto"/>
            </w:tcBorders>
          </w:tcPr>
          <w:p w:rsidR="00BC1D60" w:rsidRDefault="00BC1D60" w:rsidP="00BC5B38">
            <w:pPr>
              <w:pStyle w:val="ESTableRow"/>
              <w:keepNext/>
              <w:jc w:val="right"/>
            </w:pPr>
            <w:r>
              <w:rPr>
                <w:b/>
              </w:rPr>
              <w:t>2013A</w:t>
            </w:r>
          </w:p>
        </w:tc>
        <w:tc>
          <w:tcPr>
            <w:tcW w:w="1212" w:type="dxa"/>
            <w:tcBorders>
              <w:top w:val="single" w:sz="4" w:space="0" w:color="auto"/>
            </w:tcBorders>
          </w:tcPr>
          <w:p w:rsidR="00BC1D60" w:rsidRDefault="00BC1D60" w:rsidP="00BC5B38">
            <w:pPr>
              <w:pStyle w:val="ESTableRow"/>
              <w:keepNext/>
              <w:jc w:val="right"/>
            </w:pPr>
            <w:r>
              <w:rPr>
                <w:b/>
              </w:rPr>
              <w:t>2014E</w:t>
            </w:r>
          </w:p>
        </w:tc>
        <w:tc>
          <w:tcPr>
            <w:tcW w:w="1212" w:type="dxa"/>
            <w:tcBorders>
              <w:top w:val="single" w:sz="4" w:space="0" w:color="auto"/>
            </w:tcBorders>
          </w:tcPr>
          <w:p w:rsidR="00BC1D60" w:rsidRDefault="00BC1D60" w:rsidP="00BC5B38">
            <w:pPr>
              <w:pStyle w:val="ESTableRow"/>
              <w:keepNext/>
              <w:jc w:val="right"/>
            </w:pPr>
            <w:r>
              <w:rPr>
                <w:b/>
              </w:rPr>
              <w:t>2015E</w:t>
            </w:r>
          </w:p>
        </w:tc>
        <w:tc>
          <w:tcPr>
            <w:tcW w:w="1212" w:type="dxa"/>
            <w:tcBorders>
              <w:top w:val="single" w:sz="4" w:space="0" w:color="auto"/>
            </w:tcBorders>
          </w:tcPr>
          <w:p w:rsidR="00BC1D60" w:rsidRDefault="00BC1D60" w:rsidP="00BC5B38">
            <w:pPr>
              <w:pStyle w:val="ESTableRow"/>
              <w:keepNext/>
              <w:jc w:val="right"/>
            </w:pPr>
            <w:r>
              <w:rPr>
                <w:b/>
              </w:rPr>
              <w:t>2016E</w:t>
            </w:r>
          </w:p>
        </w:tc>
      </w:tr>
      <w:tr w:rsidR="00BC1D60" w:rsidTr="00BC5B38">
        <w:trPr>
          <w:cantSplit/>
        </w:trPr>
        <w:tc>
          <w:tcPr>
            <w:tcW w:w="2000" w:type="dxa"/>
            <w:tcBorders>
              <w:top w:val="single" w:sz="4" w:space="0" w:color="auto"/>
            </w:tcBorders>
          </w:tcPr>
          <w:p w:rsidR="00BC1D60" w:rsidRDefault="00BC1D60" w:rsidP="00BC5B38">
            <w:pPr>
              <w:pStyle w:val="ESTableRow"/>
              <w:keepNext/>
            </w:pPr>
            <w:r>
              <w:t>Adj. EPS FY (p)</w:t>
            </w:r>
          </w:p>
        </w:tc>
        <w:tc>
          <w:tcPr>
            <w:tcW w:w="1212" w:type="dxa"/>
            <w:tcBorders>
              <w:top w:val="single" w:sz="4" w:space="0" w:color="auto"/>
            </w:tcBorders>
          </w:tcPr>
          <w:p w:rsidR="00BC1D60" w:rsidRDefault="00BC1D60" w:rsidP="00BC5B38">
            <w:pPr>
              <w:pStyle w:val="ESTableRow"/>
              <w:keepNext/>
              <w:jc w:val="right"/>
            </w:pPr>
            <w:r>
              <w:t>18.6</w:t>
            </w:r>
          </w:p>
        </w:tc>
        <w:tc>
          <w:tcPr>
            <w:tcW w:w="1212" w:type="dxa"/>
            <w:tcBorders>
              <w:top w:val="single" w:sz="4" w:space="0" w:color="auto"/>
            </w:tcBorders>
          </w:tcPr>
          <w:p w:rsidR="00BC1D60" w:rsidRDefault="00BC1D60" w:rsidP="00BC5B38">
            <w:pPr>
              <w:pStyle w:val="ESTableRow"/>
              <w:keepNext/>
              <w:jc w:val="right"/>
            </w:pPr>
            <w:r>
              <w:t>20.2</w:t>
            </w:r>
          </w:p>
        </w:tc>
        <w:tc>
          <w:tcPr>
            <w:tcW w:w="1212" w:type="dxa"/>
            <w:tcBorders>
              <w:top w:val="single" w:sz="4" w:space="0" w:color="auto"/>
            </w:tcBorders>
          </w:tcPr>
          <w:p w:rsidR="00BC1D60" w:rsidRDefault="00BC1D60" w:rsidP="00BC5B38">
            <w:pPr>
              <w:pStyle w:val="ESTableRow"/>
              <w:keepNext/>
              <w:jc w:val="right"/>
            </w:pPr>
            <w:r>
              <w:t>23.3</w:t>
            </w:r>
          </w:p>
        </w:tc>
        <w:tc>
          <w:tcPr>
            <w:tcW w:w="1212" w:type="dxa"/>
            <w:tcBorders>
              <w:top w:val="single" w:sz="4" w:space="0" w:color="auto"/>
            </w:tcBorders>
          </w:tcPr>
          <w:p w:rsidR="00BC1D60" w:rsidRDefault="00BC1D60" w:rsidP="00BC5B38">
            <w:pPr>
              <w:pStyle w:val="ESTableRow"/>
              <w:keepNext/>
              <w:jc w:val="right"/>
            </w:pPr>
            <w:r>
              <w:t>24.9</w:t>
            </w:r>
          </w:p>
        </w:tc>
      </w:tr>
      <w:tr w:rsidR="00BC1D60" w:rsidTr="00BC5B38">
        <w:trPr>
          <w:cantSplit/>
        </w:trPr>
        <w:tc>
          <w:tcPr>
            <w:tcW w:w="2000" w:type="dxa"/>
          </w:tcPr>
          <w:p w:rsidR="00BC1D60" w:rsidRDefault="00BC1D60" w:rsidP="00BC5B38">
            <w:pPr>
              <w:pStyle w:val="ESTableRow"/>
              <w:keepNext/>
            </w:pPr>
            <w:r>
              <w:t>Bloomberg EPS FY (p)</w:t>
            </w:r>
          </w:p>
        </w:tc>
        <w:tc>
          <w:tcPr>
            <w:tcW w:w="1212" w:type="dxa"/>
          </w:tcPr>
          <w:p w:rsidR="00BC1D60" w:rsidRDefault="00BC1D60" w:rsidP="00BC5B38">
            <w:pPr>
              <w:pStyle w:val="ESTableRow"/>
              <w:keepNext/>
              <w:jc w:val="right"/>
            </w:pPr>
            <w:r>
              <w:t>17.90</w:t>
            </w:r>
          </w:p>
        </w:tc>
        <w:tc>
          <w:tcPr>
            <w:tcW w:w="1212" w:type="dxa"/>
          </w:tcPr>
          <w:p w:rsidR="00BC1D60" w:rsidRDefault="00BC1D60" w:rsidP="00BC5B38">
            <w:pPr>
              <w:pStyle w:val="ESTableRow"/>
              <w:keepNext/>
              <w:jc w:val="right"/>
            </w:pPr>
            <w:r>
              <w:t>19.00</w:t>
            </w:r>
          </w:p>
        </w:tc>
        <w:tc>
          <w:tcPr>
            <w:tcW w:w="1212" w:type="dxa"/>
          </w:tcPr>
          <w:p w:rsidR="00BC1D60" w:rsidRDefault="00BC1D60" w:rsidP="00BC5B38">
            <w:pPr>
              <w:pStyle w:val="ESTableRow"/>
              <w:keepNext/>
              <w:jc w:val="right"/>
            </w:pPr>
            <w:r>
              <w:t>21.70</w:t>
            </w:r>
          </w:p>
        </w:tc>
        <w:tc>
          <w:tcPr>
            <w:tcW w:w="1212" w:type="dxa"/>
          </w:tcPr>
          <w:p w:rsidR="00BC1D60" w:rsidRDefault="00BC1D60" w:rsidP="00BC5B38">
            <w:pPr>
              <w:pStyle w:val="ESTableRow"/>
              <w:keepNext/>
              <w:jc w:val="right"/>
            </w:pPr>
            <w:r>
              <w:t>23.80</w:t>
            </w:r>
          </w:p>
        </w:tc>
      </w:tr>
      <w:tr w:rsidR="00BC1D60" w:rsidTr="00BC5B38">
        <w:trPr>
          <w:cantSplit/>
        </w:trPr>
        <w:tc>
          <w:tcPr>
            <w:tcW w:w="2000" w:type="dxa"/>
          </w:tcPr>
          <w:p w:rsidR="00BC1D60" w:rsidRDefault="00BC1D60" w:rsidP="00BC5B38">
            <w:pPr>
              <w:pStyle w:val="ESTableRow"/>
              <w:keepNext/>
            </w:pPr>
            <w:r>
              <w:t>Revenue FY (£ mn)</w:t>
            </w:r>
          </w:p>
        </w:tc>
        <w:tc>
          <w:tcPr>
            <w:tcW w:w="1212" w:type="dxa"/>
          </w:tcPr>
          <w:p w:rsidR="00BC1D60" w:rsidRDefault="00BC1D60" w:rsidP="00BC5B38">
            <w:pPr>
              <w:pStyle w:val="ESTableRow"/>
              <w:keepNext/>
              <w:jc w:val="right"/>
            </w:pPr>
            <w:r>
              <w:t>537.0</w:t>
            </w:r>
          </w:p>
        </w:tc>
        <w:tc>
          <w:tcPr>
            <w:tcW w:w="1212" w:type="dxa"/>
          </w:tcPr>
          <w:p w:rsidR="00BC1D60" w:rsidRDefault="00BC1D60" w:rsidP="00BC5B38">
            <w:pPr>
              <w:pStyle w:val="ESTableRow"/>
              <w:keepNext/>
              <w:jc w:val="right"/>
            </w:pPr>
            <w:r>
              <w:t>554.7</w:t>
            </w:r>
          </w:p>
        </w:tc>
        <w:tc>
          <w:tcPr>
            <w:tcW w:w="1212" w:type="dxa"/>
          </w:tcPr>
          <w:p w:rsidR="00BC1D60" w:rsidRDefault="00BC1D60" w:rsidP="00BC5B38">
            <w:pPr>
              <w:pStyle w:val="ESTableRow"/>
              <w:keepNext/>
              <w:jc w:val="right"/>
            </w:pPr>
            <w:r>
              <w:t>601.0</w:t>
            </w:r>
          </w:p>
        </w:tc>
        <w:tc>
          <w:tcPr>
            <w:tcW w:w="1212" w:type="dxa"/>
          </w:tcPr>
          <w:p w:rsidR="00BC1D60" w:rsidRDefault="00BC1D60" w:rsidP="00BC5B38">
            <w:pPr>
              <w:pStyle w:val="ESTableRow"/>
              <w:keepNext/>
              <w:jc w:val="right"/>
            </w:pPr>
            <w:r>
              <w:t>619.0</w:t>
            </w:r>
          </w:p>
        </w:tc>
      </w:tr>
      <w:tr w:rsidR="00BC1D60" w:rsidTr="00BC5B38">
        <w:trPr>
          <w:cantSplit/>
        </w:trPr>
        <w:tc>
          <w:tcPr>
            <w:tcW w:w="2000" w:type="dxa"/>
          </w:tcPr>
          <w:p w:rsidR="00BC1D60" w:rsidRDefault="00BC1D60" w:rsidP="00BC5B38">
            <w:pPr>
              <w:pStyle w:val="ESTableRow"/>
              <w:keepNext/>
            </w:pPr>
            <w:r>
              <w:t>DPS (Net) FY (p)</w:t>
            </w:r>
          </w:p>
        </w:tc>
        <w:tc>
          <w:tcPr>
            <w:tcW w:w="1212" w:type="dxa"/>
          </w:tcPr>
          <w:p w:rsidR="00BC1D60" w:rsidRDefault="00BC1D60" w:rsidP="00BC5B38">
            <w:pPr>
              <w:pStyle w:val="ESTableRow"/>
              <w:keepNext/>
              <w:jc w:val="right"/>
            </w:pPr>
            <w:r>
              <w:t>12.0</w:t>
            </w:r>
          </w:p>
        </w:tc>
        <w:tc>
          <w:tcPr>
            <w:tcW w:w="1212" w:type="dxa"/>
          </w:tcPr>
          <w:p w:rsidR="00BC1D60" w:rsidRDefault="00BC1D60" w:rsidP="00BC5B38">
            <w:pPr>
              <w:pStyle w:val="ESTableRow"/>
              <w:keepNext/>
              <w:jc w:val="right"/>
            </w:pPr>
            <w:r>
              <w:t>12.5</w:t>
            </w:r>
          </w:p>
        </w:tc>
        <w:tc>
          <w:tcPr>
            <w:tcW w:w="1212" w:type="dxa"/>
          </w:tcPr>
          <w:p w:rsidR="00BC1D60" w:rsidRDefault="00BC1D60" w:rsidP="00BC5B38">
            <w:pPr>
              <w:pStyle w:val="ESTableRow"/>
              <w:keepNext/>
              <w:jc w:val="right"/>
            </w:pPr>
            <w:r>
              <w:t>13.0</w:t>
            </w:r>
          </w:p>
        </w:tc>
        <w:tc>
          <w:tcPr>
            <w:tcW w:w="1212" w:type="dxa"/>
          </w:tcPr>
          <w:p w:rsidR="00BC1D60" w:rsidRDefault="00BC1D60" w:rsidP="00BC5B38">
            <w:pPr>
              <w:pStyle w:val="ESTableRow"/>
              <w:keepNext/>
              <w:jc w:val="right"/>
            </w:pPr>
            <w:r>
              <w:t>14.0</w:t>
            </w:r>
          </w:p>
        </w:tc>
      </w:tr>
      <w:tr w:rsidR="00BC1D60" w:rsidTr="00BC5B38">
        <w:trPr>
          <w:cantSplit/>
        </w:trPr>
        <w:tc>
          <w:tcPr>
            <w:tcW w:w="2000" w:type="dxa"/>
          </w:tcPr>
          <w:p w:rsidR="00BC1D60" w:rsidRDefault="00BC1D60" w:rsidP="00BC5B38">
            <w:pPr>
              <w:pStyle w:val="ESTableRow"/>
              <w:keepNext/>
            </w:pPr>
            <w:r>
              <w:t xml:space="preserve">Adj P/E FY </w:t>
            </w:r>
          </w:p>
        </w:tc>
        <w:tc>
          <w:tcPr>
            <w:tcW w:w="1212" w:type="dxa"/>
          </w:tcPr>
          <w:p w:rsidR="00BC1D60" w:rsidRDefault="00BC1D60" w:rsidP="00BC5B38">
            <w:pPr>
              <w:pStyle w:val="ESTableRow"/>
              <w:keepNext/>
              <w:jc w:val="right"/>
            </w:pPr>
            <w:r>
              <w:t>15.4</w:t>
            </w:r>
          </w:p>
        </w:tc>
        <w:tc>
          <w:tcPr>
            <w:tcW w:w="1212" w:type="dxa"/>
          </w:tcPr>
          <w:p w:rsidR="00BC1D60" w:rsidRDefault="00BC1D60" w:rsidP="00BC5B38">
            <w:pPr>
              <w:pStyle w:val="ESTableRow"/>
              <w:keepNext/>
              <w:jc w:val="right"/>
            </w:pPr>
            <w:r>
              <w:t>14.3</w:t>
            </w:r>
          </w:p>
        </w:tc>
        <w:tc>
          <w:tcPr>
            <w:tcW w:w="1212" w:type="dxa"/>
          </w:tcPr>
          <w:p w:rsidR="00BC1D60" w:rsidRDefault="00BC1D60" w:rsidP="00BC5B38">
            <w:pPr>
              <w:pStyle w:val="ESTableRow"/>
              <w:keepNext/>
              <w:jc w:val="right"/>
            </w:pPr>
            <w:r>
              <w:t>12.4</w:t>
            </w:r>
          </w:p>
        </w:tc>
        <w:tc>
          <w:tcPr>
            <w:tcW w:w="1212" w:type="dxa"/>
          </w:tcPr>
          <w:p w:rsidR="00BC1D60" w:rsidRDefault="00BC1D60" w:rsidP="00BC5B38">
            <w:pPr>
              <w:pStyle w:val="ESTableRow"/>
              <w:keepNext/>
              <w:jc w:val="right"/>
            </w:pPr>
            <w:r>
              <w:t>11.6</w:t>
            </w:r>
          </w:p>
        </w:tc>
      </w:tr>
      <w:tr w:rsidR="00BC1D60" w:rsidTr="00BC5B38">
        <w:trPr>
          <w:cantSplit/>
        </w:trPr>
        <w:tc>
          <w:tcPr>
            <w:tcW w:w="2000" w:type="dxa"/>
          </w:tcPr>
          <w:p w:rsidR="00BC1D60" w:rsidRDefault="00BC1D60" w:rsidP="00BC5B38">
            <w:pPr>
              <w:pStyle w:val="ESTableRow"/>
              <w:keepNext/>
            </w:pPr>
            <w:r>
              <w:t xml:space="preserve">EV/EBITDA (x) FY </w:t>
            </w:r>
          </w:p>
        </w:tc>
        <w:tc>
          <w:tcPr>
            <w:tcW w:w="1212" w:type="dxa"/>
          </w:tcPr>
          <w:p w:rsidR="00BC1D60" w:rsidRDefault="00BC1D60" w:rsidP="00BC5B38">
            <w:pPr>
              <w:pStyle w:val="ESTableRow"/>
              <w:keepNext/>
              <w:jc w:val="right"/>
            </w:pPr>
            <w:r>
              <w:t>11.5</w:t>
            </w:r>
          </w:p>
        </w:tc>
        <w:tc>
          <w:tcPr>
            <w:tcW w:w="1212" w:type="dxa"/>
          </w:tcPr>
          <w:p w:rsidR="00BC1D60" w:rsidRDefault="00BC1D60" w:rsidP="00BC5B38">
            <w:pPr>
              <w:pStyle w:val="ESTableRow"/>
              <w:keepNext/>
              <w:jc w:val="right"/>
            </w:pPr>
            <w:r>
              <w:t>10.8</w:t>
            </w:r>
          </w:p>
        </w:tc>
        <w:tc>
          <w:tcPr>
            <w:tcW w:w="1212" w:type="dxa"/>
          </w:tcPr>
          <w:p w:rsidR="00BC1D60" w:rsidRDefault="00BC1D60" w:rsidP="00BC5B38">
            <w:pPr>
              <w:pStyle w:val="ESTableRow"/>
              <w:keepNext/>
              <w:jc w:val="right"/>
            </w:pPr>
            <w:r>
              <w:t>9.3</w:t>
            </w:r>
          </w:p>
        </w:tc>
        <w:tc>
          <w:tcPr>
            <w:tcW w:w="1212" w:type="dxa"/>
          </w:tcPr>
          <w:p w:rsidR="00BC1D60" w:rsidRDefault="00BC1D60" w:rsidP="00BC5B38">
            <w:pPr>
              <w:pStyle w:val="ESTableRow"/>
              <w:keepNext/>
              <w:jc w:val="right"/>
            </w:pPr>
            <w:r>
              <w:t>8.7</w:t>
            </w:r>
          </w:p>
        </w:tc>
      </w:tr>
      <w:tr w:rsidR="00BC1D60" w:rsidTr="00BC5B38">
        <w:trPr>
          <w:cantSplit/>
        </w:trPr>
        <w:tc>
          <w:tcPr>
            <w:tcW w:w="2000" w:type="dxa"/>
          </w:tcPr>
          <w:p w:rsidR="00BC1D60" w:rsidRDefault="00BC1D60" w:rsidP="00BC5B38">
            <w:pPr>
              <w:pStyle w:val="ESTableRow"/>
              <w:keepNext/>
            </w:pPr>
            <w:r>
              <w:t>EBITDA FY (£ mn)</w:t>
            </w:r>
          </w:p>
        </w:tc>
        <w:tc>
          <w:tcPr>
            <w:tcW w:w="1212" w:type="dxa"/>
          </w:tcPr>
          <w:p w:rsidR="00BC1D60" w:rsidRDefault="00BC1D60" w:rsidP="00BC5B38">
            <w:pPr>
              <w:pStyle w:val="ESTableRow"/>
              <w:keepNext/>
              <w:jc w:val="right"/>
            </w:pPr>
            <w:r>
              <w:t>85.7</w:t>
            </w:r>
          </w:p>
        </w:tc>
        <w:tc>
          <w:tcPr>
            <w:tcW w:w="1212" w:type="dxa"/>
          </w:tcPr>
          <w:p w:rsidR="00BC1D60" w:rsidRDefault="00BC1D60" w:rsidP="00BC5B38">
            <w:pPr>
              <w:pStyle w:val="ESTableRow"/>
              <w:keepNext/>
              <w:jc w:val="right"/>
            </w:pPr>
            <w:r>
              <w:t>92.5</w:t>
            </w:r>
          </w:p>
        </w:tc>
        <w:tc>
          <w:tcPr>
            <w:tcW w:w="1212" w:type="dxa"/>
          </w:tcPr>
          <w:p w:rsidR="00BC1D60" w:rsidRDefault="00BC1D60" w:rsidP="00BC5B38">
            <w:pPr>
              <w:pStyle w:val="ESTableRow"/>
              <w:keepNext/>
              <w:jc w:val="right"/>
            </w:pPr>
            <w:r>
              <w:t>104.3</w:t>
            </w:r>
          </w:p>
        </w:tc>
        <w:tc>
          <w:tcPr>
            <w:tcW w:w="1212" w:type="dxa"/>
          </w:tcPr>
          <w:p w:rsidR="00BC1D60" w:rsidRDefault="00BC1D60" w:rsidP="00BC5B38">
            <w:pPr>
              <w:pStyle w:val="ESTableRow"/>
              <w:keepNext/>
              <w:jc w:val="right"/>
            </w:pPr>
            <w:r>
              <w:t>108.1</w:t>
            </w:r>
          </w:p>
        </w:tc>
      </w:tr>
      <w:tr w:rsidR="00BC1D60" w:rsidTr="00BC5B38">
        <w:trPr>
          <w:cantSplit/>
        </w:trPr>
        <w:tc>
          <w:tcPr>
            <w:tcW w:w="2000" w:type="dxa"/>
            <w:tcBorders>
              <w:bottom w:val="single" w:sz="4" w:space="0" w:color="auto"/>
            </w:tcBorders>
          </w:tcPr>
          <w:p w:rsidR="00BC1D60" w:rsidRDefault="00BC1D60" w:rsidP="00BC5B38">
            <w:pPr>
              <w:pStyle w:val="ESTableRow"/>
              <w:keepNext/>
            </w:pPr>
            <w:r>
              <w:t xml:space="preserve">Div Yield FY </w:t>
            </w:r>
          </w:p>
        </w:tc>
        <w:tc>
          <w:tcPr>
            <w:tcW w:w="1212" w:type="dxa"/>
            <w:tcBorders>
              <w:bottom w:val="single" w:sz="4" w:space="0" w:color="auto"/>
            </w:tcBorders>
          </w:tcPr>
          <w:p w:rsidR="00BC1D60" w:rsidRDefault="00BC1D60" w:rsidP="00BC5B38">
            <w:pPr>
              <w:pStyle w:val="ESTableRow"/>
              <w:keepNext/>
              <w:jc w:val="right"/>
            </w:pPr>
            <w:r>
              <w:t>4.2%</w:t>
            </w:r>
          </w:p>
        </w:tc>
        <w:tc>
          <w:tcPr>
            <w:tcW w:w="1212" w:type="dxa"/>
            <w:tcBorders>
              <w:bottom w:val="single" w:sz="4" w:space="0" w:color="auto"/>
            </w:tcBorders>
          </w:tcPr>
          <w:p w:rsidR="00BC1D60" w:rsidRDefault="00BC1D60" w:rsidP="00BC5B38">
            <w:pPr>
              <w:pStyle w:val="ESTableRow"/>
              <w:keepNext/>
              <w:jc w:val="right"/>
            </w:pPr>
            <w:r>
              <w:t>4.3%</w:t>
            </w:r>
          </w:p>
        </w:tc>
        <w:tc>
          <w:tcPr>
            <w:tcW w:w="1212" w:type="dxa"/>
            <w:tcBorders>
              <w:bottom w:val="single" w:sz="4" w:space="0" w:color="auto"/>
            </w:tcBorders>
          </w:tcPr>
          <w:p w:rsidR="00BC1D60" w:rsidRDefault="00BC1D60" w:rsidP="00BC5B38">
            <w:pPr>
              <w:pStyle w:val="ESTableRow"/>
              <w:keepNext/>
              <w:jc w:val="right"/>
            </w:pPr>
            <w:r>
              <w:t>4.5%</w:t>
            </w:r>
          </w:p>
        </w:tc>
        <w:tc>
          <w:tcPr>
            <w:tcW w:w="1212" w:type="dxa"/>
            <w:tcBorders>
              <w:bottom w:val="single" w:sz="4" w:space="0" w:color="auto"/>
            </w:tcBorders>
          </w:tcPr>
          <w:p w:rsidR="00BC1D60" w:rsidRDefault="00BC1D60" w:rsidP="00BC5B38">
            <w:pPr>
              <w:pStyle w:val="ESTableRow"/>
              <w:keepNext/>
              <w:jc w:val="right"/>
            </w:pPr>
            <w:r>
              <w:t>4.9%</w:t>
            </w:r>
          </w:p>
        </w:tc>
      </w:tr>
    </w:tbl>
    <w:p w:rsidR="00BC1D60" w:rsidRDefault="00BC1D60" w:rsidP="00BC1D60">
      <w:pPr>
        <w:pStyle w:val="Source"/>
      </w:pPr>
      <w:r>
        <w:t>Source: Company data, Bloomberg, J.P. Morgan estimates</w:t>
      </w:r>
    </w:p>
    <w:p w:rsidR="00BC1D60" w:rsidRPr="00053456" w:rsidRDefault="00BC1D60" w:rsidP="00BC1D60">
      <w:pPr>
        <w:pStyle w:val="Body"/>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2C1C39" w:rsidTr="00BC5B38">
        <w:tc>
          <w:tcPr>
            <w:tcW w:w="10604" w:type="dxa"/>
            <w:gridSpan w:val="3"/>
            <w:shd w:val="clear" w:color="auto" w:fill="auto"/>
          </w:tcPr>
          <w:p w:rsidR="00BC1D60" w:rsidRPr="002C1C39" w:rsidRDefault="00BC1D60" w:rsidP="00BC5B38">
            <w:pPr>
              <w:pStyle w:val="Heading1-NoTOC"/>
            </w:pPr>
            <w:bookmarkStart w:id="248" w:name="_Toc392016365"/>
            <w:bookmarkStart w:id="249" w:name="_Toc392099083"/>
            <w:r w:rsidRPr="002C1C39">
              <w:t>Getting to know our SMid Analysts…</w:t>
            </w:r>
            <w:bookmarkEnd w:id="248"/>
            <w:bookmarkEnd w:id="249"/>
          </w:p>
        </w:tc>
      </w:tr>
      <w:tr w:rsidR="00BC1D60" w:rsidRPr="002C1C39" w:rsidTr="00BC5B38">
        <w:trPr>
          <w:trHeight w:val="3427"/>
        </w:trPr>
        <w:tc>
          <w:tcPr>
            <w:tcW w:w="2666" w:type="dxa"/>
            <w:shd w:val="clear" w:color="auto" w:fill="auto"/>
          </w:tcPr>
          <w:p w:rsidR="00BC1D60" w:rsidRPr="002C1C39" w:rsidRDefault="00BC1D60" w:rsidP="00BC5B38">
            <w:pPr>
              <w:shd w:val="clear" w:color="auto" w:fill="F6F6F6"/>
              <w:spacing w:line="336" w:lineRule="atLeast"/>
              <w:jc w:val="center"/>
              <w:rPr>
                <w:rFonts w:ascii="Arial" w:hAnsi="Arial" w:cs="Arial"/>
                <w:color w:val="666666"/>
                <w:sz w:val="15"/>
                <w:szCs w:val="15"/>
              </w:rPr>
            </w:pPr>
            <w:r w:rsidRPr="002C1C39">
              <w:rPr>
                <w:rFonts w:ascii="Arial" w:hAnsi="Arial" w:cs="Arial"/>
                <w:noProof/>
                <w:color w:val="666666"/>
                <w:sz w:val="15"/>
                <w:szCs w:val="15"/>
              </w:rPr>
              <w:drawing>
                <wp:inline distT="0" distB="0" distL="0" distR="0">
                  <wp:extent cx="1550958" cy="2087592"/>
                  <wp:effectExtent l="19050" t="0" r="0" b="0"/>
                  <wp:docPr id="883" name="Picture 125" descr="https://mm.jpmorgan.com/ImageServlet?sid=I017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mm.jpmorgan.com/ImageServlet?sid=I017466"/>
                          <pic:cNvPicPr>
                            <a:picLocks noChangeAspect="1" noChangeArrowheads="1"/>
                          </pic:cNvPicPr>
                        </pic:nvPicPr>
                        <pic:blipFill>
                          <a:blip r:embed="rId52"/>
                          <a:srcRect l="6443" r="46806"/>
                          <a:stretch>
                            <a:fillRect/>
                          </a:stretch>
                        </pic:blipFill>
                        <pic:spPr bwMode="auto">
                          <a:xfrm>
                            <a:off x="0" y="0"/>
                            <a:ext cx="1550958" cy="2087592"/>
                          </a:xfrm>
                          <a:prstGeom prst="rect">
                            <a:avLst/>
                          </a:prstGeom>
                          <a:noFill/>
                          <a:ln w="9525">
                            <a:noFill/>
                            <a:miter lim="800000"/>
                            <a:headEnd/>
                            <a:tailEnd/>
                          </a:ln>
                        </pic:spPr>
                      </pic:pic>
                    </a:graphicData>
                  </a:graphic>
                </wp:inline>
              </w:drawing>
            </w:r>
          </w:p>
          <w:p w:rsidR="00BC1D60" w:rsidRPr="002C1C39" w:rsidRDefault="00BC1D60" w:rsidP="00BC5B38">
            <w:pPr>
              <w:pStyle w:val="Body"/>
              <w:spacing w:after="120"/>
            </w:pPr>
          </w:p>
        </w:tc>
        <w:tc>
          <w:tcPr>
            <w:tcW w:w="3544" w:type="dxa"/>
            <w:shd w:val="clear" w:color="auto" w:fill="auto"/>
          </w:tcPr>
          <w:p w:rsidR="00BC1D60" w:rsidRPr="002C1C39" w:rsidRDefault="00BC1D60" w:rsidP="00BC5B38">
            <w:pPr>
              <w:pStyle w:val="Heading2"/>
              <w:outlineLvl w:val="1"/>
            </w:pPr>
            <w:r w:rsidRPr="002C1C39">
              <w:t>Alexander Mees</w:t>
            </w:r>
          </w:p>
          <w:p w:rsidR="00BC1D60" w:rsidRPr="002C1C39" w:rsidRDefault="003B051F" w:rsidP="00BC5B38">
            <w:pPr>
              <w:pStyle w:val="Body"/>
              <w:spacing w:after="120"/>
              <w:rPr>
                <w:rStyle w:val="txtblackbld1"/>
                <w:rFonts w:ascii="Arial Narrow" w:hAnsi="Arial Narrow"/>
                <w:b w:val="0"/>
                <w:bCs w:val="0"/>
                <w:szCs w:val="20"/>
              </w:rPr>
            </w:pPr>
            <w:hyperlink r:id="rId112" w:history="1">
              <w:r w:rsidR="00BC1D60" w:rsidRPr="002C1C39">
                <w:rPr>
                  <w:rStyle w:val="Hyperlink"/>
                  <w:rFonts w:ascii="Arial Narrow" w:hAnsi="Arial Narrow" w:cs="Arial"/>
                  <w:szCs w:val="20"/>
                </w:rPr>
                <w:t>alexander.c.mees@jpmorgan.com</w:t>
              </w:r>
            </w:hyperlink>
          </w:p>
          <w:p w:rsidR="00BC1D60" w:rsidRPr="002C1C39" w:rsidRDefault="00BC1D60" w:rsidP="00BC5B38">
            <w:pPr>
              <w:pStyle w:val="Body"/>
              <w:spacing w:after="120"/>
              <w:rPr>
                <w:rFonts w:ascii="Arial Narrow" w:hAnsi="Arial Narrow"/>
              </w:rPr>
            </w:pPr>
            <w:r w:rsidRPr="002C1C39">
              <w:rPr>
                <w:rFonts w:ascii="Arial Narrow" w:hAnsi="Arial Narrow"/>
              </w:rPr>
              <w:t>(44-20) 7742-3681</w:t>
            </w:r>
          </w:p>
          <w:p w:rsidR="00BC1D60" w:rsidRPr="002C1C39" w:rsidRDefault="00BC1D60" w:rsidP="00BC5B38">
            <w:pPr>
              <w:pStyle w:val="Body"/>
              <w:spacing w:after="120"/>
              <w:rPr>
                <w:rFonts w:ascii="Arial Narrow" w:hAnsi="Arial Narrow"/>
              </w:rPr>
            </w:pPr>
          </w:p>
          <w:p w:rsidR="00BC1D60" w:rsidRPr="002C1C39" w:rsidRDefault="00BC1D60" w:rsidP="00BC5B38">
            <w:pPr>
              <w:pStyle w:val="Body"/>
              <w:spacing w:after="120"/>
              <w:rPr>
                <w:rFonts w:ascii="Arial Narrow" w:hAnsi="Arial Narrow"/>
              </w:rPr>
            </w:pPr>
            <w:r w:rsidRPr="002C1C39">
              <w:rPr>
                <w:rFonts w:ascii="Arial Narrow" w:hAnsi="Arial Narrow"/>
                <w:b/>
              </w:rPr>
              <w:t>Region:</w:t>
            </w:r>
            <w:r w:rsidRPr="002C1C39">
              <w:rPr>
                <w:rFonts w:ascii="Arial Narrow" w:hAnsi="Arial Narrow"/>
              </w:rPr>
              <w:t xml:space="preserve"> W. Europe (UK)</w:t>
            </w:r>
          </w:p>
          <w:p w:rsidR="00BC1D60" w:rsidRPr="002C1C39" w:rsidRDefault="00BC1D60" w:rsidP="00BC5B38">
            <w:pPr>
              <w:pStyle w:val="Body"/>
              <w:spacing w:after="120"/>
              <w:rPr>
                <w:rFonts w:ascii="Arial Narrow" w:hAnsi="Arial Narrow"/>
              </w:rPr>
            </w:pPr>
            <w:r w:rsidRPr="002C1C39">
              <w:rPr>
                <w:rFonts w:ascii="Arial Narrow" w:hAnsi="Arial Narrow"/>
                <w:b/>
              </w:rPr>
              <w:t>Sector:</w:t>
            </w:r>
            <w:r w:rsidRPr="002C1C39">
              <w:rPr>
                <w:rFonts w:ascii="Arial Narrow" w:hAnsi="Arial Narrow"/>
              </w:rPr>
              <w:t xml:space="preserve"> UK Small-Caps</w:t>
            </w:r>
          </w:p>
          <w:p w:rsidR="00BC1D60" w:rsidRPr="002C1C39" w:rsidRDefault="00BC1D60" w:rsidP="00BC5B38">
            <w:pPr>
              <w:pStyle w:val="Body"/>
            </w:pPr>
          </w:p>
        </w:tc>
        <w:tc>
          <w:tcPr>
            <w:tcW w:w="4394" w:type="dxa"/>
            <w:shd w:val="clear" w:color="auto" w:fill="auto"/>
          </w:tcPr>
          <w:p w:rsidR="00BC1D60" w:rsidRPr="002C1C39" w:rsidRDefault="00BC1D60" w:rsidP="00BC5B38">
            <w:pPr>
              <w:pStyle w:val="Body"/>
              <w:jc w:val="right"/>
            </w:pPr>
            <w:r w:rsidRPr="002C1C39">
              <w:rPr>
                <w:noProof/>
              </w:rPr>
              <w:drawing>
                <wp:inline distT="0" distB="0" distL="0" distR="0">
                  <wp:extent cx="2505456" cy="2298170"/>
                  <wp:effectExtent l="19050" t="0" r="9144" b="0"/>
                  <wp:docPr id="8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2505456" cy="2298170"/>
                          </a:xfrm>
                          <a:prstGeom prst="rect">
                            <a:avLst/>
                          </a:prstGeom>
                          <a:noFill/>
                          <a:ln w="9525">
                            <a:noFill/>
                            <a:miter lim="800000"/>
                            <a:headEnd/>
                            <a:tailEnd/>
                          </a:ln>
                        </pic:spPr>
                      </pic:pic>
                    </a:graphicData>
                  </a:graphic>
                </wp:inline>
              </w:drawing>
            </w:r>
            <w:r w:rsidRPr="002C1C39">
              <w:t xml:space="preserve"> </w:t>
            </w:r>
          </w:p>
        </w:tc>
      </w:tr>
    </w:tbl>
    <w:p w:rsidR="00BC1D60" w:rsidRDefault="00BC1D60" w:rsidP="00BC1D60">
      <w:pPr>
        <w:pStyle w:val="Source"/>
        <w:spacing w:before="0" w:after="0"/>
        <w:ind w:left="-3124" w:hanging="137"/>
      </w:pPr>
      <w:r w:rsidRPr="002C1C39">
        <w:rPr>
          <w:noProof/>
        </w:rPr>
        <w:drawing>
          <wp:inline distT="0" distB="0" distL="0" distR="0">
            <wp:extent cx="6703060" cy="1784765"/>
            <wp:effectExtent l="19050" t="0" r="2540" b="0"/>
            <wp:docPr id="8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srcRect b="26806"/>
                    <a:stretch>
                      <a:fillRect/>
                    </a:stretch>
                  </pic:blipFill>
                  <pic:spPr bwMode="auto">
                    <a:xfrm>
                      <a:off x="0" y="0"/>
                      <a:ext cx="6703060" cy="1784765"/>
                    </a:xfrm>
                    <a:prstGeom prst="rect">
                      <a:avLst/>
                    </a:prstGeom>
                    <a:noFill/>
                    <a:ln w="9525">
                      <a:noFill/>
                      <a:miter lim="800000"/>
                      <a:headEnd/>
                      <a:tailEnd/>
                    </a:ln>
                  </pic:spPr>
                </pic:pic>
              </a:graphicData>
            </a:graphic>
          </wp:inline>
        </w:drawing>
      </w:r>
    </w:p>
    <w:p w:rsidR="00BC1D60" w:rsidRPr="002C1C39" w:rsidRDefault="00BC1D60" w:rsidP="00BC1D60">
      <w:pPr>
        <w:pStyle w:val="Source"/>
        <w:spacing w:before="0"/>
        <w:ind w:left="-3124" w:hanging="137"/>
      </w:pPr>
      <w:r>
        <w:rPr>
          <w:noProof/>
        </w:rPr>
        <w:drawing>
          <wp:inline distT="0" distB="0" distL="0" distR="0">
            <wp:extent cx="6703060" cy="571500"/>
            <wp:effectExtent l="0" t="0" r="2540" b="0"/>
            <wp:docPr id="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srcRect t="76562"/>
                    <a:stretch>
                      <a:fillRect/>
                    </a:stretch>
                  </pic:blipFill>
                  <pic:spPr bwMode="auto">
                    <a:xfrm>
                      <a:off x="0" y="0"/>
                      <a:ext cx="6703060" cy="571500"/>
                    </a:xfrm>
                    <a:prstGeom prst="rect">
                      <a:avLst/>
                    </a:prstGeom>
                    <a:noFill/>
                    <a:ln w="9525">
                      <a:noFill/>
                      <a:miter lim="800000"/>
                      <a:headEnd/>
                      <a:tailEnd/>
                    </a:ln>
                  </pic:spPr>
                </pic:pic>
              </a:graphicData>
            </a:graphic>
          </wp:inline>
        </w:drawing>
      </w:r>
      <w:r>
        <w:t xml:space="preserve"> </w:t>
      </w:r>
      <w:r w:rsidRPr="002C1C39">
        <w:t>Source: Bloomberg, Datastream, Factset, J.P. Morgan</w:t>
      </w:r>
      <w:r w:rsidRPr="002C1C39">
        <w:br/>
      </w:r>
      <w:r w:rsidRPr="0087013D">
        <w:t>Prices as of 24 June 2014</w:t>
      </w:r>
    </w:p>
    <w:p w:rsidR="00BC1D60" w:rsidRPr="004F1ABB" w:rsidRDefault="00BC1D60" w:rsidP="00BC1D60">
      <w:pPr>
        <w:pStyle w:val="Body"/>
        <w:rPr>
          <w:highlight w:val="yellow"/>
        </w:rPr>
      </w:pPr>
    </w:p>
    <w:p w:rsidR="00BC1D60" w:rsidRPr="004F1ABB" w:rsidRDefault="00BC1D60" w:rsidP="00BC1D60">
      <w:pPr>
        <w:pStyle w:val="Sidecomments"/>
        <w:framePr w:w="0" w:hRule="auto" w:wrap="around"/>
        <w:rPr>
          <w:highlight w:val="yellow"/>
        </w:rPr>
      </w:pPr>
      <w:r>
        <w:rPr>
          <w:noProof/>
        </w:rPr>
        <w:lastRenderedPageBreak/>
        <w:drawing>
          <wp:inline distT="0" distB="0" distL="0" distR="0">
            <wp:extent cx="1737360" cy="7712673"/>
            <wp:effectExtent l="19050" t="0" r="0" b="0"/>
            <wp:docPr id="8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srcRect/>
                    <a:stretch>
                      <a:fillRect/>
                    </a:stretch>
                  </pic:blipFill>
                  <pic:spPr bwMode="auto">
                    <a:xfrm>
                      <a:off x="0" y="0"/>
                      <a:ext cx="1737360" cy="7712673"/>
                    </a:xfrm>
                    <a:prstGeom prst="rect">
                      <a:avLst/>
                    </a:prstGeom>
                    <a:noFill/>
                    <a:ln w="9525">
                      <a:noFill/>
                      <a:miter lim="800000"/>
                      <a:headEnd/>
                      <a:tailEnd/>
                    </a:ln>
                  </pic:spPr>
                </pic:pic>
              </a:graphicData>
            </a:graphic>
          </wp:inline>
        </w:drawing>
      </w:r>
    </w:p>
    <w:p w:rsidR="00BC1D60" w:rsidRPr="002B5C39" w:rsidRDefault="00BC1D60" w:rsidP="00BC1D60">
      <w:pPr>
        <w:pStyle w:val="Heading1"/>
        <w:spacing w:before="0" w:after="120"/>
        <w:rPr>
          <w:lang w:val="en-GB"/>
        </w:rPr>
      </w:pPr>
      <w:bookmarkStart w:id="250" w:name="_Toc392099084"/>
      <w:bookmarkStart w:id="251" w:name="_Toc392081818"/>
      <w:bookmarkStart w:id="252" w:name="_Toc392081881"/>
      <w:r w:rsidRPr="002B5C39">
        <w:rPr>
          <w:lang w:val="en-GB"/>
        </w:rPr>
        <w:t>M6 (MMT FP / OW / €14.67)</w:t>
      </w:r>
      <w:bookmarkEnd w:id="250"/>
      <w:bookmarkEnd w:id="251"/>
      <w:bookmarkEnd w:id="252"/>
    </w:p>
    <w:p w:rsidR="00BC1D60" w:rsidRPr="002B5C39" w:rsidRDefault="00BC1D60" w:rsidP="00BC1D60">
      <w:pPr>
        <w:pStyle w:val="Heading3"/>
      </w:pPr>
      <w:r w:rsidRPr="002B5C39">
        <w:t>Investment Highlights:</w:t>
      </w:r>
    </w:p>
    <w:p w:rsidR="00BC1D60" w:rsidRPr="002B5C39" w:rsidRDefault="00BC1D60" w:rsidP="00BC1D60">
      <w:pPr>
        <w:pStyle w:val="Bullet"/>
        <w:rPr>
          <w:lang w:eastAsia="ja-JP"/>
        </w:rPr>
      </w:pPr>
      <w:r w:rsidRPr="002B5C39">
        <w:rPr>
          <w:b/>
          <w:lang w:eastAsia="ja-JP"/>
        </w:rPr>
        <w:t>A good fit with Strategy focus on potential rerating</w:t>
      </w:r>
      <w:r w:rsidRPr="002B5C39">
        <w:rPr>
          <w:lang w:eastAsia="ja-JP"/>
        </w:rPr>
        <w:t>: We forecast grw of &gt;16% in 2014/2015, and hence estimate M6 is the cheapest FTA operator in Europe on EV/EBITDA (4.8x/4.4x), P/E (13.8x/11.8x), FCF Yld (7.8%/8.0%) and Div Yld (6.1%/7.1%) — all well below hist avgs (35%/45% below in the case of P/E).</w:t>
      </w:r>
    </w:p>
    <w:p w:rsidR="00BC1D60" w:rsidRPr="002B5C39" w:rsidRDefault="00BC1D60" w:rsidP="00BC1D60">
      <w:pPr>
        <w:pStyle w:val="Bullet"/>
        <w:rPr>
          <w:lang w:eastAsia="ja-JP"/>
        </w:rPr>
      </w:pPr>
      <w:r w:rsidRPr="002B5C39">
        <w:rPr>
          <w:b/>
          <w:lang w:eastAsia="ja-JP"/>
        </w:rPr>
        <w:t>In an industry benefitting from a structural growth driver, highly exposed to a Eurozone recovery:</w:t>
      </w:r>
      <w:r w:rsidRPr="002B5C39">
        <w:rPr>
          <w:lang w:eastAsia="ja-JP"/>
        </w:rPr>
        <w:t xml:space="preserve"> We continue to believe that we are facing a multi-yr trend of rising advertising and selling spend as GDP grw remains anaemic, forcing corporates to buy and compete for mkt share. It seems that the worst is behind us and we expect good positive grw in Western Europe in ‘14/’15 (+2.4%/+3.4%).</w:t>
      </w:r>
    </w:p>
    <w:p w:rsidR="00BC1D60" w:rsidRPr="002B5C39" w:rsidRDefault="00BC1D60" w:rsidP="00BC1D60">
      <w:pPr>
        <w:pStyle w:val="Bullet"/>
        <w:rPr>
          <w:lang w:eastAsia="ja-JP"/>
        </w:rPr>
      </w:pPr>
      <w:r w:rsidRPr="002B5C39">
        <w:rPr>
          <w:b/>
          <w:lang w:eastAsia="ja-JP"/>
        </w:rPr>
        <w:t>Well positioned in a competitive environment</w:t>
      </w:r>
      <w:r w:rsidRPr="002B5C39">
        <w:rPr>
          <w:lang w:eastAsia="ja-JP"/>
        </w:rPr>
        <w:t>: The solid mgmt team has kept profits more resilient than peers by avoiding loss-making diversifications, gaining mkt share through an aggressive pricing policy, and maintaining a lower programming cost base (2013 operating profit was 15% below peak, vs TF1 −42%, A3M −81% and TL5 −84%). We believe M6 is likely to continue taking mkt share from TF1 in 2014.</w:t>
      </w:r>
    </w:p>
    <w:p w:rsidR="00BC1D60" w:rsidRPr="002B5C39" w:rsidRDefault="00BC1D60" w:rsidP="00BC1D60">
      <w:pPr>
        <w:pStyle w:val="Bullet"/>
        <w:rPr>
          <w:lang w:eastAsia="ja-JP"/>
        </w:rPr>
      </w:pPr>
      <w:r w:rsidRPr="002B5C39">
        <w:rPr>
          <w:b/>
          <w:lang w:eastAsia="ja-JP"/>
        </w:rPr>
        <w:t>Non-consensus investment opportunity:</w:t>
      </w:r>
      <w:r w:rsidRPr="002B5C39">
        <w:rPr>
          <w:lang w:eastAsia="ja-JP"/>
        </w:rPr>
        <w:t xml:space="preserve"> Of the 21 analysts covering the stock, only 8 rate it OW.</w:t>
      </w:r>
    </w:p>
    <w:p w:rsidR="00BC1D60" w:rsidRPr="002B5C39" w:rsidRDefault="00BC1D60" w:rsidP="00BC1D60">
      <w:pPr>
        <w:autoSpaceDE w:val="0"/>
        <w:autoSpaceDN w:val="0"/>
        <w:adjustRightInd w:val="0"/>
        <w:spacing w:after="120"/>
        <w:rPr>
          <w:rFonts w:cs="Arial"/>
          <w:bCs/>
          <w:sz w:val="20"/>
          <w:szCs w:val="26"/>
        </w:rPr>
      </w:pPr>
      <w:r w:rsidRPr="002B5C39">
        <w:rPr>
          <w:rFonts w:cs="Arial"/>
          <w:b/>
          <w:bCs/>
          <w:sz w:val="20"/>
          <w:szCs w:val="26"/>
        </w:rPr>
        <w:t>Valuation / Risks to our View:</w:t>
      </w:r>
      <w:r w:rsidRPr="002B5C39">
        <w:rPr>
          <w:rFonts w:cs="Arial"/>
          <w:bCs/>
          <w:sz w:val="20"/>
          <w:szCs w:val="26"/>
        </w:rPr>
        <w:t xml:space="preserve"> Our Dec-14 PT of €21.40 is DCF-based. Key risks include: i) lower than expected advertising revenues; ii) operating costs, in particular programming costs, differing from our expectations; and iii) value-destroying or enhancing acquisitions. </w:t>
      </w:r>
    </w:p>
    <w:p w:rsidR="00BC1D60" w:rsidRPr="002B5C39" w:rsidRDefault="00BC1D60" w:rsidP="00BC1D60">
      <w:pPr>
        <w:pStyle w:val="Heading3"/>
        <w:spacing w:after="240"/>
        <w:rPr>
          <w:b w:val="0"/>
        </w:rPr>
      </w:pPr>
      <w:r w:rsidRPr="002B5C39">
        <w:t xml:space="preserve">M6 in a Nutshell:  </w:t>
      </w:r>
      <w:r w:rsidRPr="002B5C39">
        <w:rPr>
          <w:rFonts w:cs="Times New Roman"/>
          <w:b w:val="0"/>
          <w:szCs w:val="24"/>
          <w:lang w:eastAsia="ja-JP"/>
        </w:rPr>
        <w:t>Metropole Television (M6) owns and operates the French FTA TV channel M6 as well as other FTA and pay TV channels. Other lines of business include Broadcasting Rights — SND (acquisition, management and distribution of copyright), M6 Video and M6 Studio (development and production of animated features) — and Diversifications (brand licensing, music, e-commerce and others)</w:t>
      </w:r>
      <w:r w:rsidRPr="002B5C39">
        <w:rPr>
          <w:b w:val="0"/>
        </w:rPr>
        <w:t xml:space="preserve">. </w:t>
      </w:r>
    </w:p>
    <w:p w:rsidR="00BC1D60" w:rsidRPr="002B5C39" w:rsidRDefault="00BC1D60" w:rsidP="00BC1D60">
      <w:pPr>
        <w:pStyle w:val="Heading3"/>
      </w:pPr>
      <w:r w:rsidRPr="002B5C39">
        <w:t>Price Perf vs MSCI All Country World Small Cap (rebased as of 1-year ago)</w:t>
      </w:r>
    </w:p>
    <w:p w:rsidR="00BC1D60" w:rsidRPr="002B5C39" w:rsidRDefault="00BC1D60" w:rsidP="00BC1D60">
      <w:pPr>
        <w:pStyle w:val="Body"/>
        <w:spacing w:after="0"/>
        <w:rPr>
          <w:rStyle w:val="SourceChar"/>
        </w:rPr>
      </w:pPr>
      <w:r>
        <w:rPr>
          <w:noProof/>
          <w:szCs w:val="18"/>
        </w:rPr>
        <w:drawing>
          <wp:inline distT="0" distB="0" distL="0" distR="0">
            <wp:extent cx="4352290" cy="1664621"/>
            <wp:effectExtent l="19050" t="0" r="0" b="0"/>
            <wp:docPr id="8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srcRect/>
                    <a:stretch>
                      <a:fillRect/>
                    </a:stretch>
                  </pic:blipFill>
                  <pic:spPr bwMode="auto">
                    <a:xfrm>
                      <a:off x="0" y="0"/>
                      <a:ext cx="4352290" cy="1664621"/>
                    </a:xfrm>
                    <a:prstGeom prst="rect">
                      <a:avLst/>
                    </a:prstGeom>
                    <a:noFill/>
                    <a:ln w="9525">
                      <a:noFill/>
                      <a:miter lim="800000"/>
                      <a:headEnd/>
                      <a:tailEnd/>
                    </a:ln>
                  </pic:spPr>
                </pic:pic>
              </a:graphicData>
            </a:graphic>
          </wp:inline>
        </w:drawing>
      </w:r>
      <w:r w:rsidRPr="002B5C39">
        <w:rPr>
          <w:rFonts w:ascii="Arial" w:hAnsi="Arial" w:cs="Arial"/>
          <w:b/>
          <w:noProof/>
          <w:sz w:val="18"/>
          <w:szCs w:val="18"/>
        </w:rPr>
        <w:t>J.P. Morgan Estimates</w:t>
      </w:r>
    </w:p>
    <w:p w:rsidR="00BC1D60" w:rsidRDefault="00BC1D60" w:rsidP="00BC1D60">
      <w:pPr>
        <w:pStyle w:val="ESTableCaption"/>
        <w:keepNext/>
      </w:pPr>
      <w:r>
        <w:rPr>
          <w:sz w:val="16"/>
        </w:rPr>
        <w:t>M6 (MMTP.PA;MMT FP)</w:t>
      </w:r>
    </w:p>
    <w:tbl>
      <w:tblPr>
        <w:tblW w:w="5000" w:type="pct"/>
        <w:tblCellMar>
          <w:left w:w="0" w:type="dxa"/>
          <w:right w:w="43" w:type="dxa"/>
        </w:tblCellMar>
        <w:tblLook w:val="01E0"/>
      </w:tblPr>
      <w:tblGrid>
        <w:gridCol w:w="2013"/>
        <w:gridCol w:w="976"/>
        <w:gridCol w:w="977"/>
        <w:gridCol w:w="977"/>
        <w:gridCol w:w="977"/>
        <w:gridCol w:w="977"/>
      </w:tblGrid>
      <w:tr w:rsidR="00BC1D60" w:rsidTr="00BC5B38">
        <w:trPr>
          <w:cantSplit/>
        </w:trPr>
        <w:tc>
          <w:tcPr>
            <w:tcW w:w="2000" w:type="dxa"/>
            <w:tcBorders>
              <w:top w:val="single" w:sz="4" w:space="0" w:color="auto"/>
            </w:tcBorders>
          </w:tcPr>
          <w:p w:rsidR="00BC1D60" w:rsidRDefault="00BC1D60" w:rsidP="00BC5B38">
            <w:pPr>
              <w:pStyle w:val="ESTableRow"/>
              <w:keepNext/>
            </w:pPr>
            <w:r>
              <w:rPr>
                <w:b/>
              </w:rPr>
              <w:t>FYE Dec</w:t>
            </w:r>
          </w:p>
        </w:tc>
        <w:tc>
          <w:tcPr>
            <w:tcW w:w="970" w:type="dxa"/>
            <w:tcBorders>
              <w:top w:val="single" w:sz="4" w:space="0" w:color="auto"/>
            </w:tcBorders>
          </w:tcPr>
          <w:p w:rsidR="00BC1D60" w:rsidRDefault="00BC1D60" w:rsidP="00BC5B38">
            <w:pPr>
              <w:pStyle w:val="ESTableRow"/>
              <w:keepNext/>
              <w:jc w:val="right"/>
            </w:pPr>
            <w:r>
              <w:rPr>
                <w:b/>
              </w:rPr>
              <w:t>2011A</w:t>
            </w:r>
          </w:p>
        </w:tc>
        <w:tc>
          <w:tcPr>
            <w:tcW w:w="970" w:type="dxa"/>
            <w:tcBorders>
              <w:top w:val="single" w:sz="4" w:space="0" w:color="auto"/>
            </w:tcBorders>
          </w:tcPr>
          <w:p w:rsidR="00BC1D60" w:rsidRDefault="00BC1D60" w:rsidP="00BC5B38">
            <w:pPr>
              <w:pStyle w:val="ESTableRow"/>
              <w:keepNext/>
              <w:jc w:val="right"/>
            </w:pPr>
            <w:r>
              <w:rPr>
                <w:b/>
              </w:rPr>
              <w:t>2012A</w:t>
            </w:r>
          </w:p>
        </w:tc>
        <w:tc>
          <w:tcPr>
            <w:tcW w:w="970" w:type="dxa"/>
            <w:tcBorders>
              <w:top w:val="single" w:sz="4" w:space="0" w:color="auto"/>
            </w:tcBorders>
          </w:tcPr>
          <w:p w:rsidR="00BC1D60" w:rsidRDefault="00BC1D60" w:rsidP="00BC5B38">
            <w:pPr>
              <w:pStyle w:val="ESTableRow"/>
              <w:keepNext/>
              <w:jc w:val="right"/>
            </w:pPr>
            <w:r>
              <w:rPr>
                <w:b/>
              </w:rPr>
              <w:t>2013A</w:t>
            </w:r>
          </w:p>
        </w:tc>
        <w:tc>
          <w:tcPr>
            <w:tcW w:w="970" w:type="dxa"/>
            <w:tcBorders>
              <w:top w:val="single" w:sz="4" w:space="0" w:color="auto"/>
            </w:tcBorders>
          </w:tcPr>
          <w:p w:rsidR="00BC1D60" w:rsidRDefault="00BC1D60" w:rsidP="00BC5B38">
            <w:pPr>
              <w:pStyle w:val="ESTableRow"/>
              <w:keepNext/>
              <w:jc w:val="right"/>
            </w:pPr>
            <w:r>
              <w:rPr>
                <w:b/>
              </w:rPr>
              <w:t>2014E</w:t>
            </w:r>
          </w:p>
        </w:tc>
        <w:tc>
          <w:tcPr>
            <w:tcW w:w="970" w:type="dxa"/>
            <w:tcBorders>
              <w:top w:val="single" w:sz="4" w:space="0" w:color="auto"/>
            </w:tcBorders>
          </w:tcPr>
          <w:p w:rsidR="00BC1D60" w:rsidRDefault="00BC1D60" w:rsidP="00BC5B38">
            <w:pPr>
              <w:pStyle w:val="ESTableRow"/>
              <w:keepNext/>
              <w:jc w:val="right"/>
            </w:pPr>
            <w:r>
              <w:rPr>
                <w:b/>
              </w:rPr>
              <w:t>2015E</w:t>
            </w:r>
          </w:p>
        </w:tc>
      </w:tr>
      <w:tr w:rsidR="00BC1D60" w:rsidTr="00BC5B38">
        <w:trPr>
          <w:cantSplit/>
        </w:trPr>
        <w:tc>
          <w:tcPr>
            <w:tcW w:w="2000" w:type="dxa"/>
            <w:tcBorders>
              <w:top w:val="single" w:sz="4" w:space="0" w:color="auto"/>
            </w:tcBorders>
          </w:tcPr>
          <w:p w:rsidR="00BC1D60" w:rsidRDefault="00BC1D60" w:rsidP="00BC5B38">
            <w:pPr>
              <w:pStyle w:val="ESTableRow"/>
              <w:keepNext/>
            </w:pPr>
            <w:r>
              <w:t>Adj. EPS FY (€)</w:t>
            </w:r>
          </w:p>
        </w:tc>
        <w:tc>
          <w:tcPr>
            <w:tcW w:w="970" w:type="dxa"/>
            <w:tcBorders>
              <w:top w:val="single" w:sz="4" w:space="0" w:color="auto"/>
            </w:tcBorders>
          </w:tcPr>
          <w:p w:rsidR="00BC1D60" w:rsidRDefault="00BC1D60" w:rsidP="00BC5B38">
            <w:pPr>
              <w:pStyle w:val="ESTableRow"/>
              <w:keepNext/>
              <w:jc w:val="right"/>
            </w:pPr>
            <w:r>
              <w:t>1.18</w:t>
            </w:r>
          </w:p>
        </w:tc>
        <w:tc>
          <w:tcPr>
            <w:tcW w:w="970" w:type="dxa"/>
            <w:tcBorders>
              <w:top w:val="single" w:sz="4" w:space="0" w:color="auto"/>
            </w:tcBorders>
          </w:tcPr>
          <w:p w:rsidR="00BC1D60" w:rsidRDefault="00BC1D60" w:rsidP="00BC5B38">
            <w:pPr>
              <w:pStyle w:val="ESTableRow"/>
              <w:keepNext/>
              <w:jc w:val="right"/>
            </w:pPr>
            <w:r>
              <w:t>1.05</w:t>
            </w:r>
          </w:p>
        </w:tc>
        <w:tc>
          <w:tcPr>
            <w:tcW w:w="970" w:type="dxa"/>
            <w:tcBorders>
              <w:top w:val="single" w:sz="4" w:space="0" w:color="auto"/>
            </w:tcBorders>
          </w:tcPr>
          <w:p w:rsidR="00BC1D60" w:rsidRDefault="00BC1D60" w:rsidP="00BC5B38">
            <w:pPr>
              <w:pStyle w:val="ESTableRow"/>
              <w:keepNext/>
              <w:jc w:val="right"/>
            </w:pPr>
            <w:r>
              <w:t>0.83</w:t>
            </w:r>
          </w:p>
        </w:tc>
        <w:tc>
          <w:tcPr>
            <w:tcW w:w="970" w:type="dxa"/>
            <w:tcBorders>
              <w:top w:val="single" w:sz="4" w:space="0" w:color="auto"/>
            </w:tcBorders>
          </w:tcPr>
          <w:p w:rsidR="00BC1D60" w:rsidRDefault="00BC1D60" w:rsidP="00BC5B38">
            <w:pPr>
              <w:pStyle w:val="ESTableRow"/>
              <w:keepNext/>
              <w:jc w:val="right"/>
            </w:pPr>
            <w:r>
              <w:t>1.06</w:t>
            </w:r>
          </w:p>
        </w:tc>
        <w:tc>
          <w:tcPr>
            <w:tcW w:w="970" w:type="dxa"/>
            <w:tcBorders>
              <w:top w:val="single" w:sz="4" w:space="0" w:color="auto"/>
            </w:tcBorders>
          </w:tcPr>
          <w:p w:rsidR="00BC1D60" w:rsidRDefault="00BC1D60" w:rsidP="00BC5B38">
            <w:pPr>
              <w:pStyle w:val="ESTableRow"/>
              <w:keepNext/>
              <w:jc w:val="right"/>
            </w:pPr>
            <w:r>
              <w:t>1.24</w:t>
            </w:r>
          </w:p>
        </w:tc>
      </w:tr>
      <w:tr w:rsidR="00BC1D60" w:rsidTr="00BC5B38">
        <w:trPr>
          <w:cantSplit/>
        </w:trPr>
        <w:tc>
          <w:tcPr>
            <w:tcW w:w="2000" w:type="dxa"/>
          </w:tcPr>
          <w:p w:rsidR="00BC1D60" w:rsidRDefault="00BC1D60" w:rsidP="00BC5B38">
            <w:pPr>
              <w:pStyle w:val="ESTableRow"/>
              <w:keepNext/>
            </w:pPr>
            <w:r>
              <w:t>Revenue FY (€ mn)</w:t>
            </w:r>
          </w:p>
        </w:tc>
        <w:tc>
          <w:tcPr>
            <w:tcW w:w="970" w:type="dxa"/>
          </w:tcPr>
          <w:p w:rsidR="00BC1D60" w:rsidRDefault="00BC1D60" w:rsidP="00BC5B38">
            <w:pPr>
              <w:pStyle w:val="ESTableRow"/>
              <w:keepNext/>
              <w:jc w:val="right"/>
            </w:pPr>
            <w:r>
              <w:t>1,421</w:t>
            </w:r>
          </w:p>
        </w:tc>
        <w:tc>
          <w:tcPr>
            <w:tcW w:w="970" w:type="dxa"/>
          </w:tcPr>
          <w:p w:rsidR="00BC1D60" w:rsidRDefault="00BC1D60" w:rsidP="00BC5B38">
            <w:pPr>
              <w:pStyle w:val="ESTableRow"/>
              <w:keepNext/>
              <w:jc w:val="right"/>
            </w:pPr>
            <w:r>
              <w:t>1,387</w:t>
            </w:r>
          </w:p>
        </w:tc>
        <w:tc>
          <w:tcPr>
            <w:tcW w:w="970" w:type="dxa"/>
          </w:tcPr>
          <w:p w:rsidR="00BC1D60" w:rsidRDefault="00BC1D60" w:rsidP="00BC5B38">
            <w:pPr>
              <w:pStyle w:val="ESTableRow"/>
              <w:keepNext/>
              <w:jc w:val="right"/>
            </w:pPr>
            <w:r>
              <w:t>1,383</w:t>
            </w:r>
          </w:p>
        </w:tc>
        <w:tc>
          <w:tcPr>
            <w:tcW w:w="970" w:type="dxa"/>
          </w:tcPr>
          <w:p w:rsidR="00BC1D60" w:rsidRDefault="00BC1D60" w:rsidP="00BC5B38">
            <w:pPr>
              <w:pStyle w:val="ESTableRow"/>
              <w:keepNext/>
              <w:jc w:val="right"/>
            </w:pPr>
            <w:r>
              <w:t>1,281</w:t>
            </w:r>
          </w:p>
        </w:tc>
        <w:tc>
          <w:tcPr>
            <w:tcW w:w="970" w:type="dxa"/>
          </w:tcPr>
          <w:p w:rsidR="00BC1D60" w:rsidRDefault="00BC1D60" w:rsidP="00BC5B38">
            <w:pPr>
              <w:pStyle w:val="ESTableRow"/>
              <w:keepNext/>
              <w:jc w:val="right"/>
            </w:pPr>
            <w:r>
              <w:t>1,328</w:t>
            </w:r>
          </w:p>
        </w:tc>
      </w:tr>
      <w:tr w:rsidR="00BC1D60" w:rsidTr="00BC5B38">
        <w:trPr>
          <w:cantSplit/>
        </w:trPr>
        <w:tc>
          <w:tcPr>
            <w:tcW w:w="2000" w:type="dxa"/>
          </w:tcPr>
          <w:p w:rsidR="00BC1D60" w:rsidRDefault="00BC1D60" w:rsidP="00BC5B38">
            <w:pPr>
              <w:pStyle w:val="ESTableRow"/>
              <w:keepNext/>
            </w:pPr>
            <w:r>
              <w:t>EBITDA FY (€ mn)</w:t>
            </w:r>
          </w:p>
        </w:tc>
        <w:tc>
          <w:tcPr>
            <w:tcW w:w="970" w:type="dxa"/>
          </w:tcPr>
          <w:p w:rsidR="00BC1D60" w:rsidRDefault="00BC1D60" w:rsidP="00BC5B38">
            <w:pPr>
              <w:pStyle w:val="ESTableRow"/>
              <w:keepNext/>
              <w:jc w:val="right"/>
            </w:pPr>
            <w:r>
              <w:t>334</w:t>
            </w:r>
          </w:p>
        </w:tc>
        <w:tc>
          <w:tcPr>
            <w:tcW w:w="970" w:type="dxa"/>
          </w:tcPr>
          <w:p w:rsidR="00BC1D60" w:rsidRDefault="00BC1D60" w:rsidP="00BC5B38">
            <w:pPr>
              <w:pStyle w:val="ESTableRow"/>
              <w:keepNext/>
              <w:jc w:val="right"/>
            </w:pPr>
            <w:r>
              <w:t>310</w:t>
            </w:r>
          </w:p>
        </w:tc>
        <w:tc>
          <w:tcPr>
            <w:tcW w:w="970" w:type="dxa"/>
          </w:tcPr>
          <w:p w:rsidR="00BC1D60" w:rsidRDefault="00BC1D60" w:rsidP="00BC5B38">
            <w:pPr>
              <w:pStyle w:val="ESTableRow"/>
              <w:keepNext/>
              <w:jc w:val="right"/>
            </w:pPr>
            <w:r>
              <w:t>296</w:t>
            </w:r>
          </w:p>
        </w:tc>
        <w:tc>
          <w:tcPr>
            <w:tcW w:w="970" w:type="dxa"/>
          </w:tcPr>
          <w:p w:rsidR="00BC1D60" w:rsidRDefault="00BC1D60" w:rsidP="00BC5B38">
            <w:pPr>
              <w:pStyle w:val="ESTableRow"/>
              <w:keepNext/>
              <w:jc w:val="right"/>
            </w:pPr>
            <w:r>
              <w:t>328</w:t>
            </w:r>
          </w:p>
        </w:tc>
        <w:tc>
          <w:tcPr>
            <w:tcW w:w="970" w:type="dxa"/>
          </w:tcPr>
          <w:p w:rsidR="00BC1D60" w:rsidRDefault="00BC1D60" w:rsidP="00BC5B38">
            <w:pPr>
              <w:pStyle w:val="ESTableRow"/>
              <w:keepNext/>
              <w:jc w:val="right"/>
            </w:pPr>
            <w:r>
              <w:t>356</w:t>
            </w:r>
          </w:p>
        </w:tc>
      </w:tr>
      <w:tr w:rsidR="00BC1D60" w:rsidTr="00BC5B38">
        <w:trPr>
          <w:cantSplit/>
        </w:trPr>
        <w:tc>
          <w:tcPr>
            <w:tcW w:w="2000" w:type="dxa"/>
          </w:tcPr>
          <w:p w:rsidR="00BC1D60" w:rsidRDefault="00BC1D60" w:rsidP="00BC5B38">
            <w:pPr>
              <w:pStyle w:val="ESTableRow"/>
              <w:keepNext/>
            </w:pPr>
            <w:r>
              <w:t xml:space="preserve">P/E (x) FY </w:t>
            </w:r>
          </w:p>
        </w:tc>
        <w:tc>
          <w:tcPr>
            <w:tcW w:w="970" w:type="dxa"/>
          </w:tcPr>
          <w:p w:rsidR="00BC1D60" w:rsidRDefault="00BC1D60" w:rsidP="00BC5B38">
            <w:pPr>
              <w:pStyle w:val="ESTableRow"/>
              <w:keepNext/>
              <w:jc w:val="right"/>
            </w:pPr>
            <w:r>
              <w:t>12.4</w:t>
            </w:r>
          </w:p>
        </w:tc>
        <w:tc>
          <w:tcPr>
            <w:tcW w:w="970" w:type="dxa"/>
          </w:tcPr>
          <w:p w:rsidR="00BC1D60" w:rsidRDefault="00BC1D60" w:rsidP="00BC5B38">
            <w:pPr>
              <w:pStyle w:val="ESTableRow"/>
              <w:keepNext/>
              <w:jc w:val="right"/>
            </w:pPr>
            <w:r>
              <w:t>13.2</w:t>
            </w:r>
          </w:p>
        </w:tc>
        <w:tc>
          <w:tcPr>
            <w:tcW w:w="970" w:type="dxa"/>
          </w:tcPr>
          <w:p w:rsidR="00BC1D60" w:rsidRDefault="00BC1D60" w:rsidP="00BC5B38">
            <w:pPr>
              <w:pStyle w:val="ESTableRow"/>
              <w:keepNext/>
              <w:jc w:val="right"/>
            </w:pPr>
            <w:r>
              <w:t>16.5</w:t>
            </w:r>
          </w:p>
        </w:tc>
        <w:tc>
          <w:tcPr>
            <w:tcW w:w="970" w:type="dxa"/>
          </w:tcPr>
          <w:p w:rsidR="00BC1D60" w:rsidRDefault="00BC1D60" w:rsidP="00BC5B38">
            <w:pPr>
              <w:pStyle w:val="ESTableRow"/>
              <w:keepNext/>
              <w:jc w:val="right"/>
            </w:pPr>
            <w:r>
              <w:t>13.9</w:t>
            </w:r>
          </w:p>
        </w:tc>
        <w:tc>
          <w:tcPr>
            <w:tcW w:w="970" w:type="dxa"/>
          </w:tcPr>
          <w:p w:rsidR="00BC1D60" w:rsidRDefault="00BC1D60" w:rsidP="00BC5B38">
            <w:pPr>
              <w:pStyle w:val="ESTableRow"/>
              <w:keepNext/>
              <w:jc w:val="right"/>
            </w:pPr>
            <w:r>
              <w:t>11.8</w:t>
            </w:r>
          </w:p>
        </w:tc>
      </w:tr>
      <w:tr w:rsidR="00BC1D60" w:rsidTr="00BC5B38">
        <w:trPr>
          <w:cantSplit/>
        </w:trPr>
        <w:tc>
          <w:tcPr>
            <w:tcW w:w="2000" w:type="dxa"/>
          </w:tcPr>
          <w:p w:rsidR="00BC1D60" w:rsidRDefault="00BC1D60" w:rsidP="00BC5B38">
            <w:pPr>
              <w:pStyle w:val="ESTableRow"/>
              <w:keepNext/>
            </w:pPr>
            <w:r>
              <w:t>Net debt / (cash) FY (€ mn)</w:t>
            </w:r>
          </w:p>
        </w:tc>
        <w:tc>
          <w:tcPr>
            <w:tcW w:w="970" w:type="dxa"/>
          </w:tcPr>
          <w:p w:rsidR="00BC1D60" w:rsidRDefault="00BC1D60" w:rsidP="00BC5B38">
            <w:pPr>
              <w:pStyle w:val="ESTableRow"/>
              <w:keepNext/>
              <w:jc w:val="right"/>
            </w:pPr>
            <w:r>
              <w:t>(331)</w:t>
            </w:r>
          </w:p>
        </w:tc>
        <w:tc>
          <w:tcPr>
            <w:tcW w:w="970" w:type="dxa"/>
          </w:tcPr>
          <w:p w:rsidR="00BC1D60" w:rsidRDefault="00BC1D60" w:rsidP="00BC5B38">
            <w:pPr>
              <w:pStyle w:val="ESTableRow"/>
              <w:keepNext/>
              <w:jc w:val="right"/>
            </w:pPr>
            <w:r>
              <w:t>(318)</w:t>
            </w:r>
          </w:p>
        </w:tc>
        <w:tc>
          <w:tcPr>
            <w:tcW w:w="970" w:type="dxa"/>
          </w:tcPr>
          <w:p w:rsidR="00BC1D60" w:rsidRDefault="00BC1D60" w:rsidP="00BC5B38">
            <w:pPr>
              <w:pStyle w:val="ESTableRow"/>
              <w:keepNext/>
              <w:jc w:val="right"/>
            </w:pPr>
            <w:r>
              <w:t>(293)</w:t>
            </w:r>
          </w:p>
        </w:tc>
        <w:tc>
          <w:tcPr>
            <w:tcW w:w="970" w:type="dxa"/>
          </w:tcPr>
          <w:p w:rsidR="00BC1D60" w:rsidRDefault="00BC1D60" w:rsidP="00BC5B38">
            <w:pPr>
              <w:pStyle w:val="ESTableRow"/>
              <w:keepNext/>
              <w:jc w:val="right"/>
            </w:pPr>
            <w:r>
              <w:t>(331)</w:t>
            </w:r>
          </w:p>
        </w:tc>
        <w:tc>
          <w:tcPr>
            <w:tcW w:w="970" w:type="dxa"/>
          </w:tcPr>
          <w:p w:rsidR="00BC1D60" w:rsidRDefault="00BC1D60" w:rsidP="00BC5B38">
            <w:pPr>
              <w:pStyle w:val="ESTableRow"/>
              <w:keepNext/>
              <w:jc w:val="right"/>
            </w:pPr>
            <w:r>
              <w:t>(367)</w:t>
            </w:r>
          </w:p>
        </w:tc>
      </w:tr>
      <w:tr w:rsidR="00BC1D60" w:rsidTr="00BC5B38">
        <w:trPr>
          <w:cantSplit/>
        </w:trPr>
        <w:tc>
          <w:tcPr>
            <w:tcW w:w="2000" w:type="dxa"/>
          </w:tcPr>
          <w:p w:rsidR="00BC1D60" w:rsidRDefault="00BC1D60" w:rsidP="00BC5B38">
            <w:pPr>
              <w:pStyle w:val="ESTableRow"/>
              <w:keepNext/>
            </w:pPr>
            <w:r>
              <w:t>EBIT FY (€ mn)</w:t>
            </w:r>
          </w:p>
        </w:tc>
        <w:tc>
          <w:tcPr>
            <w:tcW w:w="970" w:type="dxa"/>
          </w:tcPr>
          <w:p w:rsidR="00BC1D60" w:rsidRDefault="00BC1D60" w:rsidP="00BC5B38">
            <w:pPr>
              <w:pStyle w:val="ESTableRow"/>
              <w:keepNext/>
              <w:jc w:val="right"/>
            </w:pPr>
            <w:r>
              <w:t>242</w:t>
            </w:r>
          </w:p>
        </w:tc>
        <w:tc>
          <w:tcPr>
            <w:tcW w:w="970" w:type="dxa"/>
          </w:tcPr>
          <w:p w:rsidR="00BC1D60" w:rsidRDefault="00BC1D60" w:rsidP="00BC5B38">
            <w:pPr>
              <w:pStyle w:val="ESTableRow"/>
              <w:keepNext/>
              <w:jc w:val="right"/>
            </w:pPr>
            <w:r>
              <w:t>206</w:t>
            </w:r>
          </w:p>
        </w:tc>
        <w:tc>
          <w:tcPr>
            <w:tcW w:w="970" w:type="dxa"/>
          </w:tcPr>
          <w:p w:rsidR="00BC1D60" w:rsidRDefault="00BC1D60" w:rsidP="00BC5B38">
            <w:pPr>
              <w:pStyle w:val="ESTableRow"/>
              <w:keepNext/>
              <w:jc w:val="right"/>
            </w:pPr>
            <w:r>
              <w:t>189</w:t>
            </w:r>
          </w:p>
        </w:tc>
        <w:tc>
          <w:tcPr>
            <w:tcW w:w="970" w:type="dxa"/>
          </w:tcPr>
          <w:p w:rsidR="00BC1D60" w:rsidRDefault="00BC1D60" w:rsidP="00BC5B38">
            <w:pPr>
              <w:pStyle w:val="ESTableRow"/>
              <w:keepNext/>
              <w:jc w:val="right"/>
            </w:pPr>
            <w:r>
              <w:t>218</w:t>
            </w:r>
          </w:p>
        </w:tc>
        <w:tc>
          <w:tcPr>
            <w:tcW w:w="970" w:type="dxa"/>
          </w:tcPr>
          <w:p w:rsidR="00BC1D60" w:rsidRDefault="00BC1D60" w:rsidP="00BC5B38">
            <w:pPr>
              <w:pStyle w:val="ESTableRow"/>
              <w:keepNext/>
              <w:jc w:val="right"/>
            </w:pPr>
            <w:r>
              <w:t>243</w:t>
            </w:r>
          </w:p>
        </w:tc>
      </w:tr>
      <w:tr w:rsidR="00BC1D60" w:rsidTr="00BC5B38">
        <w:trPr>
          <w:cantSplit/>
        </w:trPr>
        <w:tc>
          <w:tcPr>
            <w:tcW w:w="2000" w:type="dxa"/>
          </w:tcPr>
          <w:p w:rsidR="00BC1D60" w:rsidRDefault="00BC1D60" w:rsidP="00BC5B38">
            <w:pPr>
              <w:pStyle w:val="ESTableRow"/>
              <w:keepNext/>
            </w:pPr>
            <w:r>
              <w:t xml:space="preserve">EBIT Margin FY </w:t>
            </w:r>
          </w:p>
        </w:tc>
        <w:tc>
          <w:tcPr>
            <w:tcW w:w="970" w:type="dxa"/>
          </w:tcPr>
          <w:p w:rsidR="00BC1D60" w:rsidRDefault="00BC1D60" w:rsidP="00BC5B38">
            <w:pPr>
              <w:pStyle w:val="ESTableRow"/>
              <w:keepNext/>
              <w:jc w:val="right"/>
            </w:pPr>
            <w:r>
              <w:t>17.0%</w:t>
            </w:r>
          </w:p>
        </w:tc>
        <w:tc>
          <w:tcPr>
            <w:tcW w:w="970" w:type="dxa"/>
          </w:tcPr>
          <w:p w:rsidR="00BC1D60" w:rsidRDefault="00BC1D60" w:rsidP="00BC5B38">
            <w:pPr>
              <w:pStyle w:val="ESTableRow"/>
              <w:keepNext/>
              <w:jc w:val="right"/>
            </w:pPr>
            <w:r>
              <w:t>14.9%</w:t>
            </w:r>
          </w:p>
        </w:tc>
        <w:tc>
          <w:tcPr>
            <w:tcW w:w="970" w:type="dxa"/>
          </w:tcPr>
          <w:p w:rsidR="00BC1D60" w:rsidRDefault="00BC1D60" w:rsidP="00BC5B38">
            <w:pPr>
              <w:pStyle w:val="ESTableRow"/>
              <w:keepNext/>
              <w:jc w:val="right"/>
            </w:pPr>
            <w:r>
              <w:t>13.7%</w:t>
            </w:r>
          </w:p>
        </w:tc>
        <w:tc>
          <w:tcPr>
            <w:tcW w:w="970" w:type="dxa"/>
          </w:tcPr>
          <w:p w:rsidR="00BC1D60" w:rsidRDefault="00BC1D60" w:rsidP="00BC5B38">
            <w:pPr>
              <w:pStyle w:val="ESTableRow"/>
              <w:keepNext/>
              <w:jc w:val="right"/>
            </w:pPr>
            <w:r>
              <w:t>17.0%</w:t>
            </w:r>
          </w:p>
        </w:tc>
        <w:tc>
          <w:tcPr>
            <w:tcW w:w="970" w:type="dxa"/>
          </w:tcPr>
          <w:p w:rsidR="00BC1D60" w:rsidRDefault="00BC1D60" w:rsidP="00BC5B38">
            <w:pPr>
              <w:pStyle w:val="ESTableRow"/>
              <w:keepNext/>
              <w:jc w:val="right"/>
            </w:pPr>
            <w:r>
              <w:t>18.3%</w:t>
            </w:r>
          </w:p>
        </w:tc>
      </w:tr>
      <w:tr w:rsidR="00BC1D60" w:rsidTr="00BC5B38">
        <w:trPr>
          <w:cantSplit/>
        </w:trPr>
        <w:tc>
          <w:tcPr>
            <w:tcW w:w="2000" w:type="dxa"/>
            <w:tcBorders>
              <w:bottom w:val="single" w:sz="4" w:space="0" w:color="auto"/>
            </w:tcBorders>
          </w:tcPr>
          <w:p w:rsidR="00BC1D60" w:rsidRDefault="00BC1D60" w:rsidP="00BC5B38">
            <w:pPr>
              <w:pStyle w:val="ESTableRow"/>
              <w:keepNext/>
            </w:pPr>
            <w:r>
              <w:t>Bloomberg EPS FY (€)</w:t>
            </w:r>
          </w:p>
        </w:tc>
        <w:tc>
          <w:tcPr>
            <w:tcW w:w="970" w:type="dxa"/>
            <w:tcBorders>
              <w:bottom w:val="single" w:sz="4" w:space="0" w:color="auto"/>
            </w:tcBorders>
          </w:tcPr>
          <w:p w:rsidR="00BC1D60" w:rsidRDefault="00BC1D60" w:rsidP="00BC5B38">
            <w:pPr>
              <w:pStyle w:val="ESTableRow"/>
              <w:keepNext/>
              <w:jc w:val="right"/>
            </w:pPr>
            <w:r>
              <w:t>1.17</w:t>
            </w:r>
          </w:p>
        </w:tc>
        <w:tc>
          <w:tcPr>
            <w:tcW w:w="970" w:type="dxa"/>
            <w:tcBorders>
              <w:bottom w:val="single" w:sz="4" w:space="0" w:color="auto"/>
            </w:tcBorders>
          </w:tcPr>
          <w:p w:rsidR="00BC1D60" w:rsidRDefault="00BC1D60" w:rsidP="00BC5B38">
            <w:pPr>
              <w:pStyle w:val="ESTableRow"/>
              <w:keepNext/>
              <w:jc w:val="right"/>
            </w:pPr>
            <w:r>
              <w:t>1.02</w:t>
            </w:r>
          </w:p>
        </w:tc>
        <w:tc>
          <w:tcPr>
            <w:tcW w:w="970" w:type="dxa"/>
            <w:tcBorders>
              <w:bottom w:val="single" w:sz="4" w:space="0" w:color="auto"/>
            </w:tcBorders>
          </w:tcPr>
          <w:p w:rsidR="00BC1D60" w:rsidRDefault="00BC1D60" w:rsidP="00BC5B38">
            <w:pPr>
              <w:pStyle w:val="ESTableRow"/>
              <w:keepNext/>
              <w:jc w:val="right"/>
            </w:pPr>
            <w:r>
              <w:t>0.96</w:t>
            </w:r>
          </w:p>
        </w:tc>
        <w:tc>
          <w:tcPr>
            <w:tcW w:w="970" w:type="dxa"/>
            <w:tcBorders>
              <w:bottom w:val="single" w:sz="4" w:space="0" w:color="auto"/>
            </w:tcBorders>
          </w:tcPr>
          <w:p w:rsidR="00BC1D60" w:rsidRDefault="00BC1D60" w:rsidP="00BC5B38">
            <w:pPr>
              <w:pStyle w:val="ESTableRow"/>
              <w:keepNext/>
              <w:jc w:val="right"/>
            </w:pPr>
            <w:r>
              <w:t>0.98</w:t>
            </w:r>
          </w:p>
        </w:tc>
        <w:tc>
          <w:tcPr>
            <w:tcW w:w="970" w:type="dxa"/>
            <w:tcBorders>
              <w:bottom w:val="single" w:sz="4" w:space="0" w:color="auto"/>
            </w:tcBorders>
          </w:tcPr>
          <w:p w:rsidR="00BC1D60" w:rsidRDefault="00BC1D60" w:rsidP="00BC5B38">
            <w:pPr>
              <w:pStyle w:val="ESTableRow"/>
              <w:keepNext/>
              <w:jc w:val="right"/>
            </w:pPr>
            <w:r>
              <w:t>1.06</w:t>
            </w:r>
          </w:p>
        </w:tc>
      </w:tr>
    </w:tbl>
    <w:p w:rsidR="00BC1D60" w:rsidRPr="004F1ABB" w:rsidRDefault="00BC1D60" w:rsidP="00BC1D60">
      <w:pPr>
        <w:pStyle w:val="Source"/>
        <w:rPr>
          <w:highlight w:val="yellow"/>
        </w:rPr>
      </w:pPr>
      <w:r>
        <w:t>Source: Company data, Bloomberg, J.P. Morgan estimates.</w:t>
      </w:r>
    </w:p>
    <w:p w:rsidR="00BC1D60" w:rsidRDefault="00BC1D60" w:rsidP="00BC1D60">
      <w:pPr>
        <w:pStyle w:val="Body"/>
        <w:rPr>
          <w:highlight w:val="yellow"/>
        </w:rPr>
      </w:pPr>
    </w:p>
    <w:p w:rsidR="00017DA5" w:rsidRPr="004F1ABB" w:rsidRDefault="00017DA5" w:rsidP="00BC1D60">
      <w:pPr>
        <w:pStyle w:val="Body"/>
        <w:rPr>
          <w:highlight w:val="yellow"/>
        </w:rPr>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414DFD" w:rsidTr="00BC5B38">
        <w:tc>
          <w:tcPr>
            <w:tcW w:w="10604" w:type="dxa"/>
            <w:gridSpan w:val="3"/>
            <w:shd w:val="clear" w:color="auto" w:fill="auto"/>
          </w:tcPr>
          <w:p w:rsidR="00BC1D60" w:rsidRPr="00414DFD" w:rsidRDefault="00BC1D60" w:rsidP="00BC5B38">
            <w:pPr>
              <w:pStyle w:val="Heading1-NoTOC"/>
            </w:pPr>
            <w:bookmarkStart w:id="253" w:name="_Toc392016367"/>
            <w:bookmarkStart w:id="254" w:name="_Toc392099085"/>
            <w:r w:rsidRPr="00414DFD">
              <w:t>Getting to know our SMid Analysts…</w:t>
            </w:r>
            <w:bookmarkEnd w:id="253"/>
            <w:bookmarkEnd w:id="254"/>
          </w:p>
        </w:tc>
      </w:tr>
      <w:tr w:rsidR="00BC1D60" w:rsidRPr="00414DFD" w:rsidTr="00BC5B38">
        <w:trPr>
          <w:trHeight w:val="3427"/>
        </w:trPr>
        <w:tc>
          <w:tcPr>
            <w:tcW w:w="2666" w:type="dxa"/>
            <w:shd w:val="clear" w:color="auto" w:fill="auto"/>
          </w:tcPr>
          <w:p w:rsidR="00BC1D60" w:rsidRPr="00414DFD" w:rsidRDefault="00BC1D60" w:rsidP="00BC5B38">
            <w:pPr>
              <w:pStyle w:val="Body"/>
              <w:spacing w:after="120"/>
            </w:pPr>
            <w:r w:rsidRPr="00414DFD">
              <w:rPr>
                <w:rFonts w:ascii="Arial" w:hAnsi="Arial" w:cs="Arial"/>
                <w:noProof/>
                <w:color w:val="666666"/>
                <w:sz w:val="15"/>
                <w:szCs w:val="15"/>
              </w:rPr>
              <w:drawing>
                <wp:inline distT="0" distB="0" distL="0" distR="0">
                  <wp:extent cx="1570727" cy="1880558"/>
                  <wp:effectExtent l="19050" t="0" r="0" b="0"/>
                  <wp:docPr id="889" name="Picture 13" descr="https://mm.jpmorgan.com/ImageServlet?sid=N018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m.jpmorgan.com/ImageServlet?sid=N018185"/>
                          <pic:cNvPicPr>
                            <a:picLocks noChangeAspect="1" noChangeArrowheads="1"/>
                          </pic:cNvPicPr>
                        </pic:nvPicPr>
                        <pic:blipFill>
                          <a:blip r:embed="rId100"/>
                          <a:srcRect l="19957" r="27478"/>
                          <a:stretch>
                            <a:fillRect/>
                          </a:stretch>
                        </pic:blipFill>
                        <pic:spPr bwMode="auto">
                          <a:xfrm>
                            <a:off x="0" y="0"/>
                            <a:ext cx="1573592" cy="1883989"/>
                          </a:xfrm>
                          <a:prstGeom prst="rect">
                            <a:avLst/>
                          </a:prstGeom>
                          <a:noFill/>
                          <a:ln w="9525">
                            <a:noFill/>
                            <a:miter lim="800000"/>
                            <a:headEnd/>
                            <a:tailEnd/>
                          </a:ln>
                        </pic:spPr>
                      </pic:pic>
                    </a:graphicData>
                  </a:graphic>
                </wp:inline>
              </w:drawing>
            </w:r>
          </w:p>
        </w:tc>
        <w:tc>
          <w:tcPr>
            <w:tcW w:w="3544" w:type="dxa"/>
            <w:shd w:val="clear" w:color="auto" w:fill="auto"/>
          </w:tcPr>
          <w:p w:rsidR="00BC1D60" w:rsidRPr="00414DFD" w:rsidRDefault="00BC1D60" w:rsidP="00BC5B38">
            <w:pPr>
              <w:pStyle w:val="Heading2"/>
              <w:outlineLvl w:val="1"/>
              <w:rPr>
                <w:lang w:val="fr-FR"/>
              </w:rPr>
            </w:pPr>
            <w:r w:rsidRPr="00414DFD">
              <w:rPr>
                <w:lang w:val="fr-FR"/>
              </w:rPr>
              <w:t>Filippo Lo Franco</w:t>
            </w:r>
          </w:p>
          <w:p w:rsidR="00BC1D60" w:rsidRPr="00414DFD" w:rsidRDefault="003B051F" w:rsidP="00BC5B38">
            <w:pPr>
              <w:pStyle w:val="Body"/>
              <w:spacing w:after="120"/>
              <w:rPr>
                <w:rStyle w:val="txtblackbld1"/>
                <w:rFonts w:ascii="Arial Narrow" w:hAnsi="Arial Narrow"/>
                <w:b w:val="0"/>
                <w:bCs w:val="0"/>
                <w:szCs w:val="20"/>
                <w:lang w:val="fr-FR"/>
              </w:rPr>
            </w:pPr>
            <w:hyperlink r:id="rId115" w:history="1">
              <w:r w:rsidR="00BC1D60" w:rsidRPr="00414DFD">
                <w:rPr>
                  <w:rStyle w:val="Hyperlink"/>
                  <w:rFonts w:ascii="Arial Narrow" w:hAnsi="Arial Narrow" w:cs="Arial"/>
                  <w:szCs w:val="20"/>
                  <w:lang w:val="fr-FR"/>
                </w:rPr>
                <w:t>filippo.p.lofranco@jpmorgan.com</w:t>
              </w:r>
            </w:hyperlink>
          </w:p>
          <w:p w:rsidR="00BC1D60" w:rsidRPr="00414DFD" w:rsidRDefault="00BC1D60" w:rsidP="00BC5B38">
            <w:pPr>
              <w:pStyle w:val="Body"/>
              <w:spacing w:after="120"/>
              <w:rPr>
                <w:rFonts w:ascii="Arial Narrow" w:hAnsi="Arial Narrow"/>
                <w:lang w:val="es-ES_tradnl"/>
              </w:rPr>
            </w:pPr>
            <w:r w:rsidRPr="00414DFD">
              <w:rPr>
                <w:rFonts w:ascii="Arial Narrow" w:hAnsi="Arial Narrow"/>
                <w:lang w:val="es-ES_tradnl"/>
              </w:rPr>
              <w:t>(44-20) 7134-9779</w:t>
            </w:r>
          </w:p>
          <w:p w:rsidR="00BC1D60" w:rsidRPr="00414DFD" w:rsidRDefault="00BC1D60" w:rsidP="00BC5B38">
            <w:pPr>
              <w:pStyle w:val="Body"/>
              <w:spacing w:after="120"/>
              <w:rPr>
                <w:rFonts w:ascii="Arial Narrow" w:hAnsi="Arial Narrow"/>
                <w:lang w:val="es-ES_tradnl"/>
              </w:rPr>
            </w:pPr>
          </w:p>
          <w:p w:rsidR="00BC1D60" w:rsidRPr="00414DFD" w:rsidRDefault="00BC1D60" w:rsidP="00BC5B38">
            <w:pPr>
              <w:pStyle w:val="Body"/>
              <w:spacing w:after="120"/>
              <w:rPr>
                <w:rFonts w:ascii="Arial Narrow" w:hAnsi="Arial Narrow"/>
              </w:rPr>
            </w:pPr>
            <w:r w:rsidRPr="00414DFD">
              <w:rPr>
                <w:rFonts w:ascii="Arial Narrow" w:hAnsi="Arial Narrow"/>
                <w:b/>
              </w:rPr>
              <w:t>Region:</w:t>
            </w:r>
            <w:r w:rsidRPr="00414DFD">
              <w:rPr>
                <w:rFonts w:ascii="Arial Narrow" w:hAnsi="Arial Narrow"/>
              </w:rPr>
              <w:t xml:space="preserve"> W. Europe</w:t>
            </w:r>
          </w:p>
          <w:p w:rsidR="00BC1D60" w:rsidRPr="00414DFD" w:rsidRDefault="00BC1D60" w:rsidP="00BC5B38">
            <w:pPr>
              <w:pStyle w:val="Body"/>
              <w:spacing w:after="120"/>
              <w:rPr>
                <w:rFonts w:ascii="Arial Narrow" w:hAnsi="Arial Narrow"/>
              </w:rPr>
            </w:pPr>
            <w:r w:rsidRPr="00414DFD">
              <w:rPr>
                <w:rFonts w:ascii="Arial Narrow" w:hAnsi="Arial Narrow"/>
                <w:b/>
              </w:rPr>
              <w:t>Sector:</w:t>
            </w:r>
            <w:r w:rsidRPr="00414DFD">
              <w:rPr>
                <w:rFonts w:ascii="Arial Narrow" w:hAnsi="Arial Narrow"/>
              </w:rPr>
              <w:t xml:space="preserve"> Media</w:t>
            </w:r>
          </w:p>
          <w:p w:rsidR="00BC1D60" w:rsidRPr="00414DFD" w:rsidRDefault="00BC1D60" w:rsidP="00BC5B38">
            <w:pPr>
              <w:pStyle w:val="Body"/>
            </w:pPr>
          </w:p>
        </w:tc>
        <w:tc>
          <w:tcPr>
            <w:tcW w:w="4394" w:type="dxa"/>
            <w:shd w:val="clear" w:color="auto" w:fill="auto"/>
          </w:tcPr>
          <w:p w:rsidR="00BC1D60" w:rsidRPr="00414DFD" w:rsidRDefault="00BC1D60" w:rsidP="00BC5B38">
            <w:pPr>
              <w:pStyle w:val="Body"/>
              <w:jc w:val="right"/>
            </w:pPr>
            <w:r w:rsidRPr="00414DFD">
              <w:rPr>
                <w:noProof/>
              </w:rPr>
              <w:drawing>
                <wp:inline distT="0" distB="0" distL="0" distR="0">
                  <wp:extent cx="2505456" cy="1712362"/>
                  <wp:effectExtent l="19050" t="0" r="9144" b="0"/>
                  <wp:docPr id="89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2"/>
                          <a:srcRect/>
                          <a:stretch>
                            <a:fillRect/>
                          </a:stretch>
                        </pic:blipFill>
                        <pic:spPr bwMode="auto">
                          <a:xfrm>
                            <a:off x="0" y="0"/>
                            <a:ext cx="2505456" cy="1712362"/>
                          </a:xfrm>
                          <a:prstGeom prst="rect">
                            <a:avLst/>
                          </a:prstGeom>
                          <a:noFill/>
                          <a:ln w="9525">
                            <a:noFill/>
                            <a:miter lim="800000"/>
                            <a:headEnd/>
                            <a:tailEnd/>
                          </a:ln>
                        </pic:spPr>
                      </pic:pic>
                    </a:graphicData>
                  </a:graphic>
                </wp:inline>
              </w:drawing>
            </w:r>
            <w:r w:rsidRPr="00414DFD" w:rsidDel="00605141">
              <w:t xml:space="preserve"> </w:t>
            </w:r>
          </w:p>
        </w:tc>
      </w:tr>
    </w:tbl>
    <w:p w:rsidR="00BC1D60" w:rsidRPr="00414DFD" w:rsidRDefault="00BC1D60" w:rsidP="00BC1D60">
      <w:pPr>
        <w:pStyle w:val="Source"/>
        <w:spacing w:before="0"/>
        <w:ind w:left="-3124" w:hanging="137"/>
      </w:pPr>
      <w:r w:rsidRPr="00414DFD">
        <w:rPr>
          <w:noProof/>
        </w:rPr>
        <w:drawing>
          <wp:inline distT="0" distB="0" distL="0" distR="0">
            <wp:extent cx="6702552" cy="1783497"/>
            <wp:effectExtent l="19050" t="0" r="3048" b="0"/>
            <wp:docPr id="8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a:srcRect/>
                    <a:stretch>
                      <a:fillRect/>
                    </a:stretch>
                  </pic:blipFill>
                  <pic:spPr bwMode="auto">
                    <a:xfrm>
                      <a:off x="0" y="0"/>
                      <a:ext cx="6702552" cy="1783497"/>
                    </a:xfrm>
                    <a:prstGeom prst="rect">
                      <a:avLst/>
                    </a:prstGeom>
                    <a:noFill/>
                    <a:ln w="9525">
                      <a:noFill/>
                      <a:miter lim="800000"/>
                      <a:headEnd/>
                      <a:tailEnd/>
                    </a:ln>
                  </pic:spPr>
                </pic:pic>
              </a:graphicData>
            </a:graphic>
          </wp:inline>
        </w:drawing>
      </w:r>
      <w:r w:rsidRPr="00414DFD" w:rsidDel="00605141">
        <w:t xml:space="preserve"> </w:t>
      </w:r>
      <w:r w:rsidRPr="00414DFD">
        <w:t>Source: Bloomberg, Datastream, Factset, J.P. Morgan</w:t>
      </w:r>
      <w:r w:rsidRPr="00414DFD">
        <w:br/>
      </w:r>
      <w:r w:rsidRPr="0087013D">
        <w:t>Prices as of 24 June 2014</w:t>
      </w:r>
    </w:p>
    <w:p w:rsidR="00BC1D60" w:rsidRPr="004F1ABB" w:rsidRDefault="00BC1D60" w:rsidP="00BC1D60">
      <w:pPr>
        <w:spacing w:line="264" w:lineRule="atLeast"/>
        <w:ind w:left="-3125"/>
        <w:rPr>
          <w:rFonts w:ascii="Arial Narrow" w:hAnsi="Arial Narrow" w:cs="Arial"/>
          <w:sz w:val="16"/>
          <w:szCs w:val="16"/>
          <w:highlight w:val="yellow"/>
        </w:rPr>
      </w:pPr>
    </w:p>
    <w:p w:rsidR="00BC1D60" w:rsidRPr="004F1ABB" w:rsidRDefault="00BC1D60" w:rsidP="00BC1D60">
      <w:pPr>
        <w:pStyle w:val="Sidecomments"/>
        <w:framePr w:w="0" w:hRule="auto" w:wrap="around"/>
        <w:rPr>
          <w:highlight w:val="yellow"/>
        </w:rPr>
      </w:pPr>
      <w:r>
        <w:rPr>
          <w:noProof/>
        </w:rPr>
        <w:lastRenderedPageBreak/>
        <w:drawing>
          <wp:inline distT="0" distB="0" distL="0" distR="0">
            <wp:extent cx="1737360" cy="6427228"/>
            <wp:effectExtent l="19050" t="0" r="0" b="0"/>
            <wp:docPr id="8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srcRect/>
                    <a:stretch>
                      <a:fillRect/>
                    </a:stretch>
                  </pic:blipFill>
                  <pic:spPr bwMode="auto">
                    <a:xfrm>
                      <a:off x="0" y="0"/>
                      <a:ext cx="1737360" cy="6427228"/>
                    </a:xfrm>
                    <a:prstGeom prst="rect">
                      <a:avLst/>
                    </a:prstGeom>
                    <a:noFill/>
                    <a:ln w="9525">
                      <a:noFill/>
                      <a:miter lim="800000"/>
                      <a:headEnd/>
                      <a:tailEnd/>
                    </a:ln>
                  </pic:spPr>
                </pic:pic>
              </a:graphicData>
            </a:graphic>
          </wp:inline>
        </w:drawing>
      </w:r>
    </w:p>
    <w:p w:rsidR="00BC1D60" w:rsidRPr="000B7466" w:rsidRDefault="00BC1D60" w:rsidP="00BC1D60">
      <w:pPr>
        <w:pStyle w:val="Heading1"/>
        <w:spacing w:before="0" w:after="120"/>
        <w:rPr>
          <w:lang w:val="en-GB"/>
        </w:rPr>
      </w:pPr>
      <w:bookmarkStart w:id="255" w:name="_Toc392099086"/>
      <w:bookmarkStart w:id="256" w:name="_Toc392081819"/>
      <w:bookmarkStart w:id="257" w:name="_Toc392081882"/>
      <w:r w:rsidRPr="000B7466">
        <w:rPr>
          <w:lang w:val="en-GB"/>
        </w:rPr>
        <w:t>Makalot (1477 TT / Not Covered / NT$16</w:t>
      </w:r>
      <w:r>
        <w:rPr>
          <w:lang w:val="en-GB"/>
        </w:rPr>
        <w:t>0.5</w:t>
      </w:r>
      <w:r w:rsidRPr="000B7466">
        <w:rPr>
          <w:lang w:val="en-GB"/>
        </w:rPr>
        <w:t>)</w:t>
      </w:r>
      <w:bookmarkEnd w:id="255"/>
      <w:bookmarkEnd w:id="256"/>
      <w:bookmarkEnd w:id="257"/>
    </w:p>
    <w:p w:rsidR="00BC1D60" w:rsidRPr="00770327" w:rsidRDefault="00BC1D60" w:rsidP="00BC1D60">
      <w:pPr>
        <w:pStyle w:val="Heading3"/>
      </w:pPr>
      <w:r w:rsidRPr="000B7466">
        <w:t>Inve</w:t>
      </w:r>
      <w:r w:rsidRPr="00770327">
        <w:t>stment Highlights:</w:t>
      </w:r>
    </w:p>
    <w:p w:rsidR="00BC1D60" w:rsidRPr="00770327" w:rsidRDefault="00BC1D60" w:rsidP="00BC1D60">
      <w:pPr>
        <w:pStyle w:val="Bullet"/>
        <w:rPr>
          <w:b/>
          <w:lang w:val="en-GB" w:eastAsia="ja-JP"/>
        </w:rPr>
      </w:pPr>
      <w:r w:rsidRPr="00770327">
        <w:rPr>
          <w:b/>
          <w:lang w:val="en-GB" w:eastAsia="ja-JP"/>
        </w:rPr>
        <w:t xml:space="preserve">Proxy of US economic recovery &amp; Trans Pacific Partnership agreement (TPP). </w:t>
      </w:r>
      <w:r w:rsidRPr="00770327">
        <w:rPr>
          <w:lang w:val="en-GB" w:eastAsia="ja-JP"/>
        </w:rPr>
        <w:t xml:space="preserve">With 85% revenue exposure in the US, the company is a proxy of the US recovery — over 90% of production capacity in ASEAN and 26% in Vietnam. The Vietnam textile industry predicts that Vietnamese garment exports to the US will grow at a CAGR of 14% to 2020, with Makalot’s mgmt forecasting a doubling of shipments from Vietnam from ‘14-’17. </w:t>
      </w:r>
      <w:r w:rsidRPr="00770327">
        <w:rPr>
          <w:b/>
          <w:lang w:val="en-GB" w:eastAsia="ja-JP"/>
        </w:rPr>
        <w:t xml:space="preserve"> </w:t>
      </w:r>
    </w:p>
    <w:p w:rsidR="00BC1D60" w:rsidRPr="00770327" w:rsidRDefault="00BC1D60" w:rsidP="00BC1D60">
      <w:pPr>
        <w:pStyle w:val="Bullet"/>
        <w:rPr>
          <w:b/>
          <w:lang w:val="en-GB" w:eastAsia="ja-JP"/>
        </w:rPr>
      </w:pPr>
      <w:r w:rsidRPr="00770327">
        <w:rPr>
          <w:b/>
          <w:lang w:val="en-GB" w:eastAsia="ja-JP"/>
        </w:rPr>
        <w:t xml:space="preserve">Adding new customers on top of growth from existing customer base. </w:t>
      </w:r>
      <w:r w:rsidRPr="00770327">
        <w:rPr>
          <w:lang w:val="en-GB" w:eastAsia="ja-JP"/>
        </w:rPr>
        <w:t xml:space="preserve">Besides strong order placement (+20% Y/Y) from existing US customers, Makalot has started shipping garments to Fast Retailing, H&amp;M, Ralph Lauren and UnderArmour. The company expects revenue momentum to accelerate from 2H13, driven by ~c.20% Y/Y in shipments and ASP hike. </w:t>
      </w:r>
    </w:p>
    <w:p w:rsidR="00BC1D60" w:rsidRPr="00770327" w:rsidRDefault="00BC1D60" w:rsidP="00BC1D60">
      <w:pPr>
        <w:pStyle w:val="Bullet"/>
        <w:rPr>
          <w:b/>
          <w:lang w:val="en-GB" w:eastAsia="ja-JP"/>
        </w:rPr>
      </w:pPr>
      <w:r w:rsidRPr="00770327">
        <w:rPr>
          <w:b/>
          <w:lang w:val="en-GB" w:eastAsia="ja-JP"/>
        </w:rPr>
        <w:t xml:space="preserve">Margin expansion targeted by mgmt in 2014. </w:t>
      </w:r>
      <w:r w:rsidRPr="00770327">
        <w:rPr>
          <w:lang w:val="en-GB" w:eastAsia="ja-JP"/>
        </w:rPr>
        <w:t>Makalot is attempting to raise profitability and aims to expand gross margin by 1 percentage point per annum from 2013, through better operating efficiency and growing economies of scale.</w:t>
      </w:r>
    </w:p>
    <w:p w:rsidR="00BC1D60" w:rsidRPr="00770327" w:rsidRDefault="00BC1D60" w:rsidP="00BC1D60">
      <w:pPr>
        <w:pStyle w:val="Bullet"/>
        <w:rPr>
          <w:b/>
          <w:lang w:val="en-GB" w:eastAsia="ja-JP"/>
        </w:rPr>
      </w:pPr>
      <w:r w:rsidRPr="00770327">
        <w:rPr>
          <w:b/>
          <w:lang w:val="en-GB" w:eastAsia="ja-JP"/>
        </w:rPr>
        <w:t>Valuations:</w:t>
      </w:r>
      <w:r w:rsidRPr="00770327">
        <w:rPr>
          <w:lang w:val="en-GB" w:eastAsia="ja-JP"/>
        </w:rPr>
        <w:t xml:space="preserve"> </w:t>
      </w:r>
      <w:r w:rsidRPr="00770327">
        <w:rPr>
          <w:rFonts w:eastAsiaTheme="minorEastAsia"/>
          <w:lang w:eastAsia="ko-KR"/>
        </w:rPr>
        <w:t>JPM does not cover this stock and thus we have no recommendation or price target on the company.  According to IBES ests</w:t>
      </w:r>
      <w:r w:rsidRPr="00770327">
        <w:rPr>
          <w:lang w:val="en-GB" w:eastAsia="ja-JP"/>
        </w:rPr>
        <w:t xml:space="preserve"> the stock trades on a P/E of 15.8x/13.6x for '14/’15 respectively, with a 4.9% FCF Yld in '14 rising to 6.8% in '15.</w:t>
      </w:r>
    </w:p>
    <w:p w:rsidR="00BC1D60" w:rsidRPr="000B7466" w:rsidRDefault="00BC1D60" w:rsidP="00BC1D60">
      <w:pPr>
        <w:pStyle w:val="Heading3"/>
        <w:spacing w:after="240"/>
        <w:rPr>
          <w:b w:val="0"/>
        </w:rPr>
      </w:pPr>
      <w:r w:rsidRPr="000B7466">
        <w:t xml:space="preserve">Makalot in a Nutshell:  </w:t>
      </w:r>
      <w:r w:rsidRPr="000B7466">
        <w:rPr>
          <w:b w:val="0"/>
        </w:rPr>
        <w:t xml:space="preserve">Makalot is one of the major apparel ODM/OEM companies in Asia and supplies mass market garments to Kohl's, Target, Carter's, H&amp;M, Fast Retailing, and Zara. Around 85% of its products are sold in the US and 93% of its production facilities are located in South East Asia. </w:t>
      </w:r>
    </w:p>
    <w:p w:rsidR="00BC1D60" w:rsidRPr="000B7466" w:rsidRDefault="00BC1D60" w:rsidP="00BC1D60">
      <w:pPr>
        <w:pStyle w:val="Heading3"/>
      </w:pPr>
      <w:r w:rsidRPr="000B7466">
        <w:t>Price Perf vs MSCI All Country World Small Cap (rebased as of 1-year ago)</w:t>
      </w:r>
    </w:p>
    <w:p w:rsidR="00BC1D60" w:rsidRPr="000B7466" w:rsidRDefault="00BC1D60" w:rsidP="00BC1D60">
      <w:pPr>
        <w:pStyle w:val="Body"/>
        <w:spacing w:after="0"/>
        <w:rPr>
          <w:noProof/>
          <w:lang w:val="en-GB" w:eastAsia="en-GB"/>
        </w:rPr>
      </w:pPr>
      <w:r>
        <w:rPr>
          <w:noProof/>
        </w:rPr>
        <w:drawing>
          <wp:inline distT="0" distB="0" distL="0" distR="0">
            <wp:extent cx="4352925" cy="1590675"/>
            <wp:effectExtent l="19050" t="0" r="9525" b="0"/>
            <wp:docPr id="8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a:srcRect t="4571"/>
                    <a:stretch>
                      <a:fillRect/>
                    </a:stretch>
                  </pic:blipFill>
                  <pic:spPr bwMode="auto">
                    <a:xfrm>
                      <a:off x="0" y="0"/>
                      <a:ext cx="4352925" cy="1590675"/>
                    </a:xfrm>
                    <a:prstGeom prst="rect">
                      <a:avLst/>
                    </a:prstGeom>
                    <a:noFill/>
                    <a:ln w="9525">
                      <a:noFill/>
                      <a:miter lim="800000"/>
                      <a:headEnd/>
                      <a:tailEnd/>
                    </a:ln>
                  </pic:spPr>
                </pic:pic>
              </a:graphicData>
            </a:graphic>
          </wp:inline>
        </w:drawing>
      </w:r>
    </w:p>
    <w:p w:rsidR="00BC1D60" w:rsidRPr="000B7466" w:rsidRDefault="00BC1D60" w:rsidP="00BC1D60">
      <w:pPr>
        <w:pStyle w:val="ESTableCaption"/>
        <w:keepNext/>
      </w:pPr>
      <w:r w:rsidRPr="000B7466">
        <w:t>BBG Consensus Estimates</w:t>
      </w:r>
    </w:p>
    <w:p w:rsidR="00BC1D60" w:rsidRPr="000B7466" w:rsidRDefault="00BC1D60" w:rsidP="00BC1D60">
      <w:pPr>
        <w:pStyle w:val="ESTableCaption"/>
        <w:keepNext/>
      </w:pPr>
      <w:r>
        <w:drawing>
          <wp:inline distT="0" distB="0" distL="0" distR="0">
            <wp:extent cx="4352290" cy="1127059"/>
            <wp:effectExtent l="19050" t="0" r="0" b="0"/>
            <wp:docPr id="8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srcRect/>
                    <a:stretch>
                      <a:fillRect/>
                    </a:stretch>
                  </pic:blipFill>
                  <pic:spPr bwMode="auto">
                    <a:xfrm>
                      <a:off x="0" y="0"/>
                      <a:ext cx="4352290" cy="1127059"/>
                    </a:xfrm>
                    <a:prstGeom prst="rect">
                      <a:avLst/>
                    </a:prstGeom>
                    <a:noFill/>
                    <a:ln w="9525">
                      <a:noFill/>
                      <a:miter lim="800000"/>
                      <a:headEnd/>
                      <a:tailEnd/>
                    </a:ln>
                  </pic:spPr>
                </pic:pic>
              </a:graphicData>
            </a:graphic>
          </wp:inline>
        </w:drawing>
      </w:r>
    </w:p>
    <w:p w:rsidR="00BC1D60" w:rsidRPr="000B7466" w:rsidRDefault="00BC1D60" w:rsidP="00BC1D60">
      <w:pPr>
        <w:pStyle w:val="Source"/>
        <w:rPr>
          <w:color w:val="FFFFFF" w:themeColor="background1"/>
        </w:rPr>
      </w:pPr>
      <w:r w:rsidRPr="000B7466">
        <w:t>Source: Company data, Bloomberg.</w:t>
      </w: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6E0904" w:rsidRDefault="00BC1D60" w:rsidP="00BC1D60">
      <w:pPr>
        <w:pStyle w:val="Body"/>
        <w:rPr>
          <w:color w:val="FFFFFF" w:themeColor="background1"/>
        </w:rPr>
      </w:pPr>
    </w:p>
    <w:p w:rsidR="00BC1D60" w:rsidRPr="006E0904" w:rsidRDefault="00BC1D60" w:rsidP="00BC1D60">
      <w:pPr>
        <w:pStyle w:val="Body"/>
        <w:rPr>
          <w:color w:val="FFFFFF" w:themeColor="background1"/>
        </w:rPr>
      </w:pPr>
    </w:p>
    <w:p w:rsidR="00BC1D60" w:rsidRPr="00414DFD" w:rsidRDefault="00BC1D60" w:rsidP="00BC1D60">
      <w:pPr>
        <w:spacing w:line="240" w:lineRule="atLeast"/>
        <w:ind w:left="357" w:hanging="357"/>
      </w:pPr>
      <w:r w:rsidRPr="007A4ECF">
        <w:rPr>
          <w:i/>
        </w:rPr>
        <w:t>This page is intentionally left blank</w:t>
      </w:r>
    </w:p>
    <w:p w:rsidR="00BC1D60" w:rsidRPr="00414DFD" w:rsidRDefault="00BC1D60" w:rsidP="00BC1D60">
      <w:pPr>
        <w:pStyle w:val="Body"/>
      </w:pPr>
    </w:p>
    <w:p w:rsidR="00BC1D60" w:rsidRPr="00414DFD" w:rsidRDefault="00BC1D60" w:rsidP="00BC1D60">
      <w:pPr>
        <w:spacing w:line="264" w:lineRule="atLeast"/>
        <w:ind w:left="-3125"/>
        <w:rPr>
          <w:rFonts w:ascii="Arial Narrow" w:hAnsi="Arial Narrow" w:cs="Arial"/>
          <w:b/>
          <w:sz w:val="16"/>
          <w:szCs w:val="16"/>
        </w:rPr>
      </w:pPr>
    </w:p>
    <w:p w:rsidR="00BC1D60" w:rsidRPr="00414DFD" w:rsidRDefault="00BC1D60" w:rsidP="00BC1D60">
      <w:pPr>
        <w:pStyle w:val="Source"/>
        <w:spacing w:before="0"/>
        <w:ind w:left="-3124" w:hanging="137"/>
      </w:pPr>
    </w:p>
    <w:p w:rsidR="00BC1D60" w:rsidRPr="004F1ABB" w:rsidRDefault="00BC1D60" w:rsidP="00BC1D60">
      <w:pPr>
        <w:pStyle w:val="Body"/>
        <w:rPr>
          <w:highlight w:val="yellow"/>
        </w:rPr>
      </w:pPr>
    </w:p>
    <w:p w:rsidR="00BC1D60" w:rsidRPr="004F1ABB" w:rsidRDefault="00BC1D60" w:rsidP="00BC1D60">
      <w:pPr>
        <w:pStyle w:val="Body"/>
        <w:rPr>
          <w:highlight w:val="yellow"/>
        </w:rPr>
      </w:pPr>
    </w:p>
    <w:p w:rsidR="00BC1D60" w:rsidRPr="004F1ABB" w:rsidRDefault="00BC1D60" w:rsidP="00BC1D60">
      <w:pPr>
        <w:pStyle w:val="Body"/>
        <w:rPr>
          <w:highlight w:val="yellow"/>
        </w:rPr>
      </w:pPr>
    </w:p>
    <w:p w:rsidR="00BC1D60" w:rsidRPr="004F1ABB" w:rsidRDefault="00BC1D60" w:rsidP="00BC1D60">
      <w:pPr>
        <w:spacing w:line="264" w:lineRule="atLeast"/>
        <w:ind w:left="-3125"/>
        <w:rPr>
          <w:rFonts w:ascii="Arial Narrow" w:hAnsi="Arial Narrow" w:cs="Arial"/>
          <w:sz w:val="16"/>
          <w:szCs w:val="16"/>
          <w:highlight w:val="yellow"/>
        </w:rPr>
      </w:pPr>
    </w:p>
    <w:p w:rsidR="00BC1D60" w:rsidRPr="004F1ABB" w:rsidRDefault="00BC1D60" w:rsidP="00BC1D60">
      <w:pPr>
        <w:pStyle w:val="Sidecomments"/>
        <w:framePr w:w="0" w:hRule="auto" w:wrap="around"/>
        <w:rPr>
          <w:highlight w:val="yellow"/>
        </w:rPr>
      </w:pPr>
      <w:r w:rsidRPr="007F1A96">
        <w:rPr>
          <w:noProof/>
        </w:rPr>
        <w:lastRenderedPageBreak/>
        <w:drawing>
          <wp:inline distT="0" distB="0" distL="0" distR="0">
            <wp:extent cx="1737360" cy="7712673"/>
            <wp:effectExtent l="19050" t="0" r="0" b="0"/>
            <wp:docPr id="278"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9"/>
                    <a:srcRect/>
                    <a:stretch>
                      <a:fillRect/>
                    </a:stretch>
                  </pic:blipFill>
                  <pic:spPr bwMode="auto">
                    <a:xfrm>
                      <a:off x="0" y="0"/>
                      <a:ext cx="1737360" cy="7712673"/>
                    </a:xfrm>
                    <a:prstGeom prst="rect">
                      <a:avLst/>
                    </a:prstGeom>
                    <a:noFill/>
                    <a:ln w="9525">
                      <a:noFill/>
                      <a:miter lim="800000"/>
                      <a:headEnd/>
                      <a:tailEnd/>
                    </a:ln>
                  </pic:spPr>
                </pic:pic>
              </a:graphicData>
            </a:graphic>
          </wp:inline>
        </w:drawing>
      </w:r>
    </w:p>
    <w:p w:rsidR="00BC1D60" w:rsidRPr="007F1A96" w:rsidRDefault="00BC1D60" w:rsidP="00BC1D60">
      <w:pPr>
        <w:pStyle w:val="Heading1"/>
        <w:spacing w:before="0" w:after="0"/>
        <w:rPr>
          <w:lang w:val="es-ES_tradnl"/>
        </w:rPr>
      </w:pPr>
      <w:bookmarkStart w:id="258" w:name="_Ref352248471"/>
      <w:bookmarkStart w:id="259" w:name="_Toc352262697"/>
      <w:bookmarkStart w:id="260" w:name="_Toc352262871"/>
      <w:bookmarkStart w:id="261" w:name="_Toc360569910"/>
      <w:bookmarkStart w:id="262" w:name="_Toc368081366"/>
      <w:bookmarkStart w:id="263" w:name="_Toc376802087"/>
      <w:bookmarkStart w:id="264" w:name="_Toc384136005"/>
      <w:bookmarkStart w:id="265" w:name="_Toc392099087"/>
      <w:bookmarkStart w:id="266" w:name="_Toc392081820"/>
      <w:bookmarkStart w:id="267" w:name="_Toc392081883"/>
      <w:r w:rsidRPr="007F1A96">
        <w:rPr>
          <w:lang w:val="es-ES_tradnl"/>
        </w:rPr>
        <w:t>Media Prima (MPR MK/N/ M$2.61)</w:t>
      </w:r>
      <w:bookmarkEnd w:id="258"/>
      <w:bookmarkEnd w:id="259"/>
      <w:bookmarkEnd w:id="260"/>
      <w:bookmarkEnd w:id="261"/>
      <w:bookmarkEnd w:id="262"/>
      <w:bookmarkEnd w:id="263"/>
      <w:bookmarkEnd w:id="264"/>
      <w:bookmarkEnd w:id="265"/>
      <w:bookmarkEnd w:id="266"/>
      <w:bookmarkEnd w:id="267"/>
    </w:p>
    <w:p w:rsidR="00BC1D60" w:rsidRPr="008B2D81" w:rsidRDefault="00BC1D60" w:rsidP="00BC1D60">
      <w:pPr>
        <w:pStyle w:val="Heading2"/>
        <w:spacing w:after="20"/>
        <w:rPr>
          <w:i/>
        </w:rPr>
      </w:pPr>
      <w:r w:rsidRPr="008B2D81">
        <w:rPr>
          <w:i/>
          <w:lang w:val="en-GB"/>
        </w:rPr>
        <w:t>Dominant market position with attractive yield</w:t>
      </w:r>
    </w:p>
    <w:p w:rsidR="00BC1D60" w:rsidRPr="008B2D81" w:rsidRDefault="00BC1D60" w:rsidP="00BC1D60">
      <w:pPr>
        <w:pStyle w:val="Heading3"/>
        <w:spacing w:after="0" w:line="220" w:lineRule="exact"/>
      </w:pPr>
      <w:r w:rsidRPr="008B2D81">
        <w:t>Investment Highlights:</w:t>
      </w:r>
    </w:p>
    <w:p w:rsidR="00BC1D60" w:rsidRPr="003874C4" w:rsidRDefault="00BC1D60" w:rsidP="00BC1D60">
      <w:pPr>
        <w:pStyle w:val="Bullet"/>
        <w:spacing w:after="40" w:line="220" w:lineRule="exact"/>
        <w:rPr>
          <w:b/>
          <w:lang w:val="en-GB" w:eastAsia="ja-JP"/>
        </w:rPr>
      </w:pPr>
      <w:r w:rsidRPr="008B2D81">
        <w:rPr>
          <w:b/>
          <w:lang w:val="en-GB" w:eastAsia="ja-JP"/>
        </w:rPr>
        <w:t xml:space="preserve">Dominant media company across five platforms: </w:t>
      </w:r>
      <w:r w:rsidRPr="008B2D81">
        <w:rPr>
          <w:lang w:val="en-GB" w:eastAsia="ja-JP"/>
        </w:rPr>
        <w:t>Media Prima’s dominant mkt position across television,</w:t>
      </w:r>
      <w:r w:rsidRPr="003874C4">
        <w:rPr>
          <w:lang w:val="en-GB" w:eastAsia="ja-JP"/>
        </w:rPr>
        <w:t xml:space="preserve"> print, radio, outdoor and online media in our view makes it an attractive </w:t>
      </w:r>
      <w:r>
        <w:rPr>
          <w:lang w:val="en-GB" w:eastAsia="ja-JP"/>
        </w:rPr>
        <w:t xml:space="preserve">longer term </w:t>
      </w:r>
      <w:r w:rsidRPr="003874C4">
        <w:rPr>
          <w:lang w:val="en-GB" w:eastAsia="ja-JP"/>
        </w:rPr>
        <w:t xml:space="preserve">proxy </w:t>
      </w:r>
      <w:r>
        <w:rPr>
          <w:lang w:val="en-GB" w:eastAsia="ja-JP"/>
        </w:rPr>
        <w:t>to the rising middle class population,</w:t>
      </w:r>
      <w:r w:rsidRPr="003874C4">
        <w:rPr>
          <w:lang w:val="en-GB" w:eastAsia="ja-JP"/>
        </w:rPr>
        <w:t xml:space="preserve"> with Malaysian advertising expenditure having risen ever</w:t>
      </w:r>
      <w:r>
        <w:rPr>
          <w:lang w:val="en-GB" w:eastAsia="ja-JP"/>
        </w:rPr>
        <w:t>y</w:t>
      </w:r>
      <w:r w:rsidRPr="003874C4">
        <w:rPr>
          <w:lang w:val="en-GB" w:eastAsia="ja-JP"/>
        </w:rPr>
        <w:t xml:space="preserve"> y</w:t>
      </w:r>
      <w:r>
        <w:rPr>
          <w:lang w:val="en-GB" w:eastAsia="ja-JP"/>
        </w:rPr>
        <w:t>ea</w:t>
      </w:r>
      <w:r w:rsidRPr="003874C4">
        <w:rPr>
          <w:lang w:val="en-GB" w:eastAsia="ja-JP"/>
        </w:rPr>
        <w:t>r since 1998</w:t>
      </w:r>
      <w:r>
        <w:rPr>
          <w:lang w:val="en-GB" w:eastAsia="ja-JP"/>
        </w:rPr>
        <w:t>.</w:t>
      </w:r>
    </w:p>
    <w:p w:rsidR="00BC1D60" w:rsidRPr="00982EF1" w:rsidRDefault="00BC1D60" w:rsidP="00BC1D60">
      <w:pPr>
        <w:pStyle w:val="Bullet"/>
        <w:spacing w:after="40" w:line="220" w:lineRule="exact"/>
        <w:rPr>
          <w:lang w:val="en-GB" w:eastAsia="ja-JP"/>
        </w:rPr>
      </w:pPr>
      <w:r>
        <w:rPr>
          <w:b/>
          <w:lang w:val="en-GB" w:eastAsia="ja-JP"/>
        </w:rPr>
        <w:t xml:space="preserve">Encouraging adex </w:t>
      </w:r>
      <w:r w:rsidRPr="00DD197E">
        <w:rPr>
          <w:b/>
          <w:lang w:val="en-GB" w:eastAsia="ja-JP"/>
        </w:rPr>
        <w:t>trends:</w:t>
      </w:r>
      <w:r w:rsidRPr="00DD197E">
        <w:rPr>
          <w:lang w:val="en-GB" w:eastAsia="ja-JP"/>
        </w:rPr>
        <w:t xml:space="preserve"> Media Prima recorded Jan-</w:t>
      </w:r>
      <w:r>
        <w:rPr>
          <w:lang w:val="en-GB" w:eastAsia="ja-JP"/>
        </w:rPr>
        <w:t>May-14 free TV adex growth of 5</w:t>
      </w:r>
      <w:r w:rsidRPr="00DD197E">
        <w:rPr>
          <w:lang w:val="en-GB" w:eastAsia="ja-JP"/>
        </w:rPr>
        <w:t>%Y/Y and total adex for the print industry rose 9%Y/Y. However, with the prospects for more subsidy cuts</w:t>
      </w:r>
      <w:r>
        <w:rPr>
          <w:lang w:val="en-GB" w:eastAsia="ja-JP"/>
        </w:rPr>
        <w:t xml:space="preserve"> and rising cost in Malaysia</w:t>
      </w:r>
      <w:r w:rsidRPr="00DD197E">
        <w:rPr>
          <w:lang w:val="en-GB" w:eastAsia="ja-JP"/>
        </w:rPr>
        <w:t>, we maintain our more cautious FY14E adex growth of 5%Y/Y for MPR, implying</w:t>
      </w:r>
      <w:r>
        <w:rPr>
          <w:lang w:val="en-GB" w:eastAsia="ja-JP"/>
        </w:rPr>
        <w:t xml:space="preserve"> a 0.9x GDP growth versus 1.2x-1.8x historically. Expect near-term FY14E earnings to also be flattish on higher newsprint and content costs from a weaker ringgit.</w:t>
      </w:r>
    </w:p>
    <w:p w:rsidR="00BC1D60" w:rsidRPr="006E0904" w:rsidRDefault="00BC1D60" w:rsidP="00BC1D60">
      <w:pPr>
        <w:pStyle w:val="Bullet"/>
        <w:spacing w:after="40" w:line="220" w:lineRule="exact"/>
        <w:rPr>
          <w:lang w:val="en-GB" w:eastAsia="ja-JP"/>
        </w:rPr>
      </w:pPr>
      <w:r>
        <w:rPr>
          <w:b/>
          <w:lang w:val="en-GB" w:eastAsia="ja-JP"/>
        </w:rPr>
        <w:t>Higher dividend payout guidance of 60%-80% should provide support,</w:t>
      </w:r>
      <w:r>
        <w:rPr>
          <w:lang w:val="en-GB" w:eastAsia="ja-JP"/>
        </w:rPr>
        <w:t xml:space="preserve"> </w:t>
      </w:r>
      <w:r w:rsidRPr="006E0904">
        <w:rPr>
          <w:lang w:val="en-GB" w:eastAsia="ja-JP"/>
        </w:rPr>
        <w:t xml:space="preserve">translating </w:t>
      </w:r>
      <w:r w:rsidRPr="007A4ECF">
        <w:rPr>
          <w:lang w:val="en-GB" w:eastAsia="ja-JP"/>
        </w:rPr>
        <w:t>to 5.0%-6.6% div</w:t>
      </w:r>
      <w:r w:rsidRPr="006E0904">
        <w:rPr>
          <w:lang w:val="en-GB" w:eastAsia="ja-JP"/>
        </w:rPr>
        <w:t xml:space="preserve">. yield for FY14E vs our base case assumption of </w:t>
      </w:r>
      <w:r w:rsidRPr="007A4ECF">
        <w:rPr>
          <w:lang w:val="en-GB" w:eastAsia="ja-JP"/>
        </w:rPr>
        <w:t>5.7%</w:t>
      </w:r>
      <w:r w:rsidRPr="006E0904">
        <w:rPr>
          <w:lang w:val="en-GB" w:eastAsia="ja-JP"/>
        </w:rPr>
        <w:t xml:space="preserve"> at current levels. The company is in a net cash position, with an</w:t>
      </w:r>
      <w:r>
        <w:rPr>
          <w:lang w:val="en-GB" w:eastAsia="ja-JP"/>
        </w:rPr>
        <w:t xml:space="preserve"> FCF yield of 11%-12%, and is currently trading on a FY14E JPME P/E of 13.4x vs</w:t>
      </w:r>
      <w:r w:rsidRPr="006E0904">
        <w:rPr>
          <w:lang w:val="en-GB" w:eastAsia="ja-JP"/>
        </w:rPr>
        <w:t xml:space="preserve"> historical mean of 14.4</w:t>
      </w:r>
      <w:r>
        <w:rPr>
          <w:lang w:val="en-GB" w:eastAsia="ja-JP"/>
        </w:rPr>
        <w:t>x, and versus 23.4x for Asian regional peers.</w:t>
      </w:r>
    </w:p>
    <w:p w:rsidR="00BC1D60" w:rsidRPr="007F1A96" w:rsidRDefault="00BC1D60" w:rsidP="00BC1D60">
      <w:pPr>
        <w:pStyle w:val="Bullet"/>
        <w:spacing w:after="60" w:line="220" w:lineRule="exact"/>
      </w:pPr>
      <w:r>
        <w:rPr>
          <w:b/>
        </w:rPr>
        <w:t>Valuation / Risks to our View</w:t>
      </w:r>
      <w:r w:rsidRPr="00DD197E">
        <w:rPr>
          <w:b/>
        </w:rPr>
        <w:t xml:space="preserve">: </w:t>
      </w:r>
      <w:r w:rsidRPr="00DD197E">
        <w:rPr>
          <w:lang w:val="en-GB" w:eastAsia="ja-JP"/>
        </w:rPr>
        <w:t xml:space="preserve">Our Dec-14 price target of M$2.80 is based on a 20% discount to our SoTP of: 1) DCF value of media business; and 2) cash balance and cash proceeds from warrant conversion. Our PT implies </w:t>
      </w:r>
      <w:r>
        <w:rPr>
          <w:lang w:val="en-GB" w:eastAsia="ja-JP"/>
        </w:rPr>
        <w:t xml:space="preserve">a </w:t>
      </w:r>
      <w:r w:rsidRPr="00DD197E">
        <w:rPr>
          <w:lang w:val="en-GB" w:eastAsia="ja-JP"/>
        </w:rPr>
        <w:t xml:space="preserve">FY14E P/E of </w:t>
      </w:r>
      <w:r>
        <w:rPr>
          <w:lang w:val="en-GB" w:eastAsia="ja-JP"/>
        </w:rPr>
        <w:t xml:space="preserve">14.7x, or close to its </w:t>
      </w:r>
      <w:r w:rsidRPr="00DD197E">
        <w:rPr>
          <w:lang w:val="en-GB" w:eastAsia="ja-JP"/>
        </w:rPr>
        <w:t>5yr mean of 14.4x. Key risks include: 1) Sharp downturn in the economy as adex spend is highly leveraged to GDP; 2) Stronger than expected competition from the pay-TV segment and new players; 3) Slower than expected consumption and hence adex growth from gradual su</w:t>
      </w:r>
      <w:r>
        <w:rPr>
          <w:lang w:val="en-GB" w:eastAsia="ja-JP"/>
        </w:rPr>
        <w:t xml:space="preserve">bsidy </w:t>
      </w:r>
      <w:r w:rsidRPr="007F1A96">
        <w:rPr>
          <w:lang w:val="en-GB" w:eastAsia="ja-JP"/>
        </w:rPr>
        <w:t xml:space="preserve">removals and rising costs in Malaysia. </w:t>
      </w:r>
    </w:p>
    <w:p w:rsidR="00BC1D60" w:rsidRPr="007F1A96" w:rsidRDefault="00BC1D60" w:rsidP="00BC1D60">
      <w:pPr>
        <w:pStyle w:val="Heading3"/>
        <w:spacing w:after="120" w:line="220" w:lineRule="exact"/>
        <w:rPr>
          <w:b w:val="0"/>
        </w:rPr>
      </w:pPr>
      <w:r w:rsidRPr="007F1A96">
        <w:t xml:space="preserve">Media Prima in a Nutshell: </w:t>
      </w:r>
      <w:r w:rsidRPr="007F1A96">
        <w:rPr>
          <w:b w:val="0"/>
          <w:lang w:val="en-GB"/>
        </w:rPr>
        <w:t xml:space="preserve">Media Prima is the sole integrated media investment group in Malaysia, with a reach across television, print, radio, outdoor, as well as online media. Media Prima is also involved with content creation, event and talent management. Media Prima has a dominant market leadership in television and a solid foothold in the fastest growing Malay newspaper segment with its </w:t>
      </w:r>
      <w:r>
        <w:rPr>
          <w:b w:val="0"/>
          <w:lang w:val="en-GB"/>
        </w:rPr>
        <w:t>“</w:t>
      </w:r>
      <w:r w:rsidRPr="007F1A96">
        <w:rPr>
          <w:b w:val="0"/>
          <w:i/>
          <w:lang w:val="en-GB"/>
        </w:rPr>
        <w:t>Harian Metro</w:t>
      </w:r>
      <w:r>
        <w:rPr>
          <w:b w:val="0"/>
          <w:lang w:val="en-GB"/>
        </w:rPr>
        <w:t>”</w:t>
      </w:r>
      <w:r w:rsidRPr="007F1A96">
        <w:rPr>
          <w:b w:val="0"/>
          <w:lang w:val="en-GB"/>
        </w:rPr>
        <w:t>.</w:t>
      </w:r>
    </w:p>
    <w:p w:rsidR="00BC1D60" w:rsidRPr="007F1A96" w:rsidRDefault="00BC1D60" w:rsidP="00BC1D60">
      <w:pPr>
        <w:pStyle w:val="Heading3"/>
        <w:spacing w:after="0"/>
      </w:pPr>
      <w:r w:rsidRPr="007F1A96">
        <w:t>Price Perf vs MSCI All Country World Small Cap (rebased as of 1-year ago)</w:t>
      </w:r>
    </w:p>
    <w:p w:rsidR="00BC1D60" w:rsidRPr="007F1A96" w:rsidRDefault="00BC1D60" w:rsidP="00BC1D60">
      <w:pPr>
        <w:pStyle w:val="Body"/>
        <w:spacing w:after="0"/>
        <w:rPr>
          <w:noProof/>
          <w:lang w:val="en-GB" w:eastAsia="en-GB"/>
        </w:rPr>
      </w:pPr>
      <w:r w:rsidRPr="007F1A96">
        <w:rPr>
          <w:noProof/>
        </w:rPr>
        <w:drawing>
          <wp:inline distT="0" distB="0" distL="0" distR="0">
            <wp:extent cx="4352925" cy="1400175"/>
            <wp:effectExtent l="19050" t="0" r="9525" b="0"/>
            <wp:docPr id="27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0"/>
                    <a:srcRect t="7647" b="5882"/>
                    <a:stretch>
                      <a:fillRect/>
                    </a:stretch>
                  </pic:blipFill>
                  <pic:spPr bwMode="auto">
                    <a:xfrm>
                      <a:off x="0" y="0"/>
                      <a:ext cx="4352925" cy="1400175"/>
                    </a:xfrm>
                    <a:prstGeom prst="rect">
                      <a:avLst/>
                    </a:prstGeom>
                    <a:noFill/>
                    <a:ln w="9525">
                      <a:noFill/>
                      <a:miter lim="800000"/>
                      <a:headEnd/>
                      <a:tailEnd/>
                    </a:ln>
                  </pic:spPr>
                </pic:pic>
              </a:graphicData>
            </a:graphic>
          </wp:inline>
        </w:drawing>
      </w:r>
    </w:p>
    <w:p w:rsidR="00BC1D60" w:rsidRDefault="00BC1D60" w:rsidP="00BC1D60">
      <w:pPr>
        <w:pStyle w:val="ESTableCaption"/>
        <w:keepNext/>
      </w:pPr>
      <w:r w:rsidRPr="007F1A96">
        <w:t>J</w:t>
      </w:r>
      <w:r w:rsidRPr="001A725F">
        <w:t>.P. Morgan Estimates</w:t>
      </w:r>
      <w:r w:rsidRPr="007F1A96">
        <w:rPr>
          <w:highlight w:val="red"/>
        </w:rPr>
        <w:br/>
      </w:r>
      <w:r>
        <w:rPr>
          <w:sz w:val="16"/>
        </w:rPr>
        <w:t>Media Prima Berhad (Reuters: MPRM.KL, Bloomberg: MPR MK)</w:t>
      </w:r>
    </w:p>
    <w:tbl>
      <w:tblPr>
        <w:tblW w:w="5000" w:type="pct"/>
        <w:tblCellMar>
          <w:left w:w="0" w:type="dxa"/>
          <w:right w:w="43" w:type="dxa"/>
        </w:tblCellMar>
        <w:tblLook w:val="01E0"/>
      </w:tblPr>
      <w:tblGrid>
        <w:gridCol w:w="1782"/>
        <w:gridCol w:w="1023"/>
        <w:gridCol w:w="1023"/>
        <w:gridCol w:w="1023"/>
        <w:gridCol w:w="1023"/>
        <w:gridCol w:w="1023"/>
      </w:tblGrid>
      <w:tr w:rsidR="00BC1D60" w:rsidTr="00BC5B38">
        <w:trPr>
          <w:cantSplit/>
        </w:trPr>
        <w:tc>
          <w:tcPr>
            <w:tcW w:w="1768" w:type="dxa"/>
            <w:tcBorders>
              <w:top w:val="single" w:sz="4" w:space="0" w:color="auto"/>
            </w:tcBorders>
          </w:tcPr>
          <w:p w:rsidR="00BC1D60" w:rsidRDefault="00BC1D60" w:rsidP="00BC5B38">
            <w:pPr>
              <w:pStyle w:val="ESTableRow"/>
              <w:keepNext/>
            </w:pPr>
            <w:r>
              <w:rPr>
                <w:rFonts w:ascii="Arial Narrow"/>
                <w:b/>
              </w:rPr>
              <w:t>M$ in mn, year-end Dec</w:t>
            </w:r>
          </w:p>
        </w:tc>
        <w:tc>
          <w:tcPr>
            <w:tcW w:w="1016" w:type="dxa"/>
            <w:tcBorders>
              <w:top w:val="single" w:sz="4" w:space="0" w:color="auto"/>
            </w:tcBorders>
          </w:tcPr>
          <w:p w:rsidR="00BC1D60" w:rsidRDefault="00BC1D60" w:rsidP="00BC5B38">
            <w:pPr>
              <w:pStyle w:val="ESTableRow"/>
              <w:keepNext/>
              <w:jc w:val="right"/>
            </w:pPr>
            <w:r>
              <w:rPr>
                <w:rFonts w:ascii="Arial Narrow"/>
                <w:b/>
              </w:rPr>
              <w:t>FY12A</w:t>
            </w:r>
          </w:p>
        </w:tc>
        <w:tc>
          <w:tcPr>
            <w:tcW w:w="1016" w:type="dxa"/>
            <w:tcBorders>
              <w:top w:val="single" w:sz="4" w:space="0" w:color="auto"/>
            </w:tcBorders>
          </w:tcPr>
          <w:p w:rsidR="00BC1D60" w:rsidRDefault="00BC1D60" w:rsidP="00BC5B38">
            <w:pPr>
              <w:pStyle w:val="ESTableRow"/>
              <w:keepNext/>
              <w:jc w:val="right"/>
            </w:pPr>
            <w:r>
              <w:rPr>
                <w:rFonts w:ascii="Arial Narrow"/>
                <w:b/>
              </w:rPr>
              <w:t>FY13A</w:t>
            </w:r>
          </w:p>
        </w:tc>
        <w:tc>
          <w:tcPr>
            <w:tcW w:w="1016" w:type="dxa"/>
            <w:tcBorders>
              <w:top w:val="single" w:sz="4" w:space="0" w:color="auto"/>
            </w:tcBorders>
          </w:tcPr>
          <w:p w:rsidR="00BC1D60" w:rsidRDefault="00BC1D60" w:rsidP="00BC5B38">
            <w:pPr>
              <w:pStyle w:val="ESTableRow"/>
              <w:keepNext/>
              <w:jc w:val="right"/>
            </w:pPr>
            <w:r>
              <w:rPr>
                <w:rFonts w:ascii="Arial Narrow"/>
                <w:b/>
              </w:rPr>
              <w:t>FY14E</w:t>
            </w:r>
          </w:p>
        </w:tc>
        <w:tc>
          <w:tcPr>
            <w:tcW w:w="1016" w:type="dxa"/>
            <w:tcBorders>
              <w:top w:val="single" w:sz="4" w:space="0" w:color="auto"/>
            </w:tcBorders>
          </w:tcPr>
          <w:p w:rsidR="00BC1D60" w:rsidRDefault="00BC1D60" w:rsidP="00BC5B38">
            <w:pPr>
              <w:pStyle w:val="ESTableRow"/>
              <w:keepNext/>
              <w:jc w:val="right"/>
            </w:pPr>
            <w:r>
              <w:rPr>
                <w:rFonts w:ascii="Arial Narrow"/>
                <w:b/>
              </w:rPr>
              <w:t>FY15E</w:t>
            </w:r>
          </w:p>
        </w:tc>
        <w:tc>
          <w:tcPr>
            <w:tcW w:w="1016" w:type="dxa"/>
            <w:tcBorders>
              <w:top w:val="single" w:sz="4" w:space="0" w:color="auto"/>
            </w:tcBorders>
          </w:tcPr>
          <w:p w:rsidR="00BC1D60" w:rsidRDefault="00BC1D60" w:rsidP="00BC5B38">
            <w:pPr>
              <w:pStyle w:val="ESTableRow"/>
              <w:keepNext/>
              <w:jc w:val="right"/>
            </w:pPr>
            <w:r>
              <w:rPr>
                <w:rFonts w:ascii="Arial Narrow"/>
                <w:b/>
              </w:rPr>
              <w:t>FY16E</w:t>
            </w:r>
          </w:p>
        </w:tc>
      </w:tr>
      <w:tr w:rsidR="00BC1D60" w:rsidTr="00BC5B38">
        <w:trPr>
          <w:cantSplit/>
        </w:trPr>
        <w:tc>
          <w:tcPr>
            <w:tcW w:w="1768" w:type="dxa"/>
            <w:tcBorders>
              <w:top w:val="single" w:sz="4" w:space="0" w:color="auto"/>
            </w:tcBorders>
          </w:tcPr>
          <w:p w:rsidR="00BC1D60" w:rsidRDefault="00BC1D60" w:rsidP="00BC5B38">
            <w:pPr>
              <w:pStyle w:val="ESTableRow"/>
              <w:keepNext/>
            </w:pPr>
            <w:r>
              <w:rPr>
                <w:rFonts w:ascii="Arial Narrow"/>
              </w:rPr>
              <w:t>Revenue (M$ mn)</w:t>
            </w:r>
          </w:p>
        </w:tc>
        <w:tc>
          <w:tcPr>
            <w:tcW w:w="1016" w:type="dxa"/>
            <w:tcBorders>
              <w:top w:val="single" w:sz="4" w:space="0" w:color="auto"/>
            </w:tcBorders>
          </w:tcPr>
          <w:p w:rsidR="00BC1D60" w:rsidRDefault="00BC1D60" w:rsidP="00BC5B38">
            <w:pPr>
              <w:pStyle w:val="ESTableRow"/>
              <w:keepNext/>
              <w:jc w:val="right"/>
            </w:pPr>
            <w:r>
              <w:rPr>
                <w:rFonts w:ascii="Arial Narrow"/>
              </w:rPr>
              <w:t>1,698</w:t>
            </w:r>
          </w:p>
        </w:tc>
        <w:tc>
          <w:tcPr>
            <w:tcW w:w="1016" w:type="dxa"/>
            <w:tcBorders>
              <w:top w:val="single" w:sz="4" w:space="0" w:color="auto"/>
            </w:tcBorders>
          </w:tcPr>
          <w:p w:rsidR="00BC1D60" w:rsidRDefault="00BC1D60" w:rsidP="00BC5B38">
            <w:pPr>
              <w:pStyle w:val="ESTableRow"/>
              <w:keepNext/>
              <w:jc w:val="right"/>
            </w:pPr>
            <w:r>
              <w:rPr>
                <w:rFonts w:ascii="Arial Narrow"/>
              </w:rPr>
              <w:t>1,723</w:t>
            </w:r>
          </w:p>
        </w:tc>
        <w:tc>
          <w:tcPr>
            <w:tcW w:w="1016" w:type="dxa"/>
            <w:tcBorders>
              <w:top w:val="single" w:sz="4" w:space="0" w:color="auto"/>
            </w:tcBorders>
          </w:tcPr>
          <w:p w:rsidR="00BC1D60" w:rsidRDefault="00BC1D60" w:rsidP="00BC5B38">
            <w:pPr>
              <w:pStyle w:val="ESTableRow"/>
              <w:keepNext/>
              <w:jc w:val="right"/>
            </w:pPr>
            <w:r>
              <w:rPr>
                <w:rFonts w:ascii="Arial Narrow"/>
              </w:rPr>
              <w:t>1,813</w:t>
            </w:r>
          </w:p>
        </w:tc>
        <w:tc>
          <w:tcPr>
            <w:tcW w:w="1016" w:type="dxa"/>
            <w:tcBorders>
              <w:top w:val="single" w:sz="4" w:space="0" w:color="auto"/>
            </w:tcBorders>
          </w:tcPr>
          <w:p w:rsidR="00BC1D60" w:rsidRDefault="00BC1D60" w:rsidP="00BC5B38">
            <w:pPr>
              <w:pStyle w:val="ESTableRow"/>
              <w:keepNext/>
              <w:jc w:val="right"/>
            </w:pPr>
            <w:r>
              <w:rPr>
                <w:rFonts w:ascii="Arial Narrow"/>
              </w:rPr>
              <w:t>1,920</w:t>
            </w:r>
          </w:p>
        </w:tc>
        <w:tc>
          <w:tcPr>
            <w:tcW w:w="1016" w:type="dxa"/>
            <w:tcBorders>
              <w:top w:val="single" w:sz="4" w:space="0" w:color="auto"/>
            </w:tcBorders>
          </w:tcPr>
          <w:p w:rsidR="00BC1D60" w:rsidRDefault="00BC1D60" w:rsidP="00BC5B38">
            <w:pPr>
              <w:pStyle w:val="ESTableRow"/>
              <w:keepNext/>
              <w:jc w:val="right"/>
            </w:pPr>
            <w:r>
              <w:rPr>
                <w:rFonts w:ascii="Arial Narrow"/>
              </w:rPr>
              <w:t>2,051</w:t>
            </w:r>
          </w:p>
        </w:tc>
      </w:tr>
      <w:tr w:rsidR="00BC1D60" w:rsidTr="00BC5B38">
        <w:trPr>
          <w:cantSplit/>
        </w:trPr>
        <w:tc>
          <w:tcPr>
            <w:tcW w:w="1768" w:type="dxa"/>
          </w:tcPr>
          <w:p w:rsidR="00BC1D60" w:rsidRDefault="00BC1D60" w:rsidP="00BC5B38">
            <w:pPr>
              <w:pStyle w:val="ESTableRow"/>
              <w:keepNext/>
            </w:pPr>
            <w:r>
              <w:rPr>
                <w:rFonts w:ascii="Arial Narrow"/>
              </w:rPr>
              <w:t>Reported Net Profit (M$ mn)</w:t>
            </w:r>
          </w:p>
        </w:tc>
        <w:tc>
          <w:tcPr>
            <w:tcW w:w="1016" w:type="dxa"/>
          </w:tcPr>
          <w:p w:rsidR="00BC1D60" w:rsidRDefault="00BC1D60" w:rsidP="00BC5B38">
            <w:pPr>
              <w:pStyle w:val="ESTableRow"/>
              <w:keepNext/>
              <w:jc w:val="right"/>
            </w:pPr>
            <w:r>
              <w:rPr>
                <w:rFonts w:ascii="Arial Narrow"/>
              </w:rPr>
              <w:t>209</w:t>
            </w:r>
          </w:p>
        </w:tc>
        <w:tc>
          <w:tcPr>
            <w:tcW w:w="1016" w:type="dxa"/>
          </w:tcPr>
          <w:p w:rsidR="00BC1D60" w:rsidRDefault="00BC1D60" w:rsidP="00BC5B38">
            <w:pPr>
              <w:pStyle w:val="ESTableRow"/>
              <w:keepNext/>
              <w:jc w:val="right"/>
            </w:pPr>
            <w:r>
              <w:rPr>
                <w:rFonts w:ascii="Arial Narrow"/>
              </w:rPr>
              <w:t>214</w:t>
            </w:r>
          </w:p>
        </w:tc>
        <w:tc>
          <w:tcPr>
            <w:tcW w:w="1016" w:type="dxa"/>
          </w:tcPr>
          <w:p w:rsidR="00BC1D60" w:rsidRDefault="00BC1D60" w:rsidP="00BC5B38">
            <w:pPr>
              <w:pStyle w:val="ESTableRow"/>
              <w:keepNext/>
              <w:jc w:val="right"/>
            </w:pPr>
            <w:r>
              <w:rPr>
                <w:rFonts w:ascii="Arial Narrow"/>
              </w:rPr>
              <w:t>224</w:t>
            </w:r>
          </w:p>
        </w:tc>
        <w:tc>
          <w:tcPr>
            <w:tcW w:w="1016" w:type="dxa"/>
          </w:tcPr>
          <w:p w:rsidR="00BC1D60" w:rsidRDefault="00BC1D60" w:rsidP="00BC5B38">
            <w:pPr>
              <w:pStyle w:val="ESTableRow"/>
              <w:keepNext/>
              <w:jc w:val="right"/>
            </w:pPr>
            <w:r>
              <w:rPr>
                <w:rFonts w:ascii="Arial Narrow"/>
              </w:rPr>
              <w:t>250</w:t>
            </w:r>
          </w:p>
        </w:tc>
        <w:tc>
          <w:tcPr>
            <w:tcW w:w="1016" w:type="dxa"/>
          </w:tcPr>
          <w:p w:rsidR="00BC1D60" w:rsidRDefault="00BC1D60" w:rsidP="00BC5B38">
            <w:pPr>
              <w:pStyle w:val="ESTableRow"/>
              <w:keepNext/>
              <w:jc w:val="right"/>
            </w:pPr>
            <w:r>
              <w:rPr>
                <w:rFonts w:ascii="Arial Narrow"/>
              </w:rPr>
              <w:t>276</w:t>
            </w:r>
          </w:p>
        </w:tc>
      </w:tr>
      <w:tr w:rsidR="00BC1D60" w:rsidTr="00BC5B38">
        <w:trPr>
          <w:cantSplit/>
        </w:trPr>
        <w:tc>
          <w:tcPr>
            <w:tcW w:w="1768" w:type="dxa"/>
          </w:tcPr>
          <w:p w:rsidR="00BC1D60" w:rsidRPr="00BB6D9F" w:rsidRDefault="00BC1D60" w:rsidP="00BC5B38">
            <w:pPr>
              <w:pStyle w:val="ESTableRow"/>
              <w:keepNext/>
              <w:ind w:left="-3125"/>
              <w:rPr>
                <w:lang w:val="fr-FR"/>
              </w:rPr>
            </w:pPr>
            <w:r w:rsidRPr="007A4ECF">
              <w:rPr>
                <w:rFonts w:ascii="Arial Narrow"/>
                <w:lang w:val="fr-FR"/>
              </w:rPr>
              <w:t>Core Net Profit (M$ mn)</w:t>
            </w:r>
          </w:p>
        </w:tc>
        <w:tc>
          <w:tcPr>
            <w:tcW w:w="1016" w:type="dxa"/>
          </w:tcPr>
          <w:p w:rsidR="00BC1D60" w:rsidRDefault="00BC1D60" w:rsidP="00BC5B38">
            <w:pPr>
              <w:pStyle w:val="ESTableRow"/>
              <w:keepNext/>
              <w:jc w:val="right"/>
            </w:pPr>
            <w:r>
              <w:rPr>
                <w:rFonts w:ascii="Arial Narrow"/>
              </w:rPr>
              <w:t>209</w:t>
            </w:r>
          </w:p>
        </w:tc>
        <w:tc>
          <w:tcPr>
            <w:tcW w:w="1016" w:type="dxa"/>
          </w:tcPr>
          <w:p w:rsidR="00BC1D60" w:rsidRDefault="00BC1D60" w:rsidP="00BC5B38">
            <w:pPr>
              <w:pStyle w:val="ESTableRow"/>
              <w:keepNext/>
              <w:jc w:val="right"/>
            </w:pPr>
            <w:r>
              <w:rPr>
                <w:rFonts w:ascii="Arial Narrow"/>
              </w:rPr>
              <w:t>214</w:t>
            </w:r>
          </w:p>
        </w:tc>
        <w:tc>
          <w:tcPr>
            <w:tcW w:w="1016" w:type="dxa"/>
          </w:tcPr>
          <w:p w:rsidR="00BC1D60" w:rsidRDefault="00BC1D60" w:rsidP="00BC5B38">
            <w:pPr>
              <w:pStyle w:val="ESTableRow"/>
              <w:keepNext/>
              <w:jc w:val="right"/>
            </w:pPr>
            <w:r>
              <w:rPr>
                <w:rFonts w:ascii="Arial Narrow"/>
              </w:rPr>
              <w:t>224</w:t>
            </w:r>
          </w:p>
        </w:tc>
        <w:tc>
          <w:tcPr>
            <w:tcW w:w="1016" w:type="dxa"/>
          </w:tcPr>
          <w:p w:rsidR="00BC1D60" w:rsidRDefault="00BC1D60" w:rsidP="00BC5B38">
            <w:pPr>
              <w:pStyle w:val="ESTableRow"/>
              <w:keepNext/>
              <w:jc w:val="right"/>
            </w:pPr>
            <w:r>
              <w:rPr>
                <w:rFonts w:ascii="Arial Narrow"/>
              </w:rPr>
              <w:t>250</w:t>
            </w:r>
          </w:p>
        </w:tc>
        <w:tc>
          <w:tcPr>
            <w:tcW w:w="1016" w:type="dxa"/>
          </w:tcPr>
          <w:p w:rsidR="00BC1D60" w:rsidRDefault="00BC1D60" w:rsidP="00BC5B38">
            <w:pPr>
              <w:pStyle w:val="ESTableRow"/>
              <w:keepNext/>
              <w:jc w:val="right"/>
            </w:pPr>
            <w:r>
              <w:rPr>
                <w:rFonts w:ascii="Arial Narrow"/>
              </w:rPr>
              <w:t>276</w:t>
            </w:r>
          </w:p>
        </w:tc>
      </w:tr>
      <w:tr w:rsidR="00BC1D60" w:rsidTr="00BC5B38">
        <w:trPr>
          <w:cantSplit/>
        </w:trPr>
        <w:tc>
          <w:tcPr>
            <w:tcW w:w="1768" w:type="dxa"/>
          </w:tcPr>
          <w:p w:rsidR="00BC1D60" w:rsidRDefault="00BC1D60" w:rsidP="00BC5B38">
            <w:pPr>
              <w:pStyle w:val="ESTableRow"/>
              <w:keepNext/>
            </w:pPr>
            <w:r>
              <w:rPr>
                <w:rFonts w:ascii="Arial Narrow"/>
              </w:rPr>
              <w:t>Basic EPS (M$)</w:t>
            </w:r>
          </w:p>
        </w:tc>
        <w:tc>
          <w:tcPr>
            <w:tcW w:w="1016" w:type="dxa"/>
          </w:tcPr>
          <w:p w:rsidR="00BC1D60" w:rsidRDefault="00BC1D60" w:rsidP="00BC5B38">
            <w:pPr>
              <w:pStyle w:val="ESTableRow"/>
              <w:keepNext/>
              <w:jc w:val="right"/>
            </w:pPr>
            <w:r>
              <w:rPr>
                <w:rFonts w:ascii="Arial Narrow"/>
              </w:rPr>
              <w:t>0.19</w:t>
            </w:r>
          </w:p>
        </w:tc>
        <w:tc>
          <w:tcPr>
            <w:tcW w:w="1016" w:type="dxa"/>
          </w:tcPr>
          <w:p w:rsidR="00BC1D60" w:rsidRDefault="00BC1D60" w:rsidP="00BC5B38">
            <w:pPr>
              <w:pStyle w:val="ESTableRow"/>
              <w:keepNext/>
              <w:jc w:val="right"/>
            </w:pPr>
            <w:r>
              <w:rPr>
                <w:rFonts w:ascii="Arial Narrow"/>
              </w:rPr>
              <w:t>0.19</w:t>
            </w:r>
          </w:p>
        </w:tc>
        <w:tc>
          <w:tcPr>
            <w:tcW w:w="1016" w:type="dxa"/>
          </w:tcPr>
          <w:p w:rsidR="00BC1D60" w:rsidRDefault="00BC1D60" w:rsidP="00BC5B38">
            <w:pPr>
              <w:pStyle w:val="ESTableRow"/>
              <w:keepNext/>
              <w:jc w:val="right"/>
            </w:pPr>
            <w:r>
              <w:rPr>
                <w:rFonts w:ascii="Arial Narrow"/>
              </w:rPr>
              <w:t>0.20</w:t>
            </w:r>
          </w:p>
        </w:tc>
        <w:tc>
          <w:tcPr>
            <w:tcW w:w="1016" w:type="dxa"/>
          </w:tcPr>
          <w:p w:rsidR="00BC1D60" w:rsidRDefault="00BC1D60" w:rsidP="00BC5B38">
            <w:pPr>
              <w:pStyle w:val="ESTableRow"/>
              <w:keepNext/>
              <w:jc w:val="right"/>
            </w:pPr>
            <w:r>
              <w:rPr>
                <w:rFonts w:ascii="Arial Narrow"/>
              </w:rPr>
              <w:t>0.23</w:t>
            </w:r>
          </w:p>
        </w:tc>
        <w:tc>
          <w:tcPr>
            <w:tcW w:w="1016" w:type="dxa"/>
          </w:tcPr>
          <w:p w:rsidR="00BC1D60" w:rsidRDefault="00BC1D60" w:rsidP="00BC5B38">
            <w:pPr>
              <w:pStyle w:val="ESTableRow"/>
              <w:keepNext/>
              <w:jc w:val="right"/>
            </w:pPr>
            <w:r>
              <w:rPr>
                <w:rFonts w:ascii="Arial Narrow"/>
              </w:rPr>
              <w:t>0.25</w:t>
            </w:r>
          </w:p>
        </w:tc>
      </w:tr>
      <w:tr w:rsidR="00BC1D60" w:rsidTr="00BC5B38">
        <w:trPr>
          <w:cantSplit/>
        </w:trPr>
        <w:tc>
          <w:tcPr>
            <w:tcW w:w="1768" w:type="dxa"/>
          </w:tcPr>
          <w:p w:rsidR="00BC1D60" w:rsidRDefault="00BC1D60" w:rsidP="00BC5B38">
            <w:pPr>
              <w:pStyle w:val="ESTableRow"/>
              <w:keepNext/>
            </w:pPr>
            <w:r>
              <w:rPr>
                <w:rFonts w:ascii="Arial Narrow"/>
              </w:rPr>
              <w:t>FD EPS (M$)</w:t>
            </w:r>
          </w:p>
        </w:tc>
        <w:tc>
          <w:tcPr>
            <w:tcW w:w="1016" w:type="dxa"/>
          </w:tcPr>
          <w:p w:rsidR="00BC1D60" w:rsidRDefault="00BC1D60" w:rsidP="00BC5B38">
            <w:pPr>
              <w:pStyle w:val="ESTableRow"/>
              <w:keepNext/>
              <w:jc w:val="right"/>
            </w:pPr>
            <w:r>
              <w:rPr>
                <w:rFonts w:ascii="Arial Narrow"/>
              </w:rPr>
              <w:t>0.18</w:t>
            </w:r>
          </w:p>
        </w:tc>
        <w:tc>
          <w:tcPr>
            <w:tcW w:w="1016" w:type="dxa"/>
          </w:tcPr>
          <w:p w:rsidR="00BC1D60" w:rsidRDefault="00BC1D60" w:rsidP="00BC5B38">
            <w:pPr>
              <w:pStyle w:val="ESTableRow"/>
              <w:keepNext/>
              <w:jc w:val="right"/>
            </w:pPr>
            <w:r>
              <w:rPr>
                <w:rFonts w:ascii="Arial Narrow"/>
              </w:rPr>
              <w:t>0.18</w:t>
            </w:r>
          </w:p>
        </w:tc>
        <w:tc>
          <w:tcPr>
            <w:tcW w:w="1016" w:type="dxa"/>
          </w:tcPr>
          <w:p w:rsidR="00BC1D60" w:rsidRDefault="00BC1D60" w:rsidP="00BC5B38">
            <w:pPr>
              <w:pStyle w:val="ESTableRow"/>
              <w:keepNext/>
              <w:jc w:val="right"/>
            </w:pPr>
            <w:r>
              <w:rPr>
                <w:rFonts w:ascii="Arial Narrow"/>
              </w:rPr>
              <w:t>0.19</w:t>
            </w:r>
          </w:p>
        </w:tc>
        <w:tc>
          <w:tcPr>
            <w:tcW w:w="1016" w:type="dxa"/>
          </w:tcPr>
          <w:p w:rsidR="00BC1D60" w:rsidRDefault="00BC1D60" w:rsidP="00BC5B38">
            <w:pPr>
              <w:pStyle w:val="ESTableRow"/>
              <w:keepNext/>
              <w:jc w:val="right"/>
            </w:pPr>
            <w:r>
              <w:rPr>
                <w:rFonts w:ascii="Arial Narrow"/>
              </w:rPr>
              <w:t>0.21</w:t>
            </w:r>
          </w:p>
        </w:tc>
        <w:tc>
          <w:tcPr>
            <w:tcW w:w="1016" w:type="dxa"/>
          </w:tcPr>
          <w:p w:rsidR="00BC1D60" w:rsidRDefault="00BC1D60" w:rsidP="00BC5B38">
            <w:pPr>
              <w:pStyle w:val="ESTableRow"/>
              <w:keepNext/>
              <w:jc w:val="right"/>
            </w:pPr>
            <w:r>
              <w:rPr>
                <w:rFonts w:ascii="Arial Narrow"/>
              </w:rPr>
              <w:t>0.23</w:t>
            </w:r>
          </w:p>
        </w:tc>
      </w:tr>
      <w:tr w:rsidR="00BC1D60" w:rsidTr="00BC5B38">
        <w:trPr>
          <w:cantSplit/>
        </w:trPr>
        <w:tc>
          <w:tcPr>
            <w:tcW w:w="1768" w:type="dxa"/>
          </w:tcPr>
          <w:p w:rsidR="00BC1D60" w:rsidRDefault="00BC1D60" w:rsidP="00BC5B38">
            <w:pPr>
              <w:pStyle w:val="ESTableRow"/>
              <w:keepNext/>
            </w:pPr>
            <w:r>
              <w:rPr>
                <w:rFonts w:ascii="Arial Narrow"/>
              </w:rPr>
              <w:t>DPS (M$)</w:t>
            </w:r>
          </w:p>
        </w:tc>
        <w:tc>
          <w:tcPr>
            <w:tcW w:w="1016" w:type="dxa"/>
          </w:tcPr>
          <w:p w:rsidR="00BC1D60" w:rsidRDefault="00BC1D60" w:rsidP="00BC5B38">
            <w:pPr>
              <w:pStyle w:val="ESTableRow"/>
              <w:keepNext/>
              <w:jc w:val="right"/>
            </w:pPr>
            <w:r>
              <w:rPr>
                <w:rFonts w:ascii="Arial Narrow"/>
              </w:rPr>
              <w:t>0.13</w:t>
            </w:r>
          </w:p>
        </w:tc>
        <w:tc>
          <w:tcPr>
            <w:tcW w:w="1016" w:type="dxa"/>
          </w:tcPr>
          <w:p w:rsidR="00BC1D60" w:rsidRDefault="00BC1D60" w:rsidP="00BC5B38">
            <w:pPr>
              <w:pStyle w:val="ESTableRow"/>
              <w:keepNext/>
              <w:jc w:val="right"/>
            </w:pPr>
            <w:r>
              <w:rPr>
                <w:rFonts w:ascii="Arial Narrow"/>
              </w:rPr>
              <w:t>0.14</w:t>
            </w:r>
          </w:p>
        </w:tc>
        <w:tc>
          <w:tcPr>
            <w:tcW w:w="1016" w:type="dxa"/>
          </w:tcPr>
          <w:p w:rsidR="00BC1D60" w:rsidRDefault="00BC1D60" w:rsidP="00BC5B38">
            <w:pPr>
              <w:pStyle w:val="ESTableRow"/>
              <w:keepNext/>
              <w:jc w:val="right"/>
            </w:pPr>
            <w:r>
              <w:rPr>
                <w:rFonts w:ascii="Arial Narrow"/>
              </w:rPr>
              <w:t>0.15</w:t>
            </w:r>
          </w:p>
        </w:tc>
        <w:tc>
          <w:tcPr>
            <w:tcW w:w="1016" w:type="dxa"/>
          </w:tcPr>
          <w:p w:rsidR="00BC1D60" w:rsidRDefault="00BC1D60" w:rsidP="00BC5B38">
            <w:pPr>
              <w:pStyle w:val="ESTableRow"/>
              <w:keepNext/>
              <w:jc w:val="right"/>
            </w:pPr>
            <w:r>
              <w:rPr>
                <w:rFonts w:ascii="Arial Narrow"/>
              </w:rPr>
              <w:t>0.16</w:t>
            </w:r>
          </w:p>
        </w:tc>
        <w:tc>
          <w:tcPr>
            <w:tcW w:w="1016" w:type="dxa"/>
          </w:tcPr>
          <w:p w:rsidR="00BC1D60" w:rsidRDefault="00BC1D60" w:rsidP="00BC5B38">
            <w:pPr>
              <w:pStyle w:val="ESTableRow"/>
              <w:keepNext/>
              <w:jc w:val="right"/>
            </w:pPr>
            <w:r>
              <w:rPr>
                <w:rFonts w:ascii="Arial Narrow"/>
              </w:rPr>
              <w:t>0.18</w:t>
            </w:r>
          </w:p>
        </w:tc>
      </w:tr>
      <w:tr w:rsidR="00BC1D60" w:rsidTr="00BC5B38">
        <w:trPr>
          <w:cantSplit/>
        </w:trPr>
        <w:tc>
          <w:tcPr>
            <w:tcW w:w="1768" w:type="dxa"/>
          </w:tcPr>
          <w:p w:rsidR="00BC1D60" w:rsidRDefault="00BC1D60" w:rsidP="00BC5B38">
            <w:pPr>
              <w:pStyle w:val="ESTableRow"/>
              <w:keepNext/>
            </w:pPr>
            <w:r>
              <w:rPr>
                <w:rFonts w:ascii="Arial Narrow"/>
              </w:rPr>
              <w:t xml:space="preserve">Revenue growth (%) </w:t>
            </w:r>
          </w:p>
        </w:tc>
        <w:tc>
          <w:tcPr>
            <w:tcW w:w="1016" w:type="dxa"/>
          </w:tcPr>
          <w:p w:rsidR="00BC1D60" w:rsidRDefault="00BC1D60" w:rsidP="00BC5B38">
            <w:pPr>
              <w:pStyle w:val="ESTableRow"/>
              <w:keepNext/>
              <w:jc w:val="right"/>
            </w:pPr>
            <w:r>
              <w:rPr>
                <w:rFonts w:ascii="Arial Narrow"/>
              </w:rPr>
              <w:t>4.7%</w:t>
            </w:r>
          </w:p>
        </w:tc>
        <w:tc>
          <w:tcPr>
            <w:tcW w:w="1016" w:type="dxa"/>
          </w:tcPr>
          <w:p w:rsidR="00BC1D60" w:rsidRDefault="00BC1D60" w:rsidP="00BC5B38">
            <w:pPr>
              <w:pStyle w:val="ESTableRow"/>
              <w:keepNext/>
              <w:jc w:val="right"/>
            </w:pPr>
            <w:r>
              <w:rPr>
                <w:rFonts w:ascii="Arial Narrow"/>
              </w:rPr>
              <w:t>1.5%</w:t>
            </w:r>
          </w:p>
        </w:tc>
        <w:tc>
          <w:tcPr>
            <w:tcW w:w="1016" w:type="dxa"/>
          </w:tcPr>
          <w:p w:rsidR="00BC1D60" w:rsidRDefault="00BC1D60" w:rsidP="00BC5B38">
            <w:pPr>
              <w:pStyle w:val="ESTableRow"/>
              <w:keepNext/>
              <w:jc w:val="right"/>
            </w:pPr>
            <w:r>
              <w:rPr>
                <w:rFonts w:ascii="Arial Narrow"/>
              </w:rPr>
              <w:t>5.2%</w:t>
            </w:r>
          </w:p>
        </w:tc>
        <w:tc>
          <w:tcPr>
            <w:tcW w:w="1016" w:type="dxa"/>
          </w:tcPr>
          <w:p w:rsidR="00BC1D60" w:rsidRDefault="00BC1D60" w:rsidP="00BC5B38">
            <w:pPr>
              <w:pStyle w:val="ESTableRow"/>
              <w:keepNext/>
              <w:jc w:val="right"/>
            </w:pPr>
            <w:r>
              <w:rPr>
                <w:rFonts w:ascii="Arial Narrow"/>
              </w:rPr>
              <w:t>5.9%</w:t>
            </w:r>
          </w:p>
        </w:tc>
        <w:tc>
          <w:tcPr>
            <w:tcW w:w="1016" w:type="dxa"/>
          </w:tcPr>
          <w:p w:rsidR="00BC1D60" w:rsidRDefault="00BC1D60" w:rsidP="00BC5B38">
            <w:pPr>
              <w:pStyle w:val="ESTableRow"/>
              <w:keepNext/>
              <w:jc w:val="right"/>
            </w:pPr>
            <w:r>
              <w:rPr>
                <w:rFonts w:ascii="Arial Narrow"/>
              </w:rPr>
              <w:t>6.8%</w:t>
            </w:r>
          </w:p>
        </w:tc>
      </w:tr>
      <w:tr w:rsidR="00BC1D60" w:rsidTr="00BC5B38">
        <w:trPr>
          <w:cantSplit/>
        </w:trPr>
        <w:tc>
          <w:tcPr>
            <w:tcW w:w="1768" w:type="dxa"/>
          </w:tcPr>
          <w:p w:rsidR="00BC1D60" w:rsidRDefault="00BC1D60" w:rsidP="00BC5B38">
            <w:pPr>
              <w:pStyle w:val="ESTableRow"/>
              <w:keepNext/>
            </w:pPr>
            <w:r>
              <w:rPr>
                <w:rFonts w:ascii="Arial Narrow"/>
              </w:rPr>
              <w:t xml:space="preserve">Core EPS growth </w:t>
            </w:r>
          </w:p>
        </w:tc>
        <w:tc>
          <w:tcPr>
            <w:tcW w:w="1016" w:type="dxa"/>
          </w:tcPr>
          <w:p w:rsidR="00BC1D60" w:rsidRDefault="00BC1D60" w:rsidP="00BC5B38">
            <w:pPr>
              <w:pStyle w:val="ESTableRow"/>
              <w:keepNext/>
              <w:jc w:val="right"/>
            </w:pPr>
            <w:r>
              <w:rPr>
                <w:rFonts w:ascii="Arial Narrow"/>
              </w:rPr>
              <w:t>(0.2%)</w:t>
            </w:r>
          </w:p>
        </w:tc>
        <w:tc>
          <w:tcPr>
            <w:tcW w:w="1016" w:type="dxa"/>
          </w:tcPr>
          <w:p w:rsidR="00BC1D60" w:rsidRDefault="00BC1D60" w:rsidP="00BC5B38">
            <w:pPr>
              <w:pStyle w:val="ESTableRow"/>
              <w:keepNext/>
              <w:jc w:val="right"/>
            </w:pPr>
            <w:r>
              <w:rPr>
                <w:rFonts w:ascii="Arial Narrow"/>
              </w:rPr>
              <w:t>0.7%</w:t>
            </w:r>
          </w:p>
        </w:tc>
        <w:tc>
          <w:tcPr>
            <w:tcW w:w="1016" w:type="dxa"/>
          </w:tcPr>
          <w:p w:rsidR="00BC1D60" w:rsidRDefault="00BC1D60" w:rsidP="00BC5B38">
            <w:pPr>
              <w:pStyle w:val="ESTableRow"/>
              <w:keepNext/>
              <w:jc w:val="right"/>
            </w:pPr>
            <w:r>
              <w:rPr>
                <w:rFonts w:ascii="Arial Narrow"/>
              </w:rPr>
              <w:t>4.6%</w:t>
            </w:r>
          </w:p>
        </w:tc>
        <w:tc>
          <w:tcPr>
            <w:tcW w:w="1016" w:type="dxa"/>
          </w:tcPr>
          <w:p w:rsidR="00BC1D60" w:rsidRDefault="00BC1D60" w:rsidP="00BC5B38">
            <w:pPr>
              <w:pStyle w:val="ESTableRow"/>
              <w:keepNext/>
              <w:jc w:val="right"/>
            </w:pPr>
            <w:r>
              <w:rPr>
                <w:rFonts w:ascii="Arial Narrow"/>
              </w:rPr>
              <w:t>11.4%</w:t>
            </w:r>
          </w:p>
        </w:tc>
        <w:tc>
          <w:tcPr>
            <w:tcW w:w="1016" w:type="dxa"/>
          </w:tcPr>
          <w:p w:rsidR="00BC1D60" w:rsidRDefault="00BC1D60" w:rsidP="00BC5B38">
            <w:pPr>
              <w:pStyle w:val="ESTableRow"/>
              <w:keepNext/>
              <w:jc w:val="right"/>
            </w:pPr>
            <w:r>
              <w:rPr>
                <w:rFonts w:ascii="Arial Narrow"/>
              </w:rPr>
              <w:t>10.7%</w:t>
            </w:r>
          </w:p>
        </w:tc>
      </w:tr>
      <w:tr w:rsidR="00BC1D60" w:rsidTr="00BC5B38">
        <w:trPr>
          <w:cantSplit/>
        </w:trPr>
        <w:tc>
          <w:tcPr>
            <w:tcW w:w="1768" w:type="dxa"/>
          </w:tcPr>
          <w:p w:rsidR="00BC1D60" w:rsidRDefault="00BC1D60" w:rsidP="00BC5B38">
            <w:pPr>
              <w:pStyle w:val="ESTableRow"/>
              <w:keepNext/>
            </w:pPr>
            <w:r>
              <w:rPr>
                <w:rFonts w:ascii="Arial Narrow"/>
              </w:rPr>
              <w:t xml:space="preserve">ROCE </w:t>
            </w:r>
          </w:p>
        </w:tc>
        <w:tc>
          <w:tcPr>
            <w:tcW w:w="1016" w:type="dxa"/>
          </w:tcPr>
          <w:p w:rsidR="00BC1D60" w:rsidRDefault="00BC1D60" w:rsidP="00BC5B38">
            <w:pPr>
              <w:pStyle w:val="ESTableRow"/>
              <w:keepNext/>
              <w:jc w:val="right"/>
            </w:pPr>
            <w:r>
              <w:rPr>
                <w:rFonts w:ascii="Arial Narrow"/>
              </w:rPr>
              <w:t>10.8%</w:t>
            </w:r>
          </w:p>
        </w:tc>
        <w:tc>
          <w:tcPr>
            <w:tcW w:w="1016" w:type="dxa"/>
          </w:tcPr>
          <w:p w:rsidR="00BC1D60" w:rsidRDefault="00BC1D60" w:rsidP="00BC5B38">
            <w:pPr>
              <w:pStyle w:val="ESTableRow"/>
              <w:keepNext/>
              <w:jc w:val="right"/>
            </w:pPr>
            <w:r>
              <w:rPr>
                <w:rFonts w:ascii="Arial Narrow"/>
              </w:rPr>
              <w:t>10.4%</w:t>
            </w:r>
          </w:p>
        </w:tc>
        <w:tc>
          <w:tcPr>
            <w:tcW w:w="1016" w:type="dxa"/>
          </w:tcPr>
          <w:p w:rsidR="00BC1D60" w:rsidRDefault="00BC1D60" w:rsidP="00BC5B38">
            <w:pPr>
              <w:pStyle w:val="ESTableRow"/>
              <w:keepNext/>
              <w:jc w:val="right"/>
            </w:pPr>
            <w:r>
              <w:rPr>
                <w:rFonts w:ascii="Arial Narrow"/>
              </w:rPr>
              <w:t>10.7%</w:t>
            </w:r>
          </w:p>
        </w:tc>
        <w:tc>
          <w:tcPr>
            <w:tcW w:w="1016" w:type="dxa"/>
          </w:tcPr>
          <w:p w:rsidR="00BC1D60" w:rsidRDefault="00BC1D60" w:rsidP="00BC5B38">
            <w:pPr>
              <w:pStyle w:val="ESTableRow"/>
              <w:keepNext/>
              <w:jc w:val="right"/>
            </w:pPr>
            <w:r>
              <w:rPr>
                <w:rFonts w:ascii="Arial Narrow"/>
              </w:rPr>
              <w:t>11.4%</w:t>
            </w:r>
          </w:p>
        </w:tc>
        <w:tc>
          <w:tcPr>
            <w:tcW w:w="1016" w:type="dxa"/>
          </w:tcPr>
          <w:p w:rsidR="00BC1D60" w:rsidRDefault="00BC1D60" w:rsidP="00BC5B38">
            <w:pPr>
              <w:pStyle w:val="ESTableRow"/>
              <w:keepNext/>
              <w:jc w:val="right"/>
            </w:pPr>
            <w:r>
              <w:rPr>
                <w:rFonts w:ascii="Arial Narrow"/>
              </w:rPr>
              <w:t>12.0%</w:t>
            </w:r>
          </w:p>
        </w:tc>
      </w:tr>
      <w:tr w:rsidR="00BC1D60" w:rsidTr="00BC5B38">
        <w:trPr>
          <w:cantSplit/>
        </w:trPr>
        <w:tc>
          <w:tcPr>
            <w:tcW w:w="1768" w:type="dxa"/>
          </w:tcPr>
          <w:p w:rsidR="00BC1D60" w:rsidRDefault="00BC1D60" w:rsidP="00BC5B38">
            <w:pPr>
              <w:pStyle w:val="ESTableRow"/>
              <w:keepNext/>
            </w:pPr>
            <w:r>
              <w:rPr>
                <w:rFonts w:ascii="Arial Narrow"/>
              </w:rPr>
              <w:t xml:space="preserve">ROE </w:t>
            </w:r>
          </w:p>
        </w:tc>
        <w:tc>
          <w:tcPr>
            <w:tcW w:w="1016" w:type="dxa"/>
          </w:tcPr>
          <w:p w:rsidR="00BC1D60" w:rsidRDefault="00BC1D60" w:rsidP="00BC5B38">
            <w:pPr>
              <w:pStyle w:val="ESTableRow"/>
              <w:keepNext/>
              <w:jc w:val="right"/>
            </w:pPr>
            <w:r>
              <w:rPr>
                <w:rFonts w:ascii="Arial Narrow"/>
              </w:rPr>
              <w:t>14.1%</w:t>
            </w:r>
          </w:p>
        </w:tc>
        <w:tc>
          <w:tcPr>
            <w:tcW w:w="1016" w:type="dxa"/>
          </w:tcPr>
          <w:p w:rsidR="00BC1D60" w:rsidRDefault="00BC1D60" w:rsidP="00BC5B38">
            <w:pPr>
              <w:pStyle w:val="ESTableRow"/>
              <w:keepNext/>
              <w:jc w:val="right"/>
            </w:pPr>
            <w:r>
              <w:rPr>
                <w:rFonts w:ascii="Arial Narrow"/>
              </w:rPr>
              <w:t>13.5%</w:t>
            </w:r>
          </w:p>
        </w:tc>
        <w:tc>
          <w:tcPr>
            <w:tcW w:w="1016" w:type="dxa"/>
          </w:tcPr>
          <w:p w:rsidR="00BC1D60" w:rsidRDefault="00BC1D60" w:rsidP="00BC5B38">
            <w:pPr>
              <w:pStyle w:val="ESTableRow"/>
              <w:keepNext/>
              <w:jc w:val="right"/>
            </w:pPr>
            <w:r>
              <w:rPr>
                <w:rFonts w:ascii="Arial Narrow"/>
              </w:rPr>
              <w:t>13.9%</w:t>
            </w:r>
          </w:p>
        </w:tc>
        <w:tc>
          <w:tcPr>
            <w:tcW w:w="1016" w:type="dxa"/>
          </w:tcPr>
          <w:p w:rsidR="00BC1D60" w:rsidRDefault="00BC1D60" w:rsidP="00BC5B38">
            <w:pPr>
              <w:pStyle w:val="ESTableRow"/>
              <w:keepNext/>
              <w:jc w:val="right"/>
            </w:pPr>
            <w:r>
              <w:rPr>
                <w:rFonts w:ascii="Arial Narrow"/>
              </w:rPr>
              <w:t>15.3%</w:t>
            </w:r>
          </w:p>
        </w:tc>
        <w:tc>
          <w:tcPr>
            <w:tcW w:w="1016" w:type="dxa"/>
          </w:tcPr>
          <w:p w:rsidR="00BC1D60" w:rsidRDefault="00BC1D60" w:rsidP="00BC5B38">
            <w:pPr>
              <w:pStyle w:val="ESTableRow"/>
              <w:keepNext/>
              <w:jc w:val="right"/>
            </w:pPr>
            <w:r>
              <w:rPr>
                <w:rFonts w:ascii="Arial Narrow"/>
              </w:rPr>
              <w:t>16.2%</w:t>
            </w:r>
          </w:p>
        </w:tc>
      </w:tr>
      <w:tr w:rsidR="00BC1D60" w:rsidTr="00BC5B38">
        <w:trPr>
          <w:cantSplit/>
        </w:trPr>
        <w:tc>
          <w:tcPr>
            <w:tcW w:w="1768" w:type="dxa"/>
          </w:tcPr>
          <w:p w:rsidR="00BC1D60" w:rsidRDefault="00BC1D60" w:rsidP="00BC5B38">
            <w:pPr>
              <w:pStyle w:val="ESTableRow"/>
              <w:keepNext/>
            </w:pPr>
            <w:r>
              <w:rPr>
                <w:rFonts w:ascii="Arial Narrow"/>
              </w:rPr>
              <w:t xml:space="preserve">Adjusted P/E </w:t>
            </w:r>
          </w:p>
        </w:tc>
        <w:tc>
          <w:tcPr>
            <w:tcW w:w="1016" w:type="dxa"/>
          </w:tcPr>
          <w:p w:rsidR="00BC1D60" w:rsidRDefault="00BC1D60" w:rsidP="00BC5B38">
            <w:pPr>
              <w:pStyle w:val="ESTableRow"/>
              <w:keepNext/>
              <w:jc w:val="right"/>
            </w:pPr>
            <w:r>
              <w:rPr>
                <w:rFonts w:ascii="Arial Narrow"/>
              </w:rPr>
              <w:t>14.2</w:t>
            </w:r>
          </w:p>
        </w:tc>
        <w:tc>
          <w:tcPr>
            <w:tcW w:w="1016" w:type="dxa"/>
          </w:tcPr>
          <w:p w:rsidR="00BC1D60" w:rsidRDefault="00BC1D60" w:rsidP="00BC5B38">
            <w:pPr>
              <w:pStyle w:val="ESTableRow"/>
              <w:keepNext/>
              <w:jc w:val="right"/>
            </w:pPr>
            <w:r>
              <w:rPr>
                <w:rFonts w:ascii="Arial Narrow"/>
              </w:rPr>
              <w:t>14.1</w:t>
            </w:r>
          </w:p>
        </w:tc>
        <w:tc>
          <w:tcPr>
            <w:tcW w:w="1016" w:type="dxa"/>
          </w:tcPr>
          <w:p w:rsidR="00BC1D60" w:rsidRDefault="00BC1D60" w:rsidP="00BC5B38">
            <w:pPr>
              <w:pStyle w:val="ESTableRow"/>
              <w:keepNext/>
              <w:jc w:val="right"/>
            </w:pPr>
            <w:r>
              <w:rPr>
                <w:rFonts w:ascii="Arial Narrow"/>
              </w:rPr>
              <w:t>13.5</w:t>
            </w:r>
          </w:p>
        </w:tc>
        <w:tc>
          <w:tcPr>
            <w:tcW w:w="1016" w:type="dxa"/>
          </w:tcPr>
          <w:p w:rsidR="00BC1D60" w:rsidRDefault="00BC1D60" w:rsidP="00BC5B38">
            <w:pPr>
              <w:pStyle w:val="ESTableRow"/>
              <w:keepNext/>
              <w:jc w:val="right"/>
            </w:pPr>
            <w:r>
              <w:rPr>
                <w:rFonts w:ascii="Arial Narrow"/>
              </w:rPr>
              <w:t>12.1</w:t>
            </w:r>
          </w:p>
        </w:tc>
        <w:tc>
          <w:tcPr>
            <w:tcW w:w="1016" w:type="dxa"/>
          </w:tcPr>
          <w:p w:rsidR="00BC1D60" w:rsidRDefault="00BC1D60" w:rsidP="00BC5B38">
            <w:pPr>
              <w:pStyle w:val="ESTableRow"/>
              <w:keepNext/>
              <w:jc w:val="right"/>
            </w:pPr>
            <w:r>
              <w:rPr>
                <w:rFonts w:ascii="Arial Narrow"/>
              </w:rPr>
              <w:t>10.9</w:t>
            </w:r>
          </w:p>
        </w:tc>
      </w:tr>
      <w:tr w:rsidR="00BC1D60" w:rsidTr="00BC5B38">
        <w:trPr>
          <w:cantSplit/>
        </w:trPr>
        <w:tc>
          <w:tcPr>
            <w:tcW w:w="1768" w:type="dxa"/>
          </w:tcPr>
          <w:p w:rsidR="00BC1D60" w:rsidRDefault="00BC1D60" w:rsidP="00BC5B38">
            <w:pPr>
              <w:pStyle w:val="ESTableRow"/>
              <w:keepNext/>
            </w:pPr>
            <w:r>
              <w:rPr>
                <w:rFonts w:ascii="Arial Narrow"/>
              </w:rPr>
              <w:t xml:space="preserve">P/BV (x) </w:t>
            </w:r>
          </w:p>
        </w:tc>
        <w:tc>
          <w:tcPr>
            <w:tcW w:w="1016" w:type="dxa"/>
          </w:tcPr>
          <w:p w:rsidR="00BC1D60" w:rsidRDefault="00BC1D60" w:rsidP="00BC5B38">
            <w:pPr>
              <w:pStyle w:val="ESTableRow"/>
              <w:keepNext/>
              <w:jc w:val="right"/>
            </w:pPr>
            <w:r>
              <w:rPr>
                <w:rFonts w:ascii="Arial Narrow"/>
              </w:rPr>
              <w:t>1.8</w:t>
            </w:r>
          </w:p>
        </w:tc>
        <w:tc>
          <w:tcPr>
            <w:tcW w:w="1016" w:type="dxa"/>
          </w:tcPr>
          <w:p w:rsidR="00BC1D60" w:rsidRDefault="00BC1D60" w:rsidP="00BC5B38">
            <w:pPr>
              <w:pStyle w:val="ESTableRow"/>
              <w:keepNext/>
              <w:jc w:val="right"/>
            </w:pPr>
            <w:r>
              <w:rPr>
                <w:rFonts w:ascii="Arial Narrow"/>
              </w:rPr>
              <w:t>1.7</w:t>
            </w:r>
          </w:p>
        </w:tc>
        <w:tc>
          <w:tcPr>
            <w:tcW w:w="1016" w:type="dxa"/>
          </w:tcPr>
          <w:p w:rsidR="00BC1D60" w:rsidRDefault="00BC1D60" w:rsidP="00BC5B38">
            <w:pPr>
              <w:pStyle w:val="ESTableRow"/>
              <w:keepNext/>
              <w:jc w:val="right"/>
            </w:pPr>
            <w:r>
              <w:rPr>
                <w:rFonts w:ascii="Arial Narrow"/>
              </w:rPr>
              <w:t>1.8</w:t>
            </w:r>
          </w:p>
        </w:tc>
        <w:tc>
          <w:tcPr>
            <w:tcW w:w="1016" w:type="dxa"/>
          </w:tcPr>
          <w:p w:rsidR="00BC1D60" w:rsidRDefault="00BC1D60" w:rsidP="00BC5B38">
            <w:pPr>
              <w:pStyle w:val="ESTableRow"/>
              <w:keepNext/>
              <w:jc w:val="right"/>
            </w:pPr>
            <w:r>
              <w:rPr>
                <w:rFonts w:ascii="Arial Narrow"/>
              </w:rPr>
              <w:t>1.7</w:t>
            </w:r>
          </w:p>
        </w:tc>
        <w:tc>
          <w:tcPr>
            <w:tcW w:w="1016" w:type="dxa"/>
          </w:tcPr>
          <w:p w:rsidR="00BC1D60" w:rsidRDefault="00BC1D60" w:rsidP="00BC5B38">
            <w:pPr>
              <w:pStyle w:val="ESTableRow"/>
              <w:keepNext/>
              <w:jc w:val="right"/>
            </w:pPr>
            <w:r>
              <w:rPr>
                <w:rFonts w:ascii="Arial Narrow"/>
              </w:rPr>
              <w:t>1.6</w:t>
            </w:r>
          </w:p>
        </w:tc>
      </w:tr>
      <w:tr w:rsidR="00BC1D60" w:rsidTr="00BC5B38">
        <w:trPr>
          <w:cantSplit/>
        </w:trPr>
        <w:tc>
          <w:tcPr>
            <w:tcW w:w="1768" w:type="dxa"/>
          </w:tcPr>
          <w:p w:rsidR="00BC1D60" w:rsidRDefault="00BC1D60" w:rsidP="00BC5B38">
            <w:pPr>
              <w:pStyle w:val="ESTableRow"/>
              <w:keepNext/>
            </w:pPr>
            <w:r>
              <w:rPr>
                <w:rFonts w:ascii="Arial Narrow"/>
              </w:rPr>
              <w:t xml:space="preserve">EV/EBITDA (x) </w:t>
            </w:r>
          </w:p>
        </w:tc>
        <w:tc>
          <w:tcPr>
            <w:tcW w:w="1016" w:type="dxa"/>
          </w:tcPr>
          <w:p w:rsidR="00BC1D60" w:rsidRDefault="00BC1D60" w:rsidP="00BC5B38">
            <w:pPr>
              <w:pStyle w:val="ESTableRow"/>
              <w:keepNext/>
              <w:jc w:val="right"/>
            </w:pPr>
            <w:r>
              <w:rPr>
                <w:rFonts w:ascii="Arial Narrow"/>
              </w:rPr>
              <w:t>6.4</w:t>
            </w:r>
          </w:p>
        </w:tc>
        <w:tc>
          <w:tcPr>
            <w:tcW w:w="1016" w:type="dxa"/>
          </w:tcPr>
          <w:p w:rsidR="00BC1D60" w:rsidRDefault="00BC1D60" w:rsidP="00BC5B38">
            <w:pPr>
              <w:pStyle w:val="ESTableRow"/>
              <w:keepNext/>
              <w:jc w:val="right"/>
            </w:pPr>
            <w:r>
              <w:rPr>
                <w:rFonts w:ascii="Arial Narrow"/>
              </w:rPr>
              <w:t>6.0</w:t>
            </w:r>
          </w:p>
        </w:tc>
        <w:tc>
          <w:tcPr>
            <w:tcW w:w="1016" w:type="dxa"/>
          </w:tcPr>
          <w:p w:rsidR="00BC1D60" w:rsidRDefault="00BC1D60" w:rsidP="00BC5B38">
            <w:pPr>
              <w:pStyle w:val="ESTableRow"/>
              <w:keepNext/>
              <w:jc w:val="right"/>
            </w:pPr>
            <w:r>
              <w:rPr>
                <w:rFonts w:ascii="Arial Narrow"/>
              </w:rPr>
              <w:t>5.9</w:t>
            </w:r>
          </w:p>
        </w:tc>
        <w:tc>
          <w:tcPr>
            <w:tcW w:w="1016" w:type="dxa"/>
          </w:tcPr>
          <w:p w:rsidR="00BC1D60" w:rsidRDefault="00BC1D60" w:rsidP="00BC5B38">
            <w:pPr>
              <w:pStyle w:val="ESTableRow"/>
              <w:keepNext/>
              <w:jc w:val="right"/>
            </w:pPr>
            <w:r>
              <w:rPr>
                <w:rFonts w:ascii="Arial Narrow"/>
              </w:rPr>
              <w:t>5.2</w:t>
            </w:r>
          </w:p>
        </w:tc>
        <w:tc>
          <w:tcPr>
            <w:tcW w:w="1016" w:type="dxa"/>
          </w:tcPr>
          <w:p w:rsidR="00BC1D60" w:rsidRDefault="00BC1D60" w:rsidP="00BC5B38">
            <w:pPr>
              <w:pStyle w:val="ESTableRow"/>
              <w:keepNext/>
              <w:jc w:val="right"/>
            </w:pPr>
            <w:r>
              <w:rPr>
                <w:rFonts w:ascii="Arial Narrow"/>
              </w:rPr>
              <w:t>4.6</w:t>
            </w:r>
          </w:p>
        </w:tc>
      </w:tr>
      <w:tr w:rsidR="00BC1D60" w:rsidTr="00BC5B38">
        <w:trPr>
          <w:cantSplit/>
        </w:trPr>
        <w:tc>
          <w:tcPr>
            <w:tcW w:w="1768" w:type="dxa"/>
            <w:tcBorders>
              <w:bottom w:val="single" w:sz="4" w:space="0" w:color="auto"/>
            </w:tcBorders>
          </w:tcPr>
          <w:p w:rsidR="00BC1D60" w:rsidRDefault="00BC1D60" w:rsidP="00BC5B38">
            <w:pPr>
              <w:pStyle w:val="ESTableRow"/>
              <w:keepNext/>
            </w:pPr>
            <w:r>
              <w:rPr>
                <w:rFonts w:ascii="Arial Narrow"/>
              </w:rPr>
              <w:t xml:space="preserve">Dividend Yield </w:t>
            </w:r>
          </w:p>
        </w:tc>
        <w:tc>
          <w:tcPr>
            <w:tcW w:w="1016" w:type="dxa"/>
            <w:tcBorders>
              <w:bottom w:val="single" w:sz="4" w:space="0" w:color="auto"/>
            </w:tcBorders>
          </w:tcPr>
          <w:p w:rsidR="00BC1D60" w:rsidRDefault="00BC1D60" w:rsidP="00BC5B38">
            <w:pPr>
              <w:pStyle w:val="ESTableRow"/>
              <w:keepNext/>
              <w:jc w:val="right"/>
            </w:pPr>
            <w:r>
              <w:rPr>
                <w:rFonts w:ascii="Arial Narrow"/>
              </w:rPr>
              <w:t>5.1%</w:t>
            </w:r>
          </w:p>
        </w:tc>
        <w:tc>
          <w:tcPr>
            <w:tcW w:w="1016" w:type="dxa"/>
            <w:tcBorders>
              <w:bottom w:val="single" w:sz="4" w:space="0" w:color="auto"/>
            </w:tcBorders>
          </w:tcPr>
          <w:p w:rsidR="00BC1D60" w:rsidRDefault="00BC1D60" w:rsidP="00BC5B38">
            <w:pPr>
              <w:pStyle w:val="ESTableRow"/>
              <w:keepNext/>
              <w:jc w:val="right"/>
            </w:pPr>
            <w:r>
              <w:rPr>
                <w:rFonts w:ascii="Arial Narrow"/>
              </w:rPr>
              <w:t>5.4%</w:t>
            </w:r>
          </w:p>
        </w:tc>
        <w:tc>
          <w:tcPr>
            <w:tcW w:w="1016" w:type="dxa"/>
            <w:tcBorders>
              <w:bottom w:val="single" w:sz="4" w:space="0" w:color="auto"/>
            </w:tcBorders>
          </w:tcPr>
          <w:p w:rsidR="00BC1D60" w:rsidRDefault="00BC1D60" w:rsidP="00BC5B38">
            <w:pPr>
              <w:pStyle w:val="ESTableRow"/>
              <w:keepNext/>
              <w:jc w:val="right"/>
            </w:pPr>
            <w:r>
              <w:rPr>
                <w:rFonts w:ascii="Arial Narrow"/>
              </w:rPr>
              <w:t>5.7%</w:t>
            </w:r>
          </w:p>
        </w:tc>
        <w:tc>
          <w:tcPr>
            <w:tcW w:w="1016" w:type="dxa"/>
            <w:tcBorders>
              <w:bottom w:val="single" w:sz="4" w:space="0" w:color="auto"/>
            </w:tcBorders>
          </w:tcPr>
          <w:p w:rsidR="00BC1D60" w:rsidRDefault="00BC1D60" w:rsidP="00BC5B38">
            <w:pPr>
              <w:pStyle w:val="ESTableRow"/>
              <w:keepNext/>
              <w:jc w:val="right"/>
            </w:pPr>
            <w:r>
              <w:rPr>
                <w:rFonts w:ascii="Arial Narrow"/>
              </w:rPr>
              <w:t>6.4%</w:t>
            </w:r>
          </w:p>
        </w:tc>
        <w:tc>
          <w:tcPr>
            <w:tcW w:w="1016" w:type="dxa"/>
            <w:tcBorders>
              <w:bottom w:val="single" w:sz="4" w:space="0" w:color="auto"/>
            </w:tcBorders>
          </w:tcPr>
          <w:p w:rsidR="00BC1D60" w:rsidRDefault="00BC1D60" w:rsidP="00BC5B38">
            <w:pPr>
              <w:pStyle w:val="ESTableRow"/>
              <w:keepNext/>
              <w:jc w:val="right"/>
            </w:pPr>
            <w:r>
              <w:rPr>
                <w:rFonts w:ascii="Arial Narrow"/>
              </w:rPr>
              <w:t>7.0%</w:t>
            </w:r>
          </w:p>
        </w:tc>
      </w:tr>
    </w:tbl>
    <w:p w:rsidR="00BC1D60" w:rsidRDefault="00BC1D60" w:rsidP="00BC1D60">
      <w:pPr>
        <w:pStyle w:val="Source"/>
      </w:pPr>
      <w:r>
        <w:t>Source: Company data, Bloomberg, J.P. Morgan estimates.</w:t>
      </w:r>
    </w:p>
    <w:p w:rsidR="00BC1D60" w:rsidRPr="00A47405" w:rsidRDefault="00BC1D60" w:rsidP="00BC1D60">
      <w:pPr>
        <w:pStyle w:val="Body"/>
        <w:rPr>
          <w:highlight w:val="yellow"/>
        </w:rPr>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414DFD" w:rsidTr="00BC5B38">
        <w:tc>
          <w:tcPr>
            <w:tcW w:w="10604" w:type="dxa"/>
            <w:gridSpan w:val="3"/>
            <w:shd w:val="clear" w:color="auto" w:fill="auto"/>
          </w:tcPr>
          <w:p w:rsidR="00BC1D60" w:rsidRPr="00414DFD" w:rsidRDefault="00BC1D60" w:rsidP="00BC5B38">
            <w:pPr>
              <w:pStyle w:val="Heading1-NoTOC"/>
            </w:pPr>
            <w:bookmarkStart w:id="268" w:name="_Toc368054142"/>
            <w:bookmarkStart w:id="269" w:name="_Toc368081367"/>
            <w:bookmarkStart w:id="270" w:name="_Toc376756105"/>
            <w:bookmarkStart w:id="271" w:name="_Toc376801426"/>
            <w:bookmarkStart w:id="272" w:name="_Toc376802088"/>
            <w:bookmarkStart w:id="273" w:name="_Toc384044982"/>
            <w:bookmarkStart w:id="274" w:name="_Toc384136006"/>
            <w:bookmarkStart w:id="275" w:name="_Toc384136973"/>
            <w:bookmarkStart w:id="276" w:name="_Toc392016370"/>
            <w:bookmarkStart w:id="277" w:name="_Toc392099088"/>
            <w:r w:rsidRPr="00414DFD">
              <w:t>Getting to know our SMid Analysts…</w:t>
            </w:r>
            <w:bookmarkEnd w:id="268"/>
            <w:bookmarkEnd w:id="269"/>
            <w:bookmarkEnd w:id="270"/>
            <w:bookmarkEnd w:id="271"/>
            <w:bookmarkEnd w:id="272"/>
            <w:bookmarkEnd w:id="273"/>
            <w:bookmarkEnd w:id="274"/>
            <w:bookmarkEnd w:id="275"/>
            <w:bookmarkEnd w:id="276"/>
            <w:bookmarkEnd w:id="277"/>
          </w:p>
        </w:tc>
      </w:tr>
      <w:tr w:rsidR="00BC1D60" w:rsidRPr="00414DFD" w:rsidTr="00BC5B38">
        <w:trPr>
          <w:trHeight w:val="3427"/>
        </w:trPr>
        <w:tc>
          <w:tcPr>
            <w:tcW w:w="2666" w:type="dxa"/>
            <w:shd w:val="clear" w:color="auto" w:fill="auto"/>
          </w:tcPr>
          <w:p w:rsidR="00BC1D60" w:rsidRPr="00414DFD" w:rsidRDefault="00BC1D60" w:rsidP="00BC5B38">
            <w:pPr>
              <w:shd w:val="clear" w:color="auto" w:fill="F6F6F6"/>
              <w:spacing w:line="336" w:lineRule="atLeast"/>
              <w:jc w:val="right"/>
              <w:rPr>
                <w:rFonts w:ascii="Arial" w:hAnsi="Arial" w:cs="Arial"/>
                <w:color w:val="666666"/>
                <w:sz w:val="15"/>
                <w:szCs w:val="15"/>
              </w:rPr>
            </w:pPr>
          </w:p>
          <w:p w:rsidR="00BC1D60" w:rsidRPr="00414DFD" w:rsidRDefault="00BC1D60" w:rsidP="00BC5B38">
            <w:pPr>
              <w:pStyle w:val="Body"/>
              <w:spacing w:after="120"/>
            </w:pPr>
            <w:r w:rsidRPr="00414DFD">
              <w:rPr>
                <w:noProof/>
              </w:rPr>
              <w:drawing>
                <wp:inline distT="0" distB="0" distL="0" distR="0">
                  <wp:extent cx="1371600" cy="1655810"/>
                  <wp:effectExtent l="19050" t="0" r="0" b="0"/>
                  <wp:docPr id="318" name="Picture 82" descr="Simone Ye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imone Yeoh"/>
                          <pic:cNvPicPr>
                            <a:picLocks noChangeAspect="1" noChangeArrowheads="1"/>
                          </pic:cNvPicPr>
                        </pic:nvPicPr>
                        <pic:blipFill>
                          <a:blip r:embed="rId121"/>
                          <a:srcRect l="8048" r="40133"/>
                          <a:stretch>
                            <a:fillRect/>
                          </a:stretch>
                        </pic:blipFill>
                        <pic:spPr bwMode="auto">
                          <a:xfrm>
                            <a:off x="0" y="0"/>
                            <a:ext cx="1371600" cy="1655810"/>
                          </a:xfrm>
                          <a:prstGeom prst="rect">
                            <a:avLst/>
                          </a:prstGeom>
                          <a:noFill/>
                          <a:ln w="9525">
                            <a:noFill/>
                            <a:miter lim="800000"/>
                            <a:headEnd/>
                            <a:tailEnd/>
                          </a:ln>
                        </pic:spPr>
                      </pic:pic>
                    </a:graphicData>
                  </a:graphic>
                </wp:inline>
              </w:drawing>
            </w:r>
          </w:p>
        </w:tc>
        <w:tc>
          <w:tcPr>
            <w:tcW w:w="3544" w:type="dxa"/>
            <w:shd w:val="clear" w:color="auto" w:fill="auto"/>
          </w:tcPr>
          <w:p w:rsidR="00BC1D60" w:rsidRPr="00414DFD" w:rsidRDefault="00BC1D60" w:rsidP="00BC5B38">
            <w:pPr>
              <w:pStyle w:val="Heading2"/>
              <w:outlineLvl w:val="1"/>
              <w:rPr>
                <w:lang w:val="es-ES_tradnl"/>
              </w:rPr>
            </w:pPr>
            <w:r w:rsidRPr="00414DFD">
              <w:rPr>
                <w:lang w:val="es-ES_tradnl"/>
              </w:rPr>
              <w:t>Simone Yeoh</w:t>
            </w:r>
          </w:p>
          <w:p w:rsidR="00BC1D60" w:rsidRPr="00414DFD" w:rsidRDefault="003B051F" w:rsidP="00BC5B38">
            <w:pPr>
              <w:pStyle w:val="Body"/>
              <w:spacing w:after="120"/>
              <w:rPr>
                <w:rFonts w:ascii="Arial Narrow" w:hAnsi="Arial Narrow"/>
                <w:lang w:val="es-ES_tradnl"/>
              </w:rPr>
            </w:pPr>
            <w:hyperlink r:id="rId122" w:history="1">
              <w:r w:rsidR="00BC1D60" w:rsidRPr="00414DFD">
                <w:rPr>
                  <w:rStyle w:val="Hyperlink"/>
                  <w:rFonts w:ascii="Arial Narrow" w:hAnsi="Arial Narrow"/>
                  <w:lang w:val="es-ES_tradnl"/>
                </w:rPr>
                <w:t>simone.x.yeoh@jpmorgan.com</w:t>
              </w:r>
            </w:hyperlink>
          </w:p>
          <w:p w:rsidR="00BC1D60" w:rsidRPr="00414DFD" w:rsidRDefault="00BC1D60" w:rsidP="00BC5B38">
            <w:pPr>
              <w:pStyle w:val="Body"/>
              <w:spacing w:after="120"/>
              <w:rPr>
                <w:rFonts w:ascii="Arial Narrow" w:hAnsi="Arial Narrow"/>
                <w:lang w:val="es-ES_tradnl"/>
              </w:rPr>
            </w:pPr>
            <w:r w:rsidRPr="00414DFD">
              <w:rPr>
                <w:rFonts w:ascii="Arial Narrow" w:hAnsi="Arial Narrow"/>
                <w:lang w:val="es-ES_tradnl"/>
              </w:rPr>
              <w:t>(60-3) 2270-4710</w:t>
            </w:r>
          </w:p>
          <w:p w:rsidR="00BC1D60" w:rsidRPr="00414DFD" w:rsidRDefault="00BC1D60" w:rsidP="00BC5B38">
            <w:pPr>
              <w:pStyle w:val="Body"/>
              <w:spacing w:after="120"/>
              <w:rPr>
                <w:rFonts w:ascii="Arial Narrow" w:hAnsi="Arial Narrow"/>
                <w:lang w:val="es-ES_tradnl"/>
              </w:rPr>
            </w:pPr>
          </w:p>
          <w:p w:rsidR="00BC1D60" w:rsidRPr="00414DFD" w:rsidRDefault="00BC1D60" w:rsidP="00BC5B38">
            <w:pPr>
              <w:pStyle w:val="Body"/>
              <w:spacing w:after="120"/>
              <w:rPr>
                <w:rFonts w:ascii="Arial Narrow" w:hAnsi="Arial Narrow"/>
                <w:lang w:val="es-ES_tradnl"/>
              </w:rPr>
            </w:pPr>
            <w:r w:rsidRPr="00414DFD">
              <w:rPr>
                <w:rFonts w:ascii="Arial Narrow" w:hAnsi="Arial Narrow"/>
                <w:b/>
                <w:lang w:val="es-ES_tradnl"/>
              </w:rPr>
              <w:t>Region:</w:t>
            </w:r>
            <w:r w:rsidRPr="00414DFD">
              <w:rPr>
                <w:rFonts w:ascii="Arial Narrow" w:hAnsi="Arial Narrow"/>
                <w:lang w:val="es-ES_tradnl"/>
              </w:rPr>
              <w:t xml:space="preserve"> Asia ex-Japan (Malaysia)</w:t>
            </w:r>
          </w:p>
          <w:p w:rsidR="00BC1D60" w:rsidRPr="00414DFD" w:rsidRDefault="00BC1D60" w:rsidP="00BC5B38">
            <w:pPr>
              <w:pStyle w:val="Body"/>
              <w:spacing w:after="120"/>
              <w:rPr>
                <w:rFonts w:ascii="Arial Narrow" w:hAnsi="Arial Narrow"/>
              </w:rPr>
            </w:pPr>
            <w:r w:rsidRPr="00414DFD">
              <w:rPr>
                <w:rFonts w:ascii="Arial Narrow" w:hAnsi="Arial Narrow"/>
                <w:b/>
              </w:rPr>
              <w:t>Sector:</w:t>
            </w:r>
            <w:r w:rsidRPr="00414DFD">
              <w:rPr>
                <w:rFonts w:ascii="Arial Narrow" w:hAnsi="Arial Narrow"/>
              </w:rPr>
              <w:t xml:space="preserve"> Real Estate</w:t>
            </w:r>
          </w:p>
          <w:p w:rsidR="00BC1D60" w:rsidRPr="00414DFD" w:rsidRDefault="00BC1D60" w:rsidP="00BC5B38">
            <w:pPr>
              <w:pStyle w:val="Body"/>
            </w:pPr>
          </w:p>
        </w:tc>
        <w:tc>
          <w:tcPr>
            <w:tcW w:w="4394" w:type="dxa"/>
            <w:shd w:val="clear" w:color="auto" w:fill="auto"/>
          </w:tcPr>
          <w:p w:rsidR="00BC1D60" w:rsidRPr="00414DFD" w:rsidRDefault="00BC1D60" w:rsidP="00BC5B38">
            <w:pPr>
              <w:pStyle w:val="Body"/>
              <w:jc w:val="right"/>
            </w:pPr>
            <w:r w:rsidRPr="00414DFD">
              <w:rPr>
                <w:noProof/>
              </w:rPr>
              <w:drawing>
                <wp:inline distT="0" distB="0" distL="0" distR="0">
                  <wp:extent cx="2505456" cy="1568163"/>
                  <wp:effectExtent l="19050" t="0" r="9144" b="0"/>
                  <wp:docPr id="31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3"/>
                          <a:srcRect/>
                          <a:stretch>
                            <a:fillRect/>
                          </a:stretch>
                        </pic:blipFill>
                        <pic:spPr bwMode="auto">
                          <a:xfrm>
                            <a:off x="0" y="0"/>
                            <a:ext cx="2505456" cy="1568163"/>
                          </a:xfrm>
                          <a:prstGeom prst="rect">
                            <a:avLst/>
                          </a:prstGeom>
                          <a:noFill/>
                          <a:ln w="9525">
                            <a:noFill/>
                            <a:miter lim="800000"/>
                            <a:headEnd/>
                            <a:tailEnd/>
                          </a:ln>
                        </pic:spPr>
                      </pic:pic>
                    </a:graphicData>
                  </a:graphic>
                </wp:inline>
              </w:drawing>
            </w:r>
            <w:r w:rsidRPr="00414DFD" w:rsidDel="00BD1C92">
              <w:t xml:space="preserve"> </w:t>
            </w:r>
          </w:p>
        </w:tc>
      </w:tr>
    </w:tbl>
    <w:p w:rsidR="00BC1D60" w:rsidRPr="00414DFD" w:rsidRDefault="00BC1D60" w:rsidP="00BC1D60">
      <w:pPr>
        <w:pStyle w:val="Source"/>
        <w:spacing w:before="0"/>
        <w:ind w:left="-3124" w:hanging="137"/>
      </w:pPr>
      <w:r w:rsidRPr="00414DFD">
        <w:rPr>
          <w:noProof/>
        </w:rPr>
        <w:drawing>
          <wp:inline distT="0" distB="0" distL="0" distR="0">
            <wp:extent cx="6702552" cy="2097297"/>
            <wp:effectExtent l="19050" t="0" r="3048" b="0"/>
            <wp:docPr id="102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4"/>
                    <a:srcRect/>
                    <a:stretch>
                      <a:fillRect/>
                    </a:stretch>
                  </pic:blipFill>
                  <pic:spPr bwMode="auto">
                    <a:xfrm>
                      <a:off x="0" y="0"/>
                      <a:ext cx="6702552" cy="2097297"/>
                    </a:xfrm>
                    <a:prstGeom prst="rect">
                      <a:avLst/>
                    </a:prstGeom>
                    <a:noFill/>
                    <a:ln w="9525">
                      <a:noFill/>
                      <a:miter lim="800000"/>
                      <a:headEnd/>
                      <a:tailEnd/>
                    </a:ln>
                  </pic:spPr>
                </pic:pic>
              </a:graphicData>
            </a:graphic>
          </wp:inline>
        </w:drawing>
      </w:r>
      <w:r>
        <w:t xml:space="preserve"> </w:t>
      </w:r>
      <w:r w:rsidRPr="00414DFD">
        <w:t>Source: Bloomberg, Datastream, Factset, J.P. Morgan</w:t>
      </w:r>
      <w:r w:rsidRPr="00414DFD">
        <w:br/>
      </w:r>
      <w:r w:rsidRPr="0087013D">
        <w:t>Prices as of 24 June 2014</w:t>
      </w:r>
    </w:p>
    <w:p w:rsidR="00BC1D60" w:rsidRPr="004F1ABB" w:rsidRDefault="00BC1D60" w:rsidP="00BC1D60">
      <w:pPr>
        <w:pStyle w:val="Body"/>
        <w:rPr>
          <w:b/>
          <w:color w:val="FF0000"/>
          <w:highlight w:val="yellow"/>
          <w:u w:val="single"/>
        </w:rPr>
      </w:pPr>
    </w:p>
    <w:p w:rsidR="00BC1D60" w:rsidRPr="004F1ABB" w:rsidRDefault="00BC1D60" w:rsidP="00BC1D60">
      <w:pPr>
        <w:pStyle w:val="Sidecomments"/>
        <w:framePr w:w="0" w:hRule="auto" w:wrap="around"/>
        <w:rPr>
          <w:highlight w:val="yellow"/>
        </w:rPr>
      </w:pPr>
      <w:r>
        <w:rPr>
          <w:noProof/>
        </w:rPr>
        <w:lastRenderedPageBreak/>
        <w:drawing>
          <wp:inline distT="0" distB="0" distL="0" distR="0">
            <wp:extent cx="1737360" cy="6427228"/>
            <wp:effectExtent l="19050" t="0" r="0" b="0"/>
            <wp:docPr id="10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5"/>
                    <a:srcRect/>
                    <a:stretch>
                      <a:fillRect/>
                    </a:stretch>
                  </pic:blipFill>
                  <pic:spPr bwMode="auto">
                    <a:xfrm>
                      <a:off x="0" y="0"/>
                      <a:ext cx="1737360" cy="6427228"/>
                    </a:xfrm>
                    <a:prstGeom prst="rect">
                      <a:avLst/>
                    </a:prstGeom>
                    <a:noFill/>
                    <a:ln w="9525">
                      <a:noFill/>
                      <a:miter lim="800000"/>
                      <a:headEnd/>
                      <a:tailEnd/>
                    </a:ln>
                  </pic:spPr>
                </pic:pic>
              </a:graphicData>
            </a:graphic>
          </wp:inline>
        </w:drawing>
      </w:r>
    </w:p>
    <w:p w:rsidR="00BC1D60" w:rsidRPr="00AD2E5D" w:rsidRDefault="00BC1D60" w:rsidP="00BC1D60">
      <w:pPr>
        <w:pStyle w:val="Heading1"/>
        <w:spacing w:before="0" w:after="120"/>
      </w:pPr>
      <w:bookmarkStart w:id="278" w:name="_Toc392099089"/>
      <w:bookmarkStart w:id="279" w:name="_Toc392081821"/>
      <w:bookmarkStart w:id="280" w:name="_Toc392081884"/>
      <w:r w:rsidRPr="00AD2E5D">
        <w:rPr>
          <w:rFonts w:eastAsiaTheme="minorEastAsia"/>
          <w:lang w:eastAsia="ko-KR"/>
        </w:rPr>
        <w:t>Mediobanca</w:t>
      </w:r>
      <w:r w:rsidRPr="00AD2E5D">
        <w:t xml:space="preserve"> (MB IM/Not Covered</w:t>
      </w:r>
      <w:r w:rsidRPr="00AD2E5D">
        <w:rPr>
          <w:rFonts w:eastAsiaTheme="minorEastAsia"/>
          <w:lang w:eastAsia="ko-KR"/>
        </w:rPr>
        <w:t>/€7.82</w:t>
      </w:r>
      <w:r w:rsidRPr="00AD2E5D">
        <w:t>)</w:t>
      </w:r>
      <w:bookmarkEnd w:id="278"/>
      <w:bookmarkEnd w:id="279"/>
      <w:bookmarkEnd w:id="280"/>
    </w:p>
    <w:p w:rsidR="00BC1D60" w:rsidRPr="001C7558" w:rsidRDefault="00BC1D60" w:rsidP="00BC1D60">
      <w:pPr>
        <w:pStyle w:val="Heading3"/>
      </w:pPr>
      <w:r w:rsidRPr="001C7558">
        <w:t>Investment Highlights:</w:t>
      </w:r>
    </w:p>
    <w:p w:rsidR="00BC1D60" w:rsidRPr="001C7558" w:rsidRDefault="00BC1D60" w:rsidP="00BC1D60">
      <w:pPr>
        <w:pStyle w:val="Bullet"/>
        <w:rPr>
          <w:lang w:val="en-GB" w:eastAsia="ja-JP"/>
        </w:rPr>
      </w:pPr>
      <w:r w:rsidRPr="001C7558">
        <w:rPr>
          <w:b/>
          <w:lang w:val="en-GB" w:eastAsia="ja-JP"/>
        </w:rPr>
        <w:t>A good fit with our SMid strategy views:</w:t>
      </w:r>
      <w:r w:rsidRPr="001C7558">
        <w:rPr>
          <w:lang w:val="en-GB" w:eastAsia="ja-JP"/>
        </w:rPr>
        <w:t xml:space="preserve"> MB represents exposure to a # of our OW themes this yr (i.e. Cont. Europe, Periphery, &amp; our preference for "Rerating" vs pure "Recovery" plays… one of few banks left &lt;1.0x P/TBV).   </w:t>
      </w:r>
    </w:p>
    <w:p w:rsidR="00BC1D60" w:rsidRPr="001C7558" w:rsidRDefault="00BC1D60" w:rsidP="00BC1D60">
      <w:pPr>
        <w:pStyle w:val="Bullet"/>
        <w:rPr>
          <w:b/>
          <w:lang w:val="en-GB" w:eastAsia="ja-JP"/>
        </w:rPr>
      </w:pPr>
      <w:r w:rsidRPr="001C7558">
        <w:rPr>
          <w:b/>
          <w:lang w:val="en-GB" w:eastAsia="ja-JP"/>
        </w:rPr>
        <w:t xml:space="preserve">Risk profile limited by resilient operations and sound Core Tier1 ratio. </w:t>
      </w:r>
      <w:r w:rsidRPr="001C7558">
        <w:rPr>
          <w:lang w:val="en-GB" w:eastAsia="ja-JP"/>
        </w:rPr>
        <w:t xml:space="preserve">Revs in all business areas are up or flat from Jun '07 levels, which has enabled the company to avoid raising capital and afford a grw mentality (headcount up ~20% 08-13).  MB’s </w:t>
      </w:r>
      <w:r w:rsidRPr="001C7558">
        <w:rPr>
          <w:lang w:val="en-GB"/>
        </w:rPr>
        <w:t>B3 CET1 is already &gt;10%</w:t>
      </w:r>
      <w:r w:rsidRPr="001C7558">
        <w:rPr>
          <w:lang w:val="en-GB" w:eastAsia="ja-JP"/>
        </w:rPr>
        <w:t xml:space="preserve">, NPL ratio is 5.4%, &amp; NPL coverage ratio is 46% (despite </w:t>
      </w:r>
      <w:r w:rsidRPr="001C7558">
        <w:rPr>
          <w:lang w:val="en-GB"/>
        </w:rPr>
        <w:t xml:space="preserve">provisioning rules in Italy being strict, not taking into account Guarantees or Collateral in their definition of NPLs).  </w:t>
      </w:r>
    </w:p>
    <w:p w:rsidR="00BC1D60" w:rsidRPr="00C416A8" w:rsidRDefault="00BC1D60" w:rsidP="00BC1D60">
      <w:pPr>
        <w:pStyle w:val="Bullet"/>
        <w:rPr>
          <w:lang w:val="en-GB" w:eastAsia="ja-JP"/>
        </w:rPr>
      </w:pPr>
      <w:r w:rsidRPr="001C7558">
        <w:rPr>
          <w:b/>
          <w:lang w:val="en-GB" w:eastAsia="ja-JP"/>
        </w:rPr>
        <w:t xml:space="preserve">A Grw Mentality/Reality.  </w:t>
      </w:r>
      <w:r w:rsidRPr="001C7558">
        <w:rPr>
          <w:lang w:val="en-GB" w:eastAsia="ja-JP"/>
        </w:rPr>
        <w:t>MB’s 14-16 business plan calls for investment in fee-generating/capital light businesses and significant grw in non-domestic revenues — 10% rev CAGR, 10-11% RoE, B3 CT1 of 11-12%, payout of 40%.... with fee income up from 25% of total income in ’13 to 40% in ’18 (WM being 15% of rev by then).  In recent yrs MB expanded its operations to include: a) Intl expansion of IB bus., b) a leading domestic consumer lending business (’07 acquisition of Linea + ’14 distribution agreement with MPS… mkt sh in new loans up from 6.6% in ’09 to 11.4% in ‘13), and c) a retail banking franchise renamed CheBanca in ’08… deposits up 13% and total income up 34% YoY in 1H14.  MB claims the IB fee pool grew 20% in EMEA in Q413; we expect a wave of M&amp;</w:t>
      </w:r>
      <w:r w:rsidRPr="00C416A8">
        <w:rPr>
          <w:lang w:val="en-GB" w:eastAsia="ja-JP"/>
        </w:rPr>
        <w:t xml:space="preserve">A/ECM in EU. </w:t>
      </w:r>
    </w:p>
    <w:p w:rsidR="00BC1D60" w:rsidRPr="00C416A8" w:rsidRDefault="00BC1D60" w:rsidP="00BC1D60">
      <w:pPr>
        <w:pStyle w:val="Bullet"/>
      </w:pPr>
      <w:r w:rsidRPr="00C416A8">
        <w:rPr>
          <w:b/>
        </w:rPr>
        <w:t xml:space="preserve">And all at discount valuations: </w:t>
      </w:r>
      <w:r w:rsidRPr="00C416A8">
        <w:rPr>
          <w:rFonts w:eastAsiaTheme="minorEastAsia"/>
          <w:lang w:eastAsia="ko-KR"/>
        </w:rPr>
        <w:t xml:space="preserve">JPM does not cover this bank and thus we have no recommendation or price target on the name.  According to Bloomberg, the bank is trading at a P/TBV of 0.89x, and a P/E 14E of 14.3x. JPM's bank coverage only has 10 banks in W. Europe trading below TBV and most have higher P/Es while all have lower Core Tier 1 Cap ratios.  MBs 14-16 business plan calls for the disposal of €1.5 Bill of equity stakes, MB has a 40% planned payout ratio, and it has returned €2.5 bn to shareholders (divs + buy-backs since ’05). </w:t>
      </w:r>
    </w:p>
    <w:p w:rsidR="00BC1D60" w:rsidRPr="00AD2E5D" w:rsidRDefault="00BC1D60" w:rsidP="00BC1D60">
      <w:pPr>
        <w:pStyle w:val="Heading3"/>
        <w:spacing w:after="120"/>
        <w:rPr>
          <w:b w:val="0"/>
        </w:rPr>
      </w:pPr>
      <w:r w:rsidRPr="00AD2E5D">
        <w:rPr>
          <w:rFonts w:eastAsiaTheme="minorEastAsia"/>
          <w:lang w:eastAsia="ko-KR"/>
        </w:rPr>
        <w:t>Mediobanca i</w:t>
      </w:r>
      <w:r w:rsidRPr="00AD2E5D">
        <w:t xml:space="preserve">n a Nutshell:  </w:t>
      </w:r>
      <w:r w:rsidRPr="00AD2E5D">
        <w:rPr>
          <w:rFonts w:cs="Times New Roman"/>
          <w:b w:val="0"/>
          <w:bCs w:val="0"/>
          <w:szCs w:val="24"/>
        </w:rPr>
        <w:t>Mediobanca is Italy's leading IB with a 60-yr history and a pole position in the country's M&amp;A league tables</w:t>
      </w:r>
      <w:r w:rsidRPr="00AD2E5D">
        <w:rPr>
          <w:b w:val="0"/>
          <w:lang w:val="en-GB"/>
        </w:rPr>
        <w:t xml:space="preserve">.  Beyond its Italian CIB operations (45% of MB's 13 revs), MB's business includes Retail &amp; Consumer (54% of revs), and Principal Investments (with a current mkt value of €4.9 Bill (13.2% stake in Generali, 4.5% stake in Pirelli, 13.9% in RCS, etc).  </w:t>
      </w:r>
    </w:p>
    <w:p w:rsidR="00BC1D60" w:rsidRPr="00AD2E5D" w:rsidRDefault="00BC1D60" w:rsidP="00BC1D60">
      <w:pPr>
        <w:pStyle w:val="Heading3"/>
        <w:spacing w:after="0"/>
      </w:pPr>
      <w:r w:rsidRPr="00AD2E5D">
        <w:t>Price Perf vs MSCI All Country World Small Cap (rebased as of 1-year ago)</w:t>
      </w:r>
    </w:p>
    <w:p w:rsidR="00BC1D60" w:rsidRPr="004F1ABB" w:rsidRDefault="00BC1D60" w:rsidP="00BC1D60">
      <w:pPr>
        <w:pStyle w:val="Body"/>
        <w:spacing w:after="0"/>
        <w:rPr>
          <w:noProof/>
          <w:highlight w:val="yellow"/>
          <w:lang w:val="en-GB" w:eastAsia="en-GB"/>
        </w:rPr>
      </w:pPr>
      <w:r>
        <w:rPr>
          <w:noProof/>
        </w:rPr>
        <w:drawing>
          <wp:inline distT="0" distB="0" distL="0" distR="0">
            <wp:extent cx="4352925" cy="1562100"/>
            <wp:effectExtent l="19050" t="0" r="9525" b="0"/>
            <wp:docPr id="10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6"/>
                    <a:srcRect t="6286"/>
                    <a:stretch>
                      <a:fillRect/>
                    </a:stretch>
                  </pic:blipFill>
                  <pic:spPr bwMode="auto">
                    <a:xfrm>
                      <a:off x="0" y="0"/>
                      <a:ext cx="4352925" cy="1562100"/>
                    </a:xfrm>
                    <a:prstGeom prst="rect">
                      <a:avLst/>
                    </a:prstGeom>
                    <a:noFill/>
                    <a:ln w="9525">
                      <a:noFill/>
                      <a:miter lim="800000"/>
                      <a:headEnd/>
                      <a:tailEnd/>
                    </a:ln>
                  </pic:spPr>
                </pic:pic>
              </a:graphicData>
            </a:graphic>
          </wp:inline>
        </w:drawing>
      </w:r>
    </w:p>
    <w:p w:rsidR="00BC1D60" w:rsidRPr="001C7558" w:rsidRDefault="00BC1D60" w:rsidP="00BC1D60">
      <w:pPr>
        <w:pStyle w:val="ESTableCaption"/>
        <w:keepNext/>
      </w:pPr>
      <w:r w:rsidRPr="001C7558">
        <w:t>BBG Consensus Estimates</w:t>
      </w:r>
      <w:r w:rsidRPr="001C7558">
        <w:br/>
      </w:r>
      <w:r>
        <w:drawing>
          <wp:inline distT="0" distB="0" distL="0" distR="0">
            <wp:extent cx="4352290" cy="765549"/>
            <wp:effectExtent l="19050" t="0" r="0" b="0"/>
            <wp:docPr id="10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7"/>
                    <a:srcRect/>
                    <a:stretch>
                      <a:fillRect/>
                    </a:stretch>
                  </pic:blipFill>
                  <pic:spPr bwMode="auto">
                    <a:xfrm>
                      <a:off x="0" y="0"/>
                      <a:ext cx="4352290" cy="765549"/>
                    </a:xfrm>
                    <a:prstGeom prst="rect">
                      <a:avLst/>
                    </a:prstGeom>
                    <a:noFill/>
                    <a:ln w="9525">
                      <a:noFill/>
                      <a:miter lim="800000"/>
                      <a:headEnd/>
                      <a:tailEnd/>
                    </a:ln>
                  </pic:spPr>
                </pic:pic>
              </a:graphicData>
            </a:graphic>
          </wp:inline>
        </w:drawing>
      </w:r>
    </w:p>
    <w:p w:rsidR="00BC1D60" w:rsidRPr="001C7558" w:rsidRDefault="00BC1D60" w:rsidP="00BC1D60">
      <w:pPr>
        <w:pStyle w:val="Source"/>
        <w:spacing w:after="0"/>
      </w:pPr>
      <w:r w:rsidRPr="001C7558">
        <w:t>Source: Company data, Bloomberg.</w:t>
      </w:r>
    </w:p>
    <w:p w:rsidR="00BC1D60" w:rsidRPr="004F1ABB" w:rsidRDefault="00BC1D60" w:rsidP="00BC1D60">
      <w:pPr>
        <w:rPr>
          <w:highlight w:val="yellow"/>
        </w:rPr>
      </w:pPr>
    </w:p>
    <w:p w:rsidR="00BC1D60" w:rsidRPr="004F1ABB" w:rsidRDefault="00BC1D60" w:rsidP="00BC1D60">
      <w:pPr>
        <w:pStyle w:val="Source"/>
        <w:spacing w:before="0" w:after="120" w:line="240" w:lineRule="auto"/>
        <w:rPr>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F1ABB" w:rsidRDefault="00BC1D60" w:rsidP="00BC1D60">
      <w:pPr>
        <w:pStyle w:val="Body"/>
        <w:rPr>
          <w:color w:val="FFFFFF" w:themeColor="background1"/>
          <w:highlight w:val="yellow"/>
        </w:rPr>
      </w:pPr>
    </w:p>
    <w:p w:rsidR="00BC1D60" w:rsidRPr="00414DFD" w:rsidRDefault="00BC1D60" w:rsidP="00BC1D60">
      <w:pPr>
        <w:pStyle w:val="Body"/>
        <w:rPr>
          <w:color w:val="FFFFFF" w:themeColor="background1"/>
        </w:rPr>
      </w:pPr>
    </w:p>
    <w:p w:rsidR="00BC1D60" w:rsidRPr="00414DFD" w:rsidRDefault="00BC1D60" w:rsidP="00BC1D60">
      <w:pPr>
        <w:pStyle w:val="Body"/>
        <w:rPr>
          <w:color w:val="FFFFFF" w:themeColor="background1"/>
        </w:rPr>
      </w:pPr>
    </w:p>
    <w:p w:rsidR="00BC1D60" w:rsidRPr="00414DFD" w:rsidRDefault="00BC1D60" w:rsidP="00BC1D60">
      <w:pPr>
        <w:spacing w:line="240" w:lineRule="atLeast"/>
        <w:ind w:left="357" w:hanging="357"/>
      </w:pPr>
      <w:r w:rsidRPr="007A4ECF">
        <w:rPr>
          <w:i/>
        </w:rPr>
        <w:t>This page is intentionally left blank</w:t>
      </w:r>
    </w:p>
    <w:p w:rsidR="00BC1D60" w:rsidRPr="00414DFD" w:rsidRDefault="00BC1D60" w:rsidP="00BC1D60">
      <w:pPr>
        <w:pStyle w:val="Body"/>
      </w:pPr>
    </w:p>
    <w:p w:rsidR="00BC1D60" w:rsidRPr="00414DFD" w:rsidRDefault="00BC1D60" w:rsidP="00BC1D60">
      <w:pPr>
        <w:spacing w:line="264" w:lineRule="atLeast"/>
        <w:ind w:left="-3125"/>
        <w:rPr>
          <w:rFonts w:ascii="Arial Narrow" w:hAnsi="Arial Narrow" w:cs="Arial"/>
          <w:b/>
          <w:sz w:val="16"/>
          <w:szCs w:val="16"/>
        </w:rPr>
      </w:pPr>
    </w:p>
    <w:p w:rsidR="00BC1D60" w:rsidRPr="00414DFD" w:rsidRDefault="00BC1D60" w:rsidP="00BC1D60">
      <w:pPr>
        <w:pStyle w:val="Source"/>
        <w:spacing w:before="0"/>
        <w:ind w:left="-3124" w:hanging="137"/>
      </w:pPr>
    </w:p>
    <w:p w:rsidR="00BC1D60" w:rsidRPr="004F1ABB" w:rsidRDefault="00BC1D60" w:rsidP="00BC1D60">
      <w:pPr>
        <w:pStyle w:val="Body"/>
        <w:rPr>
          <w:highlight w:val="yellow"/>
        </w:rPr>
      </w:pPr>
    </w:p>
    <w:p w:rsidR="00BC1D60" w:rsidRPr="004F1ABB" w:rsidRDefault="00BC1D60" w:rsidP="00BC1D60">
      <w:pPr>
        <w:pStyle w:val="Body"/>
        <w:rPr>
          <w:highlight w:val="yellow"/>
        </w:rPr>
      </w:pPr>
    </w:p>
    <w:p w:rsidR="00BC1D60" w:rsidRPr="004F1ABB" w:rsidRDefault="00BC1D60" w:rsidP="00BC1D60">
      <w:pPr>
        <w:pStyle w:val="Body"/>
        <w:rPr>
          <w:highlight w:val="yellow"/>
        </w:rPr>
      </w:pPr>
    </w:p>
    <w:p w:rsidR="00BC1D60" w:rsidRPr="004F1ABB" w:rsidRDefault="00BC1D60" w:rsidP="00BC1D60">
      <w:pPr>
        <w:pStyle w:val="Sidecomments"/>
        <w:framePr w:w="0" w:hRule="auto" w:wrap="around"/>
        <w:rPr>
          <w:highlight w:val="yellow"/>
        </w:rPr>
      </w:pPr>
      <w:r w:rsidRPr="00016375">
        <w:rPr>
          <w:noProof/>
        </w:rPr>
        <w:lastRenderedPageBreak/>
        <w:drawing>
          <wp:inline distT="0" distB="0" distL="0" distR="0">
            <wp:extent cx="1737360" cy="7712673"/>
            <wp:effectExtent l="19050" t="0" r="0" b="0"/>
            <wp:docPr id="1035"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8"/>
                    <a:srcRect/>
                    <a:stretch>
                      <a:fillRect/>
                    </a:stretch>
                  </pic:blipFill>
                  <pic:spPr bwMode="auto">
                    <a:xfrm>
                      <a:off x="0" y="0"/>
                      <a:ext cx="1737360" cy="7712673"/>
                    </a:xfrm>
                    <a:prstGeom prst="rect">
                      <a:avLst/>
                    </a:prstGeom>
                    <a:noFill/>
                    <a:ln w="9525">
                      <a:noFill/>
                      <a:miter lim="800000"/>
                      <a:headEnd/>
                      <a:tailEnd/>
                    </a:ln>
                  </pic:spPr>
                </pic:pic>
              </a:graphicData>
            </a:graphic>
          </wp:inline>
        </w:drawing>
      </w:r>
    </w:p>
    <w:p w:rsidR="00BC1D60" w:rsidRPr="00016375" w:rsidRDefault="00BC1D60" w:rsidP="00BC1D60">
      <w:pPr>
        <w:pStyle w:val="Heading1"/>
        <w:spacing w:after="200"/>
        <w:rPr>
          <w:lang w:eastAsia="ja-JP"/>
        </w:rPr>
      </w:pPr>
      <w:bookmarkStart w:id="281" w:name="_Toc384136010"/>
      <w:bookmarkStart w:id="282" w:name="_Toc392099090"/>
      <w:bookmarkStart w:id="283" w:name="_Toc392081822"/>
      <w:bookmarkStart w:id="284" w:name="_Toc392081885"/>
      <w:r w:rsidRPr="00016375">
        <w:rPr>
          <w:rFonts w:eastAsiaTheme="minorEastAsia" w:hint="eastAsia"/>
          <w:lang w:eastAsia="ja-JP"/>
        </w:rPr>
        <w:t>Nihon Kohden</w:t>
      </w:r>
      <w:r w:rsidRPr="00016375">
        <w:rPr>
          <w:lang w:eastAsia="ja-JP"/>
        </w:rPr>
        <w:t xml:space="preserve"> (</w:t>
      </w:r>
      <w:r w:rsidRPr="00016375">
        <w:rPr>
          <w:rFonts w:eastAsiaTheme="minorEastAsia" w:hint="eastAsia"/>
          <w:lang w:eastAsia="ja-JP"/>
        </w:rPr>
        <w:t>6849</w:t>
      </w:r>
      <w:r w:rsidRPr="00016375">
        <w:rPr>
          <w:lang w:eastAsia="ja-JP"/>
        </w:rPr>
        <w:t xml:space="preserve"> </w:t>
      </w:r>
      <w:r w:rsidRPr="00016375">
        <w:rPr>
          <w:rFonts w:eastAsiaTheme="minorEastAsia" w:hint="eastAsia"/>
          <w:lang w:eastAsia="ja-JP"/>
        </w:rPr>
        <w:t>JT</w:t>
      </w:r>
      <w:r w:rsidRPr="00016375">
        <w:rPr>
          <w:rFonts w:eastAsiaTheme="minorEastAsia"/>
          <w:lang w:eastAsia="ja-JP"/>
        </w:rPr>
        <w:t xml:space="preserve"> </w:t>
      </w:r>
      <w:r w:rsidRPr="00016375">
        <w:rPr>
          <w:lang w:eastAsia="ja-JP"/>
        </w:rPr>
        <w:t xml:space="preserve">/ </w:t>
      </w:r>
      <w:r w:rsidRPr="00016375">
        <w:rPr>
          <w:rFonts w:eastAsiaTheme="minorEastAsia" w:hint="eastAsia"/>
          <w:lang w:eastAsia="ja-JP"/>
        </w:rPr>
        <w:t>OW</w:t>
      </w:r>
      <w:r w:rsidRPr="00016375">
        <w:rPr>
          <w:lang w:eastAsia="ja-JP"/>
        </w:rPr>
        <w:t xml:space="preserve"> / </w:t>
      </w:r>
      <w:r w:rsidRPr="00016375">
        <w:t>¥</w:t>
      </w:r>
      <w:r w:rsidRPr="00016375">
        <w:rPr>
          <w:rFonts w:eastAsiaTheme="minorEastAsia"/>
          <w:lang w:eastAsia="ja-JP"/>
        </w:rPr>
        <w:t>4,945</w:t>
      </w:r>
      <w:r w:rsidRPr="00016375">
        <w:rPr>
          <w:lang w:eastAsia="ja-JP"/>
        </w:rPr>
        <w:t>)</w:t>
      </w:r>
      <w:bookmarkEnd w:id="281"/>
      <w:bookmarkEnd w:id="282"/>
      <w:bookmarkEnd w:id="283"/>
      <w:bookmarkEnd w:id="284"/>
    </w:p>
    <w:p w:rsidR="00BC1D60" w:rsidRPr="00016375" w:rsidRDefault="00BC1D60" w:rsidP="00BC1D60">
      <w:pPr>
        <w:pStyle w:val="Heading2"/>
        <w:spacing w:after="80"/>
        <w:rPr>
          <w:i/>
        </w:rPr>
      </w:pPr>
      <w:r w:rsidRPr="00016375">
        <w:rPr>
          <w:i/>
        </w:rPr>
        <w:t>Expanding globally with electroencephalography devices and patient monitors</w:t>
      </w:r>
    </w:p>
    <w:p w:rsidR="00BC1D60" w:rsidRPr="00016375" w:rsidRDefault="00BC1D60" w:rsidP="00BC1D60">
      <w:pPr>
        <w:pStyle w:val="Heading3"/>
        <w:spacing w:after="0"/>
      </w:pPr>
      <w:r w:rsidRPr="00016375">
        <w:t>Investment Highlights:</w:t>
      </w:r>
    </w:p>
    <w:p w:rsidR="00BC1D60" w:rsidRPr="00016375" w:rsidRDefault="00BC1D60" w:rsidP="00BC1D60">
      <w:pPr>
        <w:pStyle w:val="Bullet"/>
        <w:tabs>
          <w:tab w:val="clear" w:pos="288"/>
          <w:tab w:val="left" w:pos="450"/>
        </w:tabs>
        <w:spacing w:after="60"/>
        <w:ind w:left="207" w:right="-49" w:hanging="207"/>
      </w:pPr>
      <w:r w:rsidRPr="00016375">
        <w:t xml:space="preserve">Nihon Kohden has the top global market share in electroencephalography devices and it has gained market share among the top 50 hospitals in the US, an area of focus for the company, while building strong relationships with prominent hospitals and doctors. This, in turn, has enabled the company to be successful in developing countries as well. We expect the company to leverage its proprietary sensor technology to strengthen its competiveness. </w:t>
      </w:r>
    </w:p>
    <w:p w:rsidR="00BC1D60" w:rsidRPr="00016375" w:rsidRDefault="00BC1D60" w:rsidP="00BC1D60">
      <w:pPr>
        <w:pStyle w:val="Bullet"/>
        <w:tabs>
          <w:tab w:val="clear" w:pos="288"/>
          <w:tab w:val="left" w:pos="450"/>
        </w:tabs>
        <w:spacing w:after="60"/>
        <w:ind w:left="207" w:right="-49" w:hanging="207"/>
      </w:pPr>
      <w:r w:rsidRPr="00016375">
        <w:t xml:space="preserve">The co. aims to catch up with rivals Philips and General Electric in the patient monitoring business by gaining a foothold in the US mkt with its line of Prefense patient monitors. Package orders remain strong and the co. is making steady progress toward reaching double-digit mkt share with global new product launches. </w:t>
      </w:r>
    </w:p>
    <w:p w:rsidR="00BC1D60" w:rsidRPr="00016375" w:rsidRDefault="00BC1D60" w:rsidP="00BC1D60">
      <w:pPr>
        <w:pStyle w:val="Bullet"/>
        <w:tabs>
          <w:tab w:val="clear" w:pos="288"/>
          <w:tab w:val="left" w:pos="450"/>
        </w:tabs>
        <w:spacing w:after="60"/>
        <w:ind w:left="207" w:right="-49" w:hanging="207"/>
      </w:pPr>
      <w:r w:rsidRPr="00016375">
        <w:t>In the Japanese market, we expect the company to benefit from the allocation of government funds to revitalize regional healthcare systems and continued upgrading of the capabilities of hospitals, resulting in strong growth in sales of a wide range of products, including clinical testing equipment.</w:t>
      </w:r>
      <w:bookmarkStart w:id="285" w:name="_GoBack"/>
      <w:bookmarkEnd w:id="285"/>
    </w:p>
    <w:p w:rsidR="00BC1D60" w:rsidRPr="00016375" w:rsidRDefault="00BC1D60" w:rsidP="00BC1D60">
      <w:pPr>
        <w:pStyle w:val="Bullet"/>
        <w:tabs>
          <w:tab w:val="clear" w:pos="288"/>
          <w:tab w:val="left" w:pos="450"/>
        </w:tabs>
        <w:spacing w:after="60"/>
        <w:ind w:left="207" w:right="-49" w:hanging="207"/>
      </w:pPr>
      <w:r w:rsidRPr="00016375">
        <w:t xml:space="preserve">The company's medium-term business plan targets FY2016 sales of ¥170 billion and operating profit of ¥18 billion and FY2019 sales of ¥200 billion and operating profit of ¥25 billion. Based on recent trends, we expect the company to reach its profit targets ahead of schedule. </w:t>
      </w:r>
    </w:p>
    <w:p w:rsidR="00BC1D60" w:rsidRPr="00016375" w:rsidRDefault="00BC1D60" w:rsidP="00BC1D60">
      <w:pPr>
        <w:widowControl w:val="0"/>
        <w:autoSpaceDE w:val="0"/>
        <w:autoSpaceDN w:val="0"/>
        <w:adjustRightInd w:val="0"/>
        <w:spacing w:after="80"/>
        <w:rPr>
          <w:sz w:val="20"/>
          <w:szCs w:val="20"/>
        </w:rPr>
      </w:pPr>
      <w:r w:rsidRPr="00016375">
        <w:rPr>
          <w:b/>
          <w:sz w:val="20"/>
          <w:szCs w:val="20"/>
        </w:rPr>
        <w:t xml:space="preserve">Valuation / Risks to our View: </w:t>
      </w:r>
      <w:r w:rsidRPr="00016375">
        <w:rPr>
          <w:sz w:val="20"/>
          <w:szCs w:val="20"/>
        </w:rPr>
        <w:t xml:space="preserve">Our </w:t>
      </w:r>
      <w:r>
        <w:rPr>
          <w:sz w:val="20"/>
          <w:szCs w:val="20"/>
        </w:rPr>
        <w:t xml:space="preserve">Dec-14 </w:t>
      </w:r>
      <w:r w:rsidRPr="00016375">
        <w:rPr>
          <w:sz w:val="20"/>
          <w:szCs w:val="20"/>
        </w:rPr>
        <w:t>price target is ¥</w:t>
      </w:r>
      <w:r>
        <w:rPr>
          <w:sz w:val="20"/>
          <w:szCs w:val="20"/>
        </w:rPr>
        <w:t>6000</w:t>
      </w:r>
      <w:r w:rsidRPr="00016375">
        <w:rPr>
          <w:sz w:val="20"/>
          <w:szCs w:val="20"/>
        </w:rPr>
        <w:t xml:space="preserve">, based on a one-year forward P/E of 20x. Risks include a decline in hospital capex resulting from an economic slowdown. </w:t>
      </w:r>
    </w:p>
    <w:p w:rsidR="00BC1D60" w:rsidRPr="00016375" w:rsidRDefault="00BC1D60" w:rsidP="00BC1D60">
      <w:pPr>
        <w:spacing w:after="80"/>
        <w:rPr>
          <w:sz w:val="20"/>
          <w:szCs w:val="20"/>
        </w:rPr>
      </w:pPr>
      <w:r w:rsidRPr="00016375">
        <w:rPr>
          <w:rFonts w:eastAsiaTheme="minorEastAsia" w:hint="eastAsia"/>
          <w:b/>
          <w:sz w:val="20"/>
          <w:szCs w:val="20"/>
          <w:lang w:eastAsia="ja-JP"/>
        </w:rPr>
        <w:t>Nihon Kohden</w:t>
      </w:r>
      <w:r w:rsidRPr="00016375">
        <w:rPr>
          <w:b/>
          <w:sz w:val="20"/>
          <w:szCs w:val="20"/>
          <w:lang w:eastAsia="ja-JP"/>
        </w:rPr>
        <w:t xml:space="preserve"> in a Nutshell:</w:t>
      </w:r>
      <w:r>
        <w:rPr>
          <w:b/>
          <w:sz w:val="20"/>
          <w:szCs w:val="20"/>
          <w:lang w:eastAsia="ja-JP"/>
        </w:rPr>
        <w:t xml:space="preserve"> </w:t>
      </w:r>
      <w:r w:rsidRPr="00016375">
        <w:rPr>
          <w:sz w:val="20"/>
          <w:szCs w:val="20"/>
        </w:rPr>
        <w:t xml:space="preserve">Nihon Kohden is the top global company in </w:t>
      </w:r>
      <w:r w:rsidRPr="00016375">
        <w:rPr>
          <w:color w:val="1A1A1A"/>
          <w:sz w:val="20"/>
          <w:szCs w:val="20"/>
        </w:rPr>
        <w:t xml:space="preserve">electroencephalography devices and its main business is patient monitoring systems for hospitals. The company controls an overwhelming market share in both of these businesses in the Japanese market and is expanding globally by launching a wide range of testing equipment, including automated external defibrillators (AEDs). </w:t>
      </w:r>
    </w:p>
    <w:p w:rsidR="00BC1D60" w:rsidRPr="00016375" w:rsidRDefault="00BC1D60" w:rsidP="00BC1D60">
      <w:pPr>
        <w:pStyle w:val="Heading3"/>
      </w:pPr>
      <w:r w:rsidRPr="00016375">
        <w:t>Price Perf vs MSCI All Country World Small Cap (rebased as of 1-year ago)</w:t>
      </w:r>
    </w:p>
    <w:p w:rsidR="00BC1D60" w:rsidRPr="00016375" w:rsidRDefault="00BC1D60" w:rsidP="00BC1D60">
      <w:pPr>
        <w:pStyle w:val="Body"/>
        <w:spacing w:after="120"/>
        <w:rPr>
          <w:noProof/>
          <w:lang w:val="en-GB" w:eastAsia="en-GB"/>
        </w:rPr>
      </w:pPr>
      <w:r w:rsidRPr="00016375">
        <w:rPr>
          <w:noProof/>
        </w:rPr>
        <w:drawing>
          <wp:inline distT="0" distB="0" distL="0" distR="0">
            <wp:extent cx="4352925" cy="1524000"/>
            <wp:effectExtent l="19050" t="0" r="9525" b="0"/>
            <wp:docPr id="1036"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9"/>
                    <a:srcRect t="5143" b="3429"/>
                    <a:stretch>
                      <a:fillRect/>
                    </a:stretch>
                  </pic:blipFill>
                  <pic:spPr bwMode="auto">
                    <a:xfrm>
                      <a:off x="0" y="0"/>
                      <a:ext cx="4352925" cy="1524000"/>
                    </a:xfrm>
                    <a:prstGeom prst="rect">
                      <a:avLst/>
                    </a:prstGeom>
                    <a:noFill/>
                    <a:ln w="9525">
                      <a:noFill/>
                      <a:miter lim="800000"/>
                      <a:headEnd/>
                      <a:tailEnd/>
                    </a:ln>
                  </pic:spPr>
                </pic:pic>
              </a:graphicData>
            </a:graphic>
          </wp:inline>
        </w:drawing>
      </w:r>
    </w:p>
    <w:p w:rsidR="00BC1D60" w:rsidRDefault="00BC1D60" w:rsidP="00BC1D60">
      <w:pPr>
        <w:pStyle w:val="ESTableCaption"/>
        <w:keepNext/>
      </w:pPr>
      <w:r w:rsidRPr="00016375">
        <w:t>J.P. Morgan Estimates</w:t>
      </w:r>
      <w:r w:rsidRPr="00016375">
        <w:br/>
      </w:r>
      <w:r>
        <w:rPr>
          <w:sz w:val="16"/>
        </w:rPr>
        <w:t>Nihon Kohden Corporation (Reuters: 6849.T, Bloomberg: 6849 JT)</w:t>
      </w:r>
    </w:p>
    <w:tbl>
      <w:tblPr>
        <w:tblW w:w="5000" w:type="pct"/>
        <w:tblCellMar>
          <w:left w:w="0" w:type="dxa"/>
          <w:right w:w="43" w:type="dxa"/>
        </w:tblCellMar>
        <w:tblLook w:val="01E0"/>
      </w:tblPr>
      <w:tblGrid>
        <w:gridCol w:w="1782"/>
        <w:gridCol w:w="1023"/>
        <w:gridCol w:w="1023"/>
        <w:gridCol w:w="1023"/>
        <w:gridCol w:w="1023"/>
        <w:gridCol w:w="1023"/>
      </w:tblGrid>
      <w:tr w:rsidR="00BC1D60" w:rsidTr="00BC5B38">
        <w:trPr>
          <w:cantSplit/>
        </w:trPr>
        <w:tc>
          <w:tcPr>
            <w:tcW w:w="1768" w:type="dxa"/>
            <w:tcBorders>
              <w:top w:val="single" w:sz="4" w:space="0" w:color="auto"/>
            </w:tcBorders>
          </w:tcPr>
          <w:p w:rsidR="00BC1D60" w:rsidRDefault="00BC1D60" w:rsidP="00BC5B38">
            <w:pPr>
              <w:pStyle w:val="ESTableRow"/>
              <w:keepNext/>
            </w:pPr>
          </w:p>
        </w:tc>
        <w:tc>
          <w:tcPr>
            <w:tcW w:w="1016" w:type="dxa"/>
            <w:tcBorders>
              <w:top w:val="single" w:sz="4" w:space="0" w:color="auto"/>
            </w:tcBorders>
          </w:tcPr>
          <w:p w:rsidR="00BC1D60" w:rsidRDefault="00BC1D60" w:rsidP="00BC5B38">
            <w:pPr>
              <w:pStyle w:val="ESTableRow"/>
              <w:keepNext/>
              <w:jc w:val="right"/>
            </w:pPr>
            <w:r>
              <w:rPr>
                <w:rFonts w:ascii="Arial Narrow"/>
                <w:b/>
              </w:rPr>
              <w:t xml:space="preserve">2013/3 </w:t>
            </w:r>
          </w:p>
        </w:tc>
        <w:tc>
          <w:tcPr>
            <w:tcW w:w="1016" w:type="dxa"/>
            <w:tcBorders>
              <w:top w:val="single" w:sz="4" w:space="0" w:color="auto"/>
            </w:tcBorders>
          </w:tcPr>
          <w:p w:rsidR="00BC1D60" w:rsidRDefault="00BC1D60" w:rsidP="00BC5B38">
            <w:pPr>
              <w:pStyle w:val="ESTableRow"/>
              <w:keepNext/>
              <w:jc w:val="right"/>
            </w:pPr>
            <w:r>
              <w:rPr>
                <w:rFonts w:ascii="Arial Narrow"/>
                <w:b/>
              </w:rPr>
              <w:t xml:space="preserve">2014/3 </w:t>
            </w:r>
          </w:p>
        </w:tc>
        <w:tc>
          <w:tcPr>
            <w:tcW w:w="1016" w:type="dxa"/>
            <w:tcBorders>
              <w:top w:val="single" w:sz="4" w:space="0" w:color="auto"/>
            </w:tcBorders>
          </w:tcPr>
          <w:p w:rsidR="00BC1D60" w:rsidRDefault="00BC1D60" w:rsidP="00BC5B38">
            <w:pPr>
              <w:pStyle w:val="ESTableRow"/>
              <w:keepNext/>
              <w:jc w:val="right"/>
            </w:pPr>
            <w:r>
              <w:rPr>
                <w:rFonts w:ascii="Arial Narrow"/>
                <w:b/>
              </w:rPr>
              <w:t>2015/3 E</w:t>
            </w:r>
          </w:p>
        </w:tc>
        <w:tc>
          <w:tcPr>
            <w:tcW w:w="1016" w:type="dxa"/>
            <w:tcBorders>
              <w:top w:val="single" w:sz="4" w:space="0" w:color="auto"/>
            </w:tcBorders>
          </w:tcPr>
          <w:p w:rsidR="00BC1D60" w:rsidRDefault="00BC1D60" w:rsidP="00BC5B38">
            <w:pPr>
              <w:pStyle w:val="ESTableRow"/>
              <w:keepNext/>
              <w:jc w:val="right"/>
            </w:pPr>
            <w:r>
              <w:rPr>
                <w:rFonts w:ascii="Arial Narrow"/>
                <w:b/>
              </w:rPr>
              <w:t>2016/3 E</w:t>
            </w:r>
          </w:p>
        </w:tc>
        <w:tc>
          <w:tcPr>
            <w:tcW w:w="1016" w:type="dxa"/>
            <w:tcBorders>
              <w:top w:val="single" w:sz="4" w:space="0" w:color="auto"/>
            </w:tcBorders>
          </w:tcPr>
          <w:p w:rsidR="00BC1D60" w:rsidRDefault="00BC1D60" w:rsidP="00BC5B38">
            <w:pPr>
              <w:pStyle w:val="ESTableRow"/>
              <w:keepNext/>
              <w:jc w:val="right"/>
            </w:pPr>
            <w:r>
              <w:rPr>
                <w:rFonts w:ascii="Arial Narrow"/>
                <w:b/>
              </w:rPr>
              <w:t>2017/3 E</w:t>
            </w:r>
          </w:p>
        </w:tc>
      </w:tr>
      <w:tr w:rsidR="00BC1D60" w:rsidTr="00BC5B38">
        <w:trPr>
          <w:cantSplit/>
        </w:trPr>
        <w:tc>
          <w:tcPr>
            <w:tcW w:w="1768" w:type="dxa"/>
            <w:tcBorders>
              <w:top w:val="single" w:sz="4" w:space="0" w:color="auto"/>
            </w:tcBorders>
          </w:tcPr>
          <w:p w:rsidR="00BC1D60" w:rsidRDefault="00BC1D60" w:rsidP="00BC5B38">
            <w:pPr>
              <w:pStyle w:val="ESTableRow"/>
              <w:keepNext/>
            </w:pPr>
            <w:r>
              <w:rPr>
                <w:rFonts w:ascii="Arial Narrow"/>
              </w:rPr>
              <w:t>Sales (</w:t>
            </w:r>
            <w:r>
              <w:rPr>
                <w:rFonts w:ascii="Arial Narrow"/>
              </w:rPr>
              <w:t>¥</w:t>
            </w:r>
            <w:r>
              <w:rPr>
                <w:rFonts w:ascii="Arial Narrow"/>
              </w:rPr>
              <w:t xml:space="preserve"> bn)</w:t>
            </w:r>
          </w:p>
        </w:tc>
        <w:tc>
          <w:tcPr>
            <w:tcW w:w="1016" w:type="dxa"/>
            <w:tcBorders>
              <w:top w:val="single" w:sz="4" w:space="0" w:color="auto"/>
            </w:tcBorders>
          </w:tcPr>
          <w:p w:rsidR="00BC1D60" w:rsidRDefault="00BC1D60" w:rsidP="00BC5B38">
            <w:pPr>
              <w:pStyle w:val="ESTableRow"/>
              <w:keepNext/>
              <w:jc w:val="right"/>
            </w:pPr>
            <w:r>
              <w:rPr>
                <w:rFonts w:ascii="Arial Narrow"/>
              </w:rPr>
              <w:t>132.5</w:t>
            </w:r>
          </w:p>
        </w:tc>
        <w:tc>
          <w:tcPr>
            <w:tcW w:w="1016" w:type="dxa"/>
            <w:tcBorders>
              <w:top w:val="single" w:sz="4" w:space="0" w:color="auto"/>
            </w:tcBorders>
          </w:tcPr>
          <w:p w:rsidR="00BC1D60" w:rsidRDefault="00BC1D60" w:rsidP="00BC5B38">
            <w:pPr>
              <w:pStyle w:val="ESTableRow"/>
              <w:keepNext/>
              <w:jc w:val="right"/>
            </w:pPr>
            <w:r>
              <w:rPr>
                <w:rFonts w:ascii="Arial Narrow"/>
              </w:rPr>
              <w:t>153.2</w:t>
            </w:r>
          </w:p>
        </w:tc>
        <w:tc>
          <w:tcPr>
            <w:tcW w:w="1016" w:type="dxa"/>
            <w:tcBorders>
              <w:top w:val="single" w:sz="4" w:space="0" w:color="auto"/>
            </w:tcBorders>
          </w:tcPr>
          <w:p w:rsidR="00BC1D60" w:rsidRDefault="00BC1D60" w:rsidP="00BC5B38">
            <w:pPr>
              <w:pStyle w:val="ESTableRow"/>
              <w:keepNext/>
              <w:jc w:val="right"/>
            </w:pPr>
            <w:r>
              <w:rPr>
                <w:rFonts w:ascii="Arial Narrow"/>
              </w:rPr>
              <w:t>160.6</w:t>
            </w:r>
          </w:p>
        </w:tc>
        <w:tc>
          <w:tcPr>
            <w:tcW w:w="1016" w:type="dxa"/>
            <w:tcBorders>
              <w:top w:val="single" w:sz="4" w:space="0" w:color="auto"/>
            </w:tcBorders>
          </w:tcPr>
          <w:p w:rsidR="00BC1D60" w:rsidRDefault="00BC1D60" w:rsidP="00BC5B38">
            <w:pPr>
              <w:pStyle w:val="ESTableRow"/>
              <w:keepNext/>
              <w:jc w:val="right"/>
            </w:pPr>
            <w:r>
              <w:rPr>
                <w:rFonts w:ascii="Arial Narrow"/>
              </w:rPr>
              <w:t>170.3</w:t>
            </w:r>
          </w:p>
        </w:tc>
        <w:tc>
          <w:tcPr>
            <w:tcW w:w="1016" w:type="dxa"/>
            <w:tcBorders>
              <w:top w:val="single" w:sz="4" w:space="0" w:color="auto"/>
            </w:tcBorders>
          </w:tcPr>
          <w:p w:rsidR="00BC1D60" w:rsidRDefault="00BC1D60" w:rsidP="00BC5B38">
            <w:pPr>
              <w:pStyle w:val="ESTableRow"/>
              <w:keepNext/>
              <w:jc w:val="right"/>
            </w:pPr>
            <w:r>
              <w:rPr>
                <w:rFonts w:ascii="Arial Narrow"/>
              </w:rPr>
              <w:t>178.2</w:t>
            </w:r>
          </w:p>
        </w:tc>
      </w:tr>
      <w:tr w:rsidR="00BC1D60" w:rsidTr="00BC5B38">
        <w:trPr>
          <w:cantSplit/>
        </w:trPr>
        <w:tc>
          <w:tcPr>
            <w:tcW w:w="1768" w:type="dxa"/>
          </w:tcPr>
          <w:p w:rsidR="00BC1D60" w:rsidRDefault="00BC1D60" w:rsidP="00BC5B38">
            <w:pPr>
              <w:pStyle w:val="ESTableRow"/>
              <w:keepNext/>
            </w:pPr>
            <w:r>
              <w:rPr>
                <w:rFonts w:ascii="Arial Narrow"/>
              </w:rPr>
              <w:t>Operating Profit (</w:t>
            </w:r>
            <w:r>
              <w:rPr>
                <w:rFonts w:ascii="Arial Narrow"/>
              </w:rPr>
              <w:t>¥</w:t>
            </w:r>
            <w:r>
              <w:rPr>
                <w:rFonts w:ascii="Arial Narrow"/>
              </w:rPr>
              <w:t xml:space="preserve"> bn)</w:t>
            </w:r>
          </w:p>
        </w:tc>
        <w:tc>
          <w:tcPr>
            <w:tcW w:w="1016" w:type="dxa"/>
          </w:tcPr>
          <w:p w:rsidR="00BC1D60" w:rsidRDefault="00BC1D60" w:rsidP="00BC5B38">
            <w:pPr>
              <w:pStyle w:val="ESTableRow"/>
              <w:keepNext/>
              <w:jc w:val="right"/>
            </w:pPr>
            <w:r>
              <w:rPr>
                <w:rFonts w:ascii="Arial Narrow"/>
              </w:rPr>
              <w:t>13.5</w:t>
            </w:r>
          </w:p>
        </w:tc>
        <w:tc>
          <w:tcPr>
            <w:tcW w:w="1016" w:type="dxa"/>
          </w:tcPr>
          <w:p w:rsidR="00BC1D60" w:rsidRDefault="00BC1D60" w:rsidP="00BC5B38">
            <w:pPr>
              <w:pStyle w:val="ESTableRow"/>
              <w:keepNext/>
              <w:jc w:val="right"/>
            </w:pPr>
            <w:r>
              <w:rPr>
                <w:rFonts w:ascii="Arial Narrow"/>
              </w:rPr>
              <w:t>17.5</w:t>
            </w:r>
          </w:p>
        </w:tc>
        <w:tc>
          <w:tcPr>
            <w:tcW w:w="1016" w:type="dxa"/>
          </w:tcPr>
          <w:p w:rsidR="00BC1D60" w:rsidRDefault="00BC1D60" w:rsidP="00BC5B38">
            <w:pPr>
              <w:pStyle w:val="ESTableRow"/>
              <w:keepNext/>
              <w:jc w:val="right"/>
            </w:pPr>
            <w:r>
              <w:rPr>
                <w:rFonts w:ascii="Arial Narrow"/>
              </w:rPr>
              <w:t>18.4</w:t>
            </w:r>
          </w:p>
        </w:tc>
        <w:tc>
          <w:tcPr>
            <w:tcW w:w="1016" w:type="dxa"/>
          </w:tcPr>
          <w:p w:rsidR="00BC1D60" w:rsidRDefault="00BC1D60" w:rsidP="00BC5B38">
            <w:pPr>
              <w:pStyle w:val="ESTableRow"/>
              <w:keepNext/>
              <w:jc w:val="right"/>
            </w:pPr>
            <w:r>
              <w:rPr>
                <w:rFonts w:ascii="Arial Narrow"/>
              </w:rPr>
              <w:t>20.4</w:t>
            </w:r>
          </w:p>
        </w:tc>
        <w:tc>
          <w:tcPr>
            <w:tcW w:w="1016" w:type="dxa"/>
          </w:tcPr>
          <w:p w:rsidR="00BC1D60" w:rsidRDefault="00BC1D60" w:rsidP="00BC5B38">
            <w:pPr>
              <w:pStyle w:val="ESTableRow"/>
              <w:keepNext/>
              <w:jc w:val="right"/>
            </w:pPr>
            <w:r>
              <w:rPr>
                <w:rFonts w:ascii="Arial Narrow"/>
              </w:rPr>
              <w:t>22.1</w:t>
            </w:r>
          </w:p>
        </w:tc>
      </w:tr>
      <w:tr w:rsidR="00BC1D60" w:rsidTr="00BC5B38">
        <w:trPr>
          <w:cantSplit/>
        </w:trPr>
        <w:tc>
          <w:tcPr>
            <w:tcW w:w="1768" w:type="dxa"/>
          </w:tcPr>
          <w:p w:rsidR="00BC1D60" w:rsidRDefault="00BC1D60" w:rsidP="00BC5B38">
            <w:pPr>
              <w:pStyle w:val="ESTableRow"/>
              <w:keepNext/>
            </w:pPr>
            <w:r>
              <w:rPr>
                <w:rFonts w:ascii="Arial Narrow"/>
              </w:rPr>
              <w:t>Recurring Profit (</w:t>
            </w:r>
            <w:r>
              <w:rPr>
                <w:rFonts w:ascii="Arial Narrow"/>
              </w:rPr>
              <w:t>¥</w:t>
            </w:r>
            <w:r>
              <w:rPr>
                <w:rFonts w:ascii="Arial Narrow"/>
              </w:rPr>
              <w:t xml:space="preserve"> bn)</w:t>
            </w:r>
          </w:p>
        </w:tc>
        <w:tc>
          <w:tcPr>
            <w:tcW w:w="1016" w:type="dxa"/>
          </w:tcPr>
          <w:p w:rsidR="00BC1D60" w:rsidRDefault="00BC1D60" w:rsidP="00BC5B38">
            <w:pPr>
              <w:pStyle w:val="ESTableRow"/>
              <w:keepNext/>
              <w:jc w:val="right"/>
            </w:pPr>
            <w:r>
              <w:rPr>
                <w:rFonts w:ascii="Arial Narrow"/>
              </w:rPr>
              <w:t>14.7</w:t>
            </w:r>
          </w:p>
        </w:tc>
        <w:tc>
          <w:tcPr>
            <w:tcW w:w="1016" w:type="dxa"/>
          </w:tcPr>
          <w:p w:rsidR="00BC1D60" w:rsidRDefault="00BC1D60" w:rsidP="00BC5B38">
            <w:pPr>
              <w:pStyle w:val="ESTableRow"/>
              <w:keepNext/>
              <w:jc w:val="right"/>
            </w:pPr>
            <w:r>
              <w:rPr>
                <w:rFonts w:ascii="Arial Narrow"/>
              </w:rPr>
              <w:t>19.0</w:t>
            </w:r>
          </w:p>
        </w:tc>
        <w:tc>
          <w:tcPr>
            <w:tcW w:w="1016" w:type="dxa"/>
          </w:tcPr>
          <w:p w:rsidR="00BC1D60" w:rsidRDefault="00BC1D60" w:rsidP="00BC5B38">
            <w:pPr>
              <w:pStyle w:val="ESTableRow"/>
              <w:keepNext/>
              <w:jc w:val="right"/>
            </w:pPr>
            <w:r>
              <w:rPr>
                <w:rFonts w:ascii="Arial Narrow"/>
              </w:rPr>
              <w:t>18.7</w:t>
            </w:r>
          </w:p>
        </w:tc>
        <w:tc>
          <w:tcPr>
            <w:tcW w:w="1016" w:type="dxa"/>
          </w:tcPr>
          <w:p w:rsidR="00BC1D60" w:rsidRDefault="00BC1D60" w:rsidP="00BC5B38">
            <w:pPr>
              <w:pStyle w:val="ESTableRow"/>
              <w:keepNext/>
              <w:jc w:val="right"/>
            </w:pPr>
            <w:r>
              <w:rPr>
                <w:rFonts w:ascii="Arial Narrow"/>
              </w:rPr>
              <w:t>20.7</w:t>
            </w:r>
          </w:p>
        </w:tc>
        <w:tc>
          <w:tcPr>
            <w:tcW w:w="1016" w:type="dxa"/>
          </w:tcPr>
          <w:p w:rsidR="00BC1D60" w:rsidRDefault="00BC1D60" w:rsidP="00BC5B38">
            <w:pPr>
              <w:pStyle w:val="ESTableRow"/>
              <w:keepNext/>
              <w:jc w:val="right"/>
            </w:pPr>
            <w:r>
              <w:rPr>
                <w:rFonts w:ascii="Arial Narrow"/>
              </w:rPr>
              <w:t>22.4</w:t>
            </w:r>
          </w:p>
        </w:tc>
      </w:tr>
      <w:tr w:rsidR="00BC1D60" w:rsidTr="00BC5B38">
        <w:trPr>
          <w:cantSplit/>
        </w:trPr>
        <w:tc>
          <w:tcPr>
            <w:tcW w:w="1768" w:type="dxa"/>
          </w:tcPr>
          <w:p w:rsidR="00BC1D60" w:rsidRDefault="00BC1D60" w:rsidP="00BC5B38">
            <w:pPr>
              <w:pStyle w:val="ESTableRow"/>
              <w:keepNext/>
            </w:pPr>
            <w:r>
              <w:rPr>
                <w:rFonts w:ascii="Arial Narrow"/>
              </w:rPr>
              <w:t>Net Profit (</w:t>
            </w:r>
            <w:r>
              <w:rPr>
                <w:rFonts w:ascii="Arial Narrow"/>
              </w:rPr>
              <w:t>¥</w:t>
            </w:r>
            <w:r>
              <w:rPr>
                <w:rFonts w:ascii="Arial Narrow"/>
              </w:rPr>
              <w:t xml:space="preserve"> bn)</w:t>
            </w:r>
          </w:p>
        </w:tc>
        <w:tc>
          <w:tcPr>
            <w:tcW w:w="1016" w:type="dxa"/>
          </w:tcPr>
          <w:p w:rsidR="00BC1D60" w:rsidRDefault="00BC1D60" w:rsidP="00BC5B38">
            <w:pPr>
              <w:pStyle w:val="ESTableRow"/>
              <w:keepNext/>
              <w:jc w:val="right"/>
            </w:pPr>
            <w:r>
              <w:rPr>
                <w:rFonts w:ascii="Arial Narrow"/>
              </w:rPr>
              <w:t>9.2</w:t>
            </w:r>
          </w:p>
        </w:tc>
        <w:tc>
          <w:tcPr>
            <w:tcW w:w="1016" w:type="dxa"/>
          </w:tcPr>
          <w:p w:rsidR="00BC1D60" w:rsidRDefault="00BC1D60" w:rsidP="00BC5B38">
            <w:pPr>
              <w:pStyle w:val="ESTableRow"/>
              <w:keepNext/>
              <w:jc w:val="right"/>
            </w:pPr>
            <w:r>
              <w:rPr>
                <w:rFonts w:ascii="Arial Narrow"/>
              </w:rPr>
              <w:t>12.3</w:t>
            </w:r>
          </w:p>
        </w:tc>
        <w:tc>
          <w:tcPr>
            <w:tcW w:w="1016" w:type="dxa"/>
          </w:tcPr>
          <w:p w:rsidR="00BC1D60" w:rsidRDefault="00BC1D60" w:rsidP="00BC5B38">
            <w:pPr>
              <w:pStyle w:val="ESTableRow"/>
              <w:keepNext/>
              <w:jc w:val="right"/>
            </w:pPr>
            <w:r>
              <w:rPr>
                <w:rFonts w:ascii="Arial Narrow"/>
              </w:rPr>
              <w:t>12.0</w:t>
            </w:r>
          </w:p>
        </w:tc>
        <w:tc>
          <w:tcPr>
            <w:tcW w:w="1016" w:type="dxa"/>
          </w:tcPr>
          <w:p w:rsidR="00BC1D60" w:rsidRDefault="00BC1D60" w:rsidP="00BC5B38">
            <w:pPr>
              <w:pStyle w:val="ESTableRow"/>
              <w:keepNext/>
              <w:jc w:val="right"/>
            </w:pPr>
            <w:r>
              <w:rPr>
                <w:rFonts w:ascii="Arial Narrow"/>
              </w:rPr>
              <w:t>13.2</w:t>
            </w:r>
          </w:p>
        </w:tc>
        <w:tc>
          <w:tcPr>
            <w:tcW w:w="1016" w:type="dxa"/>
          </w:tcPr>
          <w:p w:rsidR="00BC1D60" w:rsidRDefault="00BC1D60" w:rsidP="00BC5B38">
            <w:pPr>
              <w:pStyle w:val="ESTableRow"/>
              <w:keepNext/>
              <w:jc w:val="right"/>
            </w:pPr>
            <w:r>
              <w:rPr>
                <w:rFonts w:ascii="Arial Narrow"/>
              </w:rPr>
              <w:t>14.6</w:t>
            </w:r>
          </w:p>
        </w:tc>
      </w:tr>
      <w:tr w:rsidR="00BC1D60" w:rsidTr="00BC5B38">
        <w:trPr>
          <w:cantSplit/>
        </w:trPr>
        <w:tc>
          <w:tcPr>
            <w:tcW w:w="1768" w:type="dxa"/>
          </w:tcPr>
          <w:p w:rsidR="00BC1D60" w:rsidRDefault="00BC1D60" w:rsidP="00BC5B38">
            <w:pPr>
              <w:pStyle w:val="ESTableRow"/>
              <w:keepNext/>
            </w:pPr>
            <w:r>
              <w:rPr>
                <w:rFonts w:ascii="Arial Narrow"/>
              </w:rPr>
              <w:t>EPS (</w:t>
            </w:r>
            <w:r>
              <w:rPr>
                <w:rFonts w:ascii="Arial Narrow"/>
              </w:rPr>
              <w:t>¥</w:t>
            </w:r>
            <w:r>
              <w:rPr>
                <w:rFonts w:ascii="Arial Narrow"/>
              </w:rPr>
              <w:t>)</w:t>
            </w:r>
          </w:p>
        </w:tc>
        <w:tc>
          <w:tcPr>
            <w:tcW w:w="1016" w:type="dxa"/>
          </w:tcPr>
          <w:p w:rsidR="00BC1D60" w:rsidRDefault="00BC1D60" w:rsidP="00BC5B38">
            <w:pPr>
              <w:pStyle w:val="ESTableRow"/>
              <w:keepNext/>
              <w:jc w:val="right"/>
            </w:pPr>
            <w:r>
              <w:rPr>
                <w:rFonts w:ascii="Arial Narrow"/>
              </w:rPr>
              <w:t>208.3</w:t>
            </w:r>
          </w:p>
        </w:tc>
        <w:tc>
          <w:tcPr>
            <w:tcW w:w="1016" w:type="dxa"/>
          </w:tcPr>
          <w:p w:rsidR="00BC1D60" w:rsidRDefault="00BC1D60" w:rsidP="00BC5B38">
            <w:pPr>
              <w:pStyle w:val="ESTableRow"/>
              <w:keepNext/>
              <w:jc w:val="right"/>
            </w:pPr>
            <w:r>
              <w:rPr>
                <w:rFonts w:ascii="Arial Narrow"/>
              </w:rPr>
              <w:t>281.0</w:t>
            </w:r>
          </w:p>
        </w:tc>
        <w:tc>
          <w:tcPr>
            <w:tcW w:w="1016" w:type="dxa"/>
          </w:tcPr>
          <w:p w:rsidR="00BC1D60" w:rsidRDefault="00BC1D60" w:rsidP="00BC5B38">
            <w:pPr>
              <w:pStyle w:val="ESTableRow"/>
              <w:keepNext/>
              <w:jc w:val="right"/>
            </w:pPr>
            <w:r>
              <w:rPr>
                <w:rFonts w:ascii="Arial Narrow"/>
              </w:rPr>
              <w:t>272.4</w:t>
            </w:r>
          </w:p>
        </w:tc>
        <w:tc>
          <w:tcPr>
            <w:tcW w:w="1016" w:type="dxa"/>
          </w:tcPr>
          <w:p w:rsidR="00BC1D60" w:rsidRDefault="00BC1D60" w:rsidP="00BC5B38">
            <w:pPr>
              <w:pStyle w:val="ESTableRow"/>
              <w:keepNext/>
              <w:jc w:val="right"/>
            </w:pPr>
            <w:r>
              <w:rPr>
                <w:rFonts w:ascii="Arial Narrow"/>
              </w:rPr>
              <w:t>301.6</w:t>
            </w:r>
          </w:p>
        </w:tc>
        <w:tc>
          <w:tcPr>
            <w:tcW w:w="1016" w:type="dxa"/>
          </w:tcPr>
          <w:p w:rsidR="00BC1D60" w:rsidRDefault="00BC1D60" w:rsidP="00BC5B38">
            <w:pPr>
              <w:pStyle w:val="ESTableRow"/>
              <w:keepNext/>
              <w:jc w:val="right"/>
            </w:pPr>
            <w:r>
              <w:rPr>
                <w:rFonts w:ascii="Arial Narrow"/>
              </w:rPr>
              <w:t>331.4</w:t>
            </w:r>
          </w:p>
        </w:tc>
      </w:tr>
      <w:tr w:rsidR="00BC1D60" w:rsidTr="00BC5B38">
        <w:trPr>
          <w:cantSplit/>
        </w:trPr>
        <w:tc>
          <w:tcPr>
            <w:tcW w:w="1768" w:type="dxa"/>
          </w:tcPr>
          <w:p w:rsidR="00BC1D60" w:rsidRDefault="00BC1D60" w:rsidP="00BC5B38">
            <w:pPr>
              <w:pStyle w:val="ESTableRow"/>
              <w:keepNext/>
            </w:pPr>
            <w:r>
              <w:rPr>
                <w:rFonts w:ascii="Arial Narrow"/>
              </w:rPr>
              <w:t xml:space="preserve">P/E (x) </w:t>
            </w:r>
          </w:p>
        </w:tc>
        <w:tc>
          <w:tcPr>
            <w:tcW w:w="1016" w:type="dxa"/>
          </w:tcPr>
          <w:p w:rsidR="00BC1D60" w:rsidRDefault="00BC1D60" w:rsidP="00BC5B38">
            <w:pPr>
              <w:pStyle w:val="ESTableRow"/>
              <w:keepNext/>
              <w:jc w:val="right"/>
            </w:pPr>
            <w:r>
              <w:rPr>
                <w:rFonts w:ascii="Arial Narrow"/>
              </w:rPr>
              <w:t>24.4</w:t>
            </w:r>
          </w:p>
        </w:tc>
        <w:tc>
          <w:tcPr>
            <w:tcW w:w="1016" w:type="dxa"/>
          </w:tcPr>
          <w:p w:rsidR="00BC1D60" w:rsidRDefault="00BC1D60" w:rsidP="00BC5B38">
            <w:pPr>
              <w:pStyle w:val="ESTableRow"/>
              <w:keepNext/>
              <w:jc w:val="right"/>
            </w:pPr>
            <w:r>
              <w:rPr>
                <w:rFonts w:ascii="Arial Narrow"/>
              </w:rPr>
              <w:t>18.1</w:t>
            </w:r>
          </w:p>
        </w:tc>
        <w:tc>
          <w:tcPr>
            <w:tcW w:w="1016" w:type="dxa"/>
          </w:tcPr>
          <w:p w:rsidR="00BC1D60" w:rsidRDefault="00BC1D60" w:rsidP="00BC5B38">
            <w:pPr>
              <w:pStyle w:val="ESTableRow"/>
              <w:keepNext/>
              <w:jc w:val="right"/>
            </w:pPr>
            <w:r>
              <w:rPr>
                <w:rFonts w:ascii="Arial Narrow"/>
              </w:rPr>
              <w:t>18.6</w:t>
            </w:r>
          </w:p>
        </w:tc>
        <w:tc>
          <w:tcPr>
            <w:tcW w:w="1016" w:type="dxa"/>
          </w:tcPr>
          <w:p w:rsidR="00BC1D60" w:rsidRDefault="00BC1D60" w:rsidP="00BC5B38">
            <w:pPr>
              <w:pStyle w:val="ESTableRow"/>
              <w:keepNext/>
              <w:jc w:val="right"/>
            </w:pPr>
            <w:r>
              <w:rPr>
                <w:rFonts w:ascii="Arial Narrow"/>
              </w:rPr>
              <w:t>16.8</w:t>
            </w:r>
          </w:p>
        </w:tc>
        <w:tc>
          <w:tcPr>
            <w:tcW w:w="1016" w:type="dxa"/>
          </w:tcPr>
          <w:p w:rsidR="00BC1D60" w:rsidRDefault="00BC1D60" w:rsidP="00BC5B38">
            <w:pPr>
              <w:pStyle w:val="ESTableRow"/>
              <w:keepNext/>
              <w:jc w:val="right"/>
            </w:pPr>
            <w:r>
              <w:rPr>
                <w:rFonts w:ascii="Arial Narrow"/>
              </w:rPr>
              <w:t>15.3</w:t>
            </w:r>
          </w:p>
        </w:tc>
      </w:tr>
      <w:tr w:rsidR="00BC1D60" w:rsidTr="00BC5B38">
        <w:trPr>
          <w:cantSplit/>
        </w:trPr>
        <w:tc>
          <w:tcPr>
            <w:tcW w:w="1768" w:type="dxa"/>
          </w:tcPr>
          <w:p w:rsidR="00BC1D60" w:rsidRDefault="00BC1D60" w:rsidP="00BC5B38">
            <w:pPr>
              <w:pStyle w:val="ESTableRow"/>
              <w:keepNext/>
            </w:pPr>
            <w:r>
              <w:rPr>
                <w:rFonts w:ascii="Arial Narrow"/>
              </w:rPr>
              <w:t xml:space="preserve">P/CF (x) </w:t>
            </w:r>
          </w:p>
        </w:tc>
        <w:tc>
          <w:tcPr>
            <w:tcW w:w="1016" w:type="dxa"/>
          </w:tcPr>
          <w:p w:rsidR="00BC1D60" w:rsidRDefault="00BC1D60" w:rsidP="00BC5B38">
            <w:pPr>
              <w:pStyle w:val="ESTableRow"/>
              <w:keepNext/>
              <w:jc w:val="right"/>
            </w:pPr>
            <w:r>
              <w:rPr>
                <w:rFonts w:ascii="Arial Narrow"/>
              </w:rPr>
              <w:t>16.9</w:t>
            </w:r>
          </w:p>
        </w:tc>
        <w:tc>
          <w:tcPr>
            <w:tcW w:w="1016" w:type="dxa"/>
          </w:tcPr>
          <w:p w:rsidR="00BC1D60" w:rsidRDefault="00BC1D60" w:rsidP="00BC5B38">
            <w:pPr>
              <w:pStyle w:val="ESTableRow"/>
              <w:keepNext/>
              <w:jc w:val="right"/>
            </w:pPr>
            <w:r>
              <w:rPr>
                <w:rFonts w:ascii="Arial Narrow"/>
              </w:rPr>
              <w:t>23.8</w:t>
            </w:r>
          </w:p>
        </w:tc>
        <w:tc>
          <w:tcPr>
            <w:tcW w:w="1016" w:type="dxa"/>
          </w:tcPr>
          <w:p w:rsidR="00BC1D60" w:rsidRDefault="00BC1D60" w:rsidP="00BC5B38">
            <w:pPr>
              <w:pStyle w:val="ESTableRow"/>
              <w:keepNext/>
              <w:jc w:val="right"/>
            </w:pPr>
            <w:r>
              <w:rPr>
                <w:rFonts w:ascii="Arial Narrow"/>
              </w:rPr>
              <w:t>23.8</w:t>
            </w:r>
          </w:p>
        </w:tc>
        <w:tc>
          <w:tcPr>
            <w:tcW w:w="1016" w:type="dxa"/>
          </w:tcPr>
          <w:p w:rsidR="00BC1D60" w:rsidRDefault="00BC1D60" w:rsidP="00BC5B38">
            <w:pPr>
              <w:pStyle w:val="ESTableRow"/>
              <w:keepNext/>
              <w:jc w:val="right"/>
            </w:pPr>
            <w:r>
              <w:rPr>
                <w:rFonts w:ascii="Arial Narrow"/>
              </w:rPr>
              <w:t>23.8</w:t>
            </w:r>
          </w:p>
        </w:tc>
        <w:tc>
          <w:tcPr>
            <w:tcW w:w="1016" w:type="dxa"/>
          </w:tcPr>
          <w:p w:rsidR="00BC1D60" w:rsidRDefault="00BC1D60" w:rsidP="00BC5B38">
            <w:pPr>
              <w:pStyle w:val="ESTableRow"/>
              <w:keepNext/>
              <w:jc w:val="right"/>
            </w:pPr>
            <w:r>
              <w:rPr>
                <w:rFonts w:ascii="Arial Narrow"/>
              </w:rPr>
              <w:t>23.8</w:t>
            </w:r>
          </w:p>
        </w:tc>
      </w:tr>
      <w:tr w:rsidR="00BC1D60" w:rsidTr="00BC5B38">
        <w:trPr>
          <w:cantSplit/>
        </w:trPr>
        <w:tc>
          <w:tcPr>
            <w:tcW w:w="1768" w:type="dxa"/>
            <w:tcBorders>
              <w:bottom w:val="single" w:sz="4" w:space="0" w:color="auto"/>
            </w:tcBorders>
          </w:tcPr>
          <w:p w:rsidR="00BC1D60" w:rsidRDefault="00BC1D60" w:rsidP="00BC5B38">
            <w:pPr>
              <w:pStyle w:val="ESTableRow"/>
              <w:keepNext/>
            </w:pPr>
            <w:r>
              <w:rPr>
                <w:rFonts w:ascii="Arial Narrow"/>
              </w:rPr>
              <w:t xml:space="preserve">EV/EBITDA (x) </w:t>
            </w:r>
          </w:p>
        </w:tc>
        <w:tc>
          <w:tcPr>
            <w:tcW w:w="1016" w:type="dxa"/>
            <w:tcBorders>
              <w:bottom w:val="single" w:sz="4" w:space="0" w:color="auto"/>
            </w:tcBorders>
          </w:tcPr>
          <w:p w:rsidR="00BC1D60" w:rsidRDefault="00BC1D60" w:rsidP="00BC5B38">
            <w:pPr>
              <w:pStyle w:val="ESTableRow"/>
              <w:keepNext/>
              <w:jc w:val="right"/>
            </w:pPr>
            <w:r>
              <w:rPr>
                <w:rFonts w:ascii="Arial Narrow"/>
              </w:rPr>
              <w:t>9.8</w:t>
            </w:r>
          </w:p>
        </w:tc>
        <w:tc>
          <w:tcPr>
            <w:tcW w:w="1016" w:type="dxa"/>
            <w:tcBorders>
              <w:bottom w:val="single" w:sz="4" w:space="0" w:color="auto"/>
            </w:tcBorders>
          </w:tcPr>
          <w:p w:rsidR="00BC1D60" w:rsidRDefault="00BC1D60" w:rsidP="00BC5B38">
            <w:pPr>
              <w:pStyle w:val="ESTableRow"/>
              <w:keepNext/>
              <w:jc w:val="right"/>
            </w:pPr>
            <w:r>
              <w:rPr>
                <w:rFonts w:ascii="Arial Narrow"/>
              </w:rPr>
              <w:t>7.5</w:t>
            </w:r>
          </w:p>
        </w:tc>
        <w:tc>
          <w:tcPr>
            <w:tcW w:w="1016" w:type="dxa"/>
            <w:tcBorders>
              <w:bottom w:val="single" w:sz="4" w:space="0" w:color="auto"/>
            </w:tcBorders>
          </w:tcPr>
          <w:p w:rsidR="00BC1D60" w:rsidRDefault="00BC1D60" w:rsidP="00BC5B38">
            <w:pPr>
              <w:pStyle w:val="ESTableRow"/>
              <w:keepNext/>
              <w:jc w:val="right"/>
            </w:pPr>
            <w:r>
              <w:rPr>
                <w:rFonts w:ascii="Arial Narrow"/>
              </w:rPr>
              <w:t>6.8</w:t>
            </w:r>
          </w:p>
        </w:tc>
        <w:tc>
          <w:tcPr>
            <w:tcW w:w="1016" w:type="dxa"/>
            <w:tcBorders>
              <w:bottom w:val="single" w:sz="4" w:space="0" w:color="auto"/>
            </w:tcBorders>
          </w:tcPr>
          <w:p w:rsidR="00BC1D60" w:rsidRDefault="00BC1D60" w:rsidP="00BC5B38">
            <w:pPr>
              <w:pStyle w:val="ESTableRow"/>
              <w:keepNext/>
              <w:jc w:val="right"/>
            </w:pPr>
            <w:r>
              <w:rPr>
                <w:rFonts w:ascii="Arial Narrow"/>
              </w:rPr>
              <w:t>5.9</w:t>
            </w:r>
          </w:p>
        </w:tc>
        <w:tc>
          <w:tcPr>
            <w:tcW w:w="1016" w:type="dxa"/>
            <w:tcBorders>
              <w:bottom w:val="single" w:sz="4" w:space="0" w:color="auto"/>
            </w:tcBorders>
          </w:tcPr>
          <w:p w:rsidR="00BC1D60" w:rsidRDefault="00BC1D60" w:rsidP="00BC5B38">
            <w:pPr>
              <w:pStyle w:val="ESTableRow"/>
              <w:keepNext/>
              <w:jc w:val="right"/>
            </w:pPr>
            <w:r>
              <w:rPr>
                <w:rFonts w:ascii="Arial Narrow"/>
              </w:rPr>
              <w:t>5.2</w:t>
            </w:r>
          </w:p>
        </w:tc>
      </w:tr>
    </w:tbl>
    <w:p w:rsidR="00BC1D60" w:rsidRDefault="00BC1D60" w:rsidP="00BC1D60">
      <w:pPr>
        <w:pStyle w:val="Source"/>
      </w:pPr>
      <w:r>
        <w:t>Source: Company data, Bloomberg, J.P. Morgan estimates</w:t>
      </w:r>
    </w:p>
    <w:p w:rsidR="00BC1D60" w:rsidRDefault="00BC1D60" w:rsidP="00BC1D60">
      <w:pPr>
        <w:pStyle w:val="Body"/>
      </w:pPr>
    </w:p>
    <w:p w:rsidR="00017DA5" w:rsidRPr="00A47405" w:rsidRDefault="00017DA5" w:rsidP="00BC1D60">
      <w:pPr>
        <w:pStyle w:val="Body"/>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414DFD" w:rsidTr="00BC5B38">
        <w:tc>
          <w:tcPr>
            <w:tcW w:w="10604" w:type="dxa"/>
            <w:gridSpan w:val="3"/>
            <w:shd w:val="clear" w:color="auto" w:fill="auto"/>
          </w:tcPr>
          <w:p w:rsidR="00BC1D60" w:rsidRPr="00414DFD" w:rsidRDefault="00BC1D60" w:rsidP="00BC5B38">
            <w:pPr>
              <w:pStyle w:val="Heading1-NoTOC"/>
            </w:pPr>
            <w:bookmarkStart w:id="286" w:name="_Toc376756113"/>
            <w:bookmarkStart w:id="287" w:name="_Toc376801434"/>
            <w:bookmarkStart w:id="288" w:name="_Toc376802096"/>
            <w:bookmarkStart w:id="289" w:name="_Toc384044988"/>
            <w:bookmarkStart w:id="290" w:name="_Toc384136011"/>
            <w:bookmarkStart w:id="291" w:name="_Toc384136978"/>
            <w:bookmarkStart w:id="292" w:name="_Toc392016373"/>
            <w:bookmarkStart w:id="293" w:name="_Toc392099091"/>
            <w:r w:rsidRPr="00414DFD">
              <w:t>Getting to know our SMid Analysts…</w:t>
            </w:r>
            <w:bookmarkEnd w:id="286"/>
            <w:bookmarkEnd w:id="287"/>
            <w:bookmarkEnd w:id="288"/>
            <w:bookmarkEnd w:id="289"/>
            <w:bookmarkEnd w:id="290"/>
            <w:bookmarkEnd w:id="291"/>
            <w:bookmarkEnd w:id="292"/>
            <w:bookmarkEnd w:id="293"/>
          </w:p>
        </w:tc>
      </w:tr>
      <w:tr w:rsidR="00BC1D60" w:rsidRPr="00414DFD" w:rsidTr="00BC5B38">
        <w:trPr>
          <w:trHeight w:val="3427"/>
        </w:trPr>
        <w:tc>
          <w:tcPr>
            <w:tcW w:w="2666" w:type="dxa"/>
            <w:shd w:val="clear" w:color="auto" w:fill="auto"/>
          </w:tcPr>
          <w:p w:rsidR="00BC1D60" w:rsidRPr="00414DFD" w:rsidRDefault="00BC1D60" w:rsidP="00BC5B38">
            <w:pPr>
              <w:shd w:val="clear" w:color="auto" w:fill="F6F6F6"/>
              <w:spacing w:line="336" w:lineRule="atLeast"/>
              <w:jc w:val="center"/>
              <w:rPr>
                <w:rFonts w:ascii="Arial" w:hAnsi="Arial" w:cs="Arial"/>
                <w:color w:val="666666"/>
                <w:sz w:val="15"/>
                <w:szCs w:val="15"/>
              </w:rPr>
            </w:pPr>
            <w:r w:rsidRPr="00414DFD">
              <w:rPr>
                <w:noProof/>
              </w:rPr>
              <w:drawing>
                <wp:inline distT="0" distB="0" distL="0" distR="0">
                  <wp:extent cx="1650262" cy="1957941"/>
                  <wp:effectExtent l="19050" t="0" r="7088" b="0"/>
                  <wp:docPr id="1037" name="Picture 16" descr="Masayuki Onozu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sayuki Onozuka"/>
                          <pic:cNvPicPr>
                            <a:picLocks noChangeAspect="1" noChangeArrowheads="1"/>
                          </pic:cNvPicPr>
                        </pic:nvPicPr>
                        <pic:blipFill>
                          <a:blip r:embed="rId130"/>
                          <a:srcRect l="44833" r="2875"/>
                          <a:stretch>
                            <a:fillRect/>
                          </a:stretch>
                        </pic:blipFill>
                        <pic:spPr bwMode="auto">
                          <a:xfrm>
                            <a:off x="0" y="0"/>
                            <a:ext cx="1654563" cy="1963044"/>
                          </a:xfrm>
                          <a:prstGeom prst="rect">
                            <a:avLst/>
                          </a:prstGeom>
                          <a:noFill/>
                          <a:ln w="9525">
                            <a:noFill/>
                            <a:miter lim="800000"/>
                            <a:headEnd/>
                            <a:tailEnd/>
                          </a:ln>
                        </pic:spPr>
                      </pic:pic>
                    </a:graphicData>
                  </a:graphic>
                </wp:inline>
              </w:drawing>
            </w:r>
          </w:p>
          <w:p w:rsidR="00BC1D60" w:rsidRPr="00414DFD" w:rsidRDefault="00BC1D60" w:rsidP="00BC5B38">
            <w:pPr>
              <w:pStyle w:val="Body"/>
              <w:spacing w:after="120"/>
            </w:pPr>
          </w:p>
        </w:tc>
        <w:tc>
          <w:tcPr>
            <w:tcW w:w="3544" w:type="dxa"/>
            <w:shd w:val="clear" w:color="auto" w:fill="auto"/>
          </w:tcPr>
          <w:p w:rsidR="00BC1D60" w:rsidRPr="00414DFD" w:rsidRDefault="00BC1D60" w:rsidP="00BC5B38">
            <w:pPr>
              <w:pStyle w:val="Heading2"/>
              <w:outlineLvl w:val="1"/>
            </w:pPr>
            <w:r w:rsidRPr="00414DFD">
              <w:t>Masayuki Onozuka</w:t>
            </w:r>
          </w:p>
          <w:p w:rsidR="00BC1D60" w:rsidRPr="00414DFD" w:rsidRDefault="003B051F" w:rsidP="00BC5B38">
            <w:pPr>
              <w:pStyle w:val="Body"/>
              <w:spacing w:after="120"/>
              <w:rPr>
                <w:rStyle w:val="txtblackbld1"/>
                <w:rFonts w:ascii="Arial Narrow" w:hAnsi="Arial Narrow"/>
                <w:b w:val="0"/>
                <w:bCs w:val="0"/>
                <w:szCs w:val="20"/>
              </w:rPr>
            </w:pPr>
            <w:hyperlink r:id="rId131" w:history="1">
              <w:r w:rsidR="00BC1D60" w:rsidRPr="00414DFD">
                <w:rPr>
                  <w:rStyle w:val="Hyperlink"/>
                  <w:rFonts w:ascii="Arial Narrow" w:hAnsi="Arial Narrow" w:cs="Arial"/>
                  <w:szCs w:val="20"/>
                </w:rPr>
                <w:t>masayuki.x.onozuka@jpmorgan.com</w:t>
              </w:r>
            </w:hyperlink>
          </w:p>
          <w:p w:rsidR="00BC1D60" w:rsidRPr="00414DFD" w:rsidRDefault="00BC1D60" w:rsidP="00BC5B38">
            <w:pPr>
              <w:pStyle w:val="Body"/>
              <w:spacing w:after="120"/>
              <w:rPr>
                <w:rFonts w:ascii="Arial Narrow" w:hAnsi="Arial Narrow"/>
              </w:rPr>
            </w:pPr>
            <w:r w:rsidRPr="00414DFD">
              <w:rPr>
                <w:rFonts w:ascii="Arial Narrow" w:hAnsi="Arial Narrow"/>
              </w:rPr>
              <w:t>(81-3) 6736-8615</w:t>
            </w:r>
          </w:p>
          <w:p w:rsidR="00BC1D60" w:rsidRPr="00414DFD" w:rsidRDefault="00BC1D60" w:rsidP="00BC5B38">
            <w:pPr>
              <w:pStyle w:val="Body"/>
              <w:spacing w:after="120"/>
              <w:rPr>
                <w:rFonts w:ascii="Arial Narrow" w:hAnsi="Arial Narrow"/>
              </w:rPr>
            </w:pPr>
          </w:p>
          <w:p w:rsidR="00BC1D60" w:rsidRPr="00414DFD" w:rsidRDefault="00BC1D60" w:rsidP="00BC5B38">
            <w:pPr>
              <w:pStyle w:val="Body"/>
              <w:spacing w:after="120"/>
              <w:rPr>
                <w:rFonts w:ascii="Arial Narrow" w:hAnsi="Arial Narrow"/>
              </w:rPr>
            </w:pPr>
            <w:r w:rsidRPr="00414DFD">
              <w:rPr>
                <w:rFonts w:ascii="Arial Narrow" w:hAnsi="Arial Narrow"/>
                <w:b/>
              </w:rPr>
              <w:t>Region:</w:t>
            </w:r>
            <w:r w:rsidRPr="00414DFD">
              <w:rPr>
                <w:rFonts w:ascii="Arial Narrow" w:hAnsi="Arial Narrow"/>
              </w:rPr>
              <w:t xml:space="preserve"> Japan</w:t>
            </w:r>
          </w:p>
          <w:p w:rsidR="00BC1D60" w:rsidRPr="00414DFD" w:rsidRDefault="00BC1D60" w:rsidP="00BC5B38">
            <w:pPr>
              <w:pStyle w:val="Body"/>
              <w:spacing w:after="120"/>
              <w:rPr>
                <w:rFonts w:ascii="Arial Narrow" w:hAnsi="Arial Narrow"/>
              </w:rPr>
            </w:pPr>
            <w:r w:rsidRPr="00414DFD">
              <w:rPr>
                <w:rFonts w:ascii="Arial Narrow" w:hAnsi="Arial Narrow"/>
                <w:b/>
              </w:rPr>
              <w:t>Sector:</w:t>
            </w:r>
            <w:r w:rsidRPr="00414DFD">
              <w:rPr>
                <w:rFonts w:ascii="Arial Narrow" w:hAnsi="Arial Narrow"/>
              </w:rPr>
              <w:t xml:space="preserve"> Pharmaceuticals, Healthcare Equipment &amp; Services</w:t>
            </w:r>
          </w:p>
          <w:p w:rsidR="00BC1D60" w:rsidRPr="00414DFD" w:rsidRDefault="00BC1D60" w:rsidP="00BC5B38">
            <w:pPr>
              <w:pStyle w:val="Body"/>
            </w:pPr>
          </w:p>
        </w:tc>
        <w:tc>
          <w:tcPr>
            <w:tcW w:w="4394" w:type="dxa"/>
            <w:shd w:val="clear" w:color="auto" w:fill="auto"/>
          </w:tcPr>
          <w:p w:rsidR="00BC1D60" w:rsidRPr="00414DFD" w:rsidRDefault="00BC1D60" w:rsidP="00BC5B38">
            <w:pPr>
              <w:pStyle w:val="Body"/>
              <w:jc w:val="right"/>
            </w:pPr>
            <w:r w:rsidRPr="00414DFD">
              <w:rPr>
                <w:noProof/>
              </w:rPr>
              <w:drawing>
                <wp:inline distT="0" distB="0" distL="0" distR="0">
                  <wp:extent cx="2505456" cy="1414952"/>
                  <wp:effectExtent l="19050" t="0" r="9144" b="0"/>
                  <wp:docPr id="10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2"/>
                          <a:srcRect/>
                          <a:stretch>
                            <a:fillRect/>
                          </a:stretch>
                        </pic:blipFill>
                        <pic:spPr bwMode="auto">
                          <a:xfrm>
                            <a:off x="0" y="0"/>
                            <a:ext cx="2505456" cy="1414952"/>
                          </a:xfrm>
                          <a:prstGeom prst="rect">
                            <a:avLst/>
                          </a:prstGeom>
                          <a:noFill/>
                          <a:ln w="9525">
                            <a:noFill/>
                            <a:miter lim="800000"/>
                            <a:headEnd/>
                            <a:tailEnd/>
                          </a:ln>
                        </pic:spPr>
                      </pic:pic>
                    </a:graphicData>
                  </a:graphic>
                </wp:inline>
              </w:drawing>
            </w:r>
            <w:r w:rsidRPr="00414DFD" w:rsidDel="00BD1C92">
              <w:t xml:space="preserve"> </w:t>
            </w:r>
          </w:p>
        </w:tc>
      </w:tr>
    </w:tbl>
    <w:p w:rsidR="00BC1D60" w:rsidRPr="00414DFD" w:rsidRDefault="00BC1D60" w:rsidP="00BC1D60">
      <w:pPr>
        <w:pStyle w:val="Source"/>
        <w:spacing w:before="0"/>
        <w:ind w:left="-3124" w:hanging="137"/>
      </w:pPr>
      <w:r w:rsidRPr="00414DFD">
        <w:rPr>
          <w:noProof/>
        </w:rPr>
        <w:drawing>
          <wp:inline distT="0" distB="0" distL="0" distR="0">
            <wp:extent cx="6702552" cy="1891968"/>
            <wp:effectExtent l="19050" t="0" r="3048" b="0"/>
            <wp:docPr id="103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3"/>
                    <a:srcRect/>
                    <a:stretch>
                      <a:fillRect/>
                    </a:stretch>
                  </pic:blipFill>
                  <pic:spPr bwMode="auto">
                    <a:xfrm>
                      <a:off x="0" y="0"/>
                      <a:ext cx="6702552" cy="1891968"/>
                    </a:xfrm>
                    <a:prstGeom prst="rect">
                      <a:avLst/>
                    </a:prstGeom>
                    <a:noFill/>
                    <a:ln w="9525">
                      <a:noFill/>
                      <a:miter lim="800000"/>
                      <a:headEnd/>
                      <a:tailEnd/>
                    </a:ln>
                  </pic:spPr>
                </pic:pic>
              </a:graphicData>
            </a:graphic>
          </wp:inline>
        </w:drawing>
      </w:r>
      <w:r w:rsidRPr="00414DFD">
        <w:t xml:space="preserve"> Source: Bloomberg, Datastream, Factset, J.P. Morgan</w:t>
      </w:r>
      <w:r w:rsidRPr="00414DFD">
        <w:br/>
      </w:r>
      <w:r w:rsidRPr="0087013D">
        <w:t>Prices as of 24 June 2014</w:t>
      </w:r>
    </w:p>
    <w:p w:rsidR="00BC1D60" w:rsidRPr="004F1ABB" w:rsidRDefault="00BC1D60" w:rsidP="00BC1D60">
      <w:pPr>
        <w:pStyle w:val="Sidecomments"/>
        <w:framePr w:w="0" w:hRule="auto" w:wrap="around"/>
        <w:rPr>
          <w:highlight w:val="yellow"/>
        </w:rPr>
      </w:pPr>
      <w:r w:rsidRPr="00016375">
        <w:rPr>
          <w:noProof/>
        </w:rPr>
        <w:lastRenderedPageBreak/>
        <w:drawing>
          <wp:inline distT="0" distB="0" distL="0" distR="0">
            <wp:extent cx="1737360" cy="8184673"/>
            <wp:effectExtent l="19050" t="0" r="0" b="0"/>
            <wp:docPr id="1041"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4"/>
                    <a:srcRect/>
                    <a:stretch>
                      <a:fillRect/>
                    </a:stretch>
                  </pic:blipFill>
                  <pic:spPr bwMode="auto">
                    <a:xfrm>
                      <a:off x="0" y="0"/>
                      <a:ext cx="1737360" cy="8184673"/>
                    </a:xfrm>
                    <a:prstGeom prst="rect">
                      <a:avLst/>
                    </a:prstGeom>
                    <a:noFill/>
                    <a:ln w="9525">
                      <a:noFill/>
                      <a:miter lim="800000"/>
                      <a:headEnd/>
                      <a:tailEnd/>
                    </a:ln>
                  </pic:spPr>
                </pic:pic>
              </a:graphicData>
            </a:graphic>
          </wp:inline>
        </w:drawing>
      </w:r>
    </w:p>
    <w:p w:rsidR="00BC1D60" w:rsidRPr="005F24D8" w:rsidRDefault="00BC1D60" w:rsidP="00BC1D60">
      <w:pPr>
        <w:pStyle w:val="Heading1"/>
        <w:spacing w:before="0" w:after="80"/>
      </w:pPr>
      <w:bookmarkStart w:id="294" w:name="_Toc384136012"/>
      <w:bookmarkStart w:id="295" w:name="_Toc392099092"/>
      <w:bookmarkStart w:id="296" w:name="_Toc392081823"/>
      <w:bookmarkStart w:id="297" w:name="_Toc392081886"/>
      <w:r w:rsidRPr="005F24D8">
        <w:t>Novatek Micro (3034 TT/OW/NT$138.50)</w:t>
      </w:r>
      <w:bookmarkEnd w:id="294"/>
      <w:bookmarkEnd w:id="295"/>
      <w:bookmarkEnd w:id="296"/>
      <w:bookmarkEnd w:id="297"/>
    </w:p>
    <w:p w:rsidR="00BC1D60" w:rsidRPr="001A725F" w:rsidRDefault="00BC1D60" w:rsidP="00BC1D60">
      <w:pPr>
        <w:pStyle w:val="Heading2"/>
        <w:spacing w:after="20" w:line="220" w:lineRule="exact"/>
        <w:ind w:right="-173"/>
        <w:rPr>
          <w:rFonts w:ascii="Times New Roman" w:hAnsi="Times New Roman"/>
          <w:b w:val="0"/>
          <w:color w:val="auto"/>
          <w:spacing w:val="-4"/>
          <w:sz w:val="19"/>
          <w:szCs w:val="19"/>
        </w:rPr>
      </w:pPr>
      <w:r w:rsidRPr="001A725F">
        <w:rPr>
          <w:rFonts w:ascii="Times New Roman" w:hAnsi="Times New Roman"/>
          <w:b w:val="0"/>
          <w:color w:val="auto"/>
          <w:spacing w:val="-4"/>
          <w:sz w:val="19"/>
          <w:szCs w:val="19"/>
        </w:rPr>
        <w:t xml:space="preserve">With the favorable backdrop of driver IC (DDIC) inventory digestion bottoming out and resolution upgrades for smartphones (HD 720/Full HD) picking up pace, we see Novatek propelling into the second-leg of its earnings up-cycle. Compared to the previous up-cycle (2H12-1H13), where grw was largely led by smartphones and tablets, we think the upcoming one will have more legs given 4K2K TV penetration is tracking ahead of expectations, and market share gains seem to be coming through for Novatek's TV SoC and 4K2K upscaler chips. </w:t>
      </w:r>
    </w:p>
    <w:p w:rsidR="00BC1D60" w:rsidRPr="001A725F" w:rsidRDefault="00BC1D60" w:rsidP="00BC1D60">
      <w:pPr>
        <w:pStyle w:val="Heading3"/>
        <w:spacing w:after="0" w:line="220" w:lineRule="exact"/>
        <w:rPr>
          <w:spacing w:val="-4"/>
          <w:sz w:val="19"/>
          <w:szCs w:val="19"/>
        </w:rPr>
      </w:pPr>
      <w:r w:rsidRPr="001A725F">
        <w:rPr>
          <w:spacing w:val="-4"/>
          <w:sz w:val="19"/>
          <w:szCs w:val="19"/>
        </w:rPr>
        <w:t>Investment Highlights:</w:t>
      </w:r>
    </w:p>
    <w:p w:rsidR="00BC1D60" w:rsidRPr="001A725F" w:rsidRDefault="00BC1D60" w:rsidP="00BC1D60">
      <w:pPr>
        <w:pStyle w:val="Bullet"/>
        <w:tabs>
          <w:tab w:val="clear" w:pos="288"/>
          <w:tab w:val="left" w:pos="360"/>
        </w:tabs>
        <w:spacing w:after="20" w:line="220" w:lineRule="exact"/>
        <w:ind w:left="230" w:hanging="216"/>
        <w:rPr>
          <w:spacing w:val="-4"/>
          <w:sz w:val="19"/>
          <w:szCs w:val="19"/>
          <w:lang w:val="en-GB" w:eastAsia="ja-JP"/>
        </w:rPr>
      </w:pPr>
      <w:r w:rsidRPr="001A725F">
        <w:rPr>
          <w:b/>
          <w:spacing w:val="-4"/>
          <w:sz w:val="19"/>
          <w:szCs w:val="19"/>
          <w:lang w:val="en-GB" w:eastAsia="ja-JP"/>
        </w:rPr>
        <w:t>Full HD firing engines now, WVGA pains to be soon forgotten:</w:t>
      </w:r>
      <w:r w:rsidRPr="001A725F">
        <w:rPr>
          <w:spacing w:val="-4"/>
          <w:sz w:val="19"/>
          <w:szCs w:val="19"/>
          <w:lang w:val="en-GB" w:eastAsia="ja-JP"/>
        </w:rPr>
        <w:t xml:space="preserve"> Novatek’s leadership in Full HD didn’t bear much fruit in 2H13 with WVGA remaining mainstream and suffering intense pricing pressures will all fabless competing on market share. With significant pick up seen in Full HD/HD 720 adoption and our expectations of this segment to exceed 50% of the smartphone shipments by end-14, we expect Novatek’s blended small DDIC ASP to grow by 28% Y/Y this year. Moreover, competitive landscape at Full HD remains favourable as competitors have limited products under mass-production at present. </w:t>
      </w:r>
    </w:p>
    <w:p w:rsidR="00BC1D60" w:rsidRPr="001A725F" w:rsidRDefault="00BC1D60" w:rsidP="00BC1D60">
      <w:pPr>
        <w:pStyle w:val="Bullet"/>
        <w:tabs>
          <w:tab w:val="clear" w:pos="288"/>
          <w:tab w:val="left" w:pos="360"/>
        </w:tabs>
        <w:spacing w:after="20" w:line="220" w:lineRule="exact"/>
        <w:ind w:left="230" w:hanging="216"/>
        <w:rPr>
          <w:spacing w:val="-4"/>
          <w:sz w:val="19"/>
          <w:szCs w:val="19"/>
          <w:lang w:val="en-GB" w:eastAsia="ja-JP"/>
        </w:rPr>
      </w:pPr>
      <w:r w:rsidRPr="001A725F">
        <w:rPr>
          <w:b/>
          <w:spacing w:val="-4"/>
          <w:sz w:val="19"/>
          <w:szCs w:val="19"/>
          <w:lang w:val="en-GB" w:eastAsia="ja-JP"/>
        </w:rPr>
        <w:t>TV SoC and 4K2K TVs also join the party:</w:t>
      </w:r>
      <w:r w:rsidRPr="001A725F">
        <w:rPr>
          <w:spacing w:val="-4"/>
          <w:sz w:val="19"/>
          <w:szCs w:val="19"/>
          <w:lang w:val="en-GB" w:eastAsia="ja-JP"/>
        </w:rPr>
        <w:t xml:space="preserve"> With several tier-1 brands on board now, we expect Novatek’s foray into TV SoC chips to finally bear fruit in ‘14/’15, more so thanks to recent completion of M&amp;A between two dominant players in Taiwan. This, coupled with rapidly growing 4K2K TV penetration and Novatek's recent design wins for 4K2K upscaler chips, should translate into new growth drivers for the company. </w:t>
      </w:r>
    </w:p>
    <w:p w:rsidR="00BC1D60" w:rsidRPr="001A725F" w:rsidRDefault="00BC1D60" w:rsidP="00BC1D60">
      <w:pPr>
        <w:pStyle w:val="Bullet"/>
        <w:tabs>
          <w:tab w:val="clear" w:pos="288"/>
          <w:tab w:val="left" w:pos="360"/>
        </w:tabs>
        <w:spacing w:after="20" w:line="220" w:lineRule="exact"/>
        <w:ind w:left="230" w:hanging="216"/>
        <w:rPr>
          <w:spacing w:val="-4"/>
          <w:sz w:val="19"/>
          <w:szCs w:val="19"/>
          <w:lang w:val="en-GB" w:eastAsia="ja-JP"/>
        </w:rPr>
      </w:pPr>
      <w:r w:rsidRPr="001A725F">
        <w:rPr>
          <w:b/>
          <w:spacing w:val="-4"/>
          <w:sz w:val="19"/>
          <w:szCs w:val="19"/>
          <w:lang w:val="en-GB" w:eastAsia="ja-JP"/>
        </w:rPr>
        <w:t>Sequential earnings to persist in 2014 regardless of seasonality</w:t>
      </w:r>
      <w:r w:rsidRPr="001A725F">
        <w:rPr>
          <w:spacing w:val="-4"/>
          <w:sz w:val="19"/>
          <w:szCs w:val="19"/>
          <w:lang w:val="en-GB" w:eastAsia="ja-JP"/>
        </w:rPr>
        <w:t xml:space="preserve">: Historically, Novatek’s stock has shown strong correlation with its qtrly earnings trend. We believe the 2nd leg of earnings cycle has begun, as we forecast Novatek’s earnings grw, beginning in 1Q, will persist into 2014 regardless of seasonal volatility and drive the stock higher, while a steady dividend may act as downside hedge. </w:t>
      </w:r>
    </w:p>
    <w:p w:rsidR="00BC1D60" w:rsidRPr="001A725F" w:rsidRDefault="00BC1D60" w:rsidP="00BC1D60">
      <w:pPr>
        <w:pStyle w:val="Body"/>
        <w:spacing w:after="20" w:line="220" w:lineRule="exact"/>
        <w:rPr>
          <w:spacing w:val="-4"/>
          <w:sz w:val="19"/>
          <w:szCs w:val="19"/>
        </w:rPr>
      </w:pPr>
      <w:r w:rsidRPr="001A725F">
        <w:rPr>
          <w:b/>
          <w:spacing w:val="-4"/>
          <w:sz w:val="19"/>
          <w:szCs w:val="19"/>
        </w:rPr>
        <w:t xml:space="preserve">Valuation / Risks to our View: </w:t>
      </w:r>
      <w:r w:rsidRPr="001A725F">
        <w:rPr>
          <w:spacing w:val="-4"/>
          <w:sz w:val="19"/>
          <w:szCs w:val="19"/>
        </w:rPr>
        <w:t xml:space="preserve">Our Dec-14 price target of NT$180 is based on 15x average of FY14 &amp; FY15 EPS, corresponding to higher-end of its mid-cycle valuations. Key downside risks to our view include: 1) Further margin squeezes in the China smartphone market, 2) Further delays in Full HD smartphone driver adoption in China and 3) Intensification of competition in TV SoC space. </w:t>
      </w:r>
    </w:p>
    <w:p w:rsidR="00BC1D60" w:rsidRPr="001A725F" w:rsidRDefault="00BC1D60" w:rsidP="00BC1D60">
      <w:pPr>
        <w:pStyle w:val="Heading3"/>
        <w:spacing w:after="20" w:line="220" w:lineRule="exact"/>
        <w:rPr>
          <w:b w:val="0"/>
          <w:spacing w:val="-4"/>
          <w:sz w:val="19"/>
          <w:szCs w:val="19"/>
        </w:rPr>
      </w:pPr>
      <w:r w:rsidRPr="001A725F">
        <w:rPr>
          <w:spacing w:val="-4"/>
          <w:sz w:val="19"/>
          <w:szCs w:val="19"/>
        </w:rPr>
        <w:t xml:space="preserve">Novatek in a nutshell: </w:t>
      </w:r>
      <w:r w:rsidRPr="001A725F">
        <w:rPr>
          <w:b w:val="0"/>
          <w:spacing w:val="-4"/>
          <w:sz w:val="19"/>
          <w:szCs w:val="19"/>
        </w:rPr>
        <w:t>Novatek Microelectronics is the 2</w:t>
      </w:r>
      <w:r w:rsidRPr="001A725F">
        <w:rPr>
          <w:b w:val="0"/>
          <w:spacing w:val="-4"/>
          <w:sz w:val="19"/>
          <w:szCs w:val="19"/>
          <w:vertAlign w:val="superscript"/>
        </w:rPr>
        <w:t>nd</w:t>
      </w:r>
      <w:r w:rsidRPr="001A725F">
        <w:rPr>
          <w:b w:val="0"/>
          <w:spacing w:val="-4"/>
          <w:sz w:val="19"/>
          <w:szCs w:val="19"/>
        </w:rPr>
        <w:t xml:space="preserve"> largest fabless IC design company traded on TWSE with its business focus on flat-panel display driver ICs, SoC solutions and services.</w:t>
      </w:r>
    </w:p>
    <w:p w:rsidR="00BC1D60" w:rsidRPr="005F24D8" w:rsidRDefault="00BC1D60" w:rsidP="00BC1D60">
      <w:pPr>
        <w:pStyle w:val="Heading3"/>
      </w:pPr>
      <w:r w:rsidRPr="005F24D8">
        <w:t>Price Perf vs MSCI All Country World Small Cap (rebased as of 1-year ago)</w:t>
      </w:r>
    </w:p>
    <w:p w:rsidR="00BC1D60" w:rsidRPr="005F24D8" w:rsidRDefault="00BC1D60" w:rsidP="00BC1D60">
      <w:pPr>
        <w:pStyle w:val="Body"/>
        <w:spacing w:after="40"/>
        <w:rPr>
          <w:noProof/>
          <w:lang w:val="en-GB" w:eastAsia="en-GB"/>
        </w:rPr>
      </w:pPr>
      <w:r w:rsidRPr="005F24D8">
        <w:rPr>
          <w:noProof/>
        </w:rPr>
        <w:drawing>
          <wp:inline distT="0" distB="0" distL="0" distR="0">
            <wp:extent cx="4352925" cy="1524000"/>
            <wp:effectExtent l="19050" t="0" r="9525" b="0"/>
            <wp:docPr id="1049"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5"/>
                    <a:srcRect t="5682" b="3409"/>
                    <a:stretch>
                      <a:fillRect/>
                    </a:stretch>
                  </pic:blipFill>
                  <pic:spPr bwMode="auto">
                    <a:xfrm>
                      <a:off x="0" y="0"/>
                      <a:ext cx="4352925" cy="1524000"/>
                    </a:xfrm>
                    <a:prstGeom prst="rect">
                      <a:avLst/>
                    </a:prstGeom>
                    <a:noFill/>
                    <a:ln w="9525">
                      <a:noFill/>
                      <a:miter lim="800000"/>
                      <a:headEnd/>
                      <a:tailEnd/>
                    </a:ln>
                  </pic:spPr>
                </pic:pic>
              </a:graphicData>
            </a:graphic>
          </wp:inline>
        </w:drawing>
      </w:r>
    </w:p>
    <w:p w:rsidR="00BC1D60" w:rsidRDefault="00BC1D60" w:rsidP="00BC1D60">
      <w:pPr>
        <w:pStyle w:val="ESTableCaption"/>
        <w:keepNext/>
      </w:pPr>
      <w:r>
        <w:t>J.P. Morgan Estimates</w:t>
      </w:r>
    </w:p>
    <w:tbl>
      <w:tblPr>
        <w:tblW w:w="4947" w:type="pct"/>
        <w:tblCellMar>
          <w:left w:w="0" w:type="dxa"/>
          <w:right w:w="0" w:type="dxa"/>
        </w:tblCellMar>
        <w:tblLook w:val="04A0"/>
      </w:tblPr>
      <w:tblGrid>
        <w:gridCol w:w="3176"/>
        <w:gridCol w:w="908"/>
        <w:gridCol w:w="909"/>
        <w:gridCol w:w="909"/>
        <w:gridCol w:w="909"/>
      </w:tblGrid>
      <w:tr w:rsidR="00BC1D60" w:rsidRPr="001A725F" w:rsidTr="00BC5B38">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rsidR="00BC1D60" w:rsidRPr="001A725F" w:rsidRDefault="00BC1D60" w:rsidP="00BC5B38">
            <w:pPr>
              <w:rPr>
                <w:rFonts w:ascii="Arial Narrow" w:eastAsia="Times New Roman" w:hAnsi="Arial Narrow"/>
                <w:b/>
                <w:bCs/>
                <w:color w:val="000000"/>
                <w:sz w:val="15"/>
                <w:szCs w:val="15"/>
              </w:rPr>
            </w:pPr>
            <w:r w:rsidRPr="001A725F">
              <w:rPr>
                <w:rFonts w:ascii="Arial Narrow" w:eastAsia="Times New Roman" w:hAnsi="Arial Narrow"/>
                <w:b/>
                <w:bCs/>
                <w:color w:val="000000"/>
                <w:sz w:val="15"/>
                <w:szCs w:val="15"/>
              </w:rPr>
              <w:t>(Year-end Dec, NT$ B)</w:t>
            </w:r>
          </w:p>
        </w:tc>
        <w:tc>
          <w:tcPr>
            <w:tcW w:w="667" w:type="pct"/>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b/>
                <w:bCs/>
                <w:color w:val="000000"/>
                <w:sz w:val="15"/>
                <w:szCs w:val="15"/>
              </w:rPr>
            </w:pPr>
            <w:r w:rsidRPr="001A725F">
              <w:rPr>
                <w:rFonts w:ascii="Arial Narrow" w:eastAsia="Times New Roman" w:hAnsi="Arial Narrow"/>
                <w:b/>
                <w:bCs/>
                <w:color w:val="000000"/>
                <w:sz w:val="15"/>
                <w:szCs w:val="15"/>
              </w:rPr>
              <w:t>FY12</w:t>
            </w:r>
          </w:p>
        </w:tc>
        <w:tc>
          <w:tcPr>
            <w:tcW w:w="667" w:type="pct"/>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b/>
                <w:bCs/>
                <w:color w:val="000000"/>
                <w:sz w:val="15"/>
                <w:szCs w:val="15"/>
              </w:rPr>
            </w:pPr>
            <w:r w:rsidRPr="001A725F">
              <w:rPr>
                <w:rFonts w:ascii="Arial Narrow" w:eastAsia="Times New Roman" w:hAnsi="Arial Narrow"/>
                <w:b/>
                <w:bCs/>
                <w:color w:val="000000"/>
                <w:sz w:val="15"/>
                <w:szCs w:val="15"/>
              </w:rPr>
              <w:t>FY13</w:t>
            </w:r>
          </w:p>
        </w:tc>
        <w:tc>
          <w:tcPr>
            <w:tcW w:w="667" w:type="pct"/>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b/>
                <w:bCs/>
                <w:color w:val="000000"/>
                <w:sz w:val="15"/>
                <w:szCs w:val="15"/>
              </w:rPr>
            </w:pPr>
            <w:r w:rsidRPr="001A725F">
              <w:rPr>
                <w:rFonts w:ascii="Arial Narrow" w:eastAsia="Times New Roman" w:hAnsi="Arial Narrow"/>
                <w:b/>
                <w:bCs/>
                <w:color w:val="000000"/>
                <w:sz w:val="15"/>
                <w:szCs w:val="15"/>
              </w:rPr>
              <w:t>FY14E</w:t>
            </w:r>
          </w:p>
        </w:tc>
        <w:tc>
          <w:tcPr>
            <w:tcW w:w="667" w:type="pct"/>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b/>
                <w:bCs/>
                <w:color w:val="000000"/>
                <w:sz w:val="15"/>
                <w:szCs w:val="15"/>
              </w:rPr>
            </w:pPr>
            <w:r w:rsidRPr="001A725F">
              <w:rPr>
                <w:rFonts w:ascii="Arial Narrow" w:eastAsia="Times New Roman" w:hAnsi="Arial Narrow"/>
                <w:b/>
                <w:bCs/>
                <w:color w:val="000000"/>
                <w:sz w:val="15"/>
                <w:szCs w:val="15"/>
              </w:rPr>
              <w:t>FY15E</w:t>
            </w:r>
          </w:p>
        </w:tc>
      </w:tr>
      <w:tr w:rsidR="00BC1D60" w:rsidRPr="001A725F" w:rsidTr="00BC5B38">
        <w:tc>
          <w:tcPr>
            <w:tcW w:w="0" w:type="auto"/>
            <w:shd w:val="clear" w:color="auto" w:fill="auto"/>
            <w:noWrap/>
            <w:tcMar>
              <w:top w:w="15" w:type="dxa"/>
              <w:left w:w="15" w:type="dxa"/>
              <w:bottom w:w="0" w:type="dxa"/>
              <w:right w:w="15" w:type="dxa"/>
            </w:tcMar>
            <w:vAlign w:val="bottom"/>
            <w:hideMark/>
          </w:tcPr>
          <w:p w:rsidR="00BC1D60" w:rsidRPr="001A725F" w:rsidRDefault="00BC1D60" w:rsidP="00BC5B38">
            <w:pPr>
              <w:rPr>
                <w:rFonts w:ascii="Arial Narrow" w:eastAsia="Times New Roman" w:hAnsi="Arial Narrow"/>
                <w:color w:val="000000"/>
                <w:sz w:val="15"/>
                <w:szCs w:val="15"/>
              </w:rPr>
            </w:pPr>
            <w:r w:rsidRPr="001A725F">
              <w:rPr>
                <w:rFonts w:ascii="Arial Narrow" w:eastAsia="Times New Roman" w:hAnsi="Arial Narrow"/>
                <w:color w:val="000000"/>
                <w:sz w:val="15"/>
                <w:szCs w:val="15"/>
              </w:rPr>
              <w:t>Revenue</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37.0</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41.4</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50.9</w:t>
            </w:r>
          </w:p>
        </w:tc>
        <w:tc>
          <w:tcPr>
            <w:tcW w:w="667" w:type="pct"/>
            <w:tcBorders>
              <w:top w:val="nil"/>
              <w:left w:val="nil"/>
              <w:bottom w:val="nil"/>
            </w:tcBorders>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58.5</w:t>
            </w:r>
          </w:p>
        </w:tc>
      </w:tr>
      <w:tr w:rsidR="00BC1D60" w:rsidRPr="001A725F" w:rsidTr="00BC5B38">
        <w:tc>
          <w:tcPr>
            <w:tcW w:w="0" w:type="auto"/>
            <w:shd w:val="clear" w:color="auto" w:fill="auto"/>
            <w:noWrap/>
            <w:tcMar>
              <w:top w:w="15" w:type="dxa"/>
              <w:left w:w="15" w:type="dxa"/>
              <w:bottom w:w="0" w:type="dxa"/>
              <w:right w:w="15" w:type="dxa"/>
            </w:tcMar>
            <w:vAlign w:val="bottom"/>
            <w:hideMark/>
          </w:tcPr>
          <w:p w:rsidR="00BC1D60" w:rsidRPr="001A725F" w:rsidRDefault="00BC1D60" w:rsidP="00BC5B38">
            <w:pPr>
              <w:rPr>
                <w:rFonts w:ascii="Arial Narrow" w:eastAsia="Times New Roman" w:hAnsi="Arial Narrow"/>
                <w:color w:val="000000"/>
                <w:sz w:val="15"/>
                <w:szCs w:val="15"/>
              </w:rPr>
            </w:pPr>
            <w:r w:rsidRPr="001A725F">
              <w:rPr>
                <w:rFonts w:ascii="Arial Narrow" w:eastAsia="Times New Roman" w:hAnsi="Arial Narrow"/>
                <w:color w:val="000000"/>
                <w:sz w:val="15"/>
                <w:szCs w:val="15"/>
              </w:rPr>
              <w:t>Operating profit</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5.3</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5.4</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7.4</w:t>
            </w:r>
          </w:p>
        </w:tc>
        <w:tc>
          <w:tcPr>
            <w:tcW w:w="667" w:type="pct"/>
            <w:tcBorders>
              <w:top w:val="nil"/>
              <w:left w:val="nil"/>
              <w:bottom w:val="nil"/>
            </w:tcBorders>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8.4</w:t>
            </w:r>
          </w:p>
        </w:tc>
      </w:tr>
      <w:tr w:rsidR="00BC1D60" w:rsidRPr="001A725F" w:rsidTr="00BC5B38">
        <w:tc>
          <w:tcPr>
            <w:tcW w:w="0" w:type="auto"/>
            <w:shd w:val="clear" w:color="auto" w:fill="auto"/>
            <w:noWrap/>
            <w:tcMar>
              <w:top w:w="15" w:type="dxa"/>
              <w:left w:w="15" w:type="dxa"/>
              <w:bottom w:w="0" w:type="dxa"/>
              <w:right w:w="15" w:type="dxa"/>
            </w:tcMar>
            <w:vAlign w:val="bottom"/>
            <w:hideMark/>
          </w:tcPr>
          <w:p w:rsidR="00BC1D60" w:rsidRPr="001A725F" w:rsidRDefault="00BC1D60" w:rsidP="00BC5B38">
            <w:pPr>
              <w:rPr>
                <w:rFonts w:ascii="Arial Narrow" w:eastAsia="Times New Roman" w:hAnsi="Arial Narrow"/>
                <w:color w:val="000000"/>
                <w:sz w:val="15"/>
                <w:szCs w:val="15"/>
              </w:rPr>
            </w:pPr>
            <w:r w:rsidRPr="001A725F">
              <w:rPr>
                <w:rFonts w:ascii="Arial Narrow" w:eastAsia="Times New Roman" w:hAnsi="Arial Narrow"/>
                <w:color w:val="000000"/>
                <w:sz w:val="15"/>
                <w:szCs w:val="15"/>
              </w:rPr>
              <w:t>EBITDA</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5.7</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5.9</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7.8</w:t>
            </w:r>
          </w:p>
        </w:tc>
        <w:tc>
          <w:tcPr>
            <w:tcW w:w="667" w:type="pct"/>
            <w:tcBorders>
              <w:top w:val="nil"/>
              <w:left w:val="nil"/>
              <w:bottom w:val="nil"/>
            </w:tcBorders>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8.8</w:t>
            </w:r>
          </w:p>
        </w:tc>
      </w:tr>
      <w:tr w:rsidR="00BC1D60" w:rsidRPr="001A725F" w:rsidTr="00BC5B38">
        <w:tc>
          <w:tcPr>
            <w:tcW w:w="0" w:type="auto"/>
            <w:shd w:val="clear" w:color="auto" w:fill="auto"/>
            <w:noWrap/>
            <w:tcMar>
              <w:top w:w="15" w:type="dxa"/>
              <w:left w:w="15" w:type="dxa"/>
              <w:bottom w:w="0" w:type="dxa"/>
              <w:right w:w="15" w:type="dxa"/>
            </w:tcMar>
            <w:vAlign w:val="bottom"/>
            <w:hideMark/>
          </w:tcPr>
          <w:p w:rsidR="00BC1D60" w:rsidRPr="001A725F" w:rsidRDefault="00BC1D60" w:rsidP="00BC5B38">
            <w:pPr>
              <w:rPr>
                <w:rFonts w:ascii="Arial Narrow" w:eastAsia="Times New Roman" w:hAnsi="Arial Narrow"/>
                <w:sz w:val="15"/>
                <w:szCs w:val="15"/>
              </w:rPr>
            </w:pPr>
            <w:r w:rsidRPr="001A725F">
              <w:rPr>
                <w:rFonts w:ascii="Arial Narrow" w:eastAsia="Times New Roman" w:hAnsi="Arial Narrow"/>
                <w:sz w:val="15"/>
                <w:szCs w:val="15"/>
              </w:rPr>
              <w:t>Pre-tax profit</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5.1</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5.7</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7.6</w:t>
            </w:r>
          </w:p>
        </w:tc>
        <w:tc>
          <w:tcPr>
            <w:tcW w:w="667" w:type="pct"/>
            <w:tcBorders>
              <w:top w:val="nil"/>
              <w:left w:val="nil"/>
              <w:bottom w:val="nil"/>
            </w:tcBorders>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8.7</w:t>
            </w:r>
          </w:p>
        </w:tc>
      </w:tr>
      <w:tr w:rsidR="00BC1D60" w:rsidRPr="001A725F" w:rsidTr="00BC5B38">
        <w:tc>
          <w:tcPr>
            <w:tcW w:w="0" w:type="auto"/>
            <w:shd w:val="clear" w:color="auto" w:fill="auto"/>
            <w:noWrap/>
            <w:tcMar>
              <w:top w:w="15" w:type="dxa"/>
              <w:left w:w="15" w:type="dxa"/>
              <w:bottom w:w="0" w:type="dxa"/>
              <w:right w:w="15" w:type="dxa"/>
            </w:tcMar>
            <w:vAlign w:val="bottom"/>
            <w:hideMark/>
          </w:tcPr>
          <w:p w:rsidR="00BC1D60" w:rsidRPr="001A725F" w:rsidRDefault="00BC1D60" w:rsidP="00BC5B38">
            <w:pPr>
              <w:rPr>
                <w:rFonts w:ascii="Arial Narrow" w:eastAsia="Times New Roman" w:hAnsi="Arial Narrow"/>
                <w:color w:val="000000"/>
                <w:sz w:val="15"/>
                <w:szCs w:val="15"/>
              </w:rPr>
            </w:pPr>
            <w:r w:rsidRPr="001A725F">
              <w:rPr>
                <w:rFonts w:ascii="Arial Narrow" w:eastAsia="Times New Roman" w:hAnsi="Arial Narrow"/>
                <w:color w:val="000000"/>
                <w:sz w:val="15"/>
                <w:szCs w:val="15"/>
              </w:rPr>
              <w:t>Adjusted net profit</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4.4</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4.7</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6.6</w:t>
            </w:r>
          </w:p>
        </w:tc>
        <w:tc>
          <w:tcPr>
            <w:tcW w:w="667" w:type="pct"/>
            <w:tcBorders>
              <w:top w:val="nil"/>
              <w:left w:val="nil"/>
              <w:bottom w:val="nil"/>
            </w:tcBorders>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7.5</w:t>
            </w:r>
          </w:p>
        </w:tc>
      </w:tr>
      <w:tr w:rsidR="00BC1D60" w:rsidRPr="001A725F" w:rsidTr="00BC5B38">
        <w:tc>
          <w:tcPr>
            <w:tcW w:w="0" w:type="auto"/>
            <w:shd w:val="clear" w:color="auto" w:fill="auto"/>
            <w:noWrap/>
            <w:tcMar>
              <w:top w:w="15" w:type="dxa"/>
              <w:left w:w="15" w:type="dxa"/>
              <w:bottom w:w="0" w:type="dxa"/>
              <w:right w:w="15" w:type="dxa"/>
            </w:tcMar>
            <w:vAlign w:val="bottom"/>
            <w:hideMark/>
          </w:tcPr>
          <w:p w:rsidR="00BC1D60" w:rsidRPr="001A725F" w:rsidRDefault="00BC1D60" w:rsidP="00BC5B38">
            <w:pPr>
              <w:rPr>
                <w:rFonts w:ascii="Arial Narrow" w:eastAsia="Times New Roman" w:hAnsi="Arial Narrow"/>
                <w:color w:val="000000"/>
                <w:sz w:val="15"/>
                <w:szCs w:val="15"/>
              </w:rPr>
            </w:pPr>
            <w:r w:rsidRPr="001A725F">
              <w:rPr>
                <w:rFonts w:ascii="Arial Narrow" w:eastAsia="Times New Roman" w:hAnsi="Arial Narrow"/>
                <w:color w:val="000000"/>
                <w:sz w:val="15"/>
                <w:szCs w:val="15"/>
              </w:rPr>
              <w:t>Profit growth (%)</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20.1</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6.9</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39.4</w:t>
            </w:r>
          </w:p>
        </w:tc>
        <w:tc>
          <w:tcPr>
            <w:tcW w:w="667" w:type="pct"/>
            <w:tcBorders>
              <w:top w:val="nil"/>
              <w:left w:val="nil"/>
              <w:bottom w:val="nil"/>
            </w:tcBorders>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13.6</w:t>
            </w:r>
          </w:p>
        </w:tc>
      </w:tr>
      <w:tr w:rsidR="00BC1D60" w:rsidRPr="001A725F" w:rsidTr="00BC5B38">
        <w:tc>
          <w:tcPr>
            <w:tcW w:w="0" w:type="auto"/>
            <w:shd w:val="clear" w:color="auto" w:fill="auto"/>
            <w:noWrap/>
            <w:tcMar>
              <w:top w:w="15" w:type="dxa"/>
              <w:left w:w="15" w:type="dxa"/>
              <w:bottom w:w="0" w:type="dxa"/>
              <w:right w:w="15" w:type="dxa"/>
            </w:tcMar>
            <w:vAlign w:val="bottom"/>
            <w:hideMark/>
          </w:tcPr>
          <w:p w:rsidR="00BC1D60" w:rsidRPr="001A725F" w:rsidRDefault="00BC1D60" w:rsidP="00BC5B38">
            <w:pPr>
              <w:rPr>
                <w:rFonts w:ascii="Arial Narrow" w:eastAsia="Times New Roman" w:hAnsi="Arial Narrow"/>
                <w:color w:val="000000"/>
                <w:sz w:val="15"/>
                <w:szCs w:val="15"/>
              </w:rPr>
            </w:pPr>
            <w:r w:rsidRPr="001A725F">
              <w:rPr>
                <w:rFonts w:ascii="Arial Narrow" w:eastAsia="Times New Roman" w:hAnsi="Arial Narrow"/>
                <w:color w:val="000000"/>
                <w:sz w:val="15"/>
                <w:szCs w:val="15"/>
              </w:rPr>
              <w:t>EPS (NT$)*</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7.36</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7.81</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10.88</w:t>
            </w:r>
          </w:p>
        </w:tc>
        <w:tc>
          <w:tcPr>
            <w:tcW w:w="667" w:type="pct"/>
            <w:tcBorders>
              <w:top w:val="nil"/>
              <w:left w:val="nil"/>
              <w:bottom w:val="nil"/>
            </w:tcBorders>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12.35</w:t>
            </w:r>
          </w:p>
        </w:tc>
      </w:tr>
      <w:tr w:rsidR="00BC1D60" w:rsidRPr="001A725F" w:rsidTr="00BC5B38">
        <w:tc>
          <w:tcPr>
            <w:tcW w:w="0" w:type="auto"/>
            <w:shd w:val="clear" w:color="auto" w:fill="auto"/>
            <w:noWrap/>
            <w:tcMar>
              <w:top w:w="15" w:type="dxa"/>
              <w:left w:w="15" w:type="dxa"/>
              <w:bottom w:w="0" w:type="dxa"/>
              <w:right w:w="15" w:type="dxa"/>
            </w:tcMar>
            <w:vAlign w:val="bottom"/>
            <w:hideMark/>
          </w:tcPr>
          <w:p w:rsidR="00BC1D60" w:rsidRPr="001A725F" w:rsidRDefault="00BC1D60" w:rsidP="00BC5B38">
            <w:pPr>
              <w:rPr>
                <w:rFonts w:ascii="Arial Narrow" w:eastAsia="Times New Roman" w:hAnsi="Arial Narrow"/>
                <w:color w:val="000000"/>
                <w:sz w:val="15"/>
                <w:szCs w:val="15"/>
              </w:rPr>
            </w:pPr>
            <w:r w:rsidRPr="001A725F">
              <w:rPr>
                <w:rFonts w:ascii="Arial Narrow" w:eastAsia="Times New Roman" w:hAnsi="Arial Narrow"/>
                <w:color w:val="000000"/>
                <w:sz w:val="15"/>
                <w:szCs w:val="15"/>
              </w:rPr>
              <w:t>BVPS (NT$, yr-end)</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39.63</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40.46</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45.42</w:t>
            </w:r>
          </w:p>
        </w:tc>
        <w:tc>
          <w:tcPr>
            <w:tcW w:w="667" w:type="pct"/>
            <w:tcBorders>
              <w:top w:val="nil"/>
              <w:left w:val="nil"/>
              <w:bottom w:val="nil"/>
            </w:tcBorders>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49.94</w:t>
            </w:r>
          </w:p>
        </w:tc>
      </w:tr>
      <w:tr w:rsidR="00BC1D60" w:rsidRPr="001A725F" w:rsidTr="00BC5B38">
        <w:tc>
          <w:tcPr>
            <w:tcW w:w="0" w:type="auto"/>
            <w:shd w:val="clear" w:color="auto" w:fill="auto"/>
            <w:noWrap/>
            <w:tcMar>
              <w:top w:w="15" w:type="dxa"/>
              <w:left w:w="15" w:type="dxa"/>
              <w:bottom w:w="0" w:type="dxa"/>
              <w:right w:w="15" w:type="dxa"/>
            </w:tcMar>
            <w:vAlign w:val="bottom"/>
            <w:hideMark/>
          </w:tcPr>
          <w:p w:rsidR="00BC1D60" w:rsidRPr="001A725F" w:rsidRDefault="00BC1D60" w:rsidP="00BC5B38">
            <w:pPr>
              <w:rPr>
                <w:rFonts w:ascii="Arial Narrow" w:eastAsia="Times New Roman" w:hAnsi="Arial Narrow"/>
                <w:color w:val="000000"/>
                <w:sz w:val="15"/>
                <w:szCs w:val="15"/>
              </w:rPr>
            </w:pPr>
            <w:r w:rsidRPr="001A725F">
              <w:rPr>
                <w:rFonts w:ascii="Arial Narrow" w:eastAsia="Times New Roman" w:hAnsi="Arial Narrow"/>
                <w:color w:val="000000"/>
                <w:sz w:val="15"/>
                <w:szCs w:val="15"/>
              </w:rPr>
              <w:t>Cash dividend yield (%)</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3.1</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3.8</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4.1</w:t>
            </w:r>
          </w:p>
        </w:tc>
        <w:tc>
          <w:tcPr>
            <w:tcW w:w="667" w:type="pct"/>
            <w:tcBorders>
              <w:top w:val="nil"/>
              <w:left w:val="nil"/>
              <w:bottom w:val="nil"/>
            </w:tcBorders>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5.3</w:t>
            </w:r>
          </w:p>
        </w:tc>
      </w:tr>
      <w:tr w:rsidR="00BC1D60" w:rsidRPr="001A725F" w:rsidTr="00BC5B38">
        <w:tc>
          <w:tcPr>
            <w:tcW w:w="0" w:type="auto"/>
            <w:shd w:val="clear" w:color="auto" w:fill="auto"/>
            <w:noWrap/>
            <w:tcMar>
              <w:top w:w="15" w:type="dxa"/>
              <w:left w:w="15" w:type="dxa"/>
              <w:bottom w:w="0" w:type="dxa"/>
              <w:right w:w="15" w:type="dxa"/>
            </w:tcMar>
            <w:vAlign w:val="bottom"/>
            <w:hideMark/>
          </w:tcPr>
          <w:p w:rsidR="00BC1D60" w:rsidRPr="001A725F" w:rsidRDefault="00BC1D60" w:rsidP="00BC5B38">
            <w:pPr>
              <w:rPr>
                <w:rFonts w:ascii="Arial Narrow" w:eastAsia="Times New Roman" w:hAnsi="Arial Narrow"/>
                <w:sz w:val="15"/>
                <w:szCs w:val="15"/>
              </w:rPr>
            </w:pPr>
            <w:r w:rsidRPr="001A725F">
              <w:rPr>
                <w:rFonts w:ascii="Arial Narrow" w:eastAsia="Times New Roman" w:hAnsi="Arial Narrow"/>
                <w:sz w:val="15"/>
                <w:szCs w:val="15"/>
              </w:rPr>
              <w:t>ROE (%)</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18.5</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19.3</w:t>
            </w:r>
          </w:p>
        </w:tc>
        <w:tc>
          <w:tcPr>
            <w:tcW w:w="667" w:type="pct"/>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23.9</w:t>
            </w:r>
          </w:p>
        </w:tc>
        <w:tc>
          <w:tcPr>
            <w:tcW w:w="667" w:type="pct"/>
            <w:tcBorders>
              <w:top w:val="nil"/>
              <w:left w:val="nil"/>
            </w:tcBorders>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24.7</w:t>
            </w:r>
          </w:p>
        </w:tc>
      </w:tr>
      <w:tr w:rsidR="00BC1D60" w:rsidRPr="001A725F" w:rsidTr="00BC5B38">
        <w:tc>
          <w:tcPr>
            <w:tcW w:w="0" w:type="auto"/>
            <w:tcBorders>
              <w:bottom w:val="single" w:sz="4" w:space="0" w:color="auto"/>
            </w:tcBorders>
            <w:shd w:val="clear" w:color="auto" w:fill="auto"/>
            <w:noWrap/>
            <w:tcMar>
              <w:top w:w="15" w:type="dxa"/>
              <w:left w:w="15" w:type="dxa"/>
              <w:bottom w:w="0" w:type="dxa"/>
              <w:right w:w="15" w:type="dxa"/>
            </w:tcMar>
            <w:vAlign w:val="bottom"/>
            <w:hideMark/>
          </w:tcPr>
          <w:p w:rsidR="00BC1D60" w:rsidRPr="001A725F" w:rsidRDefault="00BC1D60" w:rsidP="00BC5B38">
            <w:pPr>
              <w:rPr>
                <w:rFonts w:ascii="Arial Narrow" w:eastAsia="Times New Roman" w:hAnsi="Arial Narrow"/>
                <w:sz w:val="15"/>
                <w:szCs w:val="15"/>
              </w:rPr>
            </w:pPr>
            <w:r w:rsidRPr="001A725F">
              <w:rPr>
                <w:rFonts w:ascii="Arial Narrow" w:eastAsia="Times New Roman" w:hAnsi="Arial Narrow"/>
                <w:sz w:val="15"/>
                <w:szCs w:val="15"/>
              </w:rPr>
              <w:t>Net debt/equity (%)</w:t>
            </w:r>
          </w:p>
        </w:tc>
        <w:tc>
          <w:tcPr>
            <w:tcW w:w="667" w:type="pct"/>
            <w:tcBorders>
              <w:bottom w:val="single" w:sz="4" w:space="0" w:color="auto"/>
            </w:tcBorders>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-43.7</w:t>
            </w:r>
          </w:p>
        </w:tc>
        <w:tc>
          <w:tcPr>
            <w:tcW w:w="667" w:type="pct"/>
            <w:tcBorders>
              <w:bottom w:val="single" w:sz="4" w:space="0" w:color="auto"/>
            </w:tcBorders>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-48.5</w:t>
            </w:r>
          </w:p>
        </w:tc>
        <w:tc>
          <w:tcPr>
            <w:tcW w:w="667" w:type="pct"/>
            <w:tcBorders>
              <w:bottom w:val="single" w:sz="4" w:space="0" w:color="auto"/>
            </w:tcBorders>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-45.6</w:t>
            </w:r>
          </w:p>
        </w:tc>
        <w:tc>
          <w:tcPr>
            <w:tcW w:w="667" w:type="pct"/>
            <w:tcBorders>
              <w:top w:val="nil"/>
              <w:left w:val="nil"/>
              <w:bottom w:val="single" w:sz="4" w:space="0" w:color="auto"/>
            </w:tcBorders>
            <w:shd w:val="clear" w:color="auto" w:fill="auto"/>
            <w:noWrap/>
            <w:tcMar>
              <w:top w:w="15" w:type="dxa"/>
              <w:left w:w="15" w:type="dxa"/>
              <w:bottom w:w="0" w:type="dxa"/>
              <w:right w:w="15" w:type="dxa"/>
            </w:tcMar>
            <w:vAlign w:val="bottom"/>
            <w:hideMark/>
          </w:tcPr>
          <w:p w:rsidR="00BC1D60" w:rsidRPr="001A725F" w:rsidRDefault="00BC1D60" w:rsidP="00BC5B38">
            <w:pPr>
              <w:jc w:val="right"/>
              <w:rPr>
                <w:rFonts w:ascii="Arial Narrow" w:eastAsia="Times New Roman" w:hAnsi="Arial Narrow"/>
                <w:color w:val="000000"/>
                <w:sz w:val="15"/>
                <w:szCs w:val="15"/>
              </w:rPr>
            </w:pPr>
            <w:r w:rsidRPr="001A725F">
              <w:rPr>
                <w:rFonts w:ascii="Arial Narrow" w:eastAsia="Times New Roman" w:hAnsi="Arial Narrow"/>
                <w:color w:val="000000"/>
                <w:sz w:val="15"/>
                <w:szCs w:val="15"/>
              </w:rPr>
              <w:t>-45.6</w:t>
            </w:r>
          </w:p>
        </w:tc>
      </w:tr>
    </w:tbl>
    <w:p w:rsidR="00BC1D60" w:rsidRDefault="00BC1D60" w:rsidP="00BC1D60">
      <w:pPr>
        <w:pStyle w:val="Source"/>
      </w:pPr>
      <w:r>
        <w:t>Source: Company data, Bloomberg, J.P. Morgan estimates</w:t>
      </w:r>
    </w:p>
    <w:p w:rsidR="00BC1D60" w:rsidRPr="00A47405" w:rsidRDefault="00BC1D60" w:rsidP="00BC1D60">
      <w:pPr>
        <w:pStyle w:val="Body"/>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7D6BCE" w:rsidTr="00BC5B38">
        <w:tc>
          <w:tcPr>
            <w:tcW w:w="10604" w:type="dxa"/>
            <w:gridSpan w:val="3"/>
            <w:shd w:val="clear" w:color="auto" w:fill="auto"/>
          </w:tcPr>
          <w:p w:rsidR="00BC1D60" w:rsidRPr="007D6BCE" w:rsidRDefault="00BC1D60" w:rsidP="00BC5B38">
            <w:pPr>
              <w:pStyle w:val="Heading1-NoTOC"/>
            </w:pPr>
            <w:bookmarkStart w:id="298" w:name="_Toc384044990"/>
            <w:bookmarkStart w:id="299" w:name="_Toc384136013"/>
            <w:bookmarkStart w:id="300" w:name="_Toc384136980"/>
            <w:bookmarkStart w:id="301" w:name="_Toc392016375"/>
            <w:bookmarkStart w:id="302" w:name="_Toc392099093"/>
            <w:r w:rsidRPr="007D6BCE">
              <w:t>Getting to know our SMid Analysts…</w:t>
            </w:r>
            <w:bookmarkEnd w:id="298"/>
            <w:bookmarkEnd w:id="299"/>
            <w:bookmarkEnd w:id="300"/>
            <w:bookmarkEnd w:id="301"/>
            <w:bookmarkEnd w:id="302"/>
          </w:p>
        </w:tc>
      </w:tr>
      <w:tr w:rsidR="00BC1D60" w:rsidRPr="007D6BCE" w:rsidTr="00BC5B38">
        <w:trPr>
          <w:trHeight w:val="3427"/>
        </w:trPr>
        <w:tc>
          <w:tcPr>
            <w:tcW w:w="2666" w:type="dxa"/>
            <w:shd w:val="clear" w:color="auto" w:fill="auto"/>
          </w:tcPr>
          <w:p w:rsidR="00BC1D60" w:rsidRPr="007D6BCE" w:rsidRDefault="00BC1D60" w:rsidP="00BC5B38">
            <w:pPr>
              <w:shd w:val="clear" w:color="auto" w:fill="F6F6F6"/>
              <w:spacing w:line="336" w:lineRule="atLeast"/>
              <w:jc w:val="center"/>
              <w:rPr>
                <w:rFonts w:ascii="Arial" w:hAnsi="Arial" w:cs="Arial"/>
                <w:color w:val="666666"/>
                <w:sz w:val="15"/>
                <w:szCs w:val="15"/>
              </w:rPr>
            </w:pPr>
            <w:r w:rsidRPr="007D6BCE">
              <w:rPr>
                <w:rFonts w:ascii="Arial" w:hAnsi="Arial" w:cs="Arial"/>
                <w:noProof/>
                <w:color w:val="716F63"/>
                <w:sz w:val="18"/>
                <w:szCs w:val="18"/>
              </w:rPr>
              <w:drawing>
                <wp:inline distT="0" distB="0" distL="0" distR="0">
                  <wp:extent cx="1508292" cy="1520456"/>
                  <wp:effectExtent l="19050" t="0" r="0" b="0"/>
                  <wp:docPr id="1056" name="Picture 21" descr="Narci C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arci Chang"/>
                          <pic:cNvPicPr>
                            <a:picLocks noChangeAspect="1" noChangeArrowheads="1"/>
                          </pic:cNvPicPr>
                        </pic:nvPicPr>
                        <pic:blipFill>
                          <a:blip r:embed="rId136"/>
                          <a:srcRect l="19508" r="18796"/>
                          <a:stretch>
                            <a:fillRect/>
                          </a:stretch>
                        </pic:blipFill>
                        <pic:spPr bwMode="auto">
                          <a:xfrm>
                            <a:off x="0" y="0"/>
                            <a:ext cx="1508292" cy="1520456"/>
                          </a:xfrm>
                          <a:prstGeom prst="rect">
                            <a:avLst/>
                          </a:prstGeom>
                          <a:noFill/>
                          <a:ln w="9525">
                            <a:noFill/>
                            <a:miter lim="800000"/>
                            <a:headEnd/>
                            <a:tailEnd/>
                          </a:ln>
                        </pic:spPr>
                      </pic:pic>
                    </a:graphicData>
                  </a:graphic>
                </wp:inline>
              </w:drawing>
            </w:r>
          </w:p>
          <w:p w:rsidR="00BC1D60" w:rsidRPr="007D6BCE" w:rsidRDefault="00BC1D60" w:rsidP="00BC5B38">
            <w:pPr>
              <w:pStyle w:val="Body"/>
              <w:spacing w:after="120"/>
            </w:pPr>
          </w:p>
        </w:tc>
        <w:tc>
          <w:tcPr>
            <w:tcW w:w="3544" w:type="dxa"/>
            <w:shd w:val="clear" w:color="auto" w:fill="auto"/>
          </w:tcPr>
          <w:p w:rsidR="00BC1D60" w:rsidRPr="007D6BCE" w:rsidRDefault="00BC1D60" w:rsidP="00BC5B38">
            <w:pPr>
              <w:pStyle w:val="Heading2"/>
              <w:outlineLvl w:val="1"/>
              <w:rPr>
                <w:lang w:val="es-ES_tradnl"/>
              </w:rPr>
            </w:pPr>
            <w:r w:rsidRPr="007D6BCE">
              <w:rPr>
                <w:lang w:val="es-ES_tradnl"/>
              </w:rPr>
              <w:t>Narci Chang</w:t>
            </w:r>
          </w:p>
          <w:p w:rsidR="00BC1D60" w:rsidRPr="007D6BCE" w:rsidRDefault="003B051F" w:rsidP="00BC5B38">
            <w:pPr>
              <w:pStyle w:val="Body"/>
              <w:spacing w:after="120"/>
              <w:rPr>
                <w:rStyle w:val="txtblackbld1"/>
                <w:rFonts w:ascii="Arial Narrow" w:hAnsi="Arial Narrow"/>
                <w:b w:val="0"/>
                <w:bCs w:val="0"/>
                <w:szCs w:val="20"/>
                <w:lang w:val="es-ES_tradnl"/>
              </w:rPr>
            </w:pPr>
            <w:hyperlink r:id="rId137" w:history="1">
              <w:r w:rsidR="00BC1D60" w:rsidRPr="007D6BCE">
                <w:rPr>
                  <w:rStyle w:val="Hyperlink"/>
                  <w:rFonts w:ascii="Arial Narrow" w:hAnsi="Arial Narrow" w:cs="Arial"/>
                  <w:szCs w:val="20"/>
                  <w:lang w:val="es-ES_tradnl"/>
                </w:rPr>
                <w:t>narci.h.chang@jpmorgan.com</w:t>
              </w:r>
            </w:hyperlink>
          </w:p>
          <w:p w:rsidR="00BC1D60" w:rsidRPr="007D6BCE" w:rsidRDefault="00BC1D60" w:rsidP="00BC5B38">
            <w:pPr>
              <w:pStyle w:val="Body"/>
              <w:spacing w:after="120"/>
              <w:rPr>
                <w:rFonts w:ascii="Arial Narrow" w:hAnsi="Arial Narrow"/>
                <w:lang w:val="es-ES_tradnl"/>
              </w:rPr>
            </w:pPr>
            <w:r w:rsidRPr="007D6BCE">
              <w:rPr>
                <w:rFonts w:ascii="Arial Narrow" w:hAnsi="Arial Narrow"/>
                <w:lang w:val="es-ES_tradnl"/>
              </w:rPr>
              <w:t>(886-2) 2725-9899</w:t>
            </w:r>
          </w:p>
          <w:p w:rsidR="00BC1D60" w:rsidRPr="007D6BCE" w:rsidRDefault="00BC1D60" w:rsidP="00BC5B38">
            <w:pPr>
              <w:pStyle w:val="Body"/>
              <w:spacing w:after="120"/>
              <w:rPr>
                <w:rFonts w:ascii="Arial Narrow" w:hAnsi="Arial Narrow"/>
                <w:lang w:val="es-ES_tradnl"/>
              </w:rPr>
            </w:pPr>
          </w:p>
          <w:p w:rsidR="00BC1D60" w:rsidRPr="007D6BCE" w:rsidRDefault="00BC1D60" w:rsidP="00BC5B38">
            <w:pPr>
              <w:pStyle w:val="Body"/>
              <w:spacing w:after="120"/>
              <w:rPr>
                <w:rFonts w:ascii="Arial Narrow" w:hAnsi="Arial Narrow"/>
              </w:rPr>
            </w:pPr>
            <w:r w:rsidRPr="007D6BCE">
              <w:rPr>
                <w:rFonts w:ascii="Arial Narrow" w:hAnsi="Arial Narrow"/>
                <w:b/>
              </w:rPr>
              <w:t>Region:</w:t>
            </w:r>
            <w:r w:rsidRPr="007D6BCE">
              <w:rPr>
                <w:rFonts w:ascii="Arial Narrow" w:hAnsi="Arial Narrow"/>
              </w:rPr>
              <w:t xml:space="preserve"> Asia </w:t>
            </w:r>
          </w:p>
          <w:p w:rsidR="00BC1D60" w:rsidRPr="007D6BCE" w:rsidRDefault="00BC1D60" w:rsidP="00BC5B38">
            <w:pPr>
              <w:pStyle w:val="Body"/>
              <w:spacing w:after="120"/>
              <w:rPr>
                <w:rFonts w:ascii="Arial Narrow" w:hAnsi="Arial Narrow"/>
              </w:rPr>
            </w:pPr>
            <w:r w:rsidRPr="007D6BCE">
              <w:rPr>
                <w:rFonts w:ascii="Arial Narrow" w:hAnsi="Arial Narrow"/>
                <w:b/>
              </w:rPr>
              <w:t>Sector:</w:t>
            </w:r>
            <w:r w:rsidRPr="007D6BCE">
              <w:rPr>
                <w:rFonts w:ascii="Arial Narrow" w:hAnsi="Arial Narrow"/>
              </w:rPr>
              <w:t xml:space="preserve"> Technology — Semiconductors</w:t>
            </w:r>
          </w:p>
          <w:p w:rsidR="00BC1D60" w:rsidRPr="007D6BCE" w:rsidRDefault="00BC1D60" w:rsidP="00BC5B38">
            <w:pPr>
              <w:pStyle w:val="Body"/>
            </w:pPr>
          </w:p>
        </w:tc>
        <w:tc>
          <w:tcPr>
            <w:tcW w:w="4394" w:type="dxa"/>
            <w:shd w:val="clear" w:color="auto" w:fill="auto"/>
          </w:tcPr>
          <w:p w:rsidR="00BC1D60" w:rsidRPr="007D6BCE" w:rsidRDefault="00BC1D60" w:rsidP="00BC5B38">
            <w:pPr>
              <w:pStyle w:val="Body"/>
              <w:jc w:val="right"/>
            </w:pPr>
            <w:r w:rsidRPr="007D6BCE">
              <w:rPr>
                <w:noProof/>
              </w:rPr>
              <w:drawing>
                <wp:inline distT="0" distB="0" distL="0" distR="0">
                  <wp:extent cx="2505456" cy="1712362"/>
                  <wp:effectExtent l="19050" t="0" r="9144" b="0"/>
                  <wp:docPr id="10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8"/>
                          <a:srcRect/>
                          <a:stretch>
                            <a:fillRect/>
                          </a:stretch>
                        </pic:blipFill>
                        <pic:spPr bwMode="auto">
                          <a:xfrm>
                            <a:off x="0" y="0"/>
                            <a:ext cx="2505456" cy="1712362"/>
                          </a:xfrm>
                          <a:prstGeom prst="rect">
                            <a:avLst/>
                          </a:prstGeom>
                          <a:noFill/>
                          <a:ln w="9525">
                            <a:noFill/>
                            <a:miter lim="800000"/>
                            <a:headEnd/>
                            <a:tailEnd/>
                          </a:ln>
                        </pic:spPr>
                      </pic:pic>
                    </a:graphicData>
                  </a:graphic>
                </wp:inline>
              </w:drawing>
            </w:r>
            <w:r w:rsidRPr="007D6BCE" w:rsidDel="00BD1C92">
              <w:t xml:space="preserve"> </w:t>
            </w:r>
          </w:p>
        </w:tc>
      </w:tr>
    </w:tbl>
    <w:p w:rsidR="00BC1D60" w:rsidRPr="007D6BCE" w:rsidRDefault="00BC1D60" w:rsidP="00BC1D60">
      <w:pPr>
        <w:pStyle w:val="Source"/>
        <w:spacing w:before="0"/>
        <w:ind w:left="-3124" w:hanging="137"/>
      </w:pPr>
      <w:r w:rsidRPr="007D6BCE">
        <w:rPr>
          <w:noProof/>
        </w:rPr>
        <w:drawing>
          <wp:inline distT="0" distB="0" distL="0" distR="0">
            <wp:extent cx="6702552" cy="2214629"/>
            <wp:effectExtent l="19050" t="0" r="3048" b="0"/>
            <wp:docPr id="105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9"/>
                    <a:srcRect/>
                    <a:stretch>
                      <a:fillRect/>
                    </a:stretch>
                  </pic:blipFill>
                  <pic:spPr bwMode="auto">
                    <a:xfrm>
                      <a:off x="0" y="0"/>
                      <a:ext cx="6702552" cy="2214629"/>
                    </a:xfrm>
                    <a:prstGeom prst="rect">
                      <a:avLst/>
                    </a:prstGeom>
                    <a:noFill/>
                    <a:ln w="9525">
                      <a:noFill/>
                      <a:miter lim="800000"/>
                      <a:headEnd/>
                      <a:tailEnd/>
                    </a:ln>
                  </pic:spPr>
                </pic:pic>
              </a:graphicData>
            </a:graphic>
          </wp:inline>
        </w:drawing>
      </w:r>
      <w:r w:rsidRPr="007D6BCE">
        <w:t xml:space="preserve"> Source: Bloomberg, Datastream, Factset, J.P. Morgan</w:t>
      </w:r>
      <w:r w:rsidRPr="007D6BCE">
        <w:br/>
      </w:r>
      <w:r w:rsidRPr="0087013D">
        <w:t>Prices as of 24 June 2014</w:t>
      </w:r>
    </w:p>
    <w:p w:rsidR="00BC1D60" w:rsidRPr="004F1ABB" w:rsidRDefault="00BC1D60" w:rsidP="00BC1D60">
      <w:pPr>
        <w:spacing w:line="264" w:lineRule="atLeast"/>
        <w:ind w:left="-3125"/>
        <w:rPr>
          <w:rFonts w:ascii="Arial Narrow" w:hAnsi="Arial Narrow" w:cs="Arial"/>
          <w:sz w:val="16"/>
          <w:szCs w:val="16"/>
          <w:highlight w:val="yellow"/>
        </w:rPr>
      </w:pPr>
    </w:p>
    <w:p w:rsidR="00BC1D60" w:rsidRPr="004F1ABB" w:rsidRDefault="00BC1D60" w:rsidP="00BC1D60">
      <w:pPr>
        <w:pStyle w:val="Sidecomments"/>
        <w:framePr w:w="0" w:hRule="auto" w:wrap="around"/>
        <w:rPr>
          <w:highlight w:val="yellow"/>
        </w:rPr>
      </w:pPr>
      <w:r w:rsidRPr="005F24D8">
        <w:rPr>
          <w:noProof/>
        </w:rPr>
        <w:lastRenderedPageBreak/>
        <w:drawing>
          <wp:inline distT="0" distB="0" distL="0" distR="0">
            <wp:extent cx="1737360" cy="7883397"/>
            <wp:effectExtent l="19050" t="0" r="0" b="0"/>
            <wp:docPr id="106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0"/>
                    <a:srcRect/>
                    <a:stretch>
                      <a:fillRect/>
                    </a:stretch>
                  </pic:blipFill>
                  <pic:spPr bwMode="auto">
                    <a:xfrm>
                      <a:off x="0" y="0"/>
                      <a:ext cx="1737360" cy="7883397"/>
                    </a:xfrm>
                    <a:prstGeom prst="rect">
                      <a:avLst/>
                    </a:prstGeom>
                    <a:noFill/>
                    <a:ln w="9525">
                      <a:noFill/>
                      <a:miter lim="800000"/>
                      <a:headEnd/>
                      <a:tailEnd/>
                    </a:ln>
                  </pic:spPr>
                </pic:pic>
              </a:graphicData>
            </a:graphic>
          </wp:inline>
        </w:drawing>
      </w:r>
    </w:p>
    <w:p w:rsidR="00BC1D60" w:rsidRPr="005F24D8" w:rsidRDefault="00BC1D60" w:rsidP="00BC1D60">
      <w:pPr>
        <w:pStyle w:val="Heading1"/>
      </w:pPr>
      <w:bookmarkStart w:id="303" w:name="_Ref352248475"/>
      <w:bookmarkStart w:id="304" w:name="_Toc352262699"/>
      <w:bookmarkStart w:id="305" w:name="_Toc352262873"/>
      <w:bookmarkStart w:id="306" w:name="_Toc360569912"/>
      <w:bookmarkStart w:id="307" w:name="_Toc368081370"/>
      <w:bookmarkStart w:id="308" w:name="_Toc376802097"/>
      <w:bookmarkStart w:id="309" w:name="_Toc384136014"/>
      <w:bookmarkStart w:id="310" w:name="_Toc392099094"/>
      <w:bookmarkStart w:id="311" w:name="_Toc392081824"/>
      <w:bookmarkStart w:id="312" w:name="_Toc392081887"/>
      <w:r w:rsidRPr="005F24D8">
        <w:t>Omantel (OTEL OM / OW / RO1.</w:t>
      </w:r>
      <w:r>
        <w:t>62</w:t>
      </w:r>
      <w:r w:rsidRPr="005F24D8">
        <w:t>)</w:t>
      </w:r>
      <w:bookmarkEnd w:id="303"/>
      <w:bookmarkEnd w:id="304"/>
      <w:bookmarkEnd w:id="305"/>
      <w:bookmarkEnd w:id="306"/>
      <w:bookmarkEnd w:id="307"/>
      <w:bookmarkEnd w:id="308"/>
      <w:bookmarkEnd w:id="309"/>
      <w:bookmarkEnd w:id="310"/>
      <w:bookmarkEnd w:id="311"/>
      <w:bookmarkEnd w:id="312"/>
    </w:p>
    <w:p w:rsidR="00BC1D60" w:rsidRPr="005F24D8" w:rsidRDefault="00BC1D60" w:rsidP="00BC1D60">
      <w:pPr>
        <w:pStyle w:val="Heading2"/>
        <w:spacing w:after="120"/>
        <w:rPr>
          <w:i/>
        </w:rPr>
      </w:pPr>
      <w:r w:rsidRPr="005F24D8">
        <w:rPr>
          <w:i/>
        </w:rPr>
        <w:t>Attractive divi yield of &gt;7% supported by strong FCF yield of &gt;10%</w:t>
      </w:r>
    </w:p>
    <w:p w:rsidR="00BC1D60" w:rsidRPr="005F24D8" w:rsidRDefault="00BC1D60" w:rsidP="00BC1D60">
      <w:pPr>
        <w:pStyle w:val="Heading3"/>
      </w:pPr>
      <w:r w:rsidRPr="005F24D8">
        <w:t>Investment Highlights:</w:t>
      </w:r>
    </w:p>
    <w:p w:rsidR="00BC1D60" w:rsidRPr="005F24D8" w:rsidRDefault="00BC1D60" w:rsidP="00BC1D60">
      <w:pPr>
        <w:pStyle w:val="Bullet"/>
        <w:rPr>
          <w:lang w:val="en-GB" w:eastAsia="ja-JP"/>
        </w:rPr>
      </w:pPr>
      <w:r w:rsidRPr="005F24D8">
        <w:rPr>
          <w:b/>
          <w:lang w:val="en-GB" w:eastAsia="ja-JP"/>
        </w:rPr>
        <w:t xml:space="preserve">Attractive divi </w:t>
      </w:r>
      <w:r w:rsidRPr="006E0904">
        <w:rPr>
          <w:b/>
          <w:lang w:val="en-GB" w:eastAsia="ja-JP"/>
        </w:rPr>
        <w:t xml:space="preserve">yield </w:t>
      </w:r>
      <w:r w:rsidRPr="007A4ECF">
        <w:rPr>
          <w:b/>
          <w:lang w:val="en-GB" w:eastAsia="ja-JP"/>
        </w:rPr>
        <w:t>of &gt;7%.</w:t>
      </w:r>
      <w:r w:rsidRPr="006E0904">
        <w:rPr>
          <w:lang w:val="en-GB" w:eastAsia="ja-JP"/>
        </w:rPr>
        <w:t xml:space="preserve"> Based on our current estimates, Omantel offers an attractive 2014E/15E divi yield of &gt;7%. Our dividend expectations are supported by strong FCF </w:t>
      </w:r>
      <w:r w:rsidRPr="007A4ECF">
        <w:rPr>
          <w:lang w:val="en-GB" w:eastAsia="ja-JP"/>
        </w:rPr>
        <w:t>yield of &gt;10%,</w:t>
      </w:r>
      <w:r w:rsidRPr="006E0904">
        <w:rPr>
          <w:lang w:val="en-GB" w:eastAsia="ja-JP"/>
        </w:rPr>
        <w:t xml:space="preserve"> reasonable</w:t>
      </w:r>
      <w:r w:rsidRPr="005F24D8">
        <w:rPr>
          <w:lang w:val="en-GB" w:eastAsia="ja-JP"/>
        </w:rPr>
        <w:t xml:space="preserve"> divi pay-out ratio of &lt;75% of NI and comfortable debt position (2014E Net Debt/EBITDA of -0.4x).</w:t>
      </w:r>
    </w:p>
    <w:p w:rsidR="00BC1D60" w:rsidRPr="005F24D8" w:rsidRDefault="00BC1D60" w:rsidP="00BC1D60">
      <w:pPr>
        <w:pStyle w:val="Bullet"/>
        <w:rPr>
          <w:lang w:val="en-GB" w:eastAsia="ja-JP"/>
        </w:rPr>
      </w:pPr>
      <w:r w:rsidRPr="005F24D8">
        <w:rPr>
          <w:b/>
          <w:lang w:val="en-GB" w:eastAsia="ja-JP"/>
        </w:rPr>
        <w:t>Currently better positioned to benefit from broadband-driven growth.</w:t>
      </w:r>
      <w:r w:rsidRPr="005F24D8">
        <w:rPr>
          <w:lang w:val="en-GB" w:eastAsia="ja-JP"/>
        </w:rPr>
        <w:t xml:space="preserve"> This is mainly due to Omantel’s relatively large fixed network and more comprehensive mobile broadband network. </w:t>
      </w:r>
    </w:p>
    <w:p w:rsidR="00BC1D60" w:rsidRPr="005F24D8" w:rsidRDefault="00BC1D60" w:rsidP="00BC1D60">
      <w:pPr>
        <w:pStyle w:val="Bullet"/>
        <w:rPr>
          <w:lang w:val="en-GB" w:eastAsia="ja-JP"/>
        </w:rPr>
      </w:pPr>
      <w:r w:rsidRPr="005F24D8">
        <w:rPr>
          <w:b/>
          <w:lang w:val="en-GB" w:eastAsia="ja-JP"/>
        </w:rPr>
        <w:t xml:space="preserve">Gov’t’s sale of 19% through the stock market beneficial for stock liquidity. </w:t>
      </w:r>
      <w:r w:rsidRPr="005F24D8">
        <w:rPr>
          <w:lang w:val="en-GB" w:eastAsia="ja-JP"/>
        </w:rPr>
        <w:t>Our initial view is that this is a positive development as the free float almost doubles to 39% from 20% and is likely to benefit stock liquidity.</w:t>
      </w:r>
    </w:p>
    <w:p w:rsidR="00BC1D60" w:rsidRPr="005F24D8" w:rsidRDefault="00BC1D60" w:rsidP="00BC1D60">
      <w:pPr>
        <w:pStyle w:val="Bullet"/>
        <w:rPr>
          <w:lang w:val="en-GB" w:eastAsia="ja-JP"/>
        </w:rPr>
      </w:pPr>
      <w:r w:rsidRPr="005F24D8">
        <w:rPr>
          <w:b/>
          <w:lang w:val="en-GB" w:eastAsia="ja-JP"/>
        </w:rPr>
        <w:t>Key positive catalysts.</w:t>
      </w:r>
      <w:r w:rsidRPr="005F24D8">
        <w:rPr>
          <w:lang w:val="en-GB" w:eastAsia="ja-JP"/>
        </w:rPr>
        <w:t xml:space="preserve"> We highlight earnings, dividend announcements, and potential IRU sales (which we do not forecast) as key catalysts.</w:t>
      </w:r>
    </w:p>
    <w:p w:rsidR="00BC1D60" w:rsidRPr="005F24D8" w:rsidRDefault="00BC1D60" w:rsidP="00BC1D60">
      <w:pPr>
        <w:pStyle w:val="Bullet"/>
        <w:numPr>
          <w:ilvl w:val="0"/>
          <w:numId w:val="0"/>
        </w:numPr>
        <w:rPr>
          <w:lang w:val="en-GB" w:eastAsia="ja-JP"/>
        </w:rPr>
      </w:pPr>
      <w:r w:rsidRPr="005F24D8">
        <w:rPr>
          <w:b/>
          <w:lang w:val="en-GB" w:eastAsia="ja-JP"/>
        </w:rPr>
        <w:t>Valuation / Risks to our View:</w:t>
      </w:r>
      <w:r w:rsidRPr="005F24D8">
        <w:rPr>
          <w:lang w:val="en-GB" w:eastAsia="ja-JP"/>
        </w:rPr>
        <w:t xml:space="preserve"> We are OW on Omantel with a DCF-based SOTP Dec-14 PT of RO1.77. Competition, cannibalization of traditional rev and slower-than-expected turnaround of WorldCall ops are key downside risks.</w:t>
      </w:r>
    </w:p>
    <w:p w:rsidR="00BC1D60" w:rsidRPr="005F24D8" w:rsidRDefault="00BC1D60" w:rsidP="00BC1D60">
      <w:pPr>
        <w:pStyle w:val="Heading3"/>
        <w:spacing w:after="120"/>
        <w:rPr>
          <w:b w:val="0"/>
        </w:rPr>
      </w:pPr>
      <w:r w:rsidRPr="005F24D8">
        <w:t>Omantel in a Nutshell:</w:t>
      </w:r>
      <w:r w:rsidRPr="005F24D8">
        <w:rPr>
          <w:b w:val="0"/>
        </w:rPr>
        <w:t xml:space="preserve"> Omantel provides integrated telecom services in Oman and at YE12 Omantel’s mobile and fixed customer market share was ~55% and 85%, respectively. Omantel also provides telecommunication services in Pakistan and Sri Lanka through its subsidiary Worldcall Telecom Ltd. Omantel is currently 70% directly owned by the Government of Oman. Foreign investors can own up to 49%.</w:t>
      </w:r>
    </w:p>
    <w:p w:rsidR="00BC1D60" w:rsidRPr="005F24D8" w:rsidRDefault="00BC1D60" w:rsidP="00BC1D60">
      <w:pPr>
        <w:pStyle w:val="Heading3"/>
      </w:pPr>
      <w:r w:rsidRPr="005F24D8">
        <w:t>Price Perf vs MSCI All Country World Small Cap (rebased as of 1-year ago)</w:t>
      </w:r>
    </w:p>
    <w:p w:rsidR="00BC1D60" w:rsidRPr="005F24D8" w:rsidRDefault="00BC1D60" w:rsidP="00BC1D60">
      <w:pPr>
        <w:pStyle w:val="Body"/>
        <w:spacing w:after="0"/>
        <w:rPr>
          <w:noProof/>
          <w:lang w:val="en-GB" w:eastAsia="en-GB"/>
        </w:rPr>
      </w:pPr>
      <w:r w:rsidRPr="005F24D8">
        <w:rPr>
          <w:noProof/>
        </w:rPr>
        <w:drawing>
          <wp:inline distT="0" distB="0" distL="0" distR="0">
            <wp:extent cx="4352925" cy="1562100"/>
            <wp:effectExtent l="19050" t="0" r="9525" b="0"/>
            <wp:docPr id="1063"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41"/>
                    <a:srcRect t="6286"/>
                    <a:stretch>
                      <a:fillRect/>
                    </a:stretch>
                  </pic:blipFill>
                  <pic:spPr bwMode="auto">
                    <a:xfrm>
                      <a:off x="0" y="0"/>
                      <a:ext cx="4352925" cy="1562100"/>
                    </a:xfrm>
                    <a:prstGeom prst="rect">
                      <a:avLst/>
                    </a:prstGeom>
                    <a:noFill/>
                    <a:ln w="9525">
                      <a:noFill/>
                      <a:miter lim="800000"/>
                      <a:headEnd/>
                      <a:tailEnd/>
                    </a:ln>
                  </pic:spPr>
                </pic:pic>
              </a:graphicData>
            </a:graphic>
          </wp:inline>
        </w:drawing>
      </w:r>
    </w:p>
    <w:p w:rsidR="00BC1D60" w:rsidRDefault="00BC1D60" w:rsidP="00BC1D60">
      <w:pPr>
        <w:pStyle w:val="ESTableCaption"/>
        <w:keepNext/>
      </w:pPr>
      <w:r w:rsidRPr="005F24D8">
        <w:t>J.P. Morgan Estimates</w:t>
      </w:r>
      <w:r w:rsidRPr="005F24D8">
        <w:br/>
      </w:r>
      <w:r>
        <w:rPr>
          <w:sz w:val="16"/>
        </w:rPr>
        <w:t>Oman Telecommunications Company (OTL.OM;OTEL OM)</w:t>
      </w:r>
    </w:p>
    <w:tbl>
      <w:tblPr>
        <w:tblW w:w="5000" w:type="pct"/>
        <w:tblCellMar>
          <w:left w:w="0" w:type="dxa"/>
          <w:right w:w="43" w:type="dxa"/>
        </w:tblCellMar>
        <w:tblLook w:val="01E0"/>
      </w:tblPr>
      <w:tblGrid>
        <w:gridCol w:w="2013"/>
        <w:gridCol w:w="1628"/>
        <w:gridCol w:w="1628"/>
        <w:gridCol w:w="1628"/>
      </w:tblGrid>
      <w:tr w:rsidR="00BC1D60" w:rsidTr="00BC5B38">
        <w:trPr>
          <w:cantSplit/>
        </w:trPr>
        <w:tc>
          <w:tcPr>
            <w:tcW w:w="2000" w:type="dxa"/>
            <w:tcBorders>
              <w:top w:val="single" w:sz="4" w:space="0" w:color="auto"/>
            </w:tcBorders>
          </w:tcPr>
          <w:p w:rsidR="00BC1D60" w:rsidRDefault="00BC1D60" w:rsidP="00BC5B38">
            <w:pPr>
              <w:pStyle w:val="ESTableRow"/>
              <w:keepNext/>
            </w:pPr>
            <w:r>
              <w:rPr>
                <w:b/>
              </w:rPr>
              <w:t>FYE Dec</w:t>
            </w:r>
          </w:p>
        </w:tc>
        <w:tc>
          <w:tcPr>
            <w:tcW w:w="1616" w:type="dxa"/>
            <w:tcBorders>
              <w:top w:val="single" w:sz="4" w:space="0" w:color="auto"/>
            </w:tcBorders>
          </w:tcPr>
          <w:p w:rsidR="00BC1D60" w:rsidRDefault="00BC1D60" w:rsidP="00BC5B38">
            <w:pPr>
              <w:pStyle w:val="ESTableRow"/>
              <w:keepNext/>
              <w:jc w:val="right"/>
            </w:pPr>
            <w:r>
              <w:rPr>
                <w:b/>
              </w:rPr>
              <w:t>2012A</w:t>
            </w:r>
          </w:p>
        </w:tc>
        <w:tc>
          <w:tcPr>
            <w:tcW w:w="1616" w:type="dxa"/>
            <w:tcBorders>
              <w:top w:val="single" w:sz="4" w:space="0" w:color="auto"/>
            </w:tcBorders>
          </w:tcPr>
          <w:p w:rsidR="00BC1D60" w:rsidRDefault="00BC1D60" w:rsidP="00BC5B38">
            <w:pPr>
              <w:pStyle w:val="ESTableRow"/>
              <w:keepNext/>
              <w:jc w:val="right"/>
            </w:pPr>
            <w:r>
              <w:rPr>
                <w:b/>
              </w:rPr>
              <w:t>2013E</w:t>
            </w:r>
          </w:p>
        </w:tc>
        <w:tc>
          <w:tcPr>
            <w:tcW w:w="1616" w:type="dxa"/>
            <w:tcBorders>
              <w:top w:val="single" w:sz="4" w:space="0" w:color="auto"/>
            </w:tcBorders>
          </w:tcPr>
          <w:p w:rsidR="00BC1D60" w:rsidRDefault="00BC1D60" w:rsidP="00BC5B38">
            <w:pPr>
              <w:pStyle w:val="ESTableRow"/>
              <w:keepNext/>
              <w:jc w:val="right"/>
            </w:pPr>
            <w:r>
              <w:rPr>
                <w:b/>
              </w:rPr>
              <w:t>2014E</w:t>
            </w:r>
          </w:p>
        </w:tc>
      </w:tr>
      <w:tr w:rsidR="00BC1D60" w:rsidTr="00BC5B38">
        <w:trPr>
          <w:cantSplit/>
        </w:trPr>
        <w:tc>
          <w:tcPr>
            <w:tcW w:w="2000" w:type="dxa"/>
            <w:tcBorders>
              <w:top w:val="single" w:sz="4" w:space="0" w:color="auto"/>
            </w:tcBorders>
          </w:tcPr>
          <w:p w:rsidR="00BC1D60" w:rsidRDefault="00BC1D60" w:rsidP="00BC5B38">
            <w:pPr>
              <w:pStyle w:val="ESTableRow"/>
              <w:keepNext/>
            </w:pPr>
            <w:r>
              <w:t>Revenue FY (RO mn)</w:t>
            </w:r>
          </w:p>
        </w:tc>
        <w:tc>
          <w:tcPr>
            <w:tcW w:w="1616" w:type="dxa"/>
            <w:tcBorders>
              <w:top w:val="single" w:sz="4" w:space="0" w:color="auto"/>
            </w:tcBorders>
          </w:tcPr>
          <w:p w:rsidR="00BC1D60" w:rsidRDefault="00BC1D60" w:rsidP="00BC5B38">
            <w:pPr>
              <w:pStyle w:val="ESTableRow"/>
              <w:keepNext/>
              <w:jc w:val="right"/>
            </w:pPr>
            <w:r>
              <w:t>459</w:t>
            </w:r>
          </w:p>
        </w:tc>
        <w:tc>
          <w:tcPr>
            <w:tcW w:w="1616" w:type="dxa"/>
            <w:tcBorders>
              <w:top w:val="single" w:sz="4" w:space="0" w:color="auto"/>
            </w:tcBorders>
          </w:tcPr>
          <w:p w:rsidR="00BC1D60" w:rsidRDefault="00BC1D60" w:rsidP="00BC5B38">
            <w:pPr>
              <w:pStyle w:val="ESTableRow"/>
              <w:keepNext/>
              <w:jc w:val="right"/>
            </w:pPr>
            <w:r>
              <w:t>469</w:t>
            </w:r>
          </w:p>
        </w:tc>
        <w:tc>
          <w:tcPr>
            <w:tcW w:w="1616" w:type="dxa"/>
            <w:tcBorders>
              <w:top w:val="single" w:sz="4" w:space="0" w:color="auto"/>
            </w:tcBorders>
          </w:tcPr>
          <w:p w:rsidR="00BC1D60" w:rsidRDefault="00BC1D60" w:rsidP="00BC5B38">
            <w:pPr>
              <w:pStyle w:val="ESTableRow"/>
              <w:keepNext/>
              <w:jc w:val="right"/>
            </w:pPr>
            <w:r>
              <w:t>480</w:t>
            </w:r>
          </w:p>
        </w:tc>
      </w:tr>
      <w:tr w:rsidR="00BC1D60" w:rsidTr="00BC5B38">
        <w:trPr>
          <w:cantSplit/>
        </w:trPr>
        <w:tc>
          <w:tcPr>
            <w:tcW w:w="2000" w:type="dxa"/>
          </w:tcPr>
          <w:p w:rsidR="00BC1D60" w:rsidRDefault="00BC1D60" w:rsidP="00BC5B38">
            <w:pPr>
              <w:pStyle w:val="ESTableRow"/>
              <w:keepNext/>
            </w:pPr>
            <w:r>
              <w:t>EBITDA FY (RO mn)</w:t>
            </w:r>
          </w:p>
        </w:tc>
        <w:tc>
          <w:tcPr>
            <w:tcW w:w="1616" w:type="dxa"/>
          </w:tcPr>
          <w:p w:rsidR="00BC1D60" w:rsidRDefault="00BC1D60" w:rsidP="00BC5B38">
            <w:pPr>
              <w:pStyle w:val="ESTableRow"/>
              <w:keepNext/>
              <w:jc w:val="right"/>
            </w:pPr>
            <w:r>
              <w:t>203</w:t>
            </w:r>
          </w:p>
        </w:tc>
        <w:tc>
          <w:tcPr>
            <w:tcW w:w="1616" w:type="dxa"/>
          </w:tcPr>
          <w:p w:rsidR="00BC1D60" w:rsidRDefault="00BC1D60" w:rsidP="00BC5B38">
            <w:pPr>
              <w:pStyle w:val="ESTableRow"/>
              <w:keepNext/>
              <w:jc w:val="right"/>
            </w:pPr>
            <w:r>
              <w:t>205</w:t>
            </w:r>
          </w:p>
        </w:tc>
        <w:tc>
          <w:tcPr>
            <w:tcW w:w="1616" w:type="dxa"/>
          </w:tcPr>
          <w:p w:rsidR="00BC1D60" w:rsidRDefault="00BC1D60" w:rsidP="00BC5B38">
            <w:pPr>
              <w:pStyle w:val="ESTableRow"/>
              <w:keepNext/>
              <w:jc w:val="right"/>
            </w:pPr>
            <w:r>
              <w:t>210</w:t>
            </w:r>
          </w:p>
        </w:tc>
      </w:tr>
      <w:tr w:rsidR="00BC1D60" w:rsidTr="00BC5B38">
        <w:trPr>
          <w:cantSplit/>
        </w:trPr>
        <w:tc>
          <w:tcPr>
            <w:tcW w:w="2000" w:type="dxa"/>
          </w:tcPr>
          <w:p w:rsidR="00BC1D60" w:rsidRDefault="00BC1D60" w:rsidP="00BC5B38">
            <w:pPr>
              <w:pStyle w:val="ESTableRow"/>
              <w:keepNext/>
            </w:pPr>
            <w:r>
              <w:t xml:space="preserve">EBITDA Margin FY </w:t>
            </w:r>
          </w:p>
        </w:tc>
        <w:tc>
          <w:tcPr>
            <w:tcW w:w="1616" w:type="dxa"/>
          </w:tcPr>
          <w:p w:rsidR="00BC1D60" w:rsidRDefault="00BC1D60" w:rsidP="00BC5B38">
            <w:pPr>
              <w:pStyle w:val="ESTableRow"/>
              <w:keepNext/>
              <w:jc w:val="right"/>
            </w:pPr>
            <w:r>
              <w:t>44.2%</w:t>
            </w:r>
          </w:p>
        </w:tc>
        <w:tc>
          <w:tcPr>
            <w:tcW w:w="1616" w:type="dxa"/>
          </w:tcPr>
          <w:p w:rsidR="00BC1D60" w:rsidRDefault="00BC1D60" w:rsidP="00BC5B38">
            <w:pPr>
              <w:pStyle w:val="ESTableRow"/>
              <w:keepNext/>
              <w:jc w:val="right"/>
            </w:pPr>
            <w:r>
              <w:t>43.8%</w:t>
            </w:r>
          </w:p>
        </w:tc>
        <w:tc>
          <w:tcPr>
            <w:tcW w:w="1616" w:type="dxa"/>
          </w:tcPr>
          <w:p w:rsidR="00BC1D60" w:rsidRDefault="00BC1D60" w:rsidP="00BC5B38">
            <w:pPr>
              <w:pStyle w:val="ESTableRow"/>
              <w:keepNext/>
              <w:jc w:val="right"/>
            </w:pPr>
            <w:r>
              <w:t>43.7%</w:t>
            </w:r>
          </w:p>
        </w:tc>
      </w:tr>
      <w:tr w:rsidR="00BC1D60" w:rsidTr="00BC5B38">
        <w:trPr>
          <w:cantSplit/>
        </w:trPr>
        <w:tc>
          <w:tcPr>
            <w:tcW w:w="2000" w:type="dxa"/>
          </w:tcPr>
          <w:p w:rsidR="00BC1D60" w:rsidRDefault="00BC1D60" w:rsidP="00BC5B38">
            <w:pPr>
              <w:pStyle w:val="ESTableRow"/>
              <w:keepNext/>
            </w:pPr>
            <w:r>
              <w:t>Adj.EPS FY (RO)</w:t>
            </w:r>
          </w:p>
        </w:tc>
        <w:tc>
          <w:tcPr>
            <w:tcW w:w="1616" w:type="dxa"/>
          </w:tcPr>
          <w:p w:rsidR="00BC1D60" w:rsidRDefault="00BC1D60" w:rsidP="00BC5B38">
            <w:pPr>
              <w:pStyle w:val="ESTableRow"/>
              <w:keepNext/>
              <w:jc w:val="right"/>
            </w:pPr>
            <w:r>
              <w:t>0.15</w:t>
            </w:r>
          </w:p>
        </w:tc>
        <w:tc>
          <w:tcPr>
            <w:tcW w:w="1616" w:type="dxa"/>
          </w:tcPr>
          <w:p w:rsidR="00BC1D60" w:rsidRDefault="00BC1D60" w:rsidP="00BC5B38">
            <w:pPr>
              <w:pStyle w:val="ESTableRow"/>
              <w:keepNext/>
              <w:jc w:val="right"/>
            </w:pPr>
            <w:r>
              <w:t>0.16</w:t>
            </w:r>
          </w:p>
        </w:tc>
        <w:tc>
          <w:tcPr>
            <w:tcW w:w="1616" w:type="dxa"/>
          </w:tcPr>
          <w:p w:rsidR="00BC1D60" w:rsidRDefault="00BC1D60" w:rsidP="00BC5B38">
            <w:pPr>
              <w:pStyle w:val="ESTableRow"/>
              <w:keepNext/>
              <w:jc w:val="right"/>
            </w:pPr>
            <w:r>
              <w:t>0.16</w:t>
            </w:r>
          </w:p>
        </w:tc>
      </w:tr>
      <w:tr w:rsidR="00BC1D60" w:rsidTr="00BC5B38">
        <w:trPr>
          <w:cantSplit/>
        </w:trPr>
        <w:tc>
          <w:tcPr>
            <w:tcW w:w="2000" w:type="dxa"/>
          </w:tcPr>
          <w:p w:rsidR="00BC1D60" w:rsidRDefault="00BC1D60" w:rsidP="00BC5B38">
            <w:pPr>
              <w:pStyle w:val="ESTableRow"/>
              <w:keepNext/>
            </w:pPr>
            <w:r>
              <w:t>DPS (Gross) FY (RO)</w:t>
            </w:r>
          </w:p>
        </w:tc>
        <w:tc>
          <w:tcPr>
            <w:tcW w:w="1616" w:type="dxa"/>
          </w:tcPr>
          <w:p w:rsidR="00BC1D60" w:rsidRDefault="00BC1D60" w:rsidP="00BC5B38">
            <w:pPr>
              <w:pStyle w:val="ESTableRow"/>
              <w:keepNext/>
              <w:jc w:val="right"/>
            </w:pPr>
            <w:r>
              <w:t>0.12</w:t>
            </w:r>
          </w:p>
        </w:tc>
        <w:tc>
          <w:tcPr>
            <w:tcW w:w="1616" w:type="dxa"/>
          </w:tcPr>
          <w:p w:rsidR="00BC1D60" w:rsidRDefault="00BC1D60" w:rsidP="00BC5B38">
            <w:pPr>
              <w:pStyle w:val="ESTableRow"/>
              <w:keepNext/>
              <w:jc w:val="right"/>
            </w:pPr>
            <w:r>
              <w:t>0.12</w:t>
            </w:r>
          </w:p>
        </w:tc>
        <w:tc>
          <w:tcPr>
            <w:tcW w:w="1616" w:type="dxa"/>
          </w:tcPr>
          <w:p w:rsidR="00BC1D60" w:rsidRDefault="00BC1D60" w:rsidP="00BC5B38">
            <w:pPr>
              <w:pStyle w:val="ESTableRow"/>
              <w:keepNext/>
              <w:jc w:val="right"/>
            </w:pPr>
            <w:r>
              <w:t>0.12</w:t>
            </w:r>
          </w:p>
        </w:tc>
      </w:tr>
      <w:tr w:rsidR="00BC1D60" w:rsidTr="00BC5B38">
        <w:trPr>
          <w:cantSplit/>
        </w:trPr>
        <w:tc>
          <w:tcPr>
            <w:tcW w:w="2000" w:type="dxa"/>
          </w:tcPr>
          <w:p w:rsidR="00BC1D60" w:rsidRDefault="00BC1D60" w:rsidP="00BC5B38">
            <w:pPr>
              <w:pStyle w:val="ESTableRow"/>
              <w:keepNext/>
            </w:pPr>
            <w:r>
              <w:t xml:space="preserve">EV/EBITDA (x) FY </w:t>
            </w:r>
          </w:p>
        </w:tc>
        <w:tc>
          <w:tcPr>
            <w:tcW w:w="1616" w:type="dxa"/>
          </w:tcPr>
          <w:p w:rsidR="00BC1D60" w:rsidRDefault="00BC1D60" w:rsidP="00BC5B38">
            <w:pPr>
              <w:pStyle w:val="ESTableRow"/>
              <w:keepNext/>
              <w:jc w:val="right"/>
            </w:pPr>
            <w:r>
              <w:t>5.7</w:t>
            </w:r>
          </w:p>
        </w:tc>
        <w:tc>
          <w:tcPr>
            <w:tcW w:w="1616" w:type="dxa"/>
          </w:tcPr>
          <w:p w:rsidR="00BC1D60" w:rsidRDefault="00BC1D60" w:rsidP="00BC5B38">
            <w:pPr>
              <w:pStyle w:val="ESTableRow"/>
              <w:keepNext/>
              <w:jc w:val="right"/>
            </w:pPr>
            <w:r>
              <w:t>5.4</w:t>
            </w:r>
          </w:p>
        </w:tc>
        <w:tc>
          <w:tcPr>
            <w:tcW w:w="1616" w:type="dxa"/>
          </w:tcPr>
          <w:p w:rsidR="00BC1D60" w:rsidRDefault="00BC1D60" w:rsidP="00BC5B38">
            <w:pPr>
              <w:pStyle w:val="ESTableRow"/>
              <w:keepNext/>
              <w:jc w:val="right"/>
            </w:pPr>
            <w:r>
              <w:t>5.1</w:t>
            </w:r>
          </w:p>
        </w:tc>
      </w:tr>
      <w:tr w:rsidR="00BC1D60" w:rsidTr="00BC5B38">
        <w:trPr>
          <w:cantSplit/>
        </w:trPr>
        <w:tc>
          <w:tcPr>
            <w:tcW w:w="2000" w:type="dxa"/>
          </w:tcPr>
          <w:p w:rsidR="00BC1D60" w:rsidRDefault="00BC1D60" w:rsidP="00BC5B38">
            <w:pPr>
              <w:pStyle w:val="ESTableRow"/>
              <w:keepNext/>
            </w:pPr>
            <w:r>
              <w:t xml:space="preserve">Dividend Yield FY </w:t>
            </w:r>
          </w:p>
        </w:tc>
        <w:tc>
          <w:tcPr>
            <w:tcW w:w="1616" w:type="dxa"/>
          </w:tcPr>
          <w:p w:rsidR="00BC1D60" w:rsidRDefault="00BC1D60" w:rsidP="00BC5B38">
            <w:pPr>
              <w:pStyle w:val="ESTableRow"/>
              <w:keepNext/>
              <w:jc w:val="right"/>
            </w:pPr>
            <w:r>
              <w:t>7.1%</w:t>
            </w:r>
          </w:p>
        </w:tc>
        <w:tc>
          <w:tcPr>
            <w:tcW w:w="1616" w:type="dxa"/>
          </w:tcPr>
          <w:p w:rsidR="00BC1D60" w:rsidRDefault="00BC1D60" w:rsidP="00BC5B38">
            <w:pPr>
              <w:pStyle w:val="ESTableRow"/>
              <w:keepNext/>
              <w:jc w:val="right"/>
            </w:pPr>
            <w:r>
              <w:t>7.1%</w:t>
            </w:r>
          </w:p>
        </w:tc>
        <w:tc>
          <w:tcPr>
            <w:tcW w:w="1616" w:type="dxa"/>
          </w:tcPr>
          <w:p w:rsidR="00BC1D60" w:rsidRDefault="00BC1D60" w:rsidP="00BC5B38">
            <w:pPr>
              <w:pStyle w:val="ESTableRow"/>
              <w:keepNext/>
              <w:jc w:val="right"/>
            </w:pPr>
            <w:r>
              <w:t>7.1%</w:t>
            </w:r>
          </w:p>
        </w:tc>
      </w:tr>
      <w:tr w:rsidR="00BC1D60" w:rsidTr="00BC5B38">
        <w:trPr>
          <w:cantSplit/>
        </w:trPr>
        <w:tc>
          <w:tcPr>
            <w:tcW w:w="2000" w:type="dxa"/>
            <w:tcBorders>
              <w:bottom w:val="single" w:sz="4" w:space="0" w:color="auto"/>
            </w:tcBorders>
          </w:tcPr>
          <w:p w:rsidR="00BC1D60" w:rsidRDefault="00BC1D60" w:rsidP="00BC5B38">
            <w:pPr>
              <w:pStyle w:val="ESTableRow"/>
              <w:keepNext/>
            </w:pPr>
            <w:r>
              <w:t xml:space="preserve">Adj.P/E FY </w:t>
            </w:r>
          </w:p>
        </w:tc>
        <w:tc>
          <w:tcPr>
            <w:tcW w:w="1616" w:type="dxa"/>
            <w:tcBorders>
              <w:bottom w:val="single" w:sz="4" w:space="0" w:color="auto"/>
            </w:tcBorders>
          </w:tcPr>
          <w:p w:rsidR="00BC1D60" w:rsidRDefault="00BC1D60" w:rsidP="00BC5B38">
            <w:pPr>
              <w:pStyle w:val="ESTableRow"/>
              <w:keepNext/>
              <w:jc w:val="right"/>
            </w:pPr>
            <w:r>
              <w:t>10.5</w:t>
            </w:r>
          </w:p>
        </w:tc>
        <w:tc>
          <w:tcPr>
            <w:tcW w:w="1616" w:type="dxa"/>
            <w:tcBorders>
              <w:bottom w:val="single" w:sz="4" w:space="0" w:color="auto"/>
            </w:tcBorders>
          </w:tcPr>
          <w:p w:rsidR="00BC1D60" w:rsidRDefault="00BC1D60" w:rsidP="00BC5B38">
            <w:pPr>
              <w:pStyle w:val="ESTableRow"/>
              <w:keepNext/>
              <w:jc w:val="right"/>
            </w:pPr>
            <w:r>
              <w:t>10.2</w:t>
            </w:r>
          </w:p>
        </w:tc>
        <w:tc>
          <w:tcPr>
            <w:tcW w:w="1616" w:type="dxa"/>
            <w:tcBorders>
              <w:bottom w:val="single" w:sz="4" w:space="0" w:color="auto"/>
            </w:tcBorders>
          </w:tcPr>
          <w:p w:rsidR="00BC1D60" w:rsidRDefault="00BC1D60" w:rsidP="00BC5B38">
            <w:pPr>
              <w:pStyle w:val="ESTableRow"/>
              <w:keepNext/>
              <w:jc w:val="right"/>
            </w:pPr>
            <w:r>
              <w:t>10.1</w:t>
            </w:r>
          </w:p>
        </w:tc>
      </w:tr>
    </w:tbl>
    <w:p w:rsidR="00BC1D60" w:rsidRDefault="00BC1D60" w:rsidP="00BC1D60">
      <w:pPr>
        <w:pStyle w:val="Source"/>
      </w:pPr>
      <w:r>
        <w:t>Source: Company data, Bloomberg, J.P. Morgan estimates. Note: EBITDA is inclusive of royalty fees</w:t>
      </w:r>
    </w:p>
    <w:p w:rsidR="00BC1D60" w:rsidRDefault="00BC1D60" w:rsidP="00BC1D60">
      <w:pPr>
        <w:pStyle w:val="Body"/>
      </w:pPr>
    </w:p>
    <w:p w:rsidR="00BC1D60" w:rsidRDefault="00BC1D60" w:rsidP="00BC1D60">
      <w:pPr>
        <w:pStyle w:val="Body"/>
      </w:pPr>
    </w:p>
    <w:p w:rsidR="00BC1D60" w:rsidRDefault="00BC1D60" w:rsidP="00BC1D60">
      <w:pPr>
        <w:pStyle w:val="Body"/>
      </w:pPr>
    </w:p>
    <w:p w:rsidR="00BC1D60" w:rsidRPr="00053456" w:rsidRDefault="00BC1D60" w:rsidP="00BC1D60">
      <w:pPr>
        <w:pStyle w:val="Body"/>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7D6BCE" w:rsidTr="00BC5B38">
        <w:tc>
          <w:tcPr>
            <w:tcW w:w="10604" w:type="dxa"/>
            <w:gridSpan w:val="3"/>
            <w:shd w:val="clear" w:color="auto" w:fill="auto"/>
          </w:tcPr>
          <w:p w:rsidR="00BC1D60" w:rsidRPr="007D6BCE" w:rsidRDefault="00BC1D60" w:rsidP="00BC5B38">
            <w:pPr>
              <w:pStyle w:val="Heading1-NoTOC"/>
            </w:pPr>
            <w:bookmarkStart w:id="313" w:name="_Toc352249279"/>
            <w:bookmarkStart w:id="314" w:name="_Toc352262700"/>
            <w:bookmarkStart w:id="315" w:name="_Toc352262874"/>
            <w:bookmarkStart w:id="316" w:name="_Toc360569129"/>
            <w:bookmarkStart w:id="317" w:name="_Toc360569913"/>
            <w:bookmarkStart w:id="318" w:name="_Toc368054146"/>
            <w:bookmarkStart w:id="319" w:name="_Toc368081371"/>
            <w:bookmarkStart w:id="320" w:name="_Toc376756115"/>
            <w:bookmarkStart w:id="321" w:name="_Toc376801436"/>
            <w:bookmarkStart w:id="322" w:name="_Toc376802098"/>
            <w:bookmarkStart w:id="323" w:name="_Toc384044992"/>
            <w:bookmarkStart w:id="324" w:name="_Toc384136015"/>
            <w:bookmarkStart w:id="325" w:name="_Toc384136982"/>
            <w:bookmarkStart w:id="326" w:name="_Toc392016377"/>
            <w:bookmarkStart w:id="327" w:name="_Toc392099095"/>
            <w:r w:rsidRPr="007D6BCE">
              <w:t>Getting to know our SMid Analysts…</w:t>
            </w:r>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tc>
      </w:tr>
      <w:tr w:rsidR="00BC1D60" w:rsidRPr="007D6BCE" w:rsidTr="00BC5B38">
        <w:trPr>
          <w:trHeight w:val="3427"/>
        </w:trPr>
        <w:tc>
          <w:tcPr>
            <w:tcW w:w="2666" w:type="dxa"/>
            <w:shd w:val="clear" w:color="auto" w:fill="auto"/>
          </w:tcPr>
          <w:p w:rsidR="00BC1D60" w:rsidRPr="007D6BCE" w:rsidRDefault="00BC1D60" w:rsidP="00BC5B38">
            <w:pPr>
              <w:pStyle w:val="Body"/>
              <w:spacing w:after="120"/>
            </w:pPr>
          </w:p>
        </w:tc>
        <w:tc>
          <w:tcPr>
            <w:tcW w:w="3544" w:type="dxa"/>
            <w:shd w:val="clear" w:color="auto" w:fill="auto"/>
          </w:tcPr>
          <w:p w:rsidR="00BC1D60" w:rsidRPr="007D6BCE" w:rsidRDefault="00BC1D60" w:rsidP="00BC5B38">
            <w:pPr>
              <w:pStyle w:val="Heading2"/>
              <w:outlineLvl w:val="1"/>
              <w:rPr>
                <w:lang w:val="es-ES_tradnl"/>
              </w:rPr>
            </w:pPr>
            <w:r w:rsidRPr="007D6BCE">
              <w:rPr>
                <w:lang w:val="es-ES_tradnl"/>
              </w:rPr>
              <w:t>Ranjan Sharma</w:t>
            </w:r>
          </w:p>
          <w:p w:rsidR="00BC1D60" w:rsidRPr="007D6BCE" w:rsidRDefault="003B051F" w:rsidP="00BC5B38">
            <w:pPr>
              <w:pStyle w:val="Body"/>
              <w:spacing w:after="120"/>
              <w:rPr>
                <w:rFonts w:ascii="Arial Narrow" w:hAnsi="Arial Narrow"/>
                <w:lang w:val="es-ES_tradnl"/>
              </w:rPr>
            </w:pPr>
            <w:hyperlink r:id="rId142" w:history="1">
              <w:r w:rsidR="00BC1D60" w:rsidRPr="007D6BCE">
                <w:rPr>
                  <w:rStyle w:val="Hyperlink"/>
                  <w:rFonts w:ascii="Arial Narrow" w:hAnsi="Arial Narrow"/>
                  <w:lang w:val="es-ES_tradnl"/>
                </w:rPr>
                <w:t>ranjan.x.sharma@jpmorgan.com</w:t>
              </w:r>
            </w:hyperlink>
          </w:p>
          <w:p w:rsidR="00BC1D60" w:rsidRPr="007D6BCE" w:rsidRDefault="00BC1D60" w:rsidP="00BC5B38">
            <w:pPr>
              <w:pStyle w:val="Body"/>
              <w:spacing w:after="120"/>
              <w:rPr>
                <w:rFonts w:ascii="Arial Narrow" w:hAnsi="Arial Narrow"/>
                <w:lang w:val="es-ES_tradnl"/>
              </w:rPr>
            </w:pPr>
            <w:r w:rsidRPr="007D6BCE">
              <w:rPr>
                <w:rFonts w:ascii="Arial Narrow" w:hAnsi="Arial Narrow"/>
                <w:lang w:val="es-ES_tradnl"/>
              </w:rPr>
              <w:t>(971) 4428-1768</w:t>
            </w:r>
          </w:p>
          <w:p w:rsidR="00BC1D60" w:rsidRPr="007D6BCE" w:rsidRDefault="00BC1D60" w:rsidP="00BC5B38">
            <w:pPr>
              <w:pStyle w:val="Body"/>
              <w:spacing w:after="120"/>
              <w:rPr>
                <w:rFonts w:ascii="Arial Narrow" w:hAnsi="Arial Narrow"/>
                <w:lang w:val="es-ES_tradnl"/>
              </w:rPr>
            </w:pPr>
          </w:p>
          <w:p w:rsidR="00BC1D60" w:rsidRPr="007D6BCE" w:rsidRDefault="00BC1D60" w:rsidP="00BC5B38">
            <w:pPr>
              <w:pStyle w:val="Body"/>
              <w:spacing w:after="120"/>
              <w:rPr>
                <w:rFonts w:ascii="Arial Narrow" w:hAnsi="Arial Narrow"/>
              </w:rPr>
            </w:pPr>
            <w:r w:rsidRPr="007D6BCE">
              <w:rPr>
                <w:rFonts w:ascii="Arial Narrow" w:hAnsi="Arial Narrow"/>
                <w:b/>
              </w:rPr>
              <w:t>Region:</w:t>
            </w:r>
            <w:r w:rsidRPr="007D6BCE">
              <w:rPr>
                <w:rFonts w:ascii="Arial Narrow" w:hAnsi="Arial Narrow"/>
              </w:rPr>
              <w:t xml:space="preserve"> CEEMEA (MENA)</w:t>
            </w:r>
          </w:p>
          <w:p w:rsidR="00BC1D60" w:rsidRPr="007D6BCE" w:rsidRDefault="00BC1D60" w:rsidP="00BC5B38">
            <w:pPr>
              <w:pStyle w:val="Body"/>
              <w:spacing w:after="120"/>
              <w:rPr>
                <w:rFonts w:ascii="Arial Narrow" w:hAnsi="Arial Narrow"/>
              </w:rPr>
            </w:pPr>
            <w:r w:rsidRPr="007D6BCE">
              <w:rPr>
                <w:rFonts w:ascii="Arial Narrow" w:hAnsi="Arial Narrow"/>
                <w:b/>
              </w:rPr>
              <w:t>Sector:</w:t>
            </w:r>
            <w:r w:rsidRPr="007D6BCE">
              <w:rPr>
                <w:rFonts w:ascii="Arial Narrow" w:hAnsi="Arial Narrow"/>
              </w:rPr>
              <w:t xml:space="preserve"> Telecoms</w:t>
            </w:r>
          </w:p>
          <w:p w:rsidR="00BC1D60" w:rsidRPr="007D6BCE" w:rsidRDefault="00BC1D60" w:rsidP="00BC5B38">
            <w:pPr>
              <w:pStyle w:val="Body"/>
            </w:pPr>
          </w:p>
        </w:tc>
        <w:tc>
          <w:tcPr>
            <w:tcW w:w="4394" w:type="dxa"/>
            <w:shd w:val="clear" w:color="auto" w:fill="auto"/>
          </w:tcPr>
          <w:p w:rsidR="00BC1D60" w:rsidRPr="007D6BCE" w:rsidRDefault="00BC1D60" w:rsidP="00BC5B38">
            <w:pPr>
              <w:pStyle w:val="Body"/>
              <w:jc w:val="right"/>
            </w:pPr>
            <w:r w:rsidRPr="007D6BCE">
              <w:rPr>
                <w:noProof/>
              </w:rPr>
              <w:drawing>
                <wp:inline distT="0" distB="0" distL="0" distR="0">
                  <wp:extent cx="2505456" cy="2153971"/>
                  <wp:effectExtent l="19050" t="0" r="9144" b="0"/>
                  <wp:docPr id="106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3"/>
                          <a:srcRect/>
                          <a:stretch>
                            <a:fillRect/>
                          </a:stretch>
                        </pic:blipFill>
                        <pic:spPr bwMode="auto">
                          <a:xfrm>
                            <a:off x="0" y="0"/>
                            <a:ext cx="2505456" cy="2153971"/>
                          </a:xfrm>
                          <a:prstGeom prst="rect">
                            <a:avLst/>
                          </a:prstGeom>
                          <a:noFill/>
                          <a:ln w="9525">
                            <a:noFill/>
                            <a:miter lim="800000"/>
                            <a:headEnd/>
                            <a:tailEnd/>
                          </a:ln>
                        </pic:spPr>
                      </pic:pic>
                    </a:graphicData>
                  </a:graphic>
                </wp:inline>
              </w:drawing>
            </w:r>
            <w:r w:rsidRPr="007D6BCE">
              <w:t xml:space="preserve"> </w:t>
            </w:r>
          </w:p>
        </w:tc>
      </w:tr>
    </w:tbl>
    <w:p w:rsidR="00BC1D60" w:rsidRPr="007D6BCE" w:rsidRDefault="00BC1D60" w:rsidP="00BC1D60">
      <w:pPr>
        <w:pStyle w:val="Source"/>
        <w:spacing w:before="0"/>
        <w:ind w:left="-3124" w:hanging="137"/>
      </w:pPr>
      <w:r w:rsidRPr="007D6BCE">
        <w:rPr>
          <w:noProof/>
        </w:rPr>
        <w:drawing>
          <wp:inline distT="0" distB="0" distL="0" distR="0">
            <wp:extent cx="6702552" cy="2097297"/>
            <wp:effectExtent l="19050" t="0" r="3048" b="0"/>
            <wp:docPr id="107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4"/>
                    <a:srcRect/>
                    <a:stretch>
                      <a:fillRect/>
                    </a:stretch>
                  </pic:blipFill>
                  <pic:spPr bwMode="auto">
                    <a:xfrm>
                      <a:off x="0" y="0"/>
                      <a:ext cx="6702552" cy="2097297"/>
                    </a:xfrm>
                    <a:prstGeom prst="rect">
                      <a:avLst/>
                    </a:prstGeom>
                    <a:noFill/>
                    <a:ln w="9525">
                      <a:noFill/>
                      <a:miter lim="800000"/>
                      <a:headEnd/>
                      <a:tailEnd/>
                    </a:ln>
                  </pic:spPr>
                </pic:pic>
              </a:graphicData>
            </a:graphic>
          </wp:inline>
        </w:drawing>
      </w:r>
      <w:r w:rsidRPr="007D6BCE">
        <w:t xml:space="preserve"> Source: Bloomberg, Datastream, Factset, J.P. Morgan</w:t>
      </w:r>
      <w:r w:rsidRPr="007D6BCE">
        <w:br/>
      </w:r>
      <w:r w:rsidRPr="0087013D">
        <w:t>Prices as of 24 June 2014</w:t>
      </w:r>
    </w:p>
    <w:p w:rsidR="00BC1D60" w:rsidRPr="004F1ABB" w:rsidRDefault="00BC1D60" w:rsidP="00BC1D60">
      <w:pPr>
        <w:pStyle w:val="Sidecomments"/>
        <w:framePr w:w="0" w:hRule="auto" w:wrap="around"/>
        <w:rPr>
          <w:highlight w:val="yellow"/>
        </w:rPr>
      </w:pPr>
      <w:r>
        <w:rPr>
          <w:noProof/>
        </w:rPr>
        <w:lastRenderedPageBreak/>
        <w:drawing>
          <wp:inline distT="0" distB="0" distL="0" distR="0">
            <wp:extent cx="1737360" cy="7712673"/>
            <wp:effectExtent l="19050" t="0" r="0" b="0"/>
            <wp:docPr id="1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5"/>
                    <a:srcRect/>
                    <a:stretch>
                      <a:fillRect/>
                    </a:stretch>
                  </pic:blipFill>
                  <pic:spPr bwMode="auto">
                    <a:xfrm>
                      <a:off x="0" y="0"/>
                      <a:ext cx="1737360" cy="7712673"/>
                    </a:xfrm>
                    <a:prstGeom prst="rect">
                      <a:avLst/>
                    </a:prstGeom>
                    <a:noFill/>
                    <a:ln w="9525">
                      <a:noFill/>
                      <a:miter lim="800000"/>
                      <a:headEnd/>
                      <a:tailEnd/>
                    </a:ln>
                  </pic:spPr>
                </pic:pic>
              </a:graphicData>
            </a:graphic>
          </wp:inline>
        </w:drawing>
      </w:r>
    </w:p>
    <w:p w:rsidR="00BC1D60" w:rsidRPr="009E2CAD" w:rsidRDefault="00BC1D60" w:rsidP="00BC1D60">
      <w:pPr>
        <w:pStyle w:val="Heading1"/>
        <w:spacing w:after="0"/>
      </w:pPr>
      <w:bookmarkStart w:id="328" w:name="_Toc392099096"/>
      <w:bookmarkStart w:id="329" w:name="_Toc392081825"/>
      <w:bookmarkStart w:id="330" w:name="_Toc392081888"/>
      <w:r w:rsidRPr="009E2CAD">
        <w:t>Pirelli (PC IM / OW / €11.80)</w:t>
      </w:r>
      <w:bookmarkEnd w:id="328"/>
      <w:bookmarkEnd w:id="329"/>
      <w:bookmarkEnd w:id="330"/>
    </w:p>
    <w:p w:rsidR="00BC1D60" w:rsidRPr="009E2CAD" w:rsidRDefault="00BC1D60" w:rsidP="00BC1D60">
      <w:pPr>
        <w:pStyle w:val="Heading2"/>
        <w:spacing w:after="120"/>
        <w:rPr>
          <w:i/>
        </w:rPr>
      </w:pPr>
      <w:r w:rsidRPr="009E2CAD">
        <w:rPr>
          <w:i/>
        </w:rPr>
        <w:t xml:space="preserve">Possibly the last margin expansion opportunity in European tyres </w:t>
      </w:r>
    </w:p>
    <w:p w:rsidR="00BC1D60" w:rsidRPr="009E2CAD" w:rsidRDefault="00BC1D60" w:rsidP="00BC1D60">
      <w:pPr>
        <w:pStyle w:val="Heading3"/>
        <w:spacing w:after="0"/>
      </w:pPr>
      <w:r w:rsidRPr="009E2CAD">
        <w:t>Investment Highlights:</w:t>
      </w:r>
    </w:p>
    <w:p w:rsidR="00BC1D60" w:rsidRPr="009E2CAD" w:rsidRDefault="00BC1D60" w:rsidP="00BC1D60">
      <w:pPr>
        <w:pStyle w:val="Bullet"/>
        <w:spacing w:after="40"/>
      </w:pPr>
      <w:r w:rsidRPr="009E2CAD">
        <w:rPr>
          <w:u w:val="single"/>
        </w:rPr>
        <w:t>Non-consensus affordable growth with sustainable high FCF Yld</w:t>
      </w:r>
      <w:r w:rsidRPr="009E2CAD">
        <w:t>. P/E 14E of 14.4x while consensus (IBES) calls for EPS Grw &gt;10% for the next 3 yrs (45% in 2014), and a FCF yld 14E/15E of 7.6% and 8.7% respectively (JPMe) — undemanding estimates as factoring in company guidance of ~€400m/yr capex (1.3x D&amp;A). 11 of the 19 covering analysts rate the stock UW or N.</w:t>
      </w:r>
    </w:p>
    <w:p w:rsidR="00BC1D60" w:rsidRPr="009E2CAD" w:rsidRDefault="00BC1D60" w:rsidP="00BC1D60">
      <w:pPr>
        <w:pStyle w:val="Bullet"/>
        <w:spacing w:after="40"/>
      </w:pPr>
      <w:r w:rsidRPr="009E2CAD">
        <w:rPr>
          <w:u w:val="single"/>
        </w:rPr>
        <w:t>Growth/Rerating potential not dependent on significant acceleration of the economy.</w:t>
      </w:r>
      <w:r w:rsidRPr="009E2CAD">
        <w:t xml:space="preserve"> The EPS growth story primarily driven by an efficiency plan that aims to deliver €350m from ’14-’17 - ie doubling earnings. Combined with the stabilization in the European and Brazilian mkts, growth in the replacement tyre mkt, the improving business mix and a Russian business quickly ramping up, we believe Pirelli is the last and biggest European tyre rerating story for the foreseeable future, with sustainable and </w:t>
      </w:r>
      <w:r>
        <w:t>achie</w:t>
      </w:r>
      <w:r w:rsidRPr="009E2CAD">
        <w:t xml:space="preserve">vable EPS growth ahead. </w:t>
      </w:r>
    </w:p>
    <w:p w:rsidR="00BC1D60" w:rsidRPr="009E2CAD" w:rsidRDefault="00BC1D60" w:rsidP="00BC1D60">
      <w:pPr>
        <w:pStyle w:val="Bullet"/>
        <w:spacing w:after="80"/>
        <w:rPr>
          <w:u w:val="single"/>
        </w:rPr>
      </w:pPr>
      <w:r w:rsidRPr="009E2CAD">
        <w:rPr>
          <w:u w:val="single"/>
        </w:rPr>
        <w:t>Attractive potential upside to peer rating.</w:t>
      </w:r>
      <w:r w:rsidRPr="009E2CAD">
        <w:t xml:space="preserve"> Placing a 1.4x EV/Sales multiple (our estimate for Continental’s tyre division) on Pirelli’s 2015E sales implies a share value of €18.00 — 53% potential rerating from current levels.</w:t>
      </w:r>
    </w:p>
    <w:p w:rsidR="00BC1D60" w:rsidRPr="009E2CAD" w:rsidRDefault="00BC1D60" w:rsidP="00BC1D60">
      <w:pPr>
        <w:pStyle w:val="Heading3"/>
        <w:spacing w:line="220" w:lineRule="exact"/>
        <w:rPr>
          <w:b w:val="0"/>
          <w:szCs w:val="20"/>
        </w:rPr>
      </w:pPr>
      <w:r w:rsidRPr="009E2CAD">
        <w:t xml:space="preserve">Valuation/Risks to our view: </w:t>
      </w:r>
      <w:r w:rsidRPr="009E2CAD">
        <w:rPr>
          <w:b w:val="0"/>
        </w:rPr>
        <w:t xml:space="preserve">Our Dec-14 PT of €13.50 is derived from an EV/Sales multiple based on our tgt multiples for peers such as Michelin and Continental’s tyre division — we value Pirelli at 1.1x ‘14 EV/Sales generating 14.4% FY14 EBIT (pre-restructuring) mgns vs Michelin at 0.9x on 12% mgns / Continental’s tyre division at 1.3x on 18.8% mgns. Risks include: worse than expected volume grw in Europe, N. America and S. America in light vehicle &amp; truck tyre replacement mkts; increasing raw </w:t>
      </w:r>
      <w:r w:rsidRPr="009E2CAD">
        <w:rPr>
          <w:b w:val="0"/>
          <w:szCs w:val="20"/>
        </w:rPr>
        <w:t>material costs; downside risk to next 3yrs cost savings; possible FX headwinds.</w:t>
      </w:r>
    </w:p>
    <w:p w:rsidR="00BC1D60" w:rsidRPr="009E2CAD" w:rsidRDefault="00BC1D60" w:rsidP="00BC1D60">
      <w:pPr>
        <w:pStyle w:val="Heading3"/>
        <w:spacing w:after="120"/>
        <w:rPr>
          <w:b w:val="0"/>
          <w:szCs w:val="20"/>
        </w:rPr>
      </w:pPr>
      <w:r w:rsidRPr="009E2CAD">
        <w:rPr>
          <w:szCs w:val="20"/>
        </w:rPr>
        <w:t xml:space="preserve">Pirelli in a nutshell:  </w:t>
      </w:r>
      <w:r w:rsidRPr="009E2CAD">
        <w:rPr>
          <w:b w:val="0"/>
          <w:szCs w:val="20"/>
        </w:rPr>
        <w:t>Pirelli is the 5th largest tyre maker by revenues, focusing on the high-end segment of the mkt (and the winter tyre segment through its Russian JV).  Passenger car &amp; motorcycle tyres make up 70% of sales with the balance industrial (13% agricultural, 88% trucks). Replacement tyres make up 75% of sales (25% OEMs).  The co has 22 factories on 4 continents, with Europe making up 37% of sales, S. America 34%, NAFTA 12%, MEA 9%, and Asia-Pac 7%.</w:t>
      </w:r>
    </w:p>
    <w:p w:rsidR="00BC1D60" w:rsidRPr="009E2CAD" w:rsidRDefault="00BC1D60" w:rsidP="00BC1D60">
      <w:pPr>
        <w:pStyle w:val="Heading3"/>
      </w:pPr>
      <w:r w:rsidRPr="009E2CAD">
        <w:t>Price Perf vs MSCI All Country World Small Cap (rebased as of 1-year ago)</w:t>
      </w:r>
    </w:p>
    <w:p w:rsidR="00BC1D60" w:rsidRPr="009E2CAD" w:rsidRDefault="00BC1D60" w:rsidP="00BC1D60">
      <w:pPr>
        <w:pStyle w:val="Body"/>
        <w:spacing w:after="0"/>
        <w:rPr>
          <w:noProof/>
          <w:lang w:val="en-GB" w:eastAsia="en-GB"/>
        </w:rPr>
      </w:pPr>
      <w:r>
        <w:rPr>
          <w:noProof/>
        </w:rPr>
        <w:drawing>
          <wp:inline distT="0" distB="0" distL="0" distR="0">
            <wp:extent cx="4352290" cy="1664621"/>
            <wp:effectExtent l="19050" t="0" r="0" b="0"/>
            <wp:docPr id="10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6"/>
                    <a:srcRect/>
                    <a:stretch>
                      <a:fillRect/>
                    </a:stretch>
                  </pic:blipFill>
                  <pic:spPr bwMode="auto">
                    <a:xfrm>
                      <a:off x="0" y="0"/>
                      <a:ext cx="4352290" cy="1664621"/>
                    </a:xfrm>
                    <a:prstGeom prst="rect">
                      <a:avLst/>
                    </a:prstGeom>
                    <a:noFill/>
                    <a:ln w="9525">
                      <a:noFill/>
                      <a:miter lim="800000"/>
                      <a:headEnd/>
                      <a:tailEnd/>
                    </a:ln>
                  </pic:spPr>
                </pic:pic>
              </a:graphicData>
            </a:graphic>
          </wp:inline>
        </w:drawing>
      </w:r>
    </w:p>
    <w:p w:rsidR="00BC1D60" w:rsidRPr="00BB6D9F" w:rsidRDefault="00BC1D60" w:rsidP="00BC1D60">
      <w:pPr>
        <w:pStyle w:val="ESTableCaption"/>
        <w:keepNext/>
        <w:rPr>
          <w:lang w:val="fr-FR"/>
        </w:rPr>
      </w:pPr>
      <w:r w:rsidRPr="009E2CAD">
        <w:t>J.P. Morgan Estimates</w:t>
      </w:r>
      <w:r w:rsidRPr="007A4ECF">
        <w:rPr>
          <w:highlight w:val="yellow"/>
          <w:lang w:val="fr-FR"/>
        </w:rPr>
        <w:br/>
      </w:r>
      <w:r w:rsidRPr="007A4ECF">
        <w:rPr>
          <w:sz w:val="16"/>
          <w:lang w:val="fr-FR"/>
        </w:rPr>
        <w:t>Pirelli &amp; C. SpA (PECI.MI;PC IM)</w:t>
      </w:r>
    </w:p>
    <w:tbl>
      <w:tblPr>
        <w:tblW w:w="5000" w:type="pct"/>
        <w:tblCellMar>
          <w:left w:w="0" w:type="dxa"/>
          <w:right w:w="43" w:type="dxa"/>
        </w:tblCellMar>
        <w:tblLook w:val="01E0"/>
      </w:tblPr>
      <w:tblGrid>
        <w:gridCol w:w="2013"/>
        <w:gridCol w:w="1221"/>
        <w:gridCol w:w="1221"/>
        <w:gridCol w:w="1221"/>
        <w:gridCol w:w="1221"/>
      </w:tblGrid>
      <w:tr w:rsidR="00BC1D60" w:rsidTr="00BC5B38">
        <w:trPr>
          <w:cantSplit/>
        </w:trPr>
        <w:tc>
          <w:tcPr>
            <w:tcW w:w="2000" w:type="dxa"/>
            <w:tcBorders>
              <w:top w:val="single" w:sz="4" w:space="0" w:color="auto"/>
            </w:tcBorders>
          </w:tcPr>
          <w:p w:rsidR="00BC1D60" w:rsidRDefault="00BC1D60" w:rsidP="00BC5B38">
            <w:pPr>
              <w:pStyle w:val="ESTableRow"/>
              <w:keepNext/>
            </w:pPr>
            <w:r>
              <w:rPr>
                <w:b/>
              </w:rPr>
              <w:t>FYE Dec</w:t>
            </w:r>
          </w:p>
        </w:tc>
        <w:tc>
          <w:tcPr>
            <w:tcW w:w="1212" w:type="dxa"/>
            <w:tcBorders>
              <w:top w:val="single" w:sz="4" w:space="0" w:color="auto"/>
            </w:tcBorders>
          </w:tcPr>
          <w:p w:rsidR="00BC1D60" w:rsidRDefault="00BC1D60" w:rsidP="00BC5B38">
            <w:pPr>
              <w:pStyle w:val="ESTableRow"/>
              <w:keepNext/>
              <w:jc w:val="right"/>
            </w:pPr>
            <w:r>
              <w:rPr>
                <w:b/>
              </w:rPr>
              <w:t>2012A</w:t>
            </w:r>
          </w:p>
        </w:tc>
        <w:tc>
          <w:tcPr>
            <w:tcW w:w="1212" w:type="dxa"/>
            <w:tcBorders>
              <w:top w:val="single" w:sz="4" w:space="0" w:color="auto"/>
            </w:tcBorders>
          </w:tcPr>
          <w:p w:rsidR="00BC1D60" w:rsidRDefault="00BC1D60" w:rsidP="00BC5B38">
            <w:pPr>
              <w:pStyle w:val="ESTableRow"/>
              <w:keepNext/>
              <w:jc w:val="right"/>
            </w:pPr>
            <w:r>
              <w:rPr>
                <w:b/>
              </w:rPr>
              <w:t>2013A</w:t>
            </w:r>
          </w:p>
        </w:tc>
        <w:tc>
          <w:tcPr>
            <w:tcW w:w="1212" w:type="dxa"/>
            <w:tcBorders>
              <w:top w:val="single" w:sz="4" w:space="0" w:color="auto"/>
            </w:tcBorders>
          </w:tcPr>
          <w:p w:rsidR="00BC1D60" w:rsidRDefault="00BC1D60" w:rsidP="00BC5B38">
            <w:pPr>
              <w:pStyle w:val="ESTableRow"/>
              <w:keepNext/>
              <w:jc w:val="right"/>
            </w:pPr>
            <w:r>
              <w:rPr>
                <w:b/>
              </w:rPr>
              <w:t>2014E</w:t>
            </w:r>
          </w:p>
        </w:tc>
        <w:tc>
          <w:tcPr>
            <w:tcW w:w="1212" w:type="dxa"/>
            <w:tcBorders>
              <w:top w:val="single" w:sz="4" w:space="0" w:color="auto"/>
            </w:tcBorders>
          </w:tcPr>
          <w:p w:rsidR="00BC1D60" w:rsidRDefault="00BC1D60" w:rsidP="00BC5B38">
            <w:pPr>
              <w:pStyle w:val="ESTableRow"/>
              <w:keepNext/>
              <w:jc w:val="right"/>
            </w:pPr>
            <w:r>
              <w:rPr>
                <w:b/>
              </w:rPr>
              <w:t>2015E</w:t>
            </w:r>
          </w:p>
        </w:tc>
      </w:tr>
      <w:tr w:rsidR="00BC1D60" w:rsidTr="00BC5B38">
        <w:trPr>
          <w:cantSplit/>
        </w:trPr>
        <w:tc>
          <w:tcPr>
            <w:tcW w:w="2000" w:type="dxa"/>
            <w:tcBorders>
              <w:top w:val="single" w:sz="4" w:space="0" w:color="auto"/>
            </w:tcBorders>
          </w:tcPr>
          <w:p w:rsidR="00BC1D60" w:rsidRDefault="00BC1D60" w:rsidP="00BC5B38">
            <w:pPr>
              <w:pStyle w:val="ESTableRow"/>
              <w:keepNext/>
            </w:pPr>
            <w:r>
              <w:t>Adj.EPS FY (€)</w:t>
            </w:r>
          </w:p>
        </w:tc>
        <w:tc>
          <w:tcPr>
            <w:tcW w:w="1212" w:type="dxa"/>
            <w:tcBorders>
              <w:top w:val="single" w:sz="4" w:space="0" w:color="auto"/>
            </w:tcBorders>
          </w:tcPr>
          <w:p w:rsidR="00BC1D60" w:rsidRDefault="00BC1D60" w:rsidP="00BC5B38">
            <w:pPr>
              <w:pStyle w:val="ESTableRow"/>
              <w:keepNext/>
              <w:jc w:val="right"/>
            </w:pPr>
            <w:r>
              <w:t>0.83</w:t>
            </w:r>
          </w:p>
        </w:tc>
        <w:tc>
          <w:tcPr>
            <w:tcW w:w="1212" w:type="dxa"/>
            <w:tcBorders>
              <w:top w:val="single" w:sz="4" w:space="0" w:color="auto"/>
            </w:tcBorders>
          </w:tcPr>
          <w:p w:rsidR="00BC1D60" w:rsidRDefault="00BC1D60" w:rsidP="00BC5B38">
            <w:pPr>
              <w:pStyle w:val="ESTableRow"/>
              <w:keepNext/>
              <w:jc w:val="right"/>
            </w:pPr>
            <w:r>
              <w:t>0.62</w:t>
            </w:r>
          </w:p>
        </w:tc>
        <w:tc>
          <w:tcPr>
            <w:tcW w:w="1212" w:type="dxa"/>
            <w:tcBorders>
              <w:top w:val="single" w:sz="4" w:space="0" w:color="auto"/>
            </w:tcBorders>
          </w:tcPr>
          <w:p w:rsidR="00BC1D60" w:rsidRDefault="00BC1D60" w:rsidP="00BC5B38">
            <w:pPr>
              <w:pStyle w:val="ESTableRow"/>
              <w:keepNext/>
              <w:jc w:val="right"/>
            </w:pPr>
            <w:r>
              <w:t>0.82</w:t>
            </w:r>
          </w:p>
        </w:tc>
        <w:tc>
          <w:tcPr>
            <w:tcW w:w="1212" w:type="dxa"/>
            <w:tcBorders>
              <w:top w:val="single" w:sz="4" w:space="0" w:color="auto"/>
            </w:tcBorders>
          </w:tcPr>
          <w:p w:rsidR="00BC1D60" w:rsidRDefault="00BC1D60" w:rsidP="00BC5B38">
            <w:pPr>
              <w:pStyle w:val="ESTableRow"/>
              <w:keepNext/>
              <w:jc w:val="right"/>
            </w:pPr>
            <w:r>
              <w:t>0.96</w:t>
            </w:r>
          </w:p>
        </w:tc>
      </w:tr>
      <w:tr w:rsidR="00BC1D60" w:rsidTr="00BC5B38">
        <w:trPr>
          <w:cantSplit/>
        </w:trPr>
        <w:tc>
          <w:tcPr>
            <w:tcW w:w="2000" w:type="dxa"/>
          </w:tcPr>
          <w:p w:rsidR="00BC1D60" w:rsidRDefault="00BC1D60" w:rsidP="00BC5B38">
            <w:pPr>
              <w:pStyle w:val="ESTableRow"/>
              <w:keepNext/>
            </w:pPr>
            <w:r>
              <w:t>Revenue FY (€ mn)</w:t>
            </w:r>
          </w:p>
        </w:tc>
        <w:tc>
          <w:tcPr>
            <w:tcW w:w="1212" w:type="dxa"/>
          </w:tcPr>
          <w:p w:rsidR="00BC1D60" w:rsidRDefault="00BC1D60" w:rsidP="00BC5B38">
            <w:pPr>
              <w:pStyle w:val="ESTableRow"/>
              <w:keepNext/>
              <w:jc w:val="right"/>
            </w:pPr>
            <w:r>
              <w:t>6,072</w:t>
            </w:r>
          </w:p>
        </w:tc>
        <w:tc>
          <w:tcPr>
            <w:tcW w:w="1212" w:type="dxa"/>
          </w:tcPr>
          <w:p w:rsidR="00BC1D60" w:rsidRDefault="00BC1D60" w:rsidP="00BC5B38">
            <w:pPr>
              <w:pStyle w:val="ESTableRow"/>
              <w:keepNext/>
              <w:jc w:val="right"/>
            </w:pPr>
            <w:r>
              <w:t>6,146</w:t>
            </w:r>
          </w:p>
        </w:tc>
        <w:tc>
          <w:tcPr>
            <w:tcW w:w="1212" w:type="dxa"/>
          </w:tcPr>
          <w:p w:rsidR="00BC1D60" w:rsidRDefault="00BC1D60" w:rsidP="00BC5B38">
            <w:pPr>
              <w:pStyle w:val="ESTableRow"/>
              <w:keepNext/>
              <w:jc w:val="right"/>
            </w:pPr>
            <w:r>
              <w:t>6,211</w:t>
            </w:r>
          </w:p>
        </w:tc>
        <w:tc>
          <w:tcPr>
            <w:tcW w:w="1212" w:type="dxa"/>
          </w:tcPr>
          <w:p w:rsidR="00BC1D60" w:rsidRDefault="00BC1D60" w:rsidP="00BC5B38">
            <w:pPr>
              <w:pStyle w:val="ESTableRow"/>
              <w:keepNext/>
              <w:jc w:val="right"/>
            </w:pPr>
            <w:r>
              <w:t>6,644</w:t>
            </w:r>
          </w:p>
        </w:tc>
      </w:tr>
      <w:tr w:rsidR="00BC1D60" w:rsidTr="00BC5B38">
        <w:trPr>
          <w:cantSplit/>
        </w:trPr>
        <w:tc>
          <w:tcPr>
            <w:tcW w:w="2000" w:type="dxa"/>
          </w:tcPr>
          <w:p w:rsidR="00BC1D60" w:rsidRDefault="00BC1D60" w:rsidP="00BC5B38">
            <w:pPr>
              <w:pStyle w:val="ESTableRow"/>
              <w:keepNext/>
            </w:pPr>
            <w:r>
              <w:t>EBIT FY (€ mn)</w:t>
            </w:r>
          </w:p>
        </w:tc>
        <w:tc>
          <w:tcPr>
            <w:tcW w:w="1212" w:type="dxa"/>
          </w:tcPr>
          <w:p w:rsidR="00BC1D60" w:rsidRDefault="00BC1D60" w:rsidP="00BC5B38">
            <w:pPr>
              <w:pStyle w:val="ESTableRow"/>
              <w:keepNext/>
              <w:jc w:val="right"/>
            </w:pPr>
            <w:r>
              <w:t>781</w:t>
            </w:r>
          </w:p>
        </w:tc>
        <w:tc>
          <w:tcPr>
            <w:tcW w:w="1212" w:type="dxa"/>
          </w:tcPr>
          <w:p w:rsidR="00BC1D60" w:rsidRDefault="00BC1D60" w:rsidP="00BC5B38">
            <w:pPr>
              <w:pStyle w:val="ESTableRow"/>
              <w:keepNext/>
              <w:jc w:val="right"/>
            </w:pPr>
            <w:r>
              <w:t>791</w:t>
            </w:r>
          </w:p>
        </w:tc>
        <w:tc>
          <w:tcPr>
            <w:tcW w:w="1212" w:type="dxa"/>
          </w:tcPr>
          <w:p w:rsidR="00BC1D60" w:rsidRDefault="00BC1D60" w:rsidP="00BC5B38">
            <w:pPr>
              <w:pStyle w:val="ESTableRow"/>
              <w:keepNext/>
              <w:jc w:val="right"/>
            </w:pPr>
            <w:r>
              <w:t>854</w:t>
            </w:r>
          </w:p>
        </w:tc>
        <w:tc>
          <w:tcPr>
            <w:tcW w:w="1212" w:type="dxa"/>
          </w:tcPr>
          <w:p w:rsidR="00BC1D60" w:rsidRDefault="00BC1D60" w:rsidP="00BC5B38">
            <w:pPr>
              <w:pStyle w:val="ESTableRow"/>
              <w:keepNext/>
              <w:jc w:val="right"/>
            </w:pPr>
            <w:r>
              <w:t>954</w:t>
            </w:r>
          </w:p>
        </w:tc>
      </w:tr>
      <w:tr w:rsidR="00BC1D60" w:rsidTr="00BC5B38">
        <w:trPr>
          <w:cantSplit/>
        </w:trPr>
        <w:tc>
          <w:tcPr>
            <w:tcW w:w="2000" w:type="dxa"/>
          </w:tcPr>
          <w:p w:rsidR="00BC1D60" w:rsidRDefault="00BC1D60" w:rsidP="00BC5B38">
            <w:pPr>
              <w:pStyle w:val="ESTableRow"/>
              <w:keepNext/>
            </w:pPr>
            <w:r>
              <w:t xml:space="preserve">EBIT Margin FY </w:t>
            </w:r>
          </w:p>
        </w:tc>
        <w:tc>
          <w:tcPr>
            <w:tcW w:w="1212" w:type="dxa"/>
          </w:tcPr>
          <w:p w:rsidR="00BC1D60" w:rsidRDefault="00BC1D60" w:rsidP="00BC5B38">
            <w:pPr>
              <w:pStyle w:val="ESTableRow"/>
              <w:keepNext/>
              <w:jc w:val="right"/>
            </w:pPr>
            <w:r>
              <w:t>12.9%</w:t>
            </w:r>
          </w:p>
        </w:tc>
        <w:tc>
          <w:tcPr>
            <w:tcW w:w="1212" w:type="dxa"/>
          </w:tcPr>
          <w:p w:rsidR="00BC1D60" w:rsidRDefault="00BC1D60" w:rsidP="00BC5B38">
            <w:pPr>
              <w:pStyle w:val="ESTableRow"/>
              <w:keepNext/>
              <w:jc w:val="right"/>
            </w:pPr>
            <w:r>
              <w:t>12.9%</w:t>
            </w:r>
          </w:p>
        </w:tc>
        <w:tc>
          <w:tcPr>
            <w:tcW w:w="1212" w:type="dxa"/>
          </w:tcPr>
          <w:p w:rsidR="00BC1D60" w:rsidRDefault="00BC1D60" w:rsidP="00BC5B38">
            <w:pPr>
              <w:pStyle w:val="ESTableRow"/>
              <w:keepNext/>
              <w:jc w:val="right"/>
            </w:pPr>
            <w:r>
              <w:t>13.7%</w:t>
            </w:r>
          </w:p>
        </w:tc>
        <w:tc>
          <w:tcPr>
            <w:tcW w:w="1212" w:type="dxa"/>
          </w:tcPr>
          <w:p w:rsidR="00BC1D60" w:rsidRDefault="00BC1D60" w:rsidP="00BC5B38">
            <w:pPr>
              <w:pStyle w:val="ESTableRow"/>
              <w:keepNext/>
              <w:jc w:val="right"/>
            </w:pPr>
            <w:r>
              <w:t>14.4%</w:t>
            </w:r>
          </w:p>
        </w:tc>
      </w:tr>
      <w:tr w:rsidR="00BC1D60" w:rsidTr="00BC5B38">
        <w:trPr>
          <w:cantSplit/>
        </w:trPr>
        <w:tc>
          <w:tcPr>
            <w:tcW w:w="2000" w:type="dxa"/>
          </w:tcPr>
          <w:p w:rsidR="00BC1D60" w:rsidRDefault="00BC1D60" w:rsidP="00BC5B38">
            <w:pPr>
              <w:pStyle w:val="ESTableRow"/>
              <w:keepNext/>
            </w:pPr>
            <w:r>
              <w:t>Pre Tax Income FY (€ mn)</w:t>
            </w:r>
          </w:p>
        </w:tc>
        <w:tc>
          <w:tcPr>
            <w:tcW w:w="1212" w:type="dxa"/>
          </w:tcPr>
          <w:p w:rsidR="00BC1D60" w:rsidRDefault="00BC1D60" w:rsidP="00BC5B38">
            <w:pPr>
              <w:pStyle w:val="ESTableRow"/>
              <w:keepNext/>
              <w:jc w:val="right"/>
            </w:pPr>
            <w:r>
              <w:t>599</w:t>
            </w:r>
          </w:p>
        </w:tc>
        <w:tc>
          <w:tcPr>
            <w:tcW w:w="1212" w:type="dxa"/>
          </w:tcPr>
          <w:p w:rsidR="00BC1D60" w:rsidRDefault="00BC1D60" w:rsidP="00BC5B38">
            <w:pPr>
              <w:pStyle w:val="ESTableRow"/>
              <w:keepNext/>
              <w:jc w:val="right"/>
            </w:pPr>
            <w:r>
              <w:t>517</w:t>
            </w:r>
          </w:p>
        </w:tc>
        <w:tc>
          <w:tcPr>
            <w:tcW w:w="1212" w:type="dxa"/>
          </w:tcPr>
          <w:p w:rsidR="00BC1D60" w:rsidRDefault="00BC1D60" w:rsidP="00BC5B38">
            <w:pPr>
              <w:pStyle w:val="ESTableRow"/>
              <w:keepNext/>
              <w:jc w:val="right"/>
            </w:pPr>
            <w:r>
              <w:t>608</w:t>
            </w:r>
          </w:p>
        </w:tc>
        <w:tc>
          <w:tcPr>
            <w:tcW w:w="1212" w:type="dxa"/>
          </w:tcPr>
          <w:p w:rsidR="00BC1D60" w:rsidRDefault="00BC1D60" w:rsidP="00BC5B38">
            <w:pPr>
              <w:pStyle w:val="ESTableRow"/>
              <w:keepNext/>
              <w:jc w:val="right"/>
            </w:pPr>
            <w:r>
              <w:t>709</w:t>
            </w:r>
          </w:p>
        </w:tc>
      </w:tr>
      <w:tr w:rsidR="00BC1D60" w:rsidTr="00BC5B38">
        <w:trPr>
          <w:cantSplit/>
        </w:trPr>
        <w:tc>
          <w:tcPr>
            <w:tcW w:w="2000" w:type="dxa"/>
          </w:tcPr>
          <w:p w:rsidR="00BC1D60" w:rsidRDefault="00BC1D60" w:rsidP="00BC5B38">
            <w:pPr>
              <w:pStyle w:val="ESTableRow"/>
              <w:keepNext/>
            </w:pPr>
            <w:r>
              <w:t>Net Income FY (€ mn)</w:t>
            </w:r>
          </w:p>
        </w:tc>
        <w:tc>
          <w:tcPr>
            <w:tcW w:w="1212" w:type="dxa"/>
          </w:tcPr>
          <w:p w:rsidR="00BC1D60" w:rsidRDefault="00BC1D60" w:rsidP="00BC5B38">
            <w:pPr>
              <w:pStyle w:val="ESTableRow"/>
              <w:keepNext/>
              <w:jc w:val="right"/>
            </w:pPr>
            <w:r>
              <w:t>394</w:t>
            </w:r>
          </w:p>
        </w:tc>
        <w:tc>
          <w:tcPr>
            <w:tcW w:w="1212" w:type="dxa"/>
          </w:tcPr>
          <w:p w:rsidR="00BC1D60" w:rsidRDefault="00BC1D60" w:rsidP="00BC5B38">
            <w:pPr>
              <w:pStyle w:val="ESTableRow"/>
              <w:keepNext/>
              <w:jc w:val="right"/>
            </w:pPr>
            <w:r>
              <w:t>304</w:t>
            </w:r>
          </w:p>
        </w:tc>
        <w:tc>
          <w:tcPr>
            <w:tcW w:w="1212" w:type="dxa"/>
          </w:tcPr>
          <w:p w:rsidR="00BC1D60" w:rsidRDefault="00BC1D60" w:rsidP="00BC5B38">
            <w:pPr>
              <w:pStyle w:val="ESTableRow"/>
              <w:keepNext/>
              <w:jc w:val="right"/>
            </w:pPr>
            <w:r>
              <w:t>386</w:t>
            </w:r>
          </w:p>
        </w:tc>
        <w:tc>
          <w:tcPr>
            <w:tcW w:w="1212" w:type="dxa"/>
          </w:tcPr>
          <w:p w:rsidR="00BC1D60" w:rsidRDefault="00BC1D60" w:rsidP="00BC5B38">
            <w:pPr>
              <w:pStyle w:val="ESTableRow"/>
              <w:keepNext/>
              <w:jc w:val="right"/>
            </w:pPr>
            <w:r>
              <w:t>454</w:t>
            </w:r>
          </w:p>
        </w:tc>
      </w:tr>
      <w:tr w:rsidR="00BC1D60" w:rsidTr="00BC5B38">
        <w:trPr>
          <w:cantSplit/>
        </w:trPr>
        <w:tc>
          <w:tcPr>
            <w:tcW w:w="2000" w:type="dxa"/>
          </w:tcPr>
          <w:p w:rsidR="00BC1D60" w:rsidRDefault="00BC1D60" w:rsidP="00BC5B38">
            <w:pPr>
              <w:pStyle w:val="ESTableRow"/>
              <w:keepNext/>
            </w:pPr>
            <w:r>
              <w:t xml:space="preserve">Industrial P/E FY </w:t>
            </w:r>
          </w:p>
        </w:tc>
        <w:tc>
          <w:tcPr>
            <w:tcW w:w="1212" w:type="dxa"/>
          </w:tcPr>
          <w:p w:rsidR="00BC1D60" w:rsidRDefault="00BC1D60" w:rsidP="00BC5B38">
            <w:pPr>
              <w:pStyle w:val="ESTableRow"/>
              <w:keepNext/>
              <w:jc w:val="right"/>
            </w:pPr>
            <w:r>
              <w:t>10.3</w:t>
            </w:r>
          </w:p>
        </w:tc>
        <w:tc>
          <w:tcPr>
            <w:tcW w:w="1212" w:type="dxa"/>
          </w:tcPr>
          <w:p w:rsidR="00BC1D60" w:rsidRDefault="00BC1D60" w:rsidP="00BC5B38">
            <w:pPr>
              <w:pStyle w:val="ESTableRow"/>
              <w:keepNext/>
              <w:jc w:val="right"/>
            </w:pPr>
            <w:r>
              <w:t>15.1</w:t>
            </w:r>
          </w:p>
        </w:tc>
        <w:tc>
          <w:tcPr>
            <w:tcW w:w="1212" w:type="dxa"/>
          </w:tcPr>
          <w:p w:rsidR="00BC1D60" w:rsidRDefault="00BC1D60" w:rsidP="00BC5B38">
            <w:pPr>
              <w:pStyle w:val="ESTableRow"/>
              <w:keepNext/>
              <w:jc w:val="right"/>
            </w:pPr>
            <w:r>
              <w:t>11.4</w:t>
            </w:r>
          </w:p>
        </w:tc>
        <w:tc>
          <w:tcPr>
            <w:tcW w:w="1212" w:type="dxa"/>
          </w:tcPr>
          <w:p w:rsidR="00BC1D60" w:rsidRDefault="00BC1D60" w:rsidP="00BC5B38">
            <w:pPr>
              <w:pStyle w:val="ESTableRow"/>
              <w:keepNext/>
              <w:jc w:val="right"/>
            </w:pPr>
            <w:r>
              <w:t>9.7</w:t>
            </w:r>
          </w:p>
        </w:tc>
      </w:tr>
      <w:tr w:rsidR="00BC1D60" w:rsidTr="00BC5B38">
        <w:trPr>
          <w:cantSplit/>
        </w:trPr>
        <w:tc>
          <w:tcPr>
            <w:tcW w:w="2000" w:type="dxa"/>
            <w:tcBorders>
              <w:bottom w:val="single" w:sz="4" w:space="0" w:color="auto"/>
            </w:tcBorders>
          </w:tcPr>
          <w:p w:rsidR="00BC1D60" w:rsidRDefault="00BC1D60" w:rsidP="00BC5B38">
            <w:pPr>
              <w:pStyle w:val="ESTableRow"/>
              <w:keepNext/>
            </w:pPr>
            <w:r>
              <w:t xml:space="preserve">Industrial EV/Sales FY </w:t>
            </w:r>
          </w:p>
        </w:tc>
        <w:tc>
          <w:tcPr>
            <w:tcW w:w="1212" w:type="dxa"/>
            <w:tcBorders>
              <w:bottom w:val="single" w:sz="4" w:space="0" w:color="auto"/>
            </w:tcBorders>
          </w:tcPr>
          <w:p w:rsidR="00BC1D60" w:rsidRDefault="00BC1D60" w:rsidP="00BC5B38">
            <w:pPr>
              <w:pStyle w:val="ESTableRow"/>
              <w:keepNext/>
              <w:jc w:val="right"/>
            </w:pPr>
            <w:r>
              <w:t>0.9</w:t>
            </w:r>
          </w:p>
        </w:tc>
        <w:tc>
          <w:tcPr>
            <w:tcW w:w="1212" w:type="dxa"/>
            <w:tcBorders>
              <w:bottom w:val="single" w:sz="4" w:space="0" w:color="auto"/>
            </w:tcBorders>
          </w:tcPr>
          <w:p w:rsidR="00BC1D60" w:rsidRDefault="00BC1D60" w:rsidP="00BC5B38">
            <w:pPr>
              <w:pStyle w:val="ESTableRow"/>
              <w:keepNext/>
              <w:jc w:val="right"/>
            </w:pPr>
            <w:r>
              <w:t>0.9</w:t>
            </w:r>
          </w:p>
        </w:tc>
        <w:tc>
          <w:tcPr>
            <w:tcW w:w="1212" w:type="dxa"/>
            <w:tcBorders>
              <w:bottom w:val="single" w:sz="4" w:space="0" w:color="auto"/>
            </w:tcBorders>
          </w:tcPr>
          <w:p w:rsidR="00BC1D60" w:rsidRDefault="00BC1D60" w:rsidP="00BC5B38">
            <w:pPr>
              <w:pStyle w:val="ESTableRow"/>
              <w:keepNext/>
              <w:jc w:val="right"/>
            </w:pPr>
            <w:r>
              <w:t>0.9</w:t>
            </w:r>
          </w:p>
        </w:tc>
        <w:tc>
          <w:tcPr>
            <w:tcW w:w="1212" w:type="dxa"/>
            <w:tcBorders>
              <w:bottom w:val="single" w:sz="4" w:space="0" w:color="auto"/>
            </w:tcBorders>
          </w:tcPr>
          <w:p w:rsidR="00BC1D60" w:rsidRDefault="00BC1D60" w:rsidP="00BC5B38">
            <w:pPr>
              <w:pStyle w:val="ESTableRow"/>
              <w:keepNext/>
              <w:jc w:val="right"/>
            </w:pPr>
            <w:r>
              <w:t>0.8</w:t>
            </w:r>
          </w:p>
        </w:tc>
      </w:tr>
    </w:tbl>
    <w:p w:rsidR="00BC1D60" w:rsidRPr="004F1ABB" w:rsidRDefault="00BC1D60" w:rsidP="00BC1D60">
      <w:pPr>
        <w:pStyle w:val="Source"/>
        <w:rPr>
          <w:highlight w:val="yellow"/>
        </w:rPr>
      </w:pPr>
      <w:r>
        <w:t>Source: Company data, Bloomberg, J.P. Morgan estimates.</w:t>
      </w:r>
    </w:p>
    <w:p w:rsidR="00BC1D60" w:rsidRPr="004F1ABB" w:rsidRDefault="00BC1D60" w:rsidP="00BC1D60">
      <w:pPr>
        <w:rPr>
          <w:highlight w:val="yellow"/>
        </w:rPr>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F7136B" w:rsidTr="00BC5B38">
        <w:tc>
          <w:tcPr>
            <w:tcW w:w="10604" w:type="dxa"/>
            <w:gridSpan w:val="3"/>
            <w:shd w:val="clear" w:color="auto" w:fill="auto"/>
          </w:tcPr>
          <w:p w:rsidR="00BC1D60" w:rsidRPr="00F7136B" w:rsidRDefault="00BC1D60" w:rsidP="00BC5B38">
            <w:pPr>
              <w:pStyle w:val="Heading1-NoTOC"/>
            </w:pPr>
            <w:bookmarkStart w:id="331" w:name="_Toc392016379"/>
            <w:bookmarkStart w:id="332" w:name="_Toc392099097"/>
            <w:r w:rsidRPr="00F7136B">
              <w:t>Getting to know our SMid Analysts…</w:t>
            </w:r>
            <w:bookmarkEnd w:id="331"/>
            <w:bookmarkEnd w:id="332"/>
          </w:p>
        </w:tc>
      </w:tr>
      <w:tr w:rsidR="00BC1D60" w:rsidRPr="00F7136B" w:rsidTr="00BC5B38">
        <w:trPr>
          <w:trHeight w:val="3427"/>
        </w:trPr>
        <w:tc>
          <w:tcPr>
            <w:tcW w:w="2666" w:type="dxa"/>
            <w:shd w:val="clear" w:color="auto" w:fill="auto"/>
          </w:tcPr>
          <w:p w:rsidR="00BC1D60" w:rsidRPr="00F7136B" w:rsidRDefault="00BC1D60" w:rsidP="00BC5B38">
            <w:pPr>
              <w:pStyle w:val="Body"/>
              <w:spacing w:after="120"/>
            </w:pPr>
            <w:r w:rsidRPr="00F7136B">
              <w:rPr>
                <w:rFonts w:ascii="Arial" w:hAnsi="Arial" w:cs="Arial"/>
                <w:noProof/>
                <w:color w:val="716F63"/>
                <w:sz w:val="17"/>
                <w:szCs w:val="17"/>
              </w:rPr>
              <w:drawing>
                <wp:inline distT="0" distB="0" distL="0" distR="0">
                  <wp:extent cx="1571625" cy="1600200"/>
                  <wp:effectExtent l="19050" t="0" r="9525" b="0"/>
                  <wp:docPr id="1086" name="Picture 89" descr="Jose M Asume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Jose M Asumendi"/>
                          <pic:cNvPicPr>
                            <a:picLocks noChangeAspect="1" noChangeArrowheads="1"/>
                          </pic:cNvPicPr>
                        </pic:nvPicPr>
                        <pic:blipFill>
                          <a:blip r:embed="rId82"/>
                          <a:srcRect l="42857" b="6762"/>
                          <a:stretch>
                            <a:fillRect/>
                          </a:stretch>
                        </pic:blipFill>
                        <pic:spPr bwMode="auto">
                          <a:xfrm>
                            <a:off x="0" y="0"/>
                            <a:ext cx="1571625" cy="1600200"/>
                          </a:xfrm>
                          <a:prstGeom prst="rect">
                            <a:avLst/>
                          </a:prstGeom>
                          <a:noFill/>
                          <a:ln w="9525">
                            <a:noFill/>
                            <a:miter lim="800000"/>
                            <a:headEnd/>
                            <a:tailEnd/>
                          </a:ln>
                        </pic:spPr>
                      </pic:pic>
                    </a:graphicData>
                  </a:graphic>
                </wp:inline>
              </w:drawing>
            </w:r>
          </w:p>
        </w:tc>
        <w:tc>
          <w:tcPr>
            <w:tcW w:w="3544" w:type="dxa"/>
            <w:shd w:val="clear" w:color="auto" w:fill="auto"/>
          </w:tcPr>
          <w:p w:rsidR="00BC1D60" w:rsidRPr="00F7136B" w:rsidRDefault="00BC1D60" w:rsidP="00BC5B38">
            <w:pPr>
              <w:pStyle w:val="Heading2"/>
              <w:outlineLvl w:val="1"/>
              <w:rPr>
                <w:lang w:val="es-ES_tradnl"/>
              </w:rPr>
            </w:pPr>
            <w:r w:rsidRPr="00F7136B">
              <w:rPr>
                <w:lang w:val="es-ES_tradnl"/>
              </w:rPr>
              <w:t>Jose Asumendi</w:t>
            </w:r>
          </w:p>
          <w:p w:rsidR="00BC1D60" w:rsidRPr="00F7136B" w:rsidRDefault="003B051F" w:rsidP="00BC5B38">
            <w:pPr>
              <w:pStyle w:val="Body"/>
              <w:spacing w:after="120"/>
              <w:rPr>
                <w:rFonts w:ascii="Arial Narrow" w:hAnsi="Arial Narrow"/>
                <w:lang w:val="es-ES_tradnl"/>
              </w:rPr>
            </w:pPr>
            <w:hyperlink r:id="rId147" w:history="1">
              <w:r w:rsidR="00BC1D60" w:rsidRPr="00F7136B">
                <w:rPr>
                  <w:rStyle w:val="Hyperlink"/>
                  <w:rFonts w:ascii="Arial Narrow" w:hAnsi="Arial Narrow"/>
                  <w:lang w:val="es-ES_tradnl"/>
                </w:rPr>
                <w:t>jose.m.asumendi@jpmorgan.com</w:t>
              </w:r>
            </w:hyperlink>
          </w:p>
          <w:p w:rsidR="00BC1D60" w:rsidRPr="00F7136B" w:rsidRDefault="00BC1D60" w:rsidP="00BC5B38">
            <w:pPr>
              <w:pStyle w:val="Body"/>
              <w:spacing w:after="120"/>
              <w:rPr>
                <w:rFonts w:ascii="Arial Narrow" w:hAnsi="Arial Narrow"/>
                <w:lang w:val="es-ES_tradnl"/>
              </w:rPr>
            </w:pPr>
            <w:r w:rsidRPr="00F7136B">
              <w:rPr>
                <w:rFonts w:ascii="Arial Narrow" w:hAnsi="Arial Narrow"/>
                <w:lang w:val="es-ES_tradnl"/>
              </w:rPr>
              <w:t>(44-20) 7742-5315</w:t>
            </w:r>
          </w:p>
          <w:p w:rsidR="00BC1D60" w:rsidRPr="00F7136B" w:rsidRDefault="00BC1D60" w:rsidP="00BC5B38">
            <w:pPr>
              <w:pStyle w:val="Body"/>
              <w:spacing w:after="120"/>
              <w:rPr>
                <w:rFonts w:ascii="Arial Narrow" w:hAnsi="Arial Narrow"/>
                <w:lang w:val="es-ES_tradnl"/>
              </w:rPr>
            </w:pPr>
          </w:p>
          <w:p w:rsidR="00BC1D60" w:rsidRPr="00F7136B" w:rsidRDefault="00BC1D60" w:rsidP="00BC5B38">
            <w:pPr>
              <w:pStyle w:val="Body"/>
              <w:spacing w:after="120"/>
              <w:rPr>
                <w:rFonts w:ascii="Arial Narrow" w:hAnsi="Arial Narrow"/>
                <w:lang w:val="es-ES_tradnl"/>
              </w:rPr>
            </w:pPr>
            <w:r w:rsidRPr="00F7136B">
              <w:rPr>
                <w:rFonts w:ascii="Arial Narrow" w:hAnsi="Arial Narrow"/>
                <w:b/>
                <w:lang w:val="es-ES_tradnl"/>
              </w:rPr>
              <w:t>Region:</w:t>
            </w:r>
            <w:r w:rsidRPr="00F7136B">
              <w:rPr>
                <w:rFonts w:ascii="Arial Narrow" w:hAnsi="Arial Narrow"/>
                <w:lang w:val="es-ES_tradnl"/>
              </w:rPr>
              <w:t xml:space="preserve"> W. Europe</w:t>
            </w:r>
          </w:p>
          <w:p w:rsidR="00BC1D60" w:rsidRPr="00F7136B" w:rsidRDefault="00BC1D60" w:rsidP="00BC5B38">
            <w:pPr>
              <w:pStyle w:val="Body"/>
              <w:spacing w:after="120"/>
              <w:rPr>
                <w:rFonts w:ascii="Arial Narrow" w:hAnsi="Arial Narrow"/>
              </w:rPr>
            </w:pPr>
            <w:r w:rsidRPr="00F7136B">
              <w:rPr>
                <w:rFonts w:ascii="Arial Narrow" w:hAnsi="Arial Narrow"/>
                <w:b/>
              </w:rPr>
              <w:t>Sector:</w:t>
            </w:r>
            <w:r w:rsidRPr="00F7136B">
              <w:rPr>
                <w:rFonts w:ascii="Arial Narrow" w:hAnsi="Arial Narrow"/>
              </w:rPr>
              <w:t xml:space="preserve"> European Autos</w:t>
            </w:r>
          </w:p>
          <w:p w:rsidR="00BC1D60" w:rsidRPr="00F7136B" w:rsidRDefault="00BC1D60" w:rsidP="00BC5B38">
            <w:pPr>
              <w:pStyle w:val="Body"/>
            </w:pPr>
          </w:p>
        </w:tc>
        <w:tc>
          <w:tcPr>
            <w:tcW w:w="4394" w:type="dxa"/>
            <w:shd w:val="clear" w:color="auto" w:fill="auto"/>
          </w:tcPr>
          <w:p w:rsidR="00BC1D60" w:rsidRPr="00F7136B" w:rsidRDefault="00BC1D60" w:rsidP="00BC5B38">
            <w:pPr>
              <w:pStyle w:val="Body"/>
              <w:jc w:val="right"/>
            </w:pPr>
            <w:r w:rsidRPr="00F7136B">
              <w:rPr>
                <w:noProof/>
              </w:rPr>
              <w:drawing>
                <wp:inline distT="0" distB="0" distL="0" distR="0">
                  <wp:extent cx="2505456" cy="1414952"/>
                  <wp:effectExtent l="19050" t="0" r="9144" b="0"/>
                  <wp:docPr id="10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srcRect/>
                          <a:stretch>
                            <a:fillRect/>
                          </a:stretch>
                        </pic:blipFill>
                        <pic:spPr bwMode="auto">
                          <a:xfrm>
                            <a:off x="0" y="0"/>
                            <a:ext cx="2505456" cy="1414952"/>
                          </a:xfrm>
                          <a:prstGeom prst="rect">
                            <a:avLst/>
                          </a:prstGeom>
                          <a:noFill/>
                          <a:ln w="9525">
                            <a:noFill/>
                            <a:miter lim="800000"/>
                            <a:headEnd/>
                            <a:tailEnd/>
                          </a:ln>
                        </pic:spPr>
                      </pic:pic>
                    </a:graphicData>
                  </a:graphic>
                </wp:inline>
              </w:drawing>
            </w:r>
          </w:p>
        </w:tc>
      </w:tr>
    </w:tbl>
    <w:p w:rsidR="00BC1D60" w:rsidRPr="00F7136B" w:rsidRDefault="00BC1D60" w:rsidP="00BC1D60">
      <w:pPr>
        <w:pStyle w:val="Source"/>
        <w:spacing w:before="0"/>
        <w:ind w:left="-3124" w:hanging="137"/>
      </w:pPr>
      <w:r w:rsidRPr="00F7136B">
        <w:rPr>
          <w:noProof/>
        </w:rPr>
        <w:drawing>
          <wp:inline distT="0" distB="0" distL="0" distR="0">
            <wp:extent cx="6702552" cy="1129314"/>
            <wp:effectExtent l="19050" t="0" r="3048" b="0"/>
            <wp:docPr id="11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a:srcRect/>
                    <a:stretch>
                      <a:fillRect/>
                    </a:stretch>
                  </pic:blipFill>
                  <pic:spPr bwMode="auto">
                    <a:xfrm>
                      <a:off x="0" y="0"/>
                      <a:ext cx="6702552" cy="1129314"/>
                    </a:xfrm>
                    <a:prstGeom prst="rect">
                      <a:avLst/>
                    </a:prstGeom>
                    <a:noFill/>
                    <a:ln w="9525">
                      <a:noFill/>
                      <a:miter lim="800000"/>
                      <a:headEnd/>
                      <a:tailEnd/>
                    </a:ln>
                  </pic:spPr>
                </pic:pic>
              </a:graphicData>
            </a:graphic>
          </wp:inline>
        </w:drawing>
      </w:r>
      <w:r w:rsidRPr="00F7136B">
        <w:t>Source: Bloomberg, Datastream, Factset, J.P. Morgan</w:t>
      </w:r>
      <w:r w:rsidRPr="00F7136B">
        <w:br/>
      </w:r>
      <w:r w:rsidRPr="0087013D">
        <w:t>Prices as of 24 June 2014</w:t>
      </w:r>
    </w:p>
    <w:p w:rsidR="00BC1D60" w:rsidRPr="004F1ABB" w:rsidRDefault="00BC1D60" w:rsidP="00BC1D60">
      <w:pPr>
        <w:pStyle w:val="Body"/>
        <w:rPr>
          <w:highlight w:val="yellow"/>
        </w:rPr>
      </w:pPr>
    </w:p>
    <w:p w:rsidR="00BC1D60" w:rsidRPr="004F1ABB" w:rsidRDefault="00BC1D60" w:rsidP="00BC1D60">
      <w:pPr>
        <w:spacing w:line="264" w:lineRule="atLeast"/>
        <w:ind w:left="-3125"/>
        <w:rPr>
          <w:rStyle w:val="Hyperlink"/>
          <w:rFonts w:ascii="Arial Narrow" w:hAnsi="Arial Narrow"/>
          <w:sz w:val="16"/>
          <w:szCs w:val="16"/>
          <w:highlight w:val="yellow"/>
        </w:rPr>
      </w:pPr>
    </w:p>
    <w:p w:rsidR="00BC1D60" w:rsidRPr="004F1ABB" w:rsidRDefault="00BC1D60" w:rsidP="00BC1D60">
      <w:pPr>
        <w:spacing w:after="480" w:line="0" w:lineRule="auto"/>
        <w:rPr>
          <w:rFonts w:ascii="Arial" w:hAnsi="Arial" w:cs="Arial"/>
          <w:bCs/>
          <w:color w:val="4E8ABE"/>
          <w:kern w:val="32"/>
          <w:sz w:val="34"/>
          <w:szCs w:val="34"/>
          <w:highlight w:val="yellow"/>
        </w:rPr>
      </w:pPr>
      <w:r w:rsidRPr="004F1ABB">
        <w:rPr>
          <w:rFonts w:ascii="Arial" w:hAnsi="Arial" w:cs="Arial"/>
          <w:bCs/>
          <w:color w:val="4E8ABE"/>
          <w:kern w:val="32"/>
          <w:sz w:val="34"/>
          <w:szCs w:val="34"/>
          <w:highlight w:val="yellow"/>
        </w:rPr>
        <w:br w:type="page"/>
      </w:r>
    </w:p>
    <w:p w:rsidR="00BC1D60" w:rsidRPr="004F1ABB" w:rsidRDefault="00BC1D60" w:rsidP="00BC1D60">
      <w:pPr>
        <w:pStyle w:val="Sidecomments"/>
        <w:framePr w:w="0" w:hRule="auto" w:wrap="around"/>
        <w:rPr>
          <w:highlight w:val="yellow"/>
        </w:rPr>
      </w:pPr>
      <w:r w:rsidRPr="000674A7">
        <w:rPr>
          <w:noProof/>
        </w:rPr>
        <w:lastRenderedPageBreak/>
        <w:drawing>
          <wp:inline distT="0" distB="0" distL="0" distR="0">
            <wp:extent cx="1737360" cy="7723698"/>
            <wp:effectExtent l="19050" t="0" r="0" b="0"/>
            <wp:docPr id="115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48"/>
                    <a:srcRect/>
                    <a:stretch>
                      <a:fillRect/>
                    </a:stretch>
                  </pic:blipFill>
                  <pic:spPr bwMode="auto">
                    <a:xfrm>
                      <a:off x="0" y="0"/>
                      <a:ext cx="1737360" cy="7723698"/>
                    </a:xfrm>
                    <a:prstGeom prst="rect">
                      <a:avLst/>
                    </a:prstGeom>
                    <a:noFill/>
                    <a:ln w="9525">
                      <a:noFill/>
                      <a:miter lim="800000"/>
                      <a:headEnd/>
                      <a:tailEnd/>
                    </a:ln>
                  </pic:spPr>
                </pic:pic>
              </a:graphicData>
            </a:graphic>
          </wp:inline>
        </w:drawing>
      </w:r>
      <w:r w:rsidRPr="004F1ABB">
        <w:rPr>
          <w:highlight w:val="yellow"/>
        </w:rPr>
        <w:t xml:space="preserve"> </w:t>
      </w:r>
    </w:p>
    <w:p w:rsidR="00BC1D60" w:rsidRPr="000674A7" w:rsidRDefault="00BC1D60" w:rsidP="00BC1D60">
      <w:pPr>
        <w:pStyle w:val="Heading1"/>
        <w:spacing w:before="0"/>
      </w:pPr>
      <w:bookmarkStart w:id="333" w:name="_Toc368081374"/>
      <w:bookmarkStart w:id="334" w:name="_Ref368261877"/>
      <w:bookmarkStart w:id="335" w:name="_Ref376780144"/>
      <w:bookmarkStart w:id="336" w:name="_Toc376802101"/>
      <w:bookmarkStart w:id="337" w:name="_Toc384136018"/>
      <w:bookmarkStart w:id="338" w:name="_Toc392099098"/>
      <w:bookmarkStart w:id="339" w:name="_Toc392081826"/>
      <w:bookmarkStart w:id="340" w:name="_Toc392081889"/>
      <w:r w:rsidRPr="000674A7">
        <w:t>Prosegur (PSG SM / N / €5.24)</w:t>
      </w:r>
      <w:bookmarkEnd w:id="333"/>
      <w:bookmarkEnd w:id="334"/>
      <w:bookmarkEnd w:id="335"/>
      <w:bookmarkEnd w:id="336"/>
      <w:bookmarkEnd w:id="337"/>
      <w:bookmarkEnd w:id="338"/>
      <w:bookmarkEnd w:id="339"/>
      <w:bookmarkEnd w:id="340"/>
    </w:p>
    <w:p w:rsidR="00BC1D60" w:rsidRPr="00BC6F62" w:rsidRDefault="00BC1D60" w:rsidP="00BC1D60">
      <w:pPr>
        <w:pStyle w:val="Heading2"/>
        <w:spacing w:after="120"/>
        <w:rPr>
          <w:i/>
        </w:rPr>
      </w:pPr>
      <w:r w:rsidRPr="00BC6F62">
        <w:rPr>
          <w:i/>
        </w:rPr>
        <w:t>Trading performance better than share price performance</w:t>
      </w:r>
    </w:p>
    <w:p w:rsidR="00BC1D60" w:rsidRPr="00BC6F62" w:rsidRDefault="00BC1D60" w:rsidP="00BC1D60">
      <w:pPr>
        <w:pStyle w:val="Heading3"/>
        <w:spacing w:after="0"/>
        <w:rPr>
          <w:rFonts w:eastAsia="Times New Roman"/>
        </w:rPr>
      </w:pPr>
      <w:r w:rsidRPr="00BC6F62">
        <w:rPr>
          <w:rFonts w:eastAsia="Times New Roman"/>
          <w:bCs w:val="0"/>
        </w:rPr>
        <w:t>Investment Highlights:</w:t>
      </w:r>
    </w:p>
    <w:p w:rsidR="00BC1D60" w:rsidRPr="00BC6F62" w:rsidRDefault="00BC1D60" w:rsidP="00BC1D60">
      <w:pPr>
        <w:pStyle w:val="Bullet"/>
        <w:tabs>
          <w:tab w:val="clear" w:pos="288"/>
        </w:tabs>
        <w:rPr>
          <w:rFonts w:eastAsiaTheme="minorHAnsi"/>
        </w:rPr>
      </w:pPr>
      <w:r w:rsidRPr="00BC6F62">
        <w:rPr>
          <w:u w:val="single"/>
        </w:rPr>
        <w:t xml:space="preserve">A strong fit with our focus on </w:t>
      </w:r>
      <w:r>
        <w:rPr>
          <w:u w:val="single"/>
        </w:rPr>
        <w:t>“</w:t>
      </w:r>
      <w:r w:rsidRPr="00BC6F62">
        <w:rPr>
          <w:u w:val="single"/>
        </w:rPr>
        <w:t>Affordable Growth</w:t>
      </w:r>
      <w:r>
        <w:rPr>
          <w:u w:val="single"/>
        </w:rPr>
        <w:t>”</w:t>
      </w:r>
      <w:r w:rsidRPr="00BC6F62">
        <w:t>: The st</w:t>
      </w:r>
      <w:r w:rsidRPr="006E0904">
        <w:t xml:space="preserve">ock offers </w:t>
      </w:r>
      <w:r w:rsidRPr="007A4ECF">
        <w:t>5%</w:t>
      </w:r>
      <w:r w:rsidRPr="006E0904">
        <w:t xml:space="preserve"> upside potential to its hist. avg. fwd P/E (</w:t>
      </w:r>
      <w:r w:rsidRPr="007A4ECF">
        <w:t>16.9x vs 17.7x</w:t>
      </w:r>
      <w:r w:rsidRPr="006E0904">
        <w:t xml:space="preserve"> — IBES</w:t>
      </w:r>
      <w:r w:rsidRPr="00BC6F62">
        <w:t xml:space="preserve"> ests) while operating not only in a defensive industry but with significant geographical diversification. Sales actually grew through the downturn (by 19% from ’07-’09), and have continued to grow since.</w:t>
      </w:r>
    </w:p>
    <w:p w:rsidR="00BC1D60" w:rsidRPr="00BC6F62" w:rsidRDefault="00BC1D60" w:rsidP="00BC1D60">
      <w:pPr>
        <w:pStyle w:val="Bullet"/>
        <w:tabs>
          <w:tab w:val="clear" w:pos="288"/>
        </w:tabs>
      </w:pPr>
      <w:r w:rsidRPr="00BC6F62">
        <w:rPr>
          <w:u w:val="single"/>
        </w:rPr>
        <w:t>Strong Balance Sheet and Consistent FCF Generation</w:t>
      </w:r>
      <w:r w:rsidRPr="00BC6F62">
        <w:t>: We forecast Net Debt/EBITDA 14E (JPMe) of just 1.2x post-Chubb Security acquisition, offering scope for further accretive acquisitions. The company remained FCF positive throughout the cycle and both JPMe and IBES ests forecast FCF Ylds &gt;6% through 2014.</w:t>
      </w:r>
    </w:p>
    <w:p w:rsidR="00BC1D60" w:rsidRPr="000674A7" w:rsidRDefault="00BC1D60" w:rsidP="00BC1D60">
      <w:pPr>
        <w:pStyle w:val="Bullet"/>
        <w:tabs>
          <w:tab w:val="clear" w:pos="288"/>
        </w:tabs>
      </w:pPr>
      <w:r w:rsidRPr="000674A7">
        <w:rPr>
          <w:u w:val="single"/>
        </w:rPr>
        <w:t>Room for sentiment to improve</w:t>
      </w:r>
      <w:r w:rsidRPr="000674A7">
        <w:t xml:space="preserve">: The stock is a consensus UW, with only 6 of the 18 covering analysts rating it OW. We believe the stock has been unfairly penalized for its Spanish listing, Iberian exposure and short-term issues in LatAm (e.g. lag in passing on regulatory wage increases in Brazil and political disturbance in Brazil). </w:t>
      </w:r>
    </w:p>
    <w:p w:rsidR="00BC1D60" w:rsidRPr="000674A7" w:rsidRDefault="00BC1D60" w:rsidP="00BC1D60">
      <w:pPr>
        <w:pStyle w:val="Heading3"/>
        <w:spacing w:before="120" w:after="120"/>
        <w:rPr>
          <w:rFonts w:eastAsia="Times New Roman"/>
          <w:bCs w:val="0"/>
        </w:rPr>
      </w:pPr>
      <w:r w:rsidRPr="000674A7">
        <w:t xml:space="preserve">Valuation/Risks to our view: </w:t>
      </w:r>
      <w:r w:rsidRPr="000674A7">
        <w:rPr>
          <w:b w:val="0"/>
        </w:rPr>
        <w:t xml:space="preserve">Our Dec-14 price </w:t>
      </w:r>
      <w:r>
        <w:rPr>
          <w:b w:val="0"/>
        </w:rPr>
        <w:t>target</w:t>
      </w:r>
      <w:r w:rsidRPr="000674A7">
        <w:rPr>
          <w:b w:val="0"/>
        </w:rPr>
        <w:t xml:space="preserve"> of €4.</w:t>
      </w:r>
      <w:r>
        <w:rPr>
          <w:b w:val="0"/>
        </w:rPr>
        <w:t>3</w:t>
      </w:r>
      <w:r w:rsidRPr="000674A7">
        <w:rPr>
          <w:b w:val="0"/>
        </w:rPr>
        <w:t>1 is based on a 2014E PER of 13.7x (a discount to the Business Services avg of 17.8x, but reflective of the lower returns from the security sector vs other Business Services stocks). Key downside risks include: a) further slowdown in the Spanish &amp; Portuguese economies which would impact Prosegur's revenues there; b) general sentiment towards Spanish listed stocks being affected by market sentiment towards the solvency of the country.</w:t>
      </w:r>
    </w:p>
    <w:p w:rsidR="00BC1D60" w:rsidRPr="000674A7" w:rsidRDefault="00BC1D60" w:rsidP="00BC1D60">
      <w:pPr>
        <w:pStyle w:val="Heading3"/>
        <w:spacing w:before="120" w:after="120"/>
        <w:rPr>
          <w:b w:val="0"/>
        </w:rPr>
      </w:pPr>
      <w:r w:rsidRPr="000674A7">
        <w:rPr>
          <w:rFonts w:eastAsia="Times New Roman"/>
          <w:bCs w:val="0"/>
        </w:rPr>
        <w:t>Prosegur in a Nutshell:</w:t>
      </w:r>
      <w:r w:rsidRPr="000674A7">
        <w:rPr>
          <w:rFonts w:eastAsia="Times New Roman"/>
          <w:b w:val="0"/>
          <w:bCs w:val="0"/>
        </w:rPr>
        <w:t xml:space="preserve"> </w:t>
      </w:r>
      <w:r w:rsidRPr="000674A7">
        <w:rPr>
          <w:rFonts w:eastAsia="Times New Roman"/>
          <w:b w:val="0"/>
        </w:rPr>
        <w:t>Prosegur is a security company based in Madrid and is focused on the Spanish and Portuguese-speaking markets. Europe &amp; Asia account for 40% of revenue and 13% of EBIT with Spain, France and Portugal the main countries. LatAm accounts for 60% of revenue and 87% of EBIT. PSG is involved in all areas of security, inc. manned guarding, cash management and electronic security</w:t>
      </w:r>
      <w:r w:rsidRPr="000674A7">
        <w:rPr>
          <w:b w:val="0"/>
        </w:rPr>
        <w:t xml:space="preserve">. </w:t>
      </w:r>
    </w:p>
    <w:p w:rsidR="00BC1D60" w:rsidRPr="000674A7" w:rsidRDefault="00BC1D60" w:rsidP="00BC1D60">
      <w:pPr>
        <w:pStyle w:val="Heading3"/>
        <w:spacing w:after="0"/>
      </w:pPr>
      <w:r w:rsidRPr="000674A7">
        <w:t>Price Perf vs MSCI All Country World Small Cap (rebased as of 1-year ago)</w:t>
      </w:r>
    </w:p>
    <w:p w:rsidR="00BC1D60" w:rsidRPr="000674A7" w:rsidRDefault="00BC1D60" w:rsidP="00BC1D60">
      <w:pPr>
        <w:pStyle w:val="Body"/>
        <w:spacing w:after="0"/>
        <w:rPr>
          <w:noProof/>
          <w:lang w:val="es-ES_tradnl" w:eastAsia="en-GB"/>
        </w:rPr>
      </w:pPr>
      <w:r w:rsidRPr="000674A7">
        <w:rPr>
          <w:noProof/>
        </w:rPr>
        <w:drawing>
          <wp:inline distT="0" distB="0" distL="0" distR="0">
            <wp:extent cx="4352925" cy="1571625"/>
            <wp:effectExtent l="19050" t="0" r="9525" b="0"/>
            <wp:docPr id="1154"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9"/>
                    <a:srcRect t="5714"/>
                    <a:stretch>
                      <a:fillRect/>
                    </a:stretch>
                  </pic:blipFill>
                  <pic:spPr bwMode="auto">
                    <a:xfrm>
                      <a:off x="0" y="0"/>
                      <a:ext cx="4352925" cy="1571625"/>
                    </a:xfrm>
                    <a:prstGeom prst="rect">
                      <a:avLst/>
                    </a:prstGeom>
                    <a:noFill/>
                    <a:ln w="9525">
                      <a:noFill/>
                      <a:miter lim="800000"/>
                      <a:headEnd/>
                      <a:tailEnd/>
                    </a:ln>
                  </pic:spPr>
                </pic:pic>
              </a:graphicData>
            </a:graphic>
          </wp:inline>
        </w:drawing>
      </w:r>
      <w:r w:rsidRPr="000674A7">
        <w:rPr>
          <w:lang w:val="es-ES_tradnl"/>
        </w:rPr>
        <w:t xml:space="preserve"> </w:t>
      </w:r>
    </w:p>
    <w:p w:rsidR="00BC1D60" w:rsidRPr="000674A7" w:rsidRDefault="00BC1D60" w:rsidP="00BC1D60">
      <w:pPr>
        <w:pStyle w:val="ESTableCaption"/>
        <w:keepNext/>
        <w:rPr>
          <w:lang w:val="es-ES_tradnl"/>
        </w:rPr>
      </w:pPr>
      <w:r w:rsidRPr="000674A7">
        <w:rPr>
          <w:lang w:val="es-ES_tradnl"/>
        </w:rPr>
        <w:t>J.P. Morgan Estimates</w:t>
      </w:r>
    </w:p>
    <w:p w:rsidR="00BC1D60" w:rsidRDefault="00BC1D60" w:rsidP="00BC1D60">
      <w:pPr>
        <w:pStyle w:val="ESTableCaption"/>
        <w:keepNext/>
      </w:pPr>
      <w:r>
        <w:rPr>
          <w:sz w:val="16"/>
        </w:rPr>
        <w:t>Prosegur Cie de Seguridad SA (PSG.MC;PSG SM)</w:t>
      </w:r>
    </w:p>
    <w:tbl>
      <w:tblPr>
        <w:tblW w:w="5000" w:type="pct"/>
        <w:tblCellMar>
          <w:left w:w="0" w:type="dxa"/>
          <w:right w:w="43" w:type="dxa"/>
        </w:tblCellMar>
        <w:tblLook w:val="01E0"/>
      </w:tblPr>
      <w:tblGrid>
        <w:gridCol w:w="2013"/>
        <w:gridCol w:w="976"/>
        <w:gridCol w:w="977"/>
        <w:gridCol w:w="977"/>
        <w:gridCol w:w="977"/>
        <w:gridCol w:w="977"/>
      </w:tblGrid>
      <w:tr w:rsidR="00BC1D60" w:rsidTr="00BC5B38">
        <w:trPr>
          <w:cantSplit/>
        </w:trPr>
        <w:tc>
          <w:tcPr>
            <w:tcW w:w="2000" w:type="dxa"/>
            <w:tcBorders>
              <w:top w:val="single" w:sz="4" w:space="0" w:color="auto"/>
            </w:tcBorders>
          </w:tcPr>
          <w:p w:rsidR="00BC1D60" w:rsidRDefault="00BC1D60" w:rsidP="00BC5B38">
            <w:pPr>
              <w:pStyle w:val="ESTableRow"/>
              <w:keepNext/>
            </w:pPr>
            <w:r>
              <w:rPr>
                <w:b/>
              </w:rPr>
              <w:t>FYE Dec</w:t>
            </w:r>
          </w:p>
        </w:tc>
        <w:tc>
          <w:tcPr>
            <w:tcW w:w="970" w:type="dxa"/>
            <w:tcBorders>
              <w:top w:val="single" w:sz="4" w:space="0" w:color="auto"/>
            </w:tcBorders>
          </w:tcPr>
          <w:p w:rsidR="00BC1D60" w:rsidRDefault="00BC1D60" w:rsidP="00BC5B38">
            <w:pPr>
              <w:pStyle w:val="ESTableRow"/>
              <w:keepNext/>
              <w:jc w:val="right"/>
            </w:pPr>
            <w:r>
              <w:rPr>
                <w:b/>
              </w:rPr>
              <w:t>2011A</w:t>
            </w:r>
          </w:p>
        </w:tc>
        <w:tc>
          <w:tcPr>
            <w:tcW w:w="970" w:type="dxa"/>
            <w:tcBorders>
              <w:top w:val="single" w:sz="4" w:space="0" w:color="auto"/>
            </w:tcBorders>
          </w:tcPr>
          <w:p w:rsidR="00BC1D60" w:rsidRDefault="00BC1D60" w:rsidP="00BC5B38">
            <w:pPr>
              <w:pStyle w:val="ESTableRow"/>
              <w:keepNext/>
              <w:jc w:val="right"/>
            </w:pPr>
            <w:r>
              <w:rPr>
                <w:b/>
              </w:rPr>
              <w:t>2012A</w:t>
            </w:r>
          </w:p>
        </w:tc>
        <w:tc>
          <w:tcPr>
            <w:tcW w:w="970" w:type="dxa"/>
            <w:tcBorders>
              <w:top w:val="single" w:sz="4" w:space="0" w:color="auto"/>
            </w:tcBorders>
          </w:tcPr>
          <w:p w:rsidR="00BC1D60" w:rsidRDefault="00BC1D60" w:rsidP="00BC5B38">
            <w:pPr>
              <w:pStyle w:val="ESTableRow"/>
              <w:keepNext/>
              <w:jc w:val="right"/>
            </w:pPr>
            <w:r>
              <w:rPr>
                <w:b/>
              </w:rPr>
              <w:t>2013A</w:t>
            </w:r>
          </w:p>
        </w:tc>
        <w:tc>
          <w:tcPr>
            <w:tcW w:w="970" w:type="dxa"/>
            <w:tcBorders>
              <w:top w:val="single" w:sz="4" w:space="0" w:color="auto"/>
            </w:tcBorders>
          </w:tcPr>
          <w:p w:rsidR="00BC1D60" w:rsidRDefault="00BC1D60" w:rsidP="00BC5B38">
            <w:pPr>
              <w:pStyle w:val="ESTableRow"/>
              <w:keepNext/>
              <w:jc w:val="right"/>
            </w:pPr>
            <w:r>
              <w:rPr>
                <w:b/>
              </w:rPr>
              <w:t>2014E</w:t>
            </w:r>
          </w:p>
        </w:tc>
        <w:tc>
          <w:tcPr>
            <w:tcW w:w="970" w:type="dxa"/>
            <w:tcBorders>
              <w:top w:val="single" w:sz="4" w:space="0" w:color="auto"/>
            </w:tcBorders>
          </w:tcPr>
          <w:p w:rsidR="00BC1D60" w:rsidRDefault="00BC1D60" w:rsidP="00BC5B38">
            <w:pPr>
              <w:pStyle w:val="ESTableRow"/>
              <w:keepNext/>
              <w:jc w:val="right"/>
            </w:pPr>
            <w:r>
              <w:rPr>
                <w:b/>
              </w:rPr>
              <w:t>2015E</w:t>
            </w:r>
          </w:p>
        </w:tc>
      </w:tr>
      <w:tr w:rsidR="00BC1D60" w:rsidTr="00BC5B38">
        <w:trPr>
          <w:cantSplit/>
        </w:trPr>
        <w:tc>
          <w:tcPr>
            <w:tcW w:w="2000" w:type="dxa"/>
            <w:tcBorders>
              <w:top w:val="single" w:sz="4" w:space="0" w:color="auto"/>
            </w:tcBorders>
          </w:tcPr>
          <w:p w:rsidR="00BC1D60" w:rsidRDefault="00BC1D60" w:rsidP="00BC5B38">
            <w:pPr>
              <w:pStyle w:val="ESTableRow"/>
              <w:keepNext/>
            </w:pPr>
            <w:r>
              <w:t>Adj.EPS FY (€)</w:t>
            </w:r>
          </w:p>
        </w:tc>
        <w:tc>
          <w:tcPr>
            <w:tcW w:w="970" w:type="dxa"/>
            <w:tcBorders>
              <w:top w:val="single" w:sz="4" w:space="0" w:color="auto"/>
            </w:tcBorders>
          </w:tcPr>
          <w:p w:rsidR="00BC1D60" w:rsidRDefault="00BC1D60" w:rsidP="00BC5B38">
            <w:pPr>
              <w:pStyle w:val="ESTableRow"/>
              <w:keepNext/>
              <w:jc w:val="right"/>
            </w:pPr>
            <w:r>
              <w:t>0.29</w:t>
            </w:r>
          </w:p>
        </w:tc>
        <w:tc>
          <w:tcPr>
            <w:tcW w:w="970" w:type="dxa"/>
            <w:tcBorders>
              <w:top w:val="single" w:sz="4" w:space="0" w:color="auto"/>
            </w:tcBorders>
          </w:tcPr>
          <w:p w:rsidR="00BC1D60" w:rsidRDefault="00BC1D60" w:rsidP="00BC5B38">
            <w:pPr>
              <w:pStyle w:val="ESTableRow"/>
              <w:keepNext/>
              <w:jc w:val="right"/>
            </w:pPr>
            <w:r>
              <w:t>0.30</w:t>
            </w:r>
          </w:p>
        </w:tc>
        <w:tc>
          <w:tcPr>
            <w:tcW w:w="970" w:type="dxa"/>
            <w:tcBorders>
              <w:top w:val="single" w:sz="4" w:space="0" w:color="auto"/>
            </w:tcBorders>
          </w:tcPr>
          <w:p w:rsidR="00BC1D60" w:rsidRDefault="00BC1D60" w:rsidP="00BC5B38">
            <w:pPr>
              <w:pStyle w:val="ESTableRow"/>
              <w:keepNext/>
              <w:jc w:val="right"/>
            </w:pPr>
            <w:r>
              <w:t>0.27</w:t>
            </w:r>
          </w:p>
        </w:tc>
        <w:tc>
          <w:tcPr>
            <w:tcW w:w="970" w:type="dxa"/>
            <w:tcBorders>
              <w:top w:val="single" w:sz="4" w:space="0" w:color="auto"/>
            </w:tcBorders>
          </w:tcPr>
          <w:p w:rsidR="00BC1D60" w:rsidRDefault="00BC1D60" w:rsidP="00BC5B38">
            <w:pPr>
              <w:pStyle w:val="ESTableRow"/>
              <w:keepNext/>
              <w:jc w:val="right"/>
            </w:pPr>
            <w:r>
              <w:t>0.31</w:t>
            </w:r>
          </w:p>
        </w:tc>
        <w:tc>
          <w:tcPr>
            <w:tcW w:w="970" w:type="dxa"/>
            <w:tcBorders>
              <w:top w:val="single" w:sz="4" w:space="0" w:color="auto"/>
            </w:tcBorders>
          </w:tcPr>
          <w:p w:rsidR="00BC1D60" w:rsidRDefault="00BC1D60" w:rsidP="00BC5B38">
            <w:pPr>
              <w:pStyle w:val="ESTableRow"/>
              <w:keepNext/>
              <w:jc w:val="right"/>
            </w:pPr>
            <w:r>
              <w:t>0.36</w:t>
            </w:r>
          </w:p>
        </w:tc>
      </w:tr>
      <w:tr w:rsidR="00BC1D60" w:rsidTr="00BC5B38">
        <w:trPr>
          <w:cantSplit/>
        </w:trPr>
        <w:tc>
          <w:tcPr>
            <w:tcW w:w="2000" w:type="dxa"/>
          </w:tcPr>
          <w:p w:rsidR="00BC1D60" w:rsidRDefault="00BC1D60" w:rsidP="00BC5B38">
            <w:pPr>
              <w:pStyle w:val="ESTableRow"/>
              <w:keepNext/>
            </w:pPr>
            <w:r>
              <w:t>Revenue FY (€ mn)</w:t>
            </w:r>
          </w:p>
        </w:tc>
        <w:tc>
          <w:tcPr>
            <w:tcW w:w="970" w:type="dxa"/>
          </w:tcPr>
          <w:p w:rsidR="00BC1D60" w:rsidRDefault="00BC1D60" w:rsidP="00BC5B38">
            <w:pPr>
              <w:pStyle w:val="ESTableRow"/>
              <w:keepNext/>
              <w:jc w:val="right"/>
            </w:pPr>
            <w:r>
              <w:t>2,809</w:t>
            </w:r>
          </w:p>
        </w:tc>
        <w:tc>
          <w:tcPr>
            <w:tcW w:w="970" w:type="dxa"/>
          </w:tcPr>
          <w:p w:rsidR="00BC1D60" w:rsidRDefault="00BC1D60" w:rsidP="00BC5B38">
            <w:pPr>
              <w:pStyle w:val="ESTableRow"/>
              <w:keepNext/>
              <w:jc w:val="right"/>
            </w:pPr>
            <w:r>
              <w:t>3,670</w:t>
            </w:r>
          </w:p>
        </w:tc>
        <w:tc>
          <w:tcPr>
            <w:tcW w:w="970" w:type="dxa"/>
          </w:tcPr>
          <w:p w:rsidR="00BC1D60" w:rsidRDefault="00BC1D60" w:rsidP="00BC5B38">
            <w:pPr>
              <w:pStyle w:val="ESTableRow"/>
              <w:keepNext/>
              <w:jc w:val="right"/>
            </w:pPr>
            <w:r>
              <w:t>3,696</w:t>
            </w:r>
          </w:p>
        </w:tc>
        <w:tc>
          <w:tcPr>
            <w:tcW w:w="970" w:type="dxa"/>
          </w:tcPr>
          <w:p w:rsidR="00BC1D60" w:rsidRDefault="00BC1D60" w:rsidP="00BC5B38">
            <w:pPr>
              <w:pStyle w:val="ESTableRow"/>
              <w:keepNext/>
              <w:jc w:val="right"/>
            </w:pPr>
            <w:r>
              <w:t>3,772</w:t>
            </w:r>
          </w:p>
        </w:tc>
        <w:tc>
          <w:tcPr>
            <w:tcW w:w="970" w:type="dxa"/>
          </w:tcPr>
          <w:p w:rsidR="00BC1D60" w:rsidRDefault="00BC1D60" w:rsidP="00BC5B38">
            <w:pPr>
              <w:pStyle w:val="ESTableRow"/>
              <w:keepNext/>
              <w:jc w:val="right"/>
            </w:pPr>
            <w:r>
              <w:t>4,050</w:t>
            </w:r>
          </w:p>
        </w:tc>
      </w:tr>
      <w:tr w:rsidR="00BC1D60" w:rsidTr="00BC5B38">
        <w:trPr>
          <w:cantSplit/>
        </w:trPr>
        <w:tc>
          <w:tcPr>
            <w:tcW w:w="2000" w:type="dxa"/>
          </w:tcPr>
          <w:p w:rsidR="00BC1D60" w:rsidRDefault="00BC1D60" w:rsidP="00BC5B38">
            <w:pPr>
              <w:pStyle w:val="ESTableRow"/>
              <w:keepNext/>
            </w:pPr>
            <w:r>
              <w:t>EBITDA Adj. FY (€ mn)</w:t>
            </w:r>
          </w:p>
        </w:tc>
        <w:tc>
          <w:tcPr>
            <w:tcW w:w="970" w:type="dxa"/>
          </w:tcPr>
          <w:p w:rsidR="00BC1D60" w:rsidRDefault="00BC1D60" w:rsidP="00BC5B38">
            <w:pPr>
              <w:pStyle w:val="ESTableRow"/>
              <w:keepNext/>
              <w:jc w:val="right"/>
            </w:pPr>
            <w:r>
              <w:t>364</w:t>
            </w:r>
          </w:p>
        </w:tc>
        <w:tc>
          <w:tcPr>
            <w:tcW w:w="970" w:type="dxa"/>
          </w:tcPr>
          <w:p w:rsidR="00BC1D60" w:rsidRDefault="00BC1D60" w:rsidP="00BC5B38">
            <w:pPr>
              <w:pStyle w:val="ESTableRow"/>
              <w:keepNext/>
              <w:jc w:val="right"/>
            </w:pPr>
            <w:r>
              <w:t>428</w:t>
            </w:r>
          </w:p>
        </w:tc>
        <w:tc>
          <w:tcPr>
            <w:tcW w:w="970" w:type="dxa"/>
          </w:tcPr>
          <w:p w:rsidR="00BC1D60" w:rsidRDefault="00BC1D60" w:rsidP="00BC5B38">
            <w:pPr>
              <w:pStyle w:val="ESTableRow"/>
              <w:keepNext/>
              <w:jc w:val="right"/>
            </w:pPr>
            <w:r>
              <w:t>414</w:t>
            </w:r>
          </w:p>
        </w:tc>
        <w:tc>
          <w:tcPr>
            <w:tcW w:w="970" w:type="dxa"/>
          </w:tcPr>
          <w:p w:rsidR="00BC1D60" w:rsidRDefault="00BC1D60" w:rsidP="00BC5B38">
            <w:pPr>
              <w:pStyle w:val="ESTableRow"/>
              <w:keepNext/>
              <w:jc w:val="right"/>
            </w:pPr>
            <w:r>
              <w:t>453</w:t>
            </w:r>
          </w:p>
        </w:tc>
        <w:tc>
          <w:tcPr>
            <w:tcW w:w="970" w:type="dxa"/>
          </w:tcPr>
          <w:p w:rsidR="00BC1D60" w:rsidRDefault="00BC1D60" w:rsidP="00BC5B38">
            <w:pPr>
              <w:pStyle w:val="ESTableRow"/>
              <w:keepNext/>
              <w:jc w:val="right"/>
            </w:pPr>
            <w:r>
              <w:t>493</w:t>
            </w:r>
          </w:p>
        </w:tc>
      </w:tr>
      <w:tr w:rsidR="00BC1D60" w:rsidTr="00BC5B38">
        <w:trPr>
          <w:cantSplit/>
        </w:trPr>
        <w:tc>
          <w:tcPr>
            <w:tcW w:w="2000" w:type="dxa"/>
          </w:tcPr>
          <w:p w:rsidR="00BC1D60" w:rsidRDefault="00BC1D60" w:rsidP="00BC5B38">
            <w:pPr>
              <w:pStyle w:val="ESTableRow"/>
              <w:keepNext/>
            </w:pPr>
            <w:r>
              <w:t>Operating Profit Adj. FY (€ mn)</w:t>
            </w:r>
          </w:p>
        </w:tc>
        <w:tc>
          <w:tcPr>
            <w:tcW w:w="970" w:type="dxa"/>
          </w:tcPr>
          <w:p w:rsidR="00BC1D60" w:rsidRDefault="00BC1D60" w:rsidP="00BC5B38">
            <w:pPr>
              <w:pStyle w:val="ESTableRow"/>
              <w:keepNext/>
              <w:jc w:val="right"/>
            </w:pPr>
            <w:r>
              <w:t>284</w:t>
            </w:r>
          </w:p>
        </w:tc>
        <w:tc>
          <w:tcPr>
            <w:tcW w:w="970" w:type="dxa"/>
          </w:tcPr>
          <w:p w:rsidR="00BC1D60" w:rsidRDefault="00BC1D60" w:rsidP="00BC5B38">
            <w:pPr>
              <w:pStyle w:val="ESTableRow"/>
              <w:keepNext/>
              <w:jc w:val="right"/>
            </w:pPr>
            <w:r>
              <w:t>312</w:t>
            </w:r>
          </w:p>
        </w:tc>
        <w:tc>
          <w:tcPr>
            <w:tcW w:w="970" w:type="dxa"/>
          </w:tcPr>
          <w:p w:rsidR="00BC1D60" w:rsidRDefault="00BC1D60" w:rsidP="00BC5B38">
            <w:pPr>
              <w:pStyle w:val="ESTableRow"/>
              <w:keepNext/>
              <w:jc w:val="right"/>
            </w:pPr>
            <w:r>
              <w:t>298</w:t>
            </w:r>
          </w:p>
        </w:tc>
        <w:tc>
          <w:tcPr>
            <w:tcW w:w="970" w:type="dxa"/>
          </w:tcPr>
          <w:p w:rsidR="00BC1D60" w:rsidRDefault="00BC1D60" w:rsidP="00BC5B38">
            <w:pPr>
              <w:pStyle w:val="ESTableRow"/>
              <w:keepNext/>
              <w:jc w:val="right"/>
            </w:pPr>
            <w:r>
              <w:t>329</w:t>
            </w:r>
          </w:p>
        </w:tc>
        <w:tc>
          <w:tcPr>
            <w:tcW w:w="970" w:type="dxa"/>
          </w:tcPr>
          <w:p w:rsidR="00BC1D60" w:rsidRDefault="00BC1D60" w:rsidP="00BC5B38">
            <w:pPr>
              <w:pStyle w:val="ESTableRow"/>
              <w:keepNext/>
              <w:jc w:val="right"/>
            </w:pPr>
            <w:r>
              <w:t>365</w:t>
            </w:r>
          </w:p>
        </w:tc>
      </w:tr>
      <w:tr w:rsidR="00BC1D60" w:rsidTr="00BC5B38">
        <w:trPr>
          <w:cantSplit/>
        </w:trPr>
        <w:tc>
          <w:tcPr>
            <w:tcW w:w="2000" w:type="dxa"/>
          </w:tcPr>
          <w:p w:rsidR="00BC1D60" w:rsidRDefault="00BC1D60" w:rsidP="00BC5B38">
            <w:pPr>
              <w:pStyle w:val="ESTableRow"/>
              <w:keepNext/>
            </w:pPr>
            <w:r>
              <w:t>Pretax Profit Adj. FY (€ mn)</w:t>
            </w:r>
          </w:p>
        </w:tc>
        <w:tc>
          <w:tcPr>
            <w:tcW w:w="970" w:type="dxa"/>
          </w:tcPr>
          <w:p w:rsidR="00BC1D60" w:rsidRDefault="00BC1D60" w:rsidP="00BC5B38">
            <w:pPr>
              <w:pStyle w:val="ESTableRow"/>
              <w:keepNext/>
              <w:jc w:val="right"/>
            </w:pPr>
            <w:r>
              <w:t>252</w:t>
            </w:r>
          </w:p>
        </w:tc>
        <w:tc>
          <w:tcPr>
            <w:tcW w:w="970" w:type="dxa"/>
          </w:tcPr>
          <w:p w:rsidR="00BC1D60" w:rsidRDefault="00BC1D60" w:rsidP="00BC5B38">
            <w:pPr>
              <w:pStyle w:val="ESTableRow"/>
              <w:keepNext/>
              <w:jc w:val="right"/>
            </w:pPr>
            <w:r>
              <w:t>251</w:t>
            </w:r>
          </w:p>
        </w:tc>
        <w:tc>
          <w:tcPr>
            <w:tcW w:w="970" w:type="dxa"/>
          </w:tcPr>
          <w:p w:rsidR="00BC1D60" w:rsidRDefault="00BC1D60" w:rsidP="00BC5B38">
            <w:pPr>
              <w:pStyle w:val="ESTableRow"/>
              <w:keepNext/>
              <w:jc w:val="right"/>
            </w:pPr>
            <w:r>
              <w:t>246</w:t>
            </w:r>
          </w:p>
        </w:tc>
        <w:tc>
          <w:tcPr>
            <w:tcW w:w="970" w:type="dxa"/>
          </w:tcPr>
          <w:p w:rsidR="00BC1D60" w:rsidRDefault="00BC1D60" w:rsidP="00BC5B38">
            <w:pPr>
              <w:pStyle w:val="ESTableRow"/>
              <w:keepNext/>
              <w:jc w:val="right"/>
            </w:pPr>
            <w:r>
              <w:t>287</w:t>
            </w:r>
          </w:p>
        </w:tc>
        <w:tc>
          <w:tcPr>
            <w:tcW w:w="970" w:type="dxa"/>
          </w:tcPr>
          <w:p w:rsidR="00BC1D60" w:rsidRDefault="00BC1D60" w:rsidP="00BC5B38">
            <w:pPr>
              <w:pStyle w:val="ESTableRow"/>
              <w:keepNext/>
              <w:jc w:val="right"/>
            </w:pPr>
            <w:r>
              <w:t>328</w:t>
            </w:r>
          </w:p>
        </w:tc>
      </w:tr>
      <w:tr w:rsidR="00BC1D60" w:rsidTr="00BC5B38">
        <w:trPr>
          <w:cantSplit/>
        </w:trPr>
        <w:tc>
          <w:tcPr>
            <w:tcW w:w="2000" w:type="dxa"/>
          </w:tcPr>
          <w:p w:rsidR="00BC1D60" w:rsidRDefault="00BC1D60" w:rsidP="00BC5B38">
            <w:pPr>
              <w:pStyle w:val="ESTableRow"/>
              <w:keepNext/>
            </w:pPr>
            <w:r>
              <w:t xml:space="preserve">P/E Adjusted FY </w:t>
            </w:r>
          </w:p>
        </w:tc>
        <w:tc>
          <w:tcPr>
            <w:tcW w:w="970" w:type="dxa"/>
          </w:tcPr>
          <w:p w:rsidR="00BC1D60" w:rsidRDefault="00BC1D60" w:rsidP="00BC5B38">
            <w:pPr>
              <w:pStyle w:val="ESTableRow"/>
              <w:keepNext/>
              <w:jc w:val="right"/>
            </w:pPr>
            <w:r>
              <w:t>18.0</w:t>
            </w:r>
          </w:p>
        </w:tc>
        <w:tc>
          <w:tcPr>
            <w:tcW w:w="970" w:type="dxa"/>
          </w:tcPr>
          <w:p w:rsidR="00BC1D60" w:rsidRDefault="00BC1D60" w:rsidP="00BC5B38">
            <w:pPr>
              <w:pStyle w:val="ESTableRow"/>
              <w:keepNext/>
              <w:jc w:val="right"/>
            </w:pPr>
            <w:r>
              <w:t>17.5</w:t>
            </w:r>
          </w:p>
        </w:tc>
        <w:tc>
          <w:tcPr>
            <w:tcW w:w="970" w:type="dxa"/>
          </w:tcPr>
          <w:p w:rsidR="00BC1D60" w:rsidRDefault="00BC1D60" w:rsidP="00BC5B38">
            <w:pPr>
              <w:pStyle w:val="ESTableRow"/>
              <w:keepNext/>
              <w:jc w:val="right"/>
            </w:pPr>
            <w:r>
              <w:t>19.2</w:t>
            </w:r>
          </w:p>
        </w:tc>
        <w:tc>
          <w:tcPr>
            <w:tcW w:w="970" w:type="dxa"/>
          </w:tcPr>
          <w:p w:rsidR="00BC1D60" w:rsidRDefault="00BC1D60" w:rsidP="00BC5B38">
            <w:pPr>
              <w:pStyle w:val="ESTableRow"/>
              <w:keepNext/>
              <w:jc w:val="right"/>
            </w:pPr>
            <w:r>
              <w:t>16.7</w:t>
            </w:r>
          </w:p>
        </w:tc>
        <w:tc>
          <w:tcPr>
            <w:tcW w:w="970" w:type="dxa"/>
          </w:tcPr>
          <w:p w:rsidR="00BC1D60" w:rsidRDefault="00BC1D60" w:rsidP="00BC5B38">
            <w:pPr>
              <w:pStyle w:val="ESTableRow"/>
              <w:keepNext/>
              <w:jc w:val="right"/>
            </w:pPr>
            <w:r>
              <w:t>14.6</w:t>
            </w:r>
          </w:p>
        </w:tc>
      </w:tr>
      <w:tr w:rsidR="00BC1D60" w:rsidTr="00BC5B38">
        <w:trPr>
          <w:cantSplit/>
        </w:trPr>
        <w:tc>
          <w:tcPr>
            <w:tcW w:w="2000" w:type="dxa"/>
          </w:tcPr>
          <w:p w:rsidR="00BC1D60" w:rsidRDefault="00BC1D60" w:rsidP="00BC5B38">
            <w:pPr>
              <w:pStyle w:val="ESTableRow"/>
              <w:keepNext/>
            </w:pPr>
            <w:r>
              <w:t>DPS (Net) FY (€)</w:t>
            </w:r>
          </w:p>
        </w:tc>
        <w:tc>
          <w:tcPr>
            <w:tcW w:w="970" w:type="dxa"/>
          </w:tcPr>
          <w:p w:rsidR="00BC1D60" w:rsidRDefault="00BC1D60" w:rsidP="00BC5B38">
            <w:pPr>
              <w:pStyle w:val="ESTableRow"/>
              <w:keepNext/>
              <w:jc w:val="right"/>
            </w:pPr>
            <w:r>
              <w:t>0.11</w:t>
            </w:r>
          </w:p>
        </w:tc>
        <w:tc>
          <w:tcPr>
            <w:tcW w:w="970" w:type="dxa"/>
          </w:tcPr>
          <w:p w:rsidR="00BC1D60" w:rsidRDefault="00BC1D60" w:rsidP="00BC5B38">
            <w:pPr>
              <w:pStyle w:val="ESTableRow"/>
              <w:keepNext/>
              <w:jc w:val="right"/>
            </w:pPr>
            <w:r>
              <w:t>0.12</w:t>
            </w:r>
          </w:p>
        </w:tc>
        <w:tc>
          <w:tcPr>
            <w:tcW w:w="970" w:type="dxa"/>
          </w:tcPr>
          <w:p w:rsidR="00BC1D60" w:rsidRDefault="00BC1D60" w:rsidP="00BC5B38">
            <w:pPr>
              <w:pStyle w:val="ESTableRow"/>
              <w:keepNext/>
              <w:jc w:val="right"/>
            </w:pPr>
            <w:r>
              <w:t>0.11</w:t>
            </w:r>
          </w:p>
        </w:tc>
        <w:tc>
          <w:tcPr>
            <w:tcW w:w="970" w:type="dxa"/>
          </w:tcPr>
          <w:p w:rsidR="00BC1D60" w:rsidRDefault="00BC1D60" w:rsidP="00BC5B38">
            <w:pPr>
              <w:pStyle w:val="ESTableRow"/>
              <w:keepNext/>
              <w:jc w:val="right"/>
            </w:pPr>
            <w:r>
              <w:t>0.13</w:t>
            </w:r>
          </w:p>
        </w:tc>
        <w:tc>
          <w:tcPr>
            <w:tcW w:w="970" w:type="dxa"/>
          </w:tcPr>
          <w:p w:rsidR="00BC1D60" w:rsidRDefault="00BC1D60" w:rsidP="00BC5B38">
            <w:pPr>
              <w:pStyle w:val="ESTableRow"/>
              <w:keepNext/>
              <w:jc w:val="right"/>
            </w:pPr>
            <w:r>
              <w:t>0.14</w:t>
            </w:r>
          </w:p>
        </w:tc>
      </w:tr>
      <w:tr w:rsidR="00BC1D60" w:rsidTr="00BC5B38">
        <w:trPr>
          <w:cantSplit/>
        </w:trPr>
        <w:tc>
          <w:tcPr>
            <w:tcW w:w="2000" w:type="dxa"/>
            <w:tcBorders>
              <w:bottom w:val="single" w:sz="4" w:space="0" w:color="auto"/>
            </w:tcBorders>
          </w:tcPr>
          <w:p w:rsidR="00BC1D60" w:rsidRDefault="00BC1D60" w:rsidP="00BC5B38">
            <w:pPr>
              <w:pStyle w:val="ESTableRow"/>
              <w:keepNext/>
            </w:pPr>
            <w:r>
              <w:t xml:space="preserve">Dividend Yield FY </w:t>
            </w:r>
          </w:p>
        </w:tc>
        <w:tc>
          <w:tcPr>
            <w:tcW w:w="970" w:type="dxa"/>
            <w:tcBorders>
              <w:bottom w:val="single" w:sz="4" w:space="0" w:color="auto"/>
            </w:tcBorders>
          </w:tcPr>
          <w:p w:rsidR="00BC1D60" w:rsidRDefault="00BC1D60" w:rsidP="00BC5B38">
            <w:pPr>
              <w:pStyle w:val="ESTableRow"/>
              <w:keepNext/>
              <w:jc w:val="right"/>
            </w:pPr>
            <w:r>
              <w:t>2.1%</w:t>
            </w:r>
          </w:p>
        </w:tc>
        <w:tc>
          <w:tcPr>
            <w:tcW w:w="970" w:type="dxa"/>
            <w:tcBorders>
              <w:bottom w:val="single" w:sz="4" w:space="0" w:color="auto"/>
            </w:tcBorders>
          </w:tcPr>
          <w:p w:rsidR="00BC1D60" w:rsidRDefault="00BC1D60" w:rsidP="00BC5B38">
            <w:pPr>
              <w:pStyle w:val="ESTableRow"/>
              <w:keepNext/>
              <w:jc w:val="right"/>
            </w:pPr>
            <w:r>
              <w:t>2.3%</w:t>
            </w:r>
          </w:p>
        </w:tc>
        <w:tc>
          <w:tcPr>
            <w:tcW w:w="970" w:type="dxa"/>
            <w:tcBorders>
              <w:bottom w:val="single" w:sz="4" w:space="0" w:color="auto"/>
            </w:tcBorders>
          </w:tcPr>
          <w:p w:rsidR="00BC1D60" w:rsidRDefault="00BC1D60" w:rsidP="00BC5B38">
            <w:pPr>
              <w:pStyle w:val="ESTableRow"/>
              <w:keepNext/>
              <w:jc w:val="right"/>
            </w:pPr>
            <w:r>
              <w:t>2.1%</w:t>
            </w:r>
          </w:p>
        </w:tc>
        <w:tc>
          <w:tcPr>
            <w:tcW w:w="970" w:type="dxa"/>
            <w:tcBorders>
              <w:bottom w:val="single" w:sz="4" w:space="0" w:color="auto"/>
            </w:tcBorders>
          </w:tcPr>
          <w:p w:rsidR="00BC1D60" w:rsidRDefault="00BC1D60" w:rsidP="00BC5B38">
            <w:pPr>
              <w:pStyle w:val="ESTableRow"/>
              <w:keepNext/>
              <w:jc w:val="right"/>
            </w:pPr>
            <w:r>
              <w:t>2.4%</w:t>
            </w:r>
          </w:p>
        </w:tc>
        <w:tc>
          <w:tcPr>
            <w:tcW w:w="970" w:type="dxa"/>
            <w:tcBorders>
              <w:bottom w:val="single" w:sz="4" w:space="0" w:color="auto"/>
            </w:tcBorders>
          </w:tcPr>
          <w:p w:rsidR="00BC1D60" w:rsidRDefault="00BC1D60" w:rsidP="00BC5B38">
            <w:pPr>
              <w:pStyle w:val="ESTableRow"/>
              <w:keepNext/>
              <w:jc w:val="right"/>
            </w:pPr>
            <w:r>
              <w:t>2.7%</w:t>
            </w:r>
          </w:p>
        </w:tc>
      </w:tr>
    </w:tbl>
    <w:p w:rsidR="00BC1D60" w:rsidRDefault="00BC1D60" w:rsidP="00BC1D60">
      <w:pPr>
        <w:pStyle w:val="Source"/>
      </w:pPr>
      <w:r>
        <w:t>Source: Company data, Bloomberg, J.P. Morgan estimates</w:t>
      </w:r>
    </w:p>
    <w:p w:rsidR="00BC1D60" w:rsidRPr="00053456" w:rsidRDefault="00BC1D60" w:rsidP="00BC1D60">
      <w:pPr>
        <w:pStyle w:val="Body"/>
        <w:rPr>
          <w:highlight w:val="yellow"/>
        </w:rPr>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7D6BCE" w:rsidTr="00BC5B38">
        <w:tc>
          <w:tcPr>
            <w:tcW w:w="10604" w:type="dxa"/>
            <w:gridSpan w:val="3"/>
            <w:shd w:val="clear" w:color="auto" w:fill="auto"/>
          </w:tcPr>
          <w:p w:rsidR="00BC1D60" w:rsidRPr="007D6BCE" w:rsidRDefault="00BC1D60" w:rsidP="00BC5B38">
            <w:pPr>
              <w:pStyle w:val="Heading1-NoTOC"/>
            </w:pPr>
            <w:bookmarkStart w:id="341" w:name="_Toc368054150"/>
            <w:bookmarkStart w:id="342" w:name="_Toc368081375"/>
            <w:bookmarkStart w:id="343" w:name="_Toc376756119"/>
            <w:bookmarkStart w:id="344" w:name="_Toc376801440"/>
            <w:bookmarkStart w:id="345" w:name="_Toc376802102"/>
            <w:bookmarkStart w:id="346" w:name="_Toc384044996"/>
            <w:bookmarkStart w:id="347" w:name="_Toc384136019"/>
            <w:bookmarkStart w:id="348" w:name="_Toc384136986"/>
            <w:bookmarkStart w:id="349" w:name="_Toc392016381"/>
            <w:bookmarkStart w:id="350" w:name="_Toc392099099"/>
            <w:r w:rsidRPr="007D6BCE">
              <w:t>Getting to know our SMid Analysts…</w:t>
            </w:r>
            <w:bookmarkEnd w:id="341"/>
            <w:bookmarkEnd w:id="342"/>
            <w:bookmarkEnd w:id="343"/>
            <w:bookmarkEnd w:id="344"/>
            <w:bookmarkEnd w:id="345"/>
            <w:bookmarkEnd w:id="346"/>
            <w:bookmarkEnd w:id="347"/>
            <w:bookmarkEnd w:id="348"/>
            <w:bookmarkEnd w:id="349"/>
            <w:bookmarkEnd w:id="350"/>
          </w:p>
        </w:tc>
      </w:tr>
      <w:tr w:rsidR="00BC1D60" w:rsidRPr="007D6BCE" w:rsidTr="00BC5B38">
        <w:trPr>
          <w:trHeight w:val="3427"/>
        </w:trPr>
        <w:tc>
          <w:tcPr>
            <w:tcW w:w="2666" w:type="dxa"/>
            <w:shd w:val="clear" w:color="auto" w:fill="auto"/>
          </w:tcPr>
          <w:p w:rsidR="00BC1D60" w:rsidRPr="007D6BCE" w:rsidRDefault="00BC1D60" w:rsidP="00BC5B38">
            <w:pPr>
              <w:pStyle w:val="Body"/>
              <w:keepNext/>
              <w:spacing w:after="120"/>
              <w:outlineLvl w:val="3"/>
            </w:pPr>
            <w:r w:rsidRPr="007D6BCE">
              <w:rPr>
                <w:rFonts w:ascii="Arial" w:hAnsi="Arial" w:cs="Arial"/>
                <w:noProof/>
                <w:color w:val="716F63"/>
                <w:sz w:val="17"/>
                <w:szCs w:val="17"/>
              </w:rPr>
              <w:drawing>
                <wp:inline distT="0" distB="0" distL="0" distR="0">
                  <wp:extent cx="1485900" cy="1762932"/>
                  <wp:effectExtent l="19050" t="0" r="0" b="0"/>
                  <wp:docPr id="1155" name="Picture 92" descr="Robert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Robert Plant"/>
                          <pic:cNvPicPr>
                            <a:picLocks noChangeAspect="1" noChangeArrowheads="1"/>
                          </pic:cNvPicPr>
                        </pic:nvPicPr>
                        <pic:blipFill>
                          <a:blip r:embed="rId150"/>
                          <a:srcRect l="16071" r="31250"/>
                          <a:stretch>
                            <a:fillRect/>
                          </a:stretch>
                        </pic:blipFill>
                        <pic:spPr bwMode="auto">
                          <a:xfrm>
                            <a:off x="0" y="0"/>
                            <a:ext cx="1485900" cy="1762932"/>
                          </a:xfrm>
                          <a:prstGeom prst="rect">
                            <a:avLst/>
                          </a:prstGeom>
                          <a:noFill/>
                          <a:ln w="9525">
                            <a:noFill/>
                            <a:miter lim="800000"/>
                            <a:headEnd/>
                            <a:tailEnd/>
                          </a:ln>
                        </pic:spPr>
                      </pic:pic>
                    </a:graphicData>
                  </a:graphic>
                </wp:inline>
              </w:drawing>
            </w:r>
          </w:p>
          <w:p w:rsidR="00BC1D60" w:rsidRPr="007D6BCE" w:rsidRDefault="00BC1D60" w:rsidP="00BC5B38">
            <w:pPr>
              <w:rPr>
                <w:szCs w:val="22"/>
              </w:rPr>
            </w:pPr>
          </w:p>
          <w:p w:rsidR="00BC1D60" w:rsidRPr="007D6BCE" w:rsidRDefault="00BC1D60" w:rsidP="00BC5B38"/>
          <w:p w:rsidR="00BC1D60" w:rsidRPr="007D6BCE" w:rsidRDefault="00BC1D60" w:rsidP="00BC5B38">
            <w:pPr>
              <w:ind w:firstLine="720"/>
              <w:rPr>
                <w:szCs w:val="22"/>
              </w:rPr>
            </w:pPr>
          </w:p>
        </w:tc>
        <w:tc>
          <w:tcPr>
            <w:tcW w:w="3544" w:type="dxa"/>
            <w:shd w:val="clear" w:color="auto" w:fill="auto"/>
          </w:tcPr>
          <w:p w:rsidR="00BC1D60" w:rsidRPr="007D6BCE" w:rsidRDefault="00BC1D60" w:rsidP="00BC5B38">
            <w:pPr>
              <w:pStyle w:val="Heading2"/>
              <w:outlineLvl w:val="1"/>
            </w:pPr>
            <w:r w:rsidRPr="007D6BCE">
              <w:t>Robert Plant</w:t>
            </w:r>
            <w:r w:rsidRPr="007D6BCE">
              <w:rPr>
                <w:noProof/>
                <w:lang w:val="en-GB" w:eastAsia="en-GB"/>
              </w:rPr>
              <w:t xml:space="preserve"> </w:t>
            </w:r>
          </w:p>
          <w:p w:rsidR="00BC1D60" w:rsidRPr="007D6BCE" w:rsidRDefault="003B051F" w:rsidP="00BC5B38">
            <w:pPr>
              <w:pStyle w:val="Body"/>
              <w:spacing w:after="120"/>
              <w:rPr>
                <w:rStyle w:val="txtblackbld1"/>
                <w:rFonts w:ascii="Arial Narrow" w:hAnsi="Arial Narrow"/>
                <w:b w:val="0"/>
                <w:bCs w:val="0"/>
                <w:szCs w:val="20"/>
              </w:rPr>
            </w:pPr>
            <w:hyperlink r:id="rId151" w:history="1">
              <w:r w:rsidR="00BC1D60" w:rsidRPr="007D6BCE">
                <w:rPr>
                  <w:rStyle w:val="Hyperlink"/>
                  <w:rFonts w:ascii="Arial Narrow" w:hAnsi="Arial Narrow" w:cs="Arial"/>
                  <w:szCs w:val="20"/>
                </w:rPr>
                <w:t>robert.plant@jpmorgan.com</w:t>
              </w:r>
            </w:hyperlink>
          </w:p>
          <w:p w:rsidR="00BC1D60" w:rsidRPr="007D6BCE" w:rsidRDefault="00BC1D60" w:rsidP="00BC5B38">
            <w:pPr>
              <w:pStyle w:val="Body"/>
              <w:spacing w:after="120"/>
              <w:rPr>
                <w:rFonts w:ascii="Arial Narrow" w:hAnsi="Arial Narrow"/>
              </w:rPr>
            </w:pPr>
            <w:r w:rsidRPr="007D6BCE">
              <w:rPr>
                <w:rFonts w:ascii="Arial Narrow" w:hAnsi="Arial Narrow"/>
              </w:rPr>
              <w:t>(44-20) 7134-5922</w:t>
            </w:r>
          </w:p>
          <w:p w:rsidR="00BC1D60" w:rsidRPr="007D6BCE" w:rsidRDefault="00BC1D60" w:rsidP="00BC5B38">
            <w:pPr>
              <w:pStyle w:val="Body"/>
              <w:spacing w:after="120"/>
              <w:rPr>
                <w:rFonts w:ascii="Arial Narrow" w:hAnsi="Arial Narrow"/>
              </w:rPr>
            </w:pPr>
          </w:p>
          <w:p w:rsidR="00BC1D60" w:rsidRPr="007D6BCE" w:rsidRDefault="00BC1D60" w:rsidP="00BC5B38">
            <w:pPr>
              <w:pStyle w:val="Body"/>
              <w:spacing w:after="120"/>
              <w:rPr>
                <w:rFonts w:ascii="Arial Narrow" w:hAnsi="Arial Narrow"/>
              </w:rPr>
            </w:pPr>
            <w:r w:rsidRPr="007D6BCE">
              <w:rPr>
                <w:rFonts w:ascii="Arial Narrow" w:hAnsi="Arial Narrow"/>
                <w:b/>
              </w:rPr>
              <w:t>Region:</w:t>
            </w:r>
            <w:r w:rsidRPr="007D6BCE">
              <w:rPr>
                <w:rFonts w:ascii="Arial Narrow" w:hAnsi="Arial Narrow"/>
              </w:rPr>
              <w:t xml:space="preserve"> W. Europe</w:t>
            </w:r>
          </w:p>
          <w:p w:rsidR="00BC1D60" w:rsidRPr="007D6BCE" w:rsidRDefault="00BC1D60" w:rsidP="00BC5B38">
            <w:pPr>
              <w:pStyle w:val="Body"/>
              <w:spacing w:after="120"/>
              <w:rPr>
                <w:rFonts w:ascii="Arial Narrow" w:hAnsi="Arial Narrow"/>
              </w:rPr>
            </w:pPr>
            <w:r w:rsidRPr="007D6BCE">
              <w:rPr>
                <w:rFonts w:ascii="Arial Narrow" w:hAnsi="Arial Narrow"/>
                <w:b/>
              </w:rPr>
              <w:t>Sector:</w:t>
            </w:r>
            <w:r w:rsidRPr="007D6BCE">
              <w:rPr>
                <w:rFonts w:ascii="Arial Narrow" w:hAnsi="Arial Narrow"/>
              </w:rPr>
              <w:t xml:space="preserve"> Business Services</w:t>
            </w:r>
          </w:p>
          <w:p w:rsidR="00BC1D60" w:rsidRPr="007D6BCE" w:rsidRDefault="00BC1D60" w:rsidP="00BC5B38">
            <w:pPr>
              <w:pStyle w:val="Body"/>
            </w:pPr>
          </w:p>
        </w:tc>
        <w:tc>
          <w:tcPr>
            <w:tcW w:w="4394" w:type="dxa"/>
            <w:shd w:val="clear" w:color="auto" w:fill="auto"/>
          </w:tcPr>
          <w:p w:rsidR="00BC1D60" w:rsidRPr="007D6BCE" w:rsidRDefault="00BC1D60" w:rsidP="00BC5B38">
            <w:pPr>
              <w:pStyle w:val="Body"/>
              <w:jc w:val="right"/>
            </w:pPr>
            <w:r w:rsidRPr="007D6BCE">
              <w:rPr>
                <w:noProof/>
              </w:rPr>
              <w:drawing>
                <wp:inline distT="0" distB="0" distL="0" distR="0">
                  <wp:extent cx="2505456" cy="1856561"/>
                  <wp:effectExtent l="19050" t="0" r="9144" b="0"/>
                  <wp:docPr id="115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2"/>
                          <a:srcRect/>
                          <a:stretch>
                            <a:fillRect/>
                          </a:stretch>
                        </pic:blipFill>
                        <pic:spPr bwMode="auto">
                          <a:xfrm>
                            <a:off x="0" y="0"/>
                            <a:ext cx="2505456" cy="1856561"/>
                          </a:xfrm>
                          <a:prstGeom prst="rect">
                            <a:avLst/>
                          </a:prstGeom>
                          <a:noFill/>
                          <a:ln w="9525">
                            <a:noFill/>
                            <a:miter lim="800000"/>
                            <a:headEnd/>
                            <a:tailEnd/>
                          </a:ln>
                        </pic:spPr>
                      </pic:pic>
                    </a:graphicData>
                  </a:graphic>
                </wp:inline>
              </w:drawing>
            </w:r>
          </w:p>
        </w:tc>
      </w:tr>
    </w:tbl>
    <w:p w:rsidR="00BC1D60" w:rsidRPr="007D6BCE" w:rsidRDefault="00BC1D60" w:rsidP="00BC1D60">
      <w:pPr>
        <w:pStyle w:val="Source"/>
        <w:spacing w:before="0"/>
        <w:ind w:left="-3124" w:hanging="137"/>
      </w:pPr>
      <w:r w:rsidRPr="007D6BCE">
        <w:rPr>
          <w:noProof/>
        </w:rPr>
        <w:drawing>
          <wp:inline distT="0" distB="0" distL="0" distR="0">
            <wp:extent cx="6702552" cy="1681583"/>
            <wp:effectExtent l="19050" t="0" r="3048" b="0"/>
            <wp:docPr id="115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3"/>
                    <a:srcRect/>
                    <a:stretch>
                      <a:fillRect/>
                    </a:stretch>
                  </pic:blipFill>
                  <pic:spPr bwMode="auto">
                    <a:xfrm>
                      <a:off x="0" y="0"/>
                      <a:ext cx="6702552" cy="1681583"/>
                    </a:xfrm>
                    <a:prstGeom prst="rect">
                      <a:avLst/>
                    </a:prstGeom>
                    <a:noFill/>
                    <a:ln w="9525">
                      <a:noFill/>
                      <a:miter lim="800000"/>
                      <a:headEnd/>
                      <a:tailEnd/>
                    </a:ln>
                  </pic:spPr>
                </pic:pic>
              </a:graphicData>
            </a:graphic>
          </wp:inline>
        </w:drawing>
      </w:r>
      <w:r w:rsidRPr="007D6BCE">
        <w:t xml:space="preserve"> Source: Bloomberg, Datastream, Factset, J.P. Morgan</w:t>
      </w:r>
      <w:r w:rsidRPr="007D6BCE">
        <w:br/>
      </w:r>
      <w:r w:rsidRPr="0087013D">
        <w:t>Prices as of 24 June 2014</w:t>
      </w:r>
    </w:p>
    <w:p w:rsidR="00BC1D60" w:rsidRPr="004F1ABB" w:rsidRDefault="00BC1D60" w:rsidP="00BC1D60">
      <w:pPr>
        <w:pStyle w:val="Sidecomments"/>
        <w:framePr w:w="0" w:hRule="auto" w:wrap="around"/>
        <w:rPr>
          <w:highlight w:val="yellow"/>
        </w:rPr>
      </w:pPr>
      <w:r w:rsidRPr="00E8236D">
        <w:rPr>
          <w:noProof/>
        </w:rPr>
        <w:lastRenderedPageBreak/>
        <w:drawing>
          <wp:inline distT="0" distB="0" distL="0" distR="0">
            <wp:extent cx="1737360" cy="7712673"/>
            <wp:effectExtent l="19050" t="0" r="0" b="0"/>
            <wp:docPr id="115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54"/>
                    <a:srcRect/>
                    <a:stretch>
                      <a:fillRect/>
                    </a:stretch>
                  </pic:blipFill>
                  <pic:spPr bwMode="auto">
                    <a:xfrm>
                      <a:off x="0" y="0"/>
                      <a:ext cx="1737360" cy="7712673"/>
                    </a:xfrm>
                    <a:prstGeom prst="rect">
                      <a:avLst/>
                    </a:prstGeom>
                    <a:noFill/>
                    <a:ln w="9525">
                      <a:noFill/>
                      <a:miter lim="800000"/>
                      <a:headEnd/>
                      <a:tailEnd/>
                    </a:ln>
                  </pic:spPr>
                </pic:pic>
              </a:graphicData>
            </a:graphic>
          </wp:inline>
        </w:drawing>
      </w:r>
    </w:p>
    <w:p w:rsidR="00BC1D60" w:rsidRPr="004818C2" w:rsidRDefault="00BC1D60" w:rsidP="00BC1D60">
      <w:pPr>
        <w:pStyle w:val="Heading1"/>
        <w:spacing w:before="0" w:after="120"/>
        <w:rPr>
          <w:lang w:val="en-GB"/>
        </w:rPr>
      </w:pPr>
      <w:bookmarkStart w:id="351" w:name="_Ref376780024"/>
      <w:bookmarkStart w:id="352" w:name="_Toc376802103"/>
      <w:bookmarkStart w:id="353" w:name="_Toc384136020"/>
      <w:bookmarkStart w:id="354" w:name="_Toc392099100"/>
      <w:bookmarkStart w:id="355" w:name="_Toc392081827"/>
      <w:bookmarkStart w:id="356" w:name="_Toc392081890"/>
      <w:r w:rsidRPr="004818C2">
        <w:rPr>
          <w:lang w:val="en-GB"/>
        </w:rPr>
        <w:t>Quintain (QED LN / OW / GBp 88.25)</w:t>
      </w:r>
      <w:bookmarkEnd w:id="351"/>
      <w:bookmarkEnd w:id="352"/>
      <w:bookmarkEnd w:id="353"/>
      <w:bookmarkEnd w:id="354"/>
      <w:bookmarkEnd w:id="355"/>
      <w:bookmarkEnd w:id="356"/>
    </w:p>
    <w:p w:rsidR="00BC1D60" w:rsidRPr="004818C2" w:rsidRDefault="00BC1D60" w:rsidP="00BC1D60">
      <w:pPr>
        <w:pStyle w:val="Heading2"/>
        <w:spacing w:after="120"/>
        <w:rPr>
          <w:i/>
        </w:rPr>
      </w:pPr>
      <w:r w:rsidRPr="004818C2">
        <w:rPr>
          <w:i/>
        </w:rPr>
        <w:t>Last chance to get your ticket to Wembley</w:t>
      </w:r>
    </w:p>
    <w:p w:rsidR="00BC1D60" w:rsidRPr="004818C2" w:rsidRDefault="00BC1D60" w:rsidP="00BC1D60">
      <w:pPr>
        <w:pStyle w:val="Heading3"/>
        <w:spacing w:line="220" w:lineRule="exact"/>
      </w:pPr>
      <w:r w:rsidRPr="004818C2">
        <w:t>Investment Highlights:</w:t>
      </w:r>
    </w:p>
    <w:p w:rsidR="00BC1D60" w:rsidRPr="006E0904" w:rsidRDefault="00BC1D60" w:rsidP="00BC1D60">
      <w:pPr>
        <w:pStyle w:val="Bullet"/>
        <w:spacing w:line="220" w:lineRule="exact"/>
        <w:rPr>
          <w:lang w:val="en-GB" w:eastAsia="ja-JP"/>
        </w:rPr>
      </w:pPr>
      <w:r w:rsidRPr="004818C2">
        <w:rPr>
          <w:b/>
          <w:lang w:val="en-GB" w:eastAsia="ja-JP"/>
        </w:rPr>
        <w:t>Quintain offers one of the largest discounts to NAV in the sector:</w:t>
      </w:r>
      <w:r w:rsidRPr="004818C2">
        <w:rPr>
          <w:lang w:val="en-GB" w:eastAsia="ja-JP"/>
        </w:rPr>
        <w:t xml:space="preserve"> Our estimate of £1.39 in NAV for 2015 </w:t>
      </w:r>
      <w:r w:rsidRPr="006E0904">
        <w:rPr>
          <w:lang w:val="en-GB" w:eastAsia="ja-JP"/>
        </w:rPr>
        <w:t xml:space="preserve">implies </w:t>
      </w:r>
      <w:r w:rsidRPr="007A4ECF">
        <w:rPr>
          <w:lang w:val="en-GB" w:eastAsia="ja-JP"/>
        </w:rPr>
        <w:t>58% upside</w:t>
      </w:r>
      <w:r w:rsidRPr="006E0904">
        <w:rPr>
          <w:lang w:val="en-GB" w:eastAsia="ja-JP"/>
        </w:rPr>
        <w:t>. The Keystone JV for Wembley PRS development highlights</w:t>
      </w:r>
      <w:r>
        <w:rPr>
          <w:lang w:val="en-GB" w:eastAsia="ja-JP"/>
        </w:rPr>
        <w:t xml:space="preserve"> the value case, with £9.1m / acre paid for residential development land vs BV of £6.5m/acre (47.8 acres, 70% residential).</w:t>
      </w:r>
    </w:p>
    <w:p w:rsidR="00BC1D60" w:rsidRPr="006E0904" w:rsidRDefault="00BC1D60" w:rsidP="00BC1D60">
      <w:pPr>
        <w:pStyle w:val="Bullet"/>
        <w:spacing w:line="220" w:lineRule="exact"/>
        <w:rPr>
          <w:lang w:val="en-GB" w:eastAsia="ja-JP"/>
        </w:rPr>
      </w:pPr>
      <w:r>
        <w:rPr>
          <w:b/>
          <w:lang w:val="en-GB" w:eastAsia="ja-JP"/>
        </w:rPr>
        <w:t>A solid Balance Sheet:</w:t>
      </w:r>
      <w:r>
        <w:rPr>
          <w:lang w:val="en-GB" w:eastAsia="ja-JP"/>
        </w:rPr>
        <w:t xml:space="preserve"> The sale of Greenwich also meant that LTV for Quintain dropped from 45% to 25%. With the company guiding to a sustainable debt level of 30%, its new LTV ratio means Quintain has £100m of firepower with which to bring additional value to shareholders</w:t>
      </w:r>
    </w:p>
    <w:p w:rsidR="00BC1D60" w:rsidRPr="004818C2" w:rsidRDefault="00BC1D60" w:rsidP="00BC1D60">
      <w:pPr>
        <w:pStyle w:val="Bullet"/>
        <w:spacing w:line="220" w:lineRule="exact"/>
        <w:rPr>
          <w:lang w:val="en-GB" w:eastAsia="ja-JP"/>
        </w:rPr>
      </w:pPr>
      <w:r>
        <w:rPr>
          <w:b/>
          <w:lang w:val="en-GB" w:eastAsia="ja-JP"/>
        </w:rPr>
        <w:t>With a blue sky PT of £1.50 (</w:t>
      </w:r>
      <w:r w:rsidRPr="007A4ECF">
        <w:rPr>
          <w:b/>
          <w:lang w:val="en-GB" w:eastAsia="ja-JP"/>
        </w:rPr>
        <w:t>70% implied upside</w:t>
      </w:r>
      <w:r w:rsidRPr="006E0904">
        <w:rPr>
          <w:b/>
          <w:lang w:val="en-GB" w:eastAsia="ja-JP"/>
        </w:rPr>
        <w:t>)</w:t>
      </w:r>
      <w:r w:rsidRPr="006E0904">
        <w:rPr>
          <w:lang w:val="en-GB" w:eastAsia="ja-JP"/>
        </w:rPr>
        <w:t>.</w:t>
      </w:r>
      <w:r>
        <w:rPr>
          <w:lang w:val="en-GB" w:eastAsia="ja-JP"/>
        </w:rPr>
        <w:t xml:space="preserve"> </w:t>
      </w:r>
      <w:r w:rsidRPr="004818C2">
        <w:rPr>
          <w:lang w:val="en-GB" w:eastAsia="ja-JP"/>
        </w:rPr>
        <w:t xml:space="preserve">The £1.50 bull case is based on a £600 psf average selling price (in other words, £420K for a 700 sq ft two-bedroom unit, which is still within the Help to Buy scheme). The first stage of sales at Wembley have already achieved an avg selling price of £570 psf. </w:t>
      </w:r>
    </w:p>
    <w:p w:rsidR="00BC1D60" w:rsidRPr="004818C2" w:rsidRDefault="00BC1D60" w:rsidP="00BC1D60">
      <w:pPr>
        <w:pStyle w:val="Bullet"/>
        <w:spacing w:line="220" w:lineRule="exact"/>
        <w:rPr>
          <w:lang w:val="en-GB" w:eastAsia="ja-JP"/>
        </w:rPr>
      </w:pPr>
      <w:r w:rsidRPr="004818C2">
        <w:rPr>
          <w:b/>
          <w:lang w:val="en-GB" w:eastAsia="ja-JP"/>
        </w:rPr>
        <w:t xml:space="preserve">Additional opportunity for private rented sector (PRS) development </w:t>
      </w:r>
      <w:r w:rsidRPr="004818C2">
        <w:rPr>
          <w:lang w:val="en-GB" w:eastAsia="ja-JP"/>
        </w:rPr>
        <w:t xml:space="preserve">that could be worth 5p p/s by 2014 (not currently in our figures). </w:t>
      </w:r>
    </w:p>
    <w:p w:rsidR="00BC1D60" w:rsidRPr="004818C2" w:rsidRDefault="00BC1D60" w:rsidP="00BC1D60">
      <w:pPr>
        <w:pStyle w:val="Body"/>
        <w:spacing w:after="120" w:line="220" w:lineRule="exact"/>
        <w:rPr>
          <w:b/>
        </w:rPr>
      </w:pPr>
      <w:r w:rsidRPr="004818C2">
        <w:rPr>
          <w:b/>
        </w:rPr>
        <w:t xml:space="preserve">Valuation / Risks to our View: </w:t>
      </w:r>
      <w:r w:rsidRPr="004818C2">
        <w:rPr>
          <w:lang w:val="en-GB"/>
        </w:rPr>
        <w:t>Our 130p Jan-15 PT is based upon our total returns-based European Valuation Model, which takes into account whether a company creates or destroys value. For Quintain, we calculate a value creation spread of -1% between our forecast total return and our WACC estimate, which we apply to the invested capital, discount back, and add/subtract to our NNAV forecast to derive our price target. Downside risks include worse than expected capital growth for commercial &amp; residential property, worse than expected movement in the land prices, lower than expected house price inflation and/or slower than forecast sales of residential units</w:t>
      </w:r>
      <w:r w:rsidRPr="004818C2">
        <w:t>.</w:t>
      </w:r>
    </w:p>
    <w:p w:rsidR="00BC1D60" w:rsidRPr="004818C2" w:rsidRDefault="00BC1D60" w:rsidP="00BC1D60">
      <w:pPr>
        <w:pStyle w:val="Body"/>
        <w:spacing w:after="120" w:line="220" w:lineRule="exact"/>
        <w:rPr>
          <w:lang w:val="en-GB"/>
        </w:rPr>
      </w:pPr>
      <w:r w:rsidRPr="004818C2">
        <w:rPr>
          <w:b/>
        </w:rPr>
        <w:t>Quintain in a Nutshell:</w:t>
      </w:r>
      <w:r>
        <w:t xml:space="preserve"> </w:t>
      </w:r>
      <w:r w:rsidRPr="004818C2">
        <w:t>Quintain is a London-focused developer and property fund manager.</w:t>
      </w:r>
      <w:r>
        <w:t xml:space="preserve"> </w:t>
      </w:r>
      <w:r w:rsidRPr="004818C2">
        <w:t>The portfolio is dominated by its large urban regeneration project at Wembley, which is expected to deliver c. 3,900 homes and 2.7 m sq feet.</w:t>
      </w:r>
      <w:r>
        <w:t xml:space="preserve"> </w:t>
      </w:r>
      <w:r w:rsidRPr="004818C2">
        <w:t>While this development value is realised, operating expenses are being paid for with income from the fund management business (now ~34% of company revs)</w:t>
      </w:r>
      <w:r w:rsidRPr="004818C2">
        <w:rPr>
          <w:lang w:val="en-GB"/>
        </w:rPr>
        <w:t>.</w:t>
      </w:r>
    </w:p>
    <w:p w:rsidR="00BC1D60" w:rsidRPr="004818C2" w:rsidRDefault="00BC1D60" w:rsidP="00BC1D60">
      <w:pPr>
        <w:pStyle w:val="Heading3"/>
        <w:spacing w:after="60"/>
      </w:pPr>
      <w:r w:rsidRPr="004818C2">
        <w:t>Price Perf vs MSCI All Country World Small Cap (rebased as of 1-year ago)</w:t>
      </w:r>
    </w:p>
    <w:p w:rsidR="00BC1D60" w:rsidRPr="004F1ABB" w:rsidRDefault="00BC1D60" w:rsidP="00BC1D60">
      <w:pPr>
        <w:pStyle w:val="Body"/>
        <w:spacing w:after="0"/>
        <w:rPr>
          <w:noProof/>
          <w:highlight w:val="yellow"/>
          <w:lang w:val="en-GB" w:eastAsia="en-GB"/>
        </w:rPr>
      </w:pPr>
      <w:r w:rsidRPr="00E8236D">
        <w:rPr>
          <w:noProof/>
        </w:rPr>
        <w:drawing>
          <wp:inline distT="0" distB="0" distL="0" distR="0">
            <wp:extent cx="4352290" cy="1664621"/>
            <wp:effectExtent l="19050" t="0" r="0" b="0"/>
            <wp:docPr id="115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55"/>
                    <a:srcRect/>
                    <a:stretch>
                      <a:fillRect/>
                    </a:stretch>
                  </pic:blipFill>
                  <pic:spPr bwMode="auto">
                    <a:xfrm>
                      <a:off x="0" y="0"/>
                      <a:ext cx="4352290" cy="1664621"/>
                    </a:xfrm>
                    <a:prstGeom prst="rect">
                      <a:avLst/>
                    </a:prstGeom>
                    <a:noFill/>
                    <a:ln w="9525">
                      <a:noFill/>
                      <a:miter lim="800000"/>
                      <a:headEnd/>
                      <a:tailEnd/>
                    </a:ln>
                  </pic:spPr>
                </pic:pic>
              </a:graphicData>
            </a:graphic>
          </wp:inline>
        </w:drawing>
      </w:r>
    </w:p>
    <w:p w:rsidR="00BC1D60" w:rsidRDefault="00BC1D60" w:rsidP="00BC1D60">
      <w:pPr>
        <w:pStyle w:val="ESTableCaption"/>
        <w:keepNext/>
      </w:pPr>
      <w:r w:rsidRPr="00A86DAA">
        <w:t xml:space="preserve">J.P. Morgan Estimates </w:t>
      </w:r>
      <w:r w:rsidRPr="004818C2">
        <w:rPr>
          <w:highlight w:val="red"/>
        </w:rPr>
        <w:br/>
      </w:r>
      <w:r>
        <w:rPr>
          <w:sz w:val="16"/>
        </w:rPr>
        <w:t>Quintain Estates &amp; Development plc (QED.L;QED LN)</w:t>
      </w:r>
    </w:p>
    <w:tbl>
      <w:tblPr>
        <w:tblW w:w="5000" w:type="pct"/>
        <w:tblCellMar>
          <w:left w:w="0" w:type="dxa"/>
          <w:right w:w="43" w:type="dxa"/>
        </w:tblCellMar>
        <w:tblLook w:val="01E0"/>
      </w:tblPr>
      <w:tblGrid>
        <w:gridCol w:w="2013"/>
        <w:gridCol w:w="976"/>
        <w:gridCol w:w="977"/>
        <w:gridCol w:w="977"/>
        <w:gridCol w:w="977"/>
        <w:gridCol w:w="977"/>
      </w:tblGrid>
      <w:tr w:rsidR="00BC1D60" w:rsidTr="00BC5B38">
        <w:trPr>
          <w:cantSplit/>
        </w:trPr>
        <w:tc>
          <w:tcPr>
            <w:tcW w:w="2000" w:type="dxa"/>
            <w:tcBorders>
              <w:top w:val="single" w:sz="4" w:space="0" w:color="auto"/>
            </w:tcBorders>
          </w:tcPr>
          <w:p w:rsidR="00BC1D60" w:rsidRDefault="00BC1D60" w:rsidP="00BC5B38">
            <w:pPr>
              <w:pStyle w:val="ESTableRow"/>
              <w:keepNext/>
            </w:pPr>
            <w:r>
              <w:rPr>
                <w:b/>
              </w:rPr>
              <w:t>FYE Mar</w:t>
            </w:r>
          </w:p>
        </w:tc>
        <w:tc>
          <w:tcPr>
            <w:tcW w:w="970" w:type="dxa"/>
            <w:tcBorders>
              <w:top w:val="single" w:sz="4" w:space="0" w:color="auto"/>
            </w:tcBorders>
          </w:tcPr>
          <w:p w:rsidR="00BC1D60" w:rsidRDefault="00BC1D60" w:rsidP="00BC5B38">
            <w:pPr>
              <w:pStyle w:val="ESTableRow"/>
              <w:keepNext/>
              <w:jc w:val="right"/>
            </w:pPr>
            <w:r>
              <w:rPr>
                <w:b/>
              </w:rPr>
              <w:t>2013A</w:t>
            </w:r>
          </w:p>
        </w:tc>
        <w:tc>
          <w:tcPr>
            <w:tcW w:w="970" w:type="dxa"/>
            <w:tcBorders>
              <w:top w:val="single" w:sz="4" w:space="0" w:color="auto"/>
            </w:tcBorders>
          </w:tcPr>
          <w:p w:rsidR="00BC1D60" w:rsidRDefault="00BC1D60" w:rsidP="00BC5B38">
            <w:pPr>
              <w:pStyle w:val="ESTableRow"/>
              <w:keepNext/>
              <w:jc w:val="right"/>
            </w:pPr>
            <w:r>
              <w:rPr>
                <w:b/>
              </w:rPr>
              <w:t>2014E</w:t>
            </w:r>
          </w:p>
        </w:tc>
        <w:tc>
          <w:tcPr>
            <w:tcW w:w="970" w:type="dxa"/>
            <w:tcBorders>
              <w:top w:val="single" w:sz="4" w:space="0" w:color="auto"/>
            </w:tcBorders>
          </w:tcPr>
          <w:p w:rsidR="00BC1D60" w:rsidRDefault="00BC1D60" w:rsidP="00BC5B38">
            <w:pPr>
              <w:pStyle w:val="ESTableRow"/>
              <w:keepNext/>
              <w:jc w:val="right"/>
            </w:pPr>
            <w:r>
              <w:rPr>
                <w:b/>
              </w:rPr>
              <w:t>2015E</w:t>
            </w:r>
          </w:p>
        </w:tc>
        <w:tc>
          <w:tcPr>
            <w:tcW w:w="970" w:type="dxa"/>
            <w:tcBorders>
              <w:top w:val="single" w:sz="4" w:space="0" w:color="auto"/>
            </w:tcBorders>
          </w:tcPr>
          <w:p w:rsidR="00BC1D60" w:rsidRDefault="00BC1D60" w:rsidP="00BC5B38">
            <w:pPr>
              <w:pStyle w:val="ESTableRow"/>
              <w:keepNext/>
              <w:jc w:val="right"/>
            </w:pPr>
            <w:r>
              <w:rPr>
                <w:b/>
              </w:rPr>
              <w:t>2016E</w:t>
            </w:r>
          </w:p>
        </w:tc>
        <w:tc>
          <w:tcPr>
            <w:tcW w:w="970" w:type="dxa"/>
            <w:tcBorders>
              <w:top w:val="single" w:sz="4" w:space="0" w:color="auto"/>
            </w:tcBorders>
          </w:tcPr>
          <w:p w:rsidR="00BC1D60" w:rsidRDefault="00BC1D60" w:rsidP="00BC5B38">
            <w:pPr>
              <w:pStyle w:val="ESTableRow"/>
              <w:keepNext/>
              <w:jc w:val="right"/>
            </w:pPr>
            <w:r>
              <w:rPr>
                <w:b/>
              </w:rPr>
              <w:t>2017E</w:t>
            </w:r>
          </w:p>
        </w:tc>
      </w:tr>
      <w:tr w:rsidR="00BC1D60" w:rsidTr="00BC5B38">
        <w:trPr>
          <w:cantSplit/>
        </w:trPr>
        <w:tc>
          <w:tcPr>
            <w:tcW w:w="2000" w:type="dxa"/>
            <w:tcBorders>
              <w:top w:val="single" w:sz="4" w:space="0" w:color="auto"/>
            </w:tcBorders>
          </w:tcPr>
          <w:p w:rsidR="00BC1D60" w:rsidRDefault="00BC1D60" w:rsidP="00BC5B38">
            <w:pPr>
              <w:pStyle w:val="ESTableRow"/>
              <w:keepNext/>
            </w:pPr>
            <w:r>
              <w:t>Adj. EPS FY (p)</w:t>
            </w:r>
          </w:p>
        </w:tc>
        <w:tc>
          <w:tcPr>
            <w:tcW w:w="970" w:type="dxa"/>
            <w:tcBorders>
              <w:top w:val="single" w:sz="4" w:space="0" w:color="auto"/>
            </w:tcBorders>
          </w:tcPr>
          <w:p w:rsidR="00BC1D60" w:rsidRDefault="00BC1D60" w:rsidP="00BC5B38">
            <w:pPr>
              <w:pStyle w:val="ESTableRow"/>
              <w:keepNext/>
              <w:jc w:val="right"/>
            </w:pPr>
            <w:r>
              <w:t>2.18</w:t>
            </w:r>
          </w:p>
        </w:tc>
        <w:tc>
          <w:tcPr>
            <w:tcW w:w="970" w:type="dxa"/>
            <w:tcBorders>
              <w:top w:val="single" w:sz="4" w:space="0" w:color="auto"/>
            </w:tcBorders>
          </w:tcPr>
          <w:p w:rsidR="00BC1D60" w:rsidRDefault="00BC1D60" w:rsidP="00BC5B38">
            <w:pPr>
              <w:pStyle w:val="ESTableRow"/>
              <w:keepNext/>
              <w:jc w:val="right"/>
            </w:pPr>
            <w:r>
              <w:t>0.61</w:t>
            </w:r>
          </w:p>
        </w:tc>
        <w:tc>
          <w:tcPr>
            <w:tcW w:w="970" w:type="dxa"/>
            <w:tcBorders>
              <w:top w:val="single" w:sz="4" w:space="0" w:color="auto"/>
            </w:tcBorders>
          </w:tcPr>
          <w:p w:rsidR="00BC1D60" w:rsidRDefault="00BC1D60" w:rsidP="00BC5B38">
            <w:pPr>
              <w:pStyle w:val="ESTableRow"/>
              <w:keepNext/>
              <w:jc w:val="right"/>
            </w:pPr>
            <w:r>
              <w:t>2.19</w:t>
            </w:r>
          </w:p>
        </w:tc>
        <w:tc>
          <w:tcPr>
            <w:tcW w:w="970" w:type="dxa"/>
            <w:tcBorders>
              <w:top w:val="single" w:sz="4" w:space="0" w:color="auto"/>
            </w:tcBorders>
          </w:tcPr>
          <w:p w:rsidR="00BC1D60" w:rsidRDefault="00BC1D60" w:rsidP="00BC5B38">
            <w:pPr>
              <w:pStyle w:val="ESTableRow"/>
              <w:keepNext/>
              <w:jc w:val="right"/>
            </w:pPr>
            <w:r>
              <w:t>1.68</w:t>
            </w:r>
          </w:p>
        </w:tc>
        <w:tc>
          <w:tcPr>
            <w:tcW w:w="970" w:type="dxa"/>
            <w:tcBorders>
              <w:top w:val="single" w:sz="4" w:space="0" w:color="auto"/>
            </w:tcBorders>
          </w:tcPr>
          <w:p w:rsidR="00BC1D60" w:rsidRDefault="00BC1D60" w:rsidP="00BC5B38">
            <w:pPr>
              <w:pStyle w:val="ESTableRow"/>
              <w:keepNext/>
              <w:jc w:val="right"/>
            </w:pPr>
            <w:r>
              <w:t>1.98</w:t>
            </w:r>
          </w:p>
        </w:tc>
      </w:tr>
      <w:tr w:rsidR="00BC1D60" w:rsidTr="00BC5B38">
        <w:trPr>
          <w:cantSplit/>
        </w:trPr>
        <w:tc>
          <w:tcPr>
            <w:tcW w:w="2000" w:type="dxa"/>
          </w:tcPr>
          <w:p w:rsidR="00BC1D60" w:rsidRDefault="00BC1D60" w:rsidP="00BC5B38">
            <w:pPr>
              <w:pStyle w:val="ESTableRow"/>
              <w:keepNext/>
            </w:pPr>
            <w:r>
              <w:t>Adjusted NAV ps FY (p)</w:t>
            </w:r>
          </w:p>
        </w:tc>
        <w:tc>
          <w:tcPr>
            <w:tcW w:w="970" w:type="dxa"/>
          </w:tcPr>
          <w:p w:rsidR="00BC1D60" w:rsidRDefault="00BC1D60" w:rsidP="00BC5B38">
            <w:pPr>
              <w:pStyle w:val="ESTableRow"/>
              <w:keepNext/>
              <w:jc w:val="right"/>
            </w:pPr>
            <w:r>
              <w:t>105</w:t>
            </w:r>
          </w:p>
        </w:tc>
        <w:tc>
          <w:tcPr>
            <w:tcW w:w="970" w:type="dxa"/>
          </w:tcPr>
          <w:p w:rsidR="00BC1D60" w:rsidRDefault="00BC1D60" w:rsidP="00BC5B38">
            <w:pPr>
              <w:pStyle w:val="ESTableRow"/>
              <w:keepNext/>
              <w:jc w:val="right"/>
            </w:pPr>
            <w:r>
              <w:t>114</w:t>
            </w:r>
          </w:p>
        </w:tc>
        <w:tc>
          <w:tcPr>
            <w:tcW w:w="970" w:type="dxa"/>
          </w:tcPr>
          <w:p w:rsidR="00BC1D60" w:rsidRDefault="00BC1D60" w:rsidP="00BC5B38">
            <w:pPr>
              <w:pStyle w:val="ESTableRow"/>
              <w:keepNext/>
              <w:jc w:val="right"/>
            </w:pPr>
            <w:r>
              <w:t>139</w:t>
            </w:r>
          </w:p>
        </w:tc>
        <w:tc>
          <w:tcPr>
            <w:tcW w:w="970" w:type="dxa"/>
          </w:tcPr>
          <w:p w:rsidR="00BC1D60" w:rsidRDefault="00BC1D60" w:rsidP="00BC5B38">
            <w:pPr>
              <w:pStyle w:val="ESTableRow"/>
              <w:keepNext/>
              <w:jc w:val="right"/>
            </w:pPr>
            <w:r>
              <w:t>151</w:t>
            </w:r>
          </w:p>
        </w:tc>
        <w:tc>
          <w:tcPr>
            <w:tcW w:w="970" w:type="dxa"/>
          </w:tcPr>
          <w:p w:rsidR="00BC1D60" w:rsidRDefault="00BC1D60" w:rsidP="00BC5B38">
            <w:pPr>
              <w:pStyle w:val="ESTableRow"/>
              <w:keepNext/>
              <w:jc w:val="right"/>
            </w:pPr>
            <w:r>
              <w:t>164</w:t>
            </w:r>
          </w:p>
        </w:tc>
      </w:tr>
      <w:tr w:rsidR="00BC1D60" w:rsidTr="00BC5B38">
        <w:trPr>
          <w:cantSplit/>
        </w:trPr>
        <w:tc>
          <w:tcPr>
            <w:tcW w:w="2000" w:type="dxa"/>
          </w:tcPr>
          <w:p w:rsidR="00BC1D60" w:rsidRDefault="00BC1D60" w:rsidP="00BC5B38">
            <w:pPr>
              <w:pStyle w:val="ESTableRow"/>
              <w:keepNext/>
            </w:pPr>
            <w:r>
              <w:t>NNNAV per Share FY (£)</w:t>
            </w:r>
          </w:p>
        </w:tc>
        <w:tc>
          <w:tcPr>
            <w:tcW w:w="970" w:type="dxa"/>
          </w:tcPr>
          <w:p w:rsidR="00BC1D60" w:rsidRDefault="00BC1D60" w:rsidP="00BC5B38">
            <w:pPr>
              <w:pStyle w:val="ESTableRow"/>
              <w:keepNext/>
              <w:jc w:val="right"/>
            </w:pPr>
            <w:r>
              <w:t>104</w:t>
            </w:r>
          </w:p>
        </w:tc>
        <w:tc>
          <w:tcPr>
            <w:tcW w:w="970" w:type="dxa"/>
          </w:tcPr>
          <w:p w:rsidR="00BC1D60" w:rsidRDefault="00BC1D60" w:rsidP="00BC5B38">
            <w:pPr>
              <w:pStyle w:val="ESTableRow"/>
              <w:keepNext/>
              <w:jc w:val="right"/>
            </w:pPr>
            <w:r>
              <w:t>113</w:t>
            </w:r>
          </w:p>
        </w:tc>
        <w:tc>
          <w:tcPr>
            <w:tcW w:w="970" w:type="dxa"/>
          </w:tcPr>
          <w:p w:rsidR="00BC1D60" w:rsidRDefault="00BC1D60" w:rsidP="00BC5B38">
            <w:pPr>
              <w:pStyle w:val="ESTableRow"/>
              <w:keepNext/>
              <w:jc w:val="right"/>
            </w:pPr>
            <w:r>
              <w:t>138</w:t>
            </w:r>
          </w:p>
        </w:tc>
        <w:tc>
          <w:tcPr>
            <w:tcW w:w="970" w:type="dxa"/>
          </w:tcPr>
          <w:p w:rsidR="00BC1D60" w:rsidRDefault="00BC1D60" w:rsidP="00BC5B38">
            <w:pPr>
              <w:pStyle w:val="ESTableRow"/>
              <w:keepNext/>
              <w:jc w:val="right"/>
            </w:pPr>
            <w:r>
              <w:t>151</w:t>
            </w:r>
          </w:p>
        </w:tc>
        <w:tc>
          <w:tcPr>
            <w:tcW w:w="970" w:type="dxa"/>
          </w:tcPr>
          <w:p w:rsidR="00BC1D60" w:rsidRDefault="00BC1D60" w:rsidP="00BC5B38">
            <w:pPr>
              <w:pStyle w:val="ESTableRow"/>
              <w:keepNext/>
              <w:jc w:val="right"/>
            </w:pPr>
            <w:r>
              <w:t>163</w:t>
            </w:r>
          </w:p>
        </w:tc>
      </w:tr>
      <w:tr w:rsidR="00BC1D60" w:rsidTr="00BC5B38">
        <w:trPr>
          <w:cantSplit/>
        </w:trPr>
        <w:tc>
          <w:tcPr>
            <w:tcW w:w="2000" w:type="dxa"/>
          </w:tcPr>
          <w:p w:rsidR="00BC1D60" w:rsidRDefault="00BC1D60" w:rsidP="00BC5B38">
            <w:pPr>
              <w:pStyle w:val="ESTableRow"/>
              <w:keepNext/>
            </w:pPr>
            <w:r>
              <w:t xml:space="preserve">Dividend Yield FY </w:t>
            </w:r>
          </w:p>
        </w:tc>
        <w:tc>
          <w:tcPr>
            <w:tcW w:w="970" w:type="dxa"/>
          </w:tcPr>
          <w:p w:rsidR="00BC1D60" w:rsidRDefault="00BC1D60" w:rsidP="00BC5B38">
            <w:pPr>
              <w:pStyle w:val="ESTableRow"/>
              <w:keepNext/>
              <w:jc w:val="right"/>
            </w:pPr>
            <w:r>
              <w:t>0.0%</w:t>
            </w:r>
          </w:p>
        </w:tc>
        <w:tc>
          <w:tcPr>
            <w:tcW w:w="970" w:type="dxa"/>
          </w:tcPr>
          <w:p w:rsidR="00BC1D60" w:rsidRDefault="00BC1D60" w:rsidP="00BC5B38">
            <w:pPr>
              <w:pStyle w:val="ESTableRow"/>
              <w:keepNext/>
              <w:jc w:val="right"/>
            </w:pPr>
            <w:r>
              <w:t>0.0%</w:t>
            </w:r>
          </w:p>
        </w:tc>
        <w:tc>
          <w:tcPr>
            <w:tcW w:w="970" w:type="dxa"/>
          </w:tcPr>
          <w:p w:rsidR="00BC1D60" w:rsidRDefault="00BC1D60" w:rsidP="00BC5B38">
            <w:pPr>
              <w:pStyle w:val="ESTableRow"/>
              <w:keepNext/>
              <w:jc w:val="right"/>
            </w:pPr>
            <w:r>
              <w:t>0.0%</w:t>
            </w:r>
          </w:p>
        </w:tc>
        <w:tc>
          <w:tcPr>
            <w:tcW w:w="970" w:type="dxa"/>
          </w:tcPr>
          <w:p w:rsidR="00BC1D60" w:rsidRDefault="00BC1D60" w:rsidP="00BC5B38">
            <w:pPr>
              <w:pStyle w:val="ESTableRow"/>
              <w:keepNext/>
              <w:jc w:val="right"/>
            </w:pPr>
            <w:r>
              <w:t>0.0%</w:t>
            </w:r>
          </w:p>
        </w:tc>
        <w:tc>
          <w:tcPr>
            <w:tcW w:w="970" w:type="dxa"/>
          </w:tcPr>
          <w:p w:rsidR="00BC1D60" w:rsidRDefault="00BC1D60" w:rsidP="00BC5B38">
            <w:pPr>
              <w:pStyle w:val="ESTableRow"/>
              <w:keepNext/>
              <w:jc w:val="right"/>
            </w:pPr>
            <w:r>
              <w:t>0.0%</w:t>
            </w:r>
          </w:p>
        </w:tc>
      </w:tr>
      <w:tr w:rsidR="00BC1D60" w:rsidTr="00BC5B38">
        <w:trPr>
          <w:cantSplit/>
        </w:trPr>
        <w:tc>
          <w:tcPr>
            <w:tcW w:w="2000" w:type="dxa"/>
          </w:tcPr>
          <w:p w:rsidR="00BC1D60" w:rsidRDefault="00BC1D60" w:rsidP="00BC5B38">
            <w:pPr>
              <w:pStyle w:val="ESTableRow"/>
              <w:keepNext/>
            </w:pPr>
            <w:r>
              <w:t>EPS FY (p)</w:t>
            </w:r>
          </w:p>
        </w:tc>
        <w:tc>
          <w:tcPr>
            <w:tcW w:w="970" w:type="dxa"/>
          </w:tcPr>
          <w:p w:rsidR="00BC1D60" w:rsidRDefault="00BC1D60" w:rsidP="00BC5B38">
            <w:pPr>
              <w:pStyle w:val="ESTableRow"/>
              <w:keepNext/>
              <w:jc w:val="right"/>
            </w:pPr>
            <w:r>
              <w:t>(8.08)</w:t>
            </w:r>
          </w:p>
        </w:tc>
        <w:tc>
          <w:tcPr>
            <w:tcW w:w="970" w:type="dxa"/>
          </w:tcPr>
          <w:p w:rsidR="00BC1D60" w:rsidRDefault="00BC1D60" w:rsidP="00BC5B38">
            <w:pPr>
              <w:pStyle w:val="ESTableRow"/>
              <w:keepNext/>
              <w:jc w:val="right"/>
            </w:pPr>
            <w:r>
              <w:t>8.95</w:t>
            </w:r>
          </w:p>
        </w:tc>
        <w:tc>
          <w:tcPr>
            <w:tcW w:w="970" w:type="dxa"/>
          </w:tcPr>
          <w:p w:rsidR="00BC1D60" w:rsidRDefault="00BC1D60" w:rsidP="00BC5B38">
            <w:pPr>
              <w:pStyle w:val="ESTableRow"/>
              <w:keepNext/>
              <w:jc w:val="right"/>
            </w:pPr>
            <w:r>
              <w:t>25.62</w:t>
            </w:r>
          </w:p>
        </w:tc>
        <w:tc>
          <w:tcPr>
            <w:tcW w:w="970" w:type="dxa"/>
          </w:tcPr>
          <w:p w:rsidR="00BC1D60" w:rsidRDefault="00BC1D60" w:rsidP="00BC5B38">
            <w:pPr>
              <w:pStyle w:val="ESTableRow"/>
              <w:keepNext/>
              <w:jc w:val="right"/>
            </w:pPr>
            <w:r>
              <w:t>12.39</w:t>
            </w:r>
          </w:p>
        </w:tc>
        <w:tc>
          <w:tcPr>
            <w:tcW w:w="970" w:type="dxa"/>
          </w:tcPr>
          <w:p w:rsidR="00BC1D60" w:rsidRDefault="00BC1D60" w:rsidP="00BC5B38">
            <w:pPr>
              <w:pStyle w:val="ESTableRow"/>
              <w:keepNext/>
              <w:jc w:val="right"/>
            </w:pPr>
            <w:r>
              <w:t>12.81</w:t>
            </w:r>
          </w:p>
        </w:tc>
      </w:tr>
      <w:tr w:rsidR="00BC1D60" w:rsidTr="00BC5B38">
        <w:trPr>
          <w:cantSplit/>
        </w:trPr>
        <w:tc>
          <w:tcPr>
            <w:tcW w:w="2000" w:type="dxa"/>
          </w:tcPr>
          <w:p w:rsidR="00BC1D60" w:rsidRDefault="00BC1D60" w:rsidP="00BC5B38">
            <w:pPr>
              <w:pStyle w:val="ESTableRow"/>
              <w:keepNext/>
            </w:pPr>
            <w:r>
              <w:t xml:space="preserve">LTV FY </w:t>
            </w:r>
          </w:p>
        </w:tc>
        <w:tc>
          <w:tcPr>
            <w:tcW w:w="970" w:type="dxa"/>
          </w:tcPr>
          <w:p w:rsidR="00BC1D60" w:rsidRDefault="00BC1D60" w:rsidP="00BC5B38">
            <w:pPr>
              <w:pStyle w:val="ESTableRow"/>
              <w:keepNext/>
              <w:jc w:val="right"/>
            </w:pPr>
            <w:r>
              <w:t>54.8%</w:t>
            </w:r>
          </w:p>
        </w:tc>
        <w:tc>
          <w:tcPr>
            <w:tcW w:w="970" w:type="dxa"/>
          </w:tcPr>
          <w:p w:rsidR="00BC1D60" w:rsidRDefault="00BC1D60" w:rsidP="00BC5B38">
            <w:pPr>
              <w:pStyle w:val="ESTableRow"/>
              <w:keepNext/>
              <w:jc w:val="right"/>
            </w:pPr>
            <w:r>
              <w:t>22.1%</w:t>
            </w:r>
          </w:p>
        </w:tc>
        <w:tc>
          <w:tcPr>
            <w:tcW w:w="970" w:type="dxa"/>
          </w:tcPr>
          <w:p w:rsidR="00BC1D60" w:rsidRDefault="00BC1D60" w:rsidP="00BC5B38">
            <w:pPr>
              <w:pStyle w:val="ESTableRow"/>
              <w:keepNext/>
              <w:jc w:val="right"/>
            </w:pPr>
            <w:r>
              <w:t>19.4%</w:t>
            </w:r>
          </w:p>
        </w:tc>
        <w:tc>
          <w:tcPr>
            <w:tcW w:w="970" w:type="dxa"/>
          </w:tcPr>
          <w:p w:rsidR="00BC1D60" w:rsidRDefault="00BC1D60" w:rsidP="00BC5B38">
            <w:pPr>
              <w:pStyle w:val="ESTableRow"/>
              <w:keepNext/>
              <w:jc w:val="right"/>
            </w:pPr>
            <w:r>
              <w:t>19.8%</w:t>
            </w:r>
          </w:p>
        </w:tc>
        <w:tc>
          <w:tcPr>
            <w:tcW w:w="970" w:type="dxa"/>
          </w:tcPr>
          <w:p w:rsidR="00BC1D60" w:rsidRDefault="00BC1D60" w:rsidP="00BC5B38">
            <w:pPr>
              <w:pStyle w:val="ESTableRow"/>
              <w:keepNext/>
              <w:jc w:val="right"/>
            </w:pPr>
            <w:r>
              <w:t>21.2%</w:t>
            </w:r>
          </w:p>
        </w:tc>
      </w:tr>
      <w:tr w:rsidR="00BC1D60" w:rsidTr="00BC5B38">
        <w:trPr>
          <w:cantSplit/>
        </w:trPr>
        <w:tc>
          <w:tcPr>
            <w:tcW w:w="2000" w:type="dxa"/>
          </w:tcPr>
          <w:p w:rsidR="00BC1D60" w:rsidRDefault="00BC1D60" w:rsidP="00BC5B38">
            <w:pPr>
              <w:pStyle w:val="ESTableRow"/>
              <w:keepNext/>
            </w:pPr>
            <w:r>
              <w:t xml:space="preserve">ROIC FY </w:t>
            </w:r>
          </w:p>
        </w:tc>
        <w:tc>
          <w:tcPr>
            <w:tcW w:w="970" w:type="dxa"/>
          </w:tcPr>
          <w:p w:rsidR="00BC1D60" w:rsidRDefault="00BC1D60" w:rsidP="00BC5B38">
            <w:pPr>
              <w:pStyle w:val="ESTableRow"/>
              <w:keepNext/>
              <w:jc w:val="right"/>
            </w:pPr>
            <w:r>
              <w:t>(2.1%)</w:t>
            </w:r>
          </w:p>
        </w:tc>
        <w:tc>
          <w:tcPr>
            <w:tcW w:w="970" w:type="dxa"/>
          </w:tcPr>
          <w:p w:rsidR="00BC1D60" w:rsidRDefault="00BC1D60" w:rsidP="00BC5B38">
            <w:pPr>
              <w:pStyle w:val="ESTableRow"/>
              <w:keepNext/>
              <w:jc w:val="right"/>
            </w:pPr>
            <w:r>
              <w:t>5.0%</w:t>
            </w:r>
          </w:p>
        </w:tc>
        <w:tc>
          <w:tcPr>
            <w:tcW w:w="970" w:type="dxa"/>
          </w:tcPr>
          <w:p w:rsidR="00BC1D60" w:rsidRDefault="00BC1D60" w:rsidP="00BC5B38">
            <w:pPr>
              <w:pStyle w:val="ESTableRow"/>
              <w:keepNext/>
              <w:jc w:val="right"/>
            </w:pPr>
            <w:r>
              <w:t>13.5%</w:t>
            </w:r>
          </w:p>
        </w:tc>
        <w:tc>
          <w:tcPr>
            <w:tcW w:w="970" w:type="dxa"/>
          </w:tcPr>
          <w:p w:rsidR="00BC1D60" w:rsidRDefault="00BC1D60" w:rsidP="00BC5B38">
            <w:pPr>
              <w:pStyle w:val="ESTableRow"/>
              <w:keepNext/>
              <w:jc w:val="right"/>
            </w:pPr>
            <w:r>
              <w:t>6.4%</w:t>
            </w:r>
          </w:p>
        </w:tc>
        <w:tc>
          <w:tcPr>
            <w:tcW w:w="970" w:type="dxa"/>
          </w:tcPr>
          <w:p w:rsidR="00BC1D60" w:rsidRDefault="00BC1D60" w:rsidP="00BC5B38">
            <w:pPr>
              <w:pStyle w:val="ESTableRow"/>
              <w:keepNext/>
              <w:jc w:val="right"/>
            </w:pPr>
            <w:r>
              <w:t>6.2%</w:t>
            </w:r>
          </w:p>
        </w:tc>
      </w:tr>
      <w:tr w:rsidR="00BC1D60" w:rsidTr="00BC5B38">
        <w:trPr>
          <w:cantSplit/>
        </w:trPr>
        <w:tc>
          <w:tcPr>
            <w:tcW w:w="2000" w:type="dxa"/>
            <w:tcBorders>
              <w:bottom w:val="single" w:sz="4" w:space="0" w:color="auto"/>
            </w:tcBorders>
          </w:tcPr>
          <w:p w:rsidR="00BC1D60" w:rsidRDefault="00BC1D60" w:rsidP="00BC5B38">
            <w:pPr>
              <w:pStyle w:val="ESTableRow"/>
              <w:keepNext/>
            </w:pPr>
            <w:r>
              <w:t xml:space="preserve">Capital growth FY </w:t>
            </w:r>
          </w:p>
        </w:tc>
        <w:tc>
          <w:tcPr>
            <w:tcW w:w="970" w:type="dxa"/>
            <w:tcBorders>
              <w:bottom w:val="single" w:sz="4" w:space="0" w:color="auto"/>
            </w:tcBorders>
          </w:tcPr>
          <w:p w:rsidR="00BC1D60" w:rsidRDefault="00BC1D60" w:rsidP="00BC5B38">
            <w:pPr>
              <w:pStyle w:val="ESTableRow"/>
              <w:keepNext/>
              <w:jc w:val="right"/>
            </w:pPr>
            <w:r>
              <w:t>0.0%</w:t>
            </w:r>
          </w:p>
        </w:tc>
        <w:tc>
          <w:tcPr>
            <w:tcW w:w="970" w:type="dxa"/>
            <w:tcBorders>
              <w:bottom w:val="single" w:sz="4" w:space="0" w:color="auto"/>
            </w:tcBorders>
          </w:tcPr>
          <w:p w:rsidR="00BC1D60" w:rsidRDefault="00BC1D60" w:rsidP="00BC5B38">
            <w:pPr>
              <w:pStyle w:val="ESTableRow"/>
              <w:keepNext/>
              <w:jc w:val="right"/>
            </w:pPr>
            <w:r>
              <w:t>1.1%</w:t>
            </w:r>
          </w:p>
        </w:tc>
        <w:tc>
          <w:tcPr>
            <w:tcW w:w="970" w:type="dxa"/>
            <w:tcBorders>
              <w:bottom w:val="single" w:sz="4" w:space="0" w:color="auto"/>
            </w:tcBorders>
          </w:tcPr>
          <w:p w:rsidR="00BC1D60" w:rsidRDefault="00BC1D60" w:rsidP="00BC5B38">
            <w:pPr>
              <w:pStyle w:val="ESTableRow"/>
              <w:keepNext/>
              <w:jc w:val="right"/>
            </w:pPr>
            <w:r>
              <w:t>12.7%</w:t>
            </w:r>
          </w:p>
        </w:tc>
        <w:tc>
          <w:tcPr>
            <w:tcW w:w="970" w:type="dxa"/>
            <w:tcBorders>
              <w:bottom w:val="single" w:sz="4" w:space="0" w:color="auto"/>
            </w:tcBorders>
          </w:tcPr>
          <w:p w:rsidR="00BC1D60" w:rsidRDefault="00BC1D60" w:rsidP="00BC5B38">
            <w:pPr>
              <w:pStyle w:val="ESTableRow"/>
              <w:keepNext/>
              <w:jc w:val="right"/>
            </w:pPr>
            <w:r>
              <w:t>1.9%</w:t>
            </w:r>
          </w:p>
        </w:tc>
        <w:tc>
          <w:tcPr>
            <w:tcW w:w="970" w:type="dxa"/>
            <w:tcBorders>
              <w:bottom w:val="single" w:sz="4" w:space="0" w:color="auto"/>
            </w:tcBorders>
          </w:tcPr>
          <w:p w:rsidR="00BC1D60" w:rsidRDefault="00BC1D60" w:rsidP="00BC5B38">
            <w:pPr>
              <w:pStyle w:val="ESTableRow"/>
              <w:keepNext/>
              <w:jc w:val="right"/>
            </w:pPr>
            <w:r>
              <w:t>1.6%</w:t>
            </w:r>
          </w:p>
        </w:tc>
      </w:tr>
    </w:tbl>
    <w:p w:rsidR="00BC1D60" w:rsidRPr="004F1ABB" w:rsidRDefault="00BC1D60" w:rsidP="00BC1D60">
      <w:pPr>
        <w:pStyle w:val="Source"/>
        <w:rPr>
          <w:sz w:val="20"/>
          <w:highlight w:val="yellow"/>
        </w:rPr>
      </w:pPr>
      <w:r>
        <w:t>Source: Company data, Bloomberg, J.P. Morgan estimates</w:t>
      </w:r>
      <w:r w:rsidRPr="004F1ABB">
        <w:rPr>
          <w:highlight w:val="yellow"/>
        </w:rPr>
        <w:br w:type="page"/>
      </w:r>
    </w:p>
    <w:p w:rsidR="00BC1D60" w:rsidRPr="004F1ABB" w:rsidRDefault="00BC1D60" w:rsidP="00BC1D60">
      <w:pPr>
        <w:pStyle w:val="Body"/>
        <w:rPr>
          <w:highlight w:val="yellow"/>
        </w:rPr>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7D6BCE" w:rsidTr="00BC5B38">
        <w:tc>
          <w:tcPr>
            <w:tcW w:w="10604" w:type="dxa"/>
            <w:gridSpan w:val="3"/>
            <w:shd w:val="clear" w:color="auto" w:fill="auto"/>
          </w:tcPr>
          <w:p w:rsidR="00BC1D60" w:rsidRPr="007D6BCE" w:rsidRDefault="00BC1D60" w:rsidP="00BC5B38">
            <w:pPr>
              <w:pStyle w:val="Heading1-NoTOC"/>
            </w:pPr>
            <w:bookmarkStart w:id="357" w:name="_Toc376756121"/>
            <w:bookmarkStart w:id="358" w:name="_Toc376801442"/>
            <w:bookmarkStart w:id="359" w:name="_Toc376802104"/>
            <w:bookmarkStart w:id="360" w:name="_Toc384044998"/>
            <w:bookmarkStart w:id="361" w:name="_Toc384136021"/>
            <w:bookmarkStart w:id="362" w:name="_Toc384136988"/>
            <w:bookmarkStart w:id="363" w:name="_Toc392016383"/>
            <w:bookmarkStart w:id="364" w:name="_Toc392099101"/>
            <w:r w:rsidRPr="007D6BCE">
              <w:t>Getting to know our SMid Analysts…</w:t>
            </w:r>
            <w:bookmarkEnd w:id="357"/>
            <w:bookmarkEnd w:id="358"/>
            <w:bookmarkEnd w:id="359"/>
            <w:bookmarkEnd w:id="360"/>
            <w:bookmarkEnd w:id="361"/>
            <w:bookmarkEnd w:id="362"/>
            <w:bookmarkEnd w:id="363"/>
            <w:bookmarkEnd w:id="364"/>
          </w:p>
        </w:tc>
      </w:tr>
      <w:tr w:rsidR="00BC1D60" w:rsidRPr="007D6BCE" w:rsidTr="00BC5B38">
        <w:trPr>
          <w:trHeight w:val="3427"/>
        </w:trPr>
        <w:tc>
          <w:tcPr>
            <w:tcW w:w="2666" w:type="dxa"/>
            <w:shd w:val="clear" w:color="auto" w:fill="auto"/>
          </w:tcPr>
          <w:p w:rsidR="00BC1D60" w:rsidRPr="007D6BCE" w:rsidRDefault="00BC1D60" w:rsidP="00BC5B38">
            <w:pPr>
              <w:shd w:val="clear" w:color="auto" w:fill="F6F6F6"/>
              <w:spacing w:line="336" w:lineRule="atLeast"/>
              <w:jc w:val="center"/>
              <w:rPr>
                <w:rFonts w:ascii="Arial" w:hAnsi="Arial" w:cs="Arial"/>
                <w:color w:val="666666"/>
                <w:sz w:val="15"/>
                <w:szCs w:val="15"/>
              </w:rPr>
            </w:pPr>
            <w:r w:rsidRPr="007D6BCE">
              <w:rPr>
                <w:rFonts w:ascii="Arial" w:hAnsi="Arial" w:cs="Arial"/>
                <w:noProof/>
                <w:color w:val="716F63"/>
                <w:sz w:val="18"/>
                <w:szCs w:val="18"/>
              </w:rPr>
              <w:drawing>
                <wp:inline distT="0" distB="0" distL="0" distR="0">
                  <wp:extent cx="1501406" cy="1600816"/>
                  <wp:effectExtent l="19050" t="0" r="3544" b="0"/>
                  <wp:docPr id="1160" name="Picture 30" descr="Tim Leckie, C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im Leckie, CFA"/>
                          <pic:cNvPicPr>
                            <a:picLocks noChangeAspect="1" noChangeArrowheads="1"/>
                          </pic:cNvPicPr>
                        </pic:nvPicPr>
                        <pic:blipFill>
                          <a:blip r:embed="rId156"/>
                          <a:srcRect l="15510" r="26233"/>
                          <a:stretch>
                            <a:fillRect/>
                          </a:stretch>
                        </pic:blipFill>
                        <pic:spPr bwMode="auto">
                          <a:xfrm>
                            <a:off x="0" y="0"/>
                            <a:ext cx="1502078" cy="1601533"/>
                          </a:xfrm>
                          <a:prstGeom prst="rect">
                            <a:avLst/>
                          </a:prstGeom>
                          <a:noFill/>
                          <a:ln w="9525">
                            <a:noFill/>
                            <a:miter lim="800000"/>
                            <a:headEnd/>
                            <a:tailEnd/>
                          </a:ln>
                        </pic:spPr>
                      </pic:pic>
                    </a:graphicData>
                  </a:graphic>
                </wp:inline>
              </w:drawing>
            </w:r>
          </w:p>
          <w:p w:rsidR="00BC1D60" w:rsidRPr="007D6BCE" w:rsidRDefault="00BC1D60" w:rsidP="00BC5B38">
            <w:pPr>
              <w:pStyle w:val="Body"/>
              <w:spacing w:after="120"/>
            </w:pPr>
          </w:p>
        </w:tc>
        <w:tc>
          <w:tcPr>
            <w:tcW w:w="3544" w:type="dxa"/>
            <w:shd w:val="clear" w:color="auto" w:fill="auto"/>
          </w:tcPr>
          <w:p w:rsidR="00BC1D60" w:rsidRPr="007D6BCE" w:rsidRDefault="00BC1D60" w:rsidP="00BC5B38">
            <w:pPr>
              <w:pStyle w:val="Heading2"/>
              <w:outlineLvl w:val="1"/>
            </w:pPr>
            <w:r w:rsidRPr="007D6BCE">
              <w:t>Tim Leckie</w:t>
            </w:r>
            <w:r w:rsidRPr="007D6BCE">
              <w:rPr>
                <w:noProof/>
                <w:lang w:val="en-GB" w:eastAsia="en-GB"/>
              </w:rPr>
              <w:t xml:space="preserve"> </w:t>
            </w:r>
          </w:p>
          <w:p w:rsidR="00BC1D60" w:rsidRPr="007D6BCE" w:rsidRDefault="003B051F" w:rsidP="00BC5B38">
            <w:pPr>
              <w:pStyle w:val="Body"/>
              <w:spacing w:after="120"/>
              <w:rPr>
                <w:rStyle w:val="txtblackbld1"/>
                <w:rFonts w:ascii="Arial Narrow" w:hAnsi="Arial Narrow"/>
                <w:b w:val="0"/>
                <w:bCs w:val="0"/>
                <w:szCs w:val="20"/>
              </w:rPr>
            </w:pPr>
            <w:hyperlink r:id="rId157" w:history="1">
              <w:r w:rsidR="00BC1D60" w:rsidRPr="007D6BCE">
                <w:rPr>
                  <w:rStyle w:val="Hyperlink"/>
                  <w:rFonts w:ascii="Arial Narrow" w:hAnsi="Arial Narrow" w:cs="Arial"/>
                  <w:szCs w:val="20"/>
                </w:rPr>
                <w:t>timothy.leckie@jpmorgan.com</w:t>
              </w:r>
            </w:hyperlink>
          </w:p>
          <w:p w:rsidR="00BC1D60" w:rsidRPr="007D6BCE" w:rsidRDefault="00BC1D60" w:rsidP="00BC5B38">
            <w:pPr>
              <w:pStyle w:val="Body"/>
              <w:spacing w:after="120"/>
              <w:rPr>
                <w:rFonts w:ascii="Arial Narrow" w:hAnsi="Arial Narrow"/>
              </w:rPr>
            </w:pPr>
            <w:r w:rsidRPr="007D6BCE">
              <w:rPr>
                <w:rFonts w:ascii="Arial Narrow" w:hAnsi="Arial Narrow"/>
              </w:rPr>
              <w:t>(44-20) 7134-4477</w:t>
            </w:r>
          </w:p>
          <w:p w:rsidR="00BC1D60" w:rsidRPr="007D6BCE" w:rsidRDefault="00BC1D60" w:rsidP="00BC5B38">
            <w:pPr>
              <w:pStyle w:val="Body"/>
              <w:spacing w:after="120"/>
              <w:rPr>
                <w:rFonts w:ascii="Arial Narrow" w:hAnsi="Arial Narrow"/>
              </w:rPr>
            </w:pPr>
          </w:p>
          <w:p w:rsidR="00BC1D60" w:rsidRPr="007D6BCE" w:rsidRDefault="00BC1D60" w:rsidP="00BC5B38">
            <w:pPr>
              <w:pStyle w:val="Body"/>
              <w:spacing w:after="120"/>
              <w:rPr>
                <w:rFonts w:ascii="Arial Narrow" w:hAnsi="Arial Narrow"/>
              </w:rPr>
            </w:pPr>
            <w:r w:rsidRPr="007D6BCE">
              <w:rPr>
                <w:rFonts w:ascii="Arial Narrow" w:hAnsi="Arial Narrow"/>
                <w:b/>
              </w:rPr>
              <w:t>Region:</w:t>
            </w:r>
            <w:r w:rsidRPr="007D6BCE">
              <w:rPr>
                <w:rFonts w:ascii="Arial Narrow" w:hAnsi="Arial Narrow"/>
              </w:rPr>
              <w:t xml:space="preserve"> W. Europe</w:t>
            </w:r>
          </w:p>
          <w:p w:rsidR="00BC1D60" w:rsidRPr="007D6BCE" w:rsidRDefault="00BC1D60" w:rsidP="00BC5B38">
            <w:pPr>
              <w:pStyle w:val="Body"/>
              <w:spacing w:after="120"/>
              <w:rPr>
                <w:rFonts w:ascii="Arial Narrow" w:hAnsi="Arial Narrow"/>
              </w:rPr>
            </w:pPr>
            <w:r w:rsidRPr="007D6BCE">
              <w:rPr>
                <w:rFonts w:ascii="Arial Narrow" w:hAnsi="Arial Narrow"/>
                <w:b/>
              </w:rPr>
              <w:t>Sector:</w:t>
            </w:r>
            <w:r w:rsidRPr="007D6BCE">
              <w:rPr>
                <w:rFonts w:ascii="Arial Narrow" w:hAnsi="Arial Narrow"/>
              </w:rPr>
              <w:t xml:space="preserve"> Property</w:t>
            </w:r>
          </w:p>
          <w:p w:rsidR="00BC1D60" w:rsidRPr="007D6BCE" w:rsidRDefault="00BC1D60" w:rsidP="00BC5B38">
            <w:pPr>
              <w:pStyle w:val="Body"/>
            </w:pPr>
          </w:p>
        </w:tc>
        <w:tc>
          <w:tcPr>
            <w:tcW w:w="4394" w:type="dxa"/>
            <w:shd w:val="clear" w:color="auto" w:fill="auto"/>
          </w:tcPr>
          <w:p w:rsidR="00BC1D60" w:rsidRPr="007D6BCE" w:rsidRDefault="00BC1D60" w:rsidP="00BC5B38">
            <w:pPr>
              <w:pStyle w:val="Body"/>
              <w:jc w:val="right"/>
            </w:pPr>
            <w:r w:rsidRPr="007D6BCE">
              <w:rPr>
                <w:noProof/>
              </w:rPr>
              <w:drawing>
                <wp:inline distT="0" distB="0" distL="0" distR="0">
                  <wp:extent cx="2505456" cy="1712362"/>
                  <wp:effectExtent l="19050" t="0" r="9144" b="0"/>
                  <wp:docPr id="116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8"/>
                          <a:srcRect/>
                          <a:stretch>
                            <a:fillRect/>
                          </a:stretch>
                        </pic:blipFill>
                        <pic:spPr bwMode="auto">
                          <a:xfrm>
                            <a:off x="0" y="0"/>
                            <a:ext cx="2505456" cy="1712362"/>
                          </a:xfrm>
                          <a:prstGeom prst="rect">
                            <a:avLst/>
                          </a:prstGeom>
                          <a:noFill/>
                          <a:ln w="9525">
                            <a:noFill/>
                            <a:miter lim="800000"/>
                            <a:headEnd/>
                            <a:tailEnd/>
                          </a:ln>
                        </pic:spPr>
                      </pic:pic>
                    </a:graphicData>
                  </a:graphic>
                </wp:inline>
              </w:drawing>
            </w:r>
            <w:r w:rsidRPr="007D6BCE" w:rsidDel="005E7AA1">
              <w:t xml:space="preserve"> </w:t>
            </w:r>
          </w:p>
        </w:tc>
      </w:tr>
    </w:tbl>
    <w:p w:rsidR="00BC1D60" w:rsidRPr="007D6BCE" w:rsidRDefault="00BC1D60" w:rsidP="00BC1D60">
      <w:pPr>
        <w:pStyle w:val="Source"/>
        <w:spacing w:before="0"/>
        <w:ind w:left="-3124" w:hanging="137"/>
      </w:pPr>
      <w:r w:rsidRPr="007D6BCE">
        <w:rPr>
          <w:noProof/>
        </w:rPr>
        <w:drawing>
          <wp:inline distT="0" distB="0" distL="0" distR="0">
            <wp:extent cx="6702552" cy="2654621"/>
            <wp:effectExtent l="19050" t="0" r="3048" b="0"/>
            <wp:docPr id="116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9"/>
                    <a:srcRect/>
                    <a:stretch>
                      <a:fillRect/>
                    </a:stretch>
                  </pic:blipFill>
                  <pic:spPr bwMode="auto">
                    <a:xfrm>
                      <a:off x="0" y="0"/>
                      <a:ext cx="6702552" cy="2654621"/>
                    </a:xfrm>
                    <a:prstGeom prst="rect">
                      <a:avLst/>
                    </a:prstGeom>
                    <a:noFill/>
                    <a:ln w="9525">
                      <a:noFill/>
                      <a:miter lim="800000"/>
                      <a:headEnd/>
                      <a:tailEnd/>
                    </a:ln>
                  </pic:spPr>
                </pic:pic>
              </a:graphicData>
            </a:graphic>
          </wp:inline>
        </w:drawing>
      </w:r>
      <w:r>
        <w:t xml:space="preserve"> </w:t>
      </w:r>
      <w:r w:rsidRPr="007D6BCE">
        <w:t>Source: Bloomberg, Datastream, Factset, J.P. Morgan</w:t>
      </w:r>
      <w:r w:rsidRPr="007D6BCE">
        <w:br/>
      </w:r>
      <w:r w:rsidRPr="0087013D">
        <w:t>Prices as of 24 June 2014</w:t>
      </w:r>
    </w:p>
    <w:p w:rsidR="00BC1D60" w:rsidRPr="004F1ABB" w:rsidRDefault="00BC1D60" w:rsidP="00BC1D60">
      <w:pPr>
        <w:pStyle w:val="Body"/>
        <w:rPr>
          <w:highlight w:val="yellow"/>
        </w:rPr>
      </w:pPr>
    </w:p>
    <w:p w:rsidR="00BC1D60" w:rsidRPr="004F1ABB" w:rsidRDefault="00BC1D60" w:rsidP="00BC1D60">
      <w:pPr>
        <w:pStyle w:val="Sidecomments"/>
        <w:framePr w:w="0" w:hRule="auto" w:wrap="around"/>
        <w:rPr>
          <w:highlight w:val="yellow"/>
        </w:rPr>
      </w:pPr>
      <w:r>
        <w:rPr>
          <w:noProof/>
        </w:rPr>
        <w:lastRenderedPageBreak/>
        <w:drawing>
          <wp:inline distT="0" distB="0" distL="0" distR="0">
            <wp:extent cx="1737360" cy="7712673"/>
            <wp:effectExtent l="19050" t="0" r="0" b="0"/>
            <wp:docPr id="1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0"/>
                    <a:srcRect/>
                    <a:stretch>
                      <a:fillRect/>
                    </a:stretch>
                  </pic:blipFill>
                  <pic:spPr bwMode="auto">
                    <a:xfrm>
                      <a:off x="0" y="0"/>
                      <a:ext cx="1737360" cy="7712673"/>
                    </a:xfrm>
                    <a:prstGeom prst="rect">
                      <a:avLst/>
                    </a:prstGeom>
                    <a:noFill/>
                    <a:ln w="9525">
                      <a:noFill/>
                      <a:miter lim="800000"/>
                      <a:headEnd/>
                      <a:tailEnd/>
                    </a:ln>
                  </pic:spPr>
                </pic:pic>
              </a:graphicData>
            </a:graphic>
          </wp:inline>
        </w:drawing>
      </w:r>
    </w:p>
    <w:p w:rsidR="00BC1D60" w:rsidRPr="00F016F6" w:rsidRDefault="00BC1D60" w:rsidP="00BC1D60">
      <w:pPr>
        <w:pStyle w:val="Heading1"/>
        <w:spacing w:after="160"/>
      </w:pPr>
      <w:bookmarkStart w:id="365" w:name="_Toc392099102"/>
      <w:bookmarkStart w:id="366" w:name="_Toc392081828"/>
      <w:bookmarkStart w:id="367" w:name="_Toc392081891"/>
      <w:r w:rsidRPr="00E3275A">
        <w:t>Salzgitter (SZG GY/OW/€30.</w:t>
      </w:r>
      <w:r>
        <w:t>70</w:t>
      </w:r>
      <w:r w:rsidRPr="00E3275A">
        <w:t>)</w:t>
      </w:r>
      <w:bookmarkEnd w:id="365"/>
      <w:bookmarkEnd w:id="366"/>
      <w:bookmarkEnd w:id="367"/>
    </w:p>
    <w:p w:rsidR="00BC1D60" w:rsidRPr="00F016F6" w:rsidRDefault="00BC1D60" w:rsidP="00BC1D60">
      <w:pPr>
        <w:pStyle w:val="Heading3"/>
        <w:spacing w:after="0"/>
      </w:pPr>
      <w:r w:rsidRPr="00F016F6">
        <w:t>Investment Highlights:</w:t>
      </w:r>
    </w:p>
    <w:p w:rsidR="00BC1D60" w:rsidRPr="00F016F6" w:rsidRDefault="00BC1D60" w:rsidP="00BC1D60">
      <w:pPr>
        <w:pStyle w:val="Bullet"/>
        <w:spacing w:after="40"/>
        <w:rPr>
          <w:lang w:eastAsia="ja-JP"/>
        </w:rPr>
      </w:pPr>
      <w:r w:rsidRPr="00F016F6">
        <w:rPr>
          <w:b/>
          <w:lang w:eastAsia="ja-JP"/>
        </w:rPr>
        <w:t xml:space="preserve">Benefits from potential macro tailwinds, self-help and tax-loss carry forwards. </w:t>
      </w:r>
      <w:r w:rsidRPr="00F016F6">
        <w:rPr>
          <w:lang w:eastAsia="ja-JP"/>
        </w:rPr>
        <w:t>The JPM Economics team forecasts accelerating growth in the Eurozone, UK, US and broader DM in 2014, while we believe the 30-yr gas supply agreement between Russia &amp; China should take a large capacity of large-diameter pipes &amp; potentially heavy plates out of the mkt with a positive impact on prices. SZG’s ‘13-'16 cost-cutting plan tgts ~€200m of expected savings, 30% of which should hit the P&amp;L in each of the next 3yrs. In addition SZG has €1.5bn in tax loss carry fwds, implying a potential benefit to earnings of €200m (€4/sh).</w:t>
      </w:r>
    </w:p>
    <w:p w:rsidR="00BC1D60" w:rsidRPr="00F016F6" w:rsidRDefault="00BC1D60" w:rsidP="00BC1D60">
      <w:pPr>
        <w:pStyle w:val="Bullet"/>
        <w:spacing w:after="40"/>
        <w:rPr>
          <w:lang w:eastAsia="ja-JP"/>
        </w:rPr>
      </w:pPr>
      <w:r w:rsidRPr="00F016F6">
        <w:rPr>
          <w:b/>
          <w:lang w:eastAsia="ja-JP"/>
        </w:rPr>
        <w:t>Solid balance sheet:</w:t>
      </w:r>
      <w:r w:rsidRPr="00F016F6">
        <w:rPr>
          <w:lang w:eastAsia="ja-JP"/>
        </w:rPr>
        <w:t xml:space="preserve"> Net cash of €125.6m (6.7% of mtk cap), with working cap (net of pension liabilities of €2.1bn and LT provisions of €316m) at €226m.</w:t>
      </w:r>
    </w:p>
    <w:p w:rsidR="00BC1D60" w:rsidRPr="00F016F6" w:rsidRDefault="00BC1D60" w:rsidP="00BC1D60">
      <w:pPr>
        <w:pStyle w:val="Bullet"/>
        <w:autoSpaceDE w:val="0"/>
        <w:autoSpaceDN w:val="0"/>
        <w:adjustRightInd w:val="0"/>
        <w:spacing w:after="40"/>
        <w:rPr>
          <w:lang w:eastAsia="ja-JP"/>
        </w:rPr>
      </w:pPr>
      <w:r w:rsidRPr="00F016F6">
        <w:rPr>
          <w:b/>
          <w:lang w:eastAsia="ja-JP"/>
        </w:rPr>
        <w:t>FCF turning positive and meaningful.</w:t>
      </w:r>
      <w:r w:rsidRPr="00F016F6">
        <w:rPr>
          <w:lang w:eastAsia="ja-JP"/>
        </w:rPr>
        <w:t xml:space="preserve"> While consensus remains bearish on SZG (24/32 are UW/N), IBES ests call for FCF to turn positive this yr (+1.8%), rising to 7.9% in 2015.</w:t>
      </w:r>
    </w:p>
    <w:p w:rsidR="00BC1D60" w:rsidRPr="00F016F6" w:rsidRDefault="00BC1D60" w:rsidP="00BC1D60">
      <w:pPr>
        <w:pStyle w:val="Bullet"/>
        <w:autoSpaceDE w:val="0"/>
        <w:autoSpaceDN w:val="0"/>
        <w:adjustRightInd w:val="0"/>
        <w:rPr>
          <w:lang w:eastAsia="ja-JP"/>
        </w:rPr>
      </w:pPr>
      <w:r w:rsidRPr="00F016F6">
        <w:rPr>
          <w:b/>
          <w:lang w:eastAsia="ja-JP"/>
        </w:rPr>
        <w:t>At what appear to be undemanding valuations.</w:t>
      </w:r>
      <w:r w:rsidRPr="00F016F6">
        <w:rPr>
          <w:lang w:eastAsia="ja-JP"/>
        </w:rPr>
        <w:t xml:space="preserve"> Salzgitter trades on a P/B of 0.53x, well below its ’07 peak of 2.0x. Similarly, the stock price is down 80% from its ’07 high, having significantly underperformed vs the MSCI Europe SC index (+5% from ’07 peak). </w:t>
      </w:r>
    </w:p>
    <w:p w:rsidR="00BC1D60" w:rsidRPr="00F016F6" w:rsidRDefault="00BC1D60" w:rsidP="00BC1D60">
      <w:pPr>
        <w:pStyle w:val="Heading3"/>
        <w:spacing w:after="60"/>
        <w:ind w:right="-85"/>
      </w:pPr>
      <w:r w:rsidRPr="00F016F6">
        <w:t xml:space="preserve">Valuation / Risks to our View: </w:t>
      </w:r>
      <w:r w:rsidRPr="00F016F6">
        <w:rPr>
          <w:b w:val="0"/>
        </w:rPr>
        <w:t>Our Jun-15 TP of €38.5 is based on a 6x EV/EBITDA multiple on JPM 2015E, in line with 6yr hist avg. Key risks include: weaker-than-expected demand for steel in Europe and Germany, in particular; a return of substantial import volumes in Europe or the US; steel prices &amp; shipments could be worse than forecast; delayed recovery of demand for steel and large diameter pipes projects beyond our '14E assumption; weaker-than-expected recovery of the industrial &amp; commercial construction sector; weaker-than-expect‘d recovery of late cycle business (large diameter pipes).</w:t>
      </w:r>
    </w:p>
    <w:p w:rsidR="00BC1D60" w:rsidRPr="00F016F6" w:rsidRDefault="00BC1D60" w:rsidP="00BC1D60">
      <w:pPr>
        <w:pStyle w:val="Heading3"/>
        <w:spacing w:after="60"/>
        <w:rPr>
          <w:b w:val="0"/>
        </w:rPr>
      </w:pPr>
      <w:r w:rsidRPr="00F016F6">
        <w:t xml:space="preserve">Salzgitter in a Nutshell: </w:t>
      </w:r>
      <w:r>
        <w:rPr>
          <w:b w:val="0"/>
        </w:rPr>
        <w:t>The management holding company Salzgitter AG coordinates the five business units: Trading, Strip Steel, Plate/Sections, Technology and Energy, and is one of the largest steel producers in Europe. The company was listed in 1998 having been spun out of Preussag Stahl AG, but has its origins in the Ilseder Hutte Corporation founded in 1858.</w:t>
      </w:r>
    </w:p>
    <w:p w:rsidR="00BC1D60" w:rsidRPr="00BC3035" w:rsidRDefault="00BC1D60" w:rsidP="00BC1D60">
      <w:pPr>
        <w:pStyle w:val="Heading3"/>
        <w:spacing w:after="0"/>
      </w:pPr>
      <w:r w:rsidRPr="00BC3035">
        <w:t>Price Perf vs MSCI All Country World Small Cap (rebased as of 1-yr ago):</w:t>
      </w:r>
    </w:p>
    <w:p w:rsidR="00BC1D60" w:rsidRPr="00BC3035" w:rsidRDefault="00BC1D60" w:rsidP="00BC1D60">
      <w:pPr>
        <w:pStyle w:val="Body"/>
        <w:spacing w:after="0"/>
        <w:rPr>
          <w:noProof/>
          <w:lang w:val="en-GB" w:eastAsia="en-GB"/>
        </w:rPr>
      </w:pPr>
      <w:r>
        <w:rPr>
          <w:noProof/>
        </w:rPr>
        <w:drawing>
          <wp:inline distT="0" distB="0" distL="0" distR="0">
            <wp:extent cx="4352925" cy="1447800"/>
            <wp:effectExtent l="19050" t="0" r="9525" b="0"/>
            <wp:docPr id="1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a:srcRect t="6471" b="4118"/>
                    <a:stretch>
                      <a:fillRect/>
                    </a:stretch>
                  </pic:blipFill>
                  <pic:spPr bwMode="auto">
                    <a:xfrm>
                      <a:off x="0" y="0"/>
                      <a:ext cx="4352925" cy="1447800"/>
                    </a:xfrm>
                    <a:prstGeom prst="rect">
                      <a:avLst/>
                    </a:prstGeom>
                    <a:noFill/>
                    <a:ln w="9525">
                      <a:noFill/>
                      <a:miter lim="800000"/>
                      <a:headEnd/>
                      <a:tailEnd/>
                    </a:ln>
                  </pic:spPr>
                </pic:pic>
              </a:graphicData>
            </a:graphic>
          </wp:inline>
        </w:drawing>
      </w:r>
    </w:p>
    <w:p w:rsidR="00BC1D60" w:rsidRDefault="00BC1D60" w:rsidP="00BC1D60">
      <w:pPr>
        <w:pStyle w:val="ESTableCaption"/>
        <w:keepNext/>
      </w:pPr>
      <w:r w:rsidRPr="00BC3035">
        <w:t>J.P. Morgan Estimates</w:t>
      </w:r>
      <w:r w:rsidRPr="004F1ABB">
        <w:rPr>
          <w:highlight w:val="yellow"/>
        </w:rPr>
        <w:br/>
      </w:r>
      <w:r>
        <w:rPr>
          <w:sz w:val="16"/>
        </w:rPr>
        <w:t>Salzgitter AG (SZGG.DE;SZG GR)</w:t>
      </w:r>
    </w:p>
    <w:tbl>
      <w:tblPr>
        <w:tblW w:w="5000" w:type="pct"/>
        <w:tblCellMar>
          <w:left w:w="0" w:type="dxa"/>
          <w:right w:w="43" w:type="dxa"/>
        </w:tblCellMar>
        <w:tblLook w:val="01E0"/>
      </w:tblPr>
      <w:tblGrid>
        <w:gridCol w:w="2013"/>
        <w:gridCol w:w="1221"/>
        <w:gridCol w:w="1221"/>
        <w:gridCol w:w="1221"/>
        <w:gridCol w:w="1221"/>
      </w:tblGrid>
      <w:tr w:rsidR="00BC1D60" w:rsidTr="00BC5B38">
        <w:trPr>
          <w:cantSplit/>
        </w:trPr>
        <w:tc>
          <w:tcPr>
            <w:tcW w:w="2000" w:type="dxa"/>
            <w:tcBorders>
              <w:top w:val="single" w:sz="4" w:space="0" w:color="auto"/>
            </w:tcBorders>
          </w:tcPr>
          <w:p w:rsidR="00BC1D60" w:rsidRDefault="00BC1D60" w:rsidP="00BC5B38">
            <w:pPr>
              <w:pStyle w:val="ESTableRow"/>
              <w:keepNext/>
            </w:pPr>
            <w:r>
              <w:rPr>
                <w:b/>
              </w:rPr>
              <w:t>FYE Dec</w:t>
            </w:r>
          </w:p>
        </w:tc>
        <w:tc>
          <w:tcPr>
            <w:tcW w:w="1212" w:type="dxa"/>
            <w:tcBorders>
              <w:top w:val="single" w:sz="4" w:space="0" w:color="auto"/>
            </w:tcBorders>
          </w:tcPr>
          <w:p w:rsidR="00BC1D60" w:rsidRDefault="00BC1D60" w:rsidP="00BC5B38">
            <w:pPr>
              <w:pStyle w:val="ESTableRow"/>
              <w:keepNext/>
              <w:jc w:val="right"/>
            </w:pPr>
            <w:r>
              <w:rPr>
                <w:b/>
              </w:rPr>
              <w:t>2013A</w:t>
            </w:r>
          </w:p>
        </w:tc>
        <w:tc>
          <w:tcPr>
            <w:tcW w:w="1212" w:type="dxa"/>
            <w:tcBorders>
              <w:top w:val="single" w:sz="4" w:space="0" w:color="auto"/>
            </w:tcBorders>
          </w:tcPr>
          <w:p w:rsidR="00BC1D60" w:rsidRDefault="00BC1D60" w:rsidP="00BC5B38">
            <w:pPr>
              <w:pStyle w:val="ESTableRow"/>
              <w:keepNext/>
              <w:jc w:val="right"/>
            </w:pPr>
            <w:r>
              <w:rPr>
                <w:b/>
              </w:rPr>
              <w:t>2014E</w:t>
            </w:r>
          </w:p>
        </w:tc>
        <w:tc>
          <w:tcPr>
            <w:tcW w:w="1212" w:type="dxa"/>
            <w:tcBorders>
              <w:top w:val="single" w:sz="4" w:space="0" w:color="auto"/>
            </w:tcBorders>
          </w:tcPr>
          <w:p w:rsidR="00BC1D60" w:rsidRDefault="00BC1D60" w:rsidP="00BC5B38">
            <w:pPr>
              <w:pStyle w:val="ESTableRow"/>
              <w:keepNext/>
              <w:jc w:val="right"/>
            </w:pPr>
            <w:r>
              <w:rPr>
                <w:b/>
              </w:rPr>
              <w:t>2015E</w:t>
            </w:r>
          </w:p>
        </w:tc>
        <w:tc>
          <w:tcPr>
            <w:tcW w:w="1212" w:type="dxa"/>
            <w:tcBorders>
              <w:top w:val="single" w:sz="4" w:space="0" w:color="auto"/>
            </w:tcBorders>
          </w:tcPr>
          <w:p w:rsidR="00BC1D60" w:rsidRDefault="00BC1D60" w:rsidP="00BC5B38">
            <w:pPr>
              <w:pStyle w:val="ESTableRow"/>
              <w:keepNext/>
              <w:jc w:val="right"/>
            </w:pPr>
            <w:r>
              <w:rPr>
                <w:b/>
              </w:rPr>
              <w:t>2016E</w:t>
            </w:r>
          </w:p>
        </w:tc>
      </w:tr>
      <w:tr w:rsidR="00BC1D60" w:rsidTr="00BC5B38">
        <w:trPr>
          <w:cantSplit/>
        </w:trPr>
        <w:tc>
          <w:tcPr>
            <w:tcW w:w="2000" w:type="dxa"/>
            <w:tcBorders>
              <w:top w:val="single" w:sz="4" w:space="0" w:color="auto"/>
            </w:tcBorders>
          </w:tcPr>
          <w:p w:rsidR="00BC1D60" w:rsidRDefault="00BC1D60" w:rsidP="00BC5B38">
            <w:pPr>
              <w:pStyle w:val="ESTableRow"/>
              <w:keepNext/>
            </w:pPr>
            <w:r>
              <w:t>Adj EPS FY (€)</w:t>
            </w:r>
          </w:p>
        </w:tc>
        <w:tc>
          <w:tcPr>
            <w:tcW w:w="1212" w:type="dxa"/>
            <w:tcBorders>
              <w:top w:val="single" w:sz="4" w:space="0" w:color="auto"/>
            </w:tcBorders>
          </w:tcPr>
          <w:p w:rsidR="00BC1D60" w:rsidRDefault="00BC1D60" w:rsidP="00BC5B38">
            <w:pPr>
              <w:pStyle w:val="ESTableRow"/>
              <w:keepNext/>
              <w:jc w:val="right"/>
            </w:pPr>
            <w:r>
              <w:t>(9.10)</w:t>
            </w:r>
          </w:p>
        </w:tc>
        <w:tc>
          <w:tcPr>
            <w:tcW w:w="1212" w:type="dxa"/>
            <w:tcBorders>
              <w:top w:val="single" w:sz="4" w:space="0" w:color="auto"/>
            </w:tcBorders>
          </w:tcPr>
          <w:p w:rsidR="00BC1D60" w:rsidRDefault="00BC1D60" w:rsidP="00BC5B38">
            <w:pPr>
              <w:pStyle w:val="ESTableRow"/>
              <w:keepNext/>
              <w:jc w:val="right"/>
            </w:pPr>
            <w:r>
              <w:t>(0.17)</w:t>
            </w:r>
          </w:p>
        </w:tc>
        <w:tc>
          <w:tcPr>
            <w:tcW w:w="1212" w:type="dxa"/>
            <w:tcBorders>
              <w:top w:val="single" w:sz="4" w:space="0" w:color="auto"/>
            </w:tcBorders>
          </w:tcPr>
          <w:p w:rsidR="00BC1D60" w:rsidRDefault="00BC1D60" w:rsidP="00BC5B38">
            <w:pPr>
              <w:pStyle w:val="ESTableRow"/>
              <w:keepNext/>
              <w:jc w:val="right"/>
            </w:pPr>
            <w:r>
              <w:t>1.29</w:t>
            </w:r>
          </w:p>
        </w:tc>
        <w:tc>
          <w:tcPr>
            <w:tcW w:w="1212" w:type="dxa"/>
            <w:tcBorders>
              <w:top w:val="single" w:sz="4" w:space="0" w:color="auto"/>
            </w:tcBorders>
          </w:tcPr>
          <w:p w:rsidR="00BC1D60" w:rsidRDefault="00BC1D60" w:rsidP="00BC5B38">
            <w:pPr>
              <w:pStyle w:val="ESTableRow"/>
              <w:keepNext/>
              <w:jc w:val="right"/>
            </w:pPr>
            <w:r>
              <w:t>2.21</w:t>
            </w:r>
          </w:p>
        </w:tc>
      </w:tr>
      <w:tr w:rsidR="00BC1D60" w:rsidTr="00BC5B38">
        <w:trPr>
          <w:cantSplit/>
        </w:trPr>
        <w:tc>
          <w:tcPr>
            <w:tcW w:w="2000" w:type="dxa"/>
          </w:tcPr>
          <w:p w:rsidR="00BC1D60" w:rsidRDefault="00BC1D60" w:rsidP="00BC5B38">
            <w:pPr>
              <w:pStyle w:val="ESTableRow"/>
              <w:keepNext/>
            </w:pPr>
            <w:r>
              <w:t>Revenue FY (€ mn)</w:t>
            </w:r>
          </w:p>
        </w:tc>
        <w:tc>
          <w:tcPr>
            <w:tcW w:w="1212" w:type="dxa"/>
          </w:tcPr>
          <w:p w:rsidR="00BC1D60" w:rsidRDefault="00BC1D60" w:rsidP="00BC5B38">
            <w:pPr>
              <w:pStyle w:val="ESTableRow"/>
              <w:keepNext/>
              <w:jc w:val="right"/>
            </w:pPr>
            <w:r>
              <w:t>9,244</w:t>
            </w:r>
          </w:p>
        </w:tc>
        <w:tc>
          <w:tcPr>
            <w:tcW w:w="1212" w:type="dxa"/>
          </w:tcPr>
          <w:p w:rsidR="00BC1D60" w:rsidRDefault="00BC1D60" w:rsidP="00BC5B38">
            <w:pPr>
              <w:pStyle w:val="ESTableRow"/>
              <w:keepNext/>
              <w:jc w:val="right"/>
            </w:pPr>
            <w:r>
              <w:t>9,725</w:t>
            </w:r>
          </w:p>
        </w:tc>
        <w:tc>
          <w:tcPr>
            <w:tcW w:w="1212" w:type="dxa"/>
          </w:tcPr>
          <w:p w:rsidR="00BC1D60" w:rsidRDefault="00BC1D60" w:rsidP="00BC5B38">
            <w:pPr>
              <w:pStyle w:val="ESTableRow"/>
              <w:keepNext/>
              <w:jc w:val="right"/>
            </w:pPr>
            <w:r>
              <w:t>10,132</w:t>
            </w:r>
          </w:p>
        </w:tc>
        <w:tc>
          <w:tcPr>
            <w:tcW w:w="1212" w:type="dxa"/>
          </w:tcPr>
          <w:p w:rsidR="00BC1D60" w:rsidRDefault="00BC1D60" w:rsidP="00BC5B38">
            <w:pPr>
              <w:pStyle w:val="ESTableRow"/>
              <w:keepNext/>
              <w:jc w:val="right"/>
            </w:pPr>
            <w:r>
              <w:t>10,473</w:t>
            </w:r>
          </w:p>
        </w:tc>
      </w:tr>
      <w:tr w:rsidR="00BC1D60" w:rsidTr="00BC5B38">
        <w:trPr>
          <w:cantSplit/>
        </w:trPr>
        <w:tc>
          <w:tcPr>
            <w:tcW w:w="2000" w:type="dxa"/>
          </w:tcPr>
          <w:p w:rsidR="00BC1D60" w:rsidRDefault="00BC1D60" w:rsidP="00BC5B38">
            <w:pPr>
              <w:pStyle w:val="ESTableRow"/>
              <w:keepNext/>
            </w:pPr>
            <w:r>
              <w:t>EBITDA FY (€ mn)</w:t>
            </w:r>
          </w:p>
        </w:tc>
        <w:tc>
          <w:tcPr>
            <w:tcW w:w="1212" w:type="dxa"/>
          </w:tcPr>
          <w:p w:rsidR="00BC1D60" w:rsidRDefault="00BC1D60" w:rsidP="00BC5B38">
            <w:pPr>
              <w:pStyle w:val="ESTableRow"/>
              <w:keepNext/>
              <w:jc w:val="right"/>
            </w:pPr>
            <w:r>
              <w:t>(44)</w:t>
            </w:r>
          </w:p>
        </w:tc>
        <w:tc>
          <w:tcPr>
            <w:tcW w:w="1212" w:type="dxa"/>
          </w:tcPr>
          <w:p w:rsidR="00BC1D60" w:rsidRDefault="00BC1D60" w:rsidP="00BC5B38">
            <w:pPr>
              <w:pStyle w:val="ESTableRow"/>
              <w:keepNext/>
              <w:jc w:val="right"/>
            </w:pPr>
            <w:r>
              <w:t>421</w:t>
            </w:r>
          </w:p>
        </w:tc>
        <w:tc>
          <w:tcPr>
            <w:tcW w:w="1212" w:type="dxa"/>
          </w:tcPr>
          <w:p w:rsidR="00BC1D60" w:rsidRDefault="00BC1D60" w:rsidP="00BC5B38">
            <w:pPr>
              <w:pStyle w:val="ESTableRow"/>
              <w:keepNext/>
              <w:jc w:val="right"/>
            </w:pPr>
            <w:r>
              <w:t>541</w:t>
            </w:r>
          </w:p>
        </w:tc>
        <w:tc>
          <w:tcPr>
            <w:tcW w:w="1212" w:type="dxa"/>
          </w:tcPr>
          <w:p w:rsidR="00BC1D60" w:rsidRDefault="00BC1D60" w:rsidP="00BC5B38">
            <w:pPr>
              <w:pStyle w:val="ESTableRow"/>
              <w:keepNext/>
              <w:jc w:val="right"/>
            </w:pPr>
            <w:r>
              <w:t>616</w:t>
            </w:r>
          </w:p>
        </w:tc>
      </w:tr>
      <w:tr w:rsidR="00BC1D60" w:rsidTr="00BC5B38">
        <w:trPr>
          <w:cantSplit/>
        </w:trPr>
        <w:tc>
          <w:tcPr>
            <w:tcW w:w="2000" w:type="dxa"/>
          </w:tcPr>
          <w:p w:rsidR="00BC1D60" w:rsidRDefault="00BC1D60" w:rsidP="00BC5B38">
            <w:pPr>
              <w:pStyle w:val="ESTableRow"/>
              <w:keepNext/>
            </w:pPr>
            <w:r>
              <w:t xml:space="preserve">EBITDA Margin FY </w:t>
            </w:r>
          </w:p>
        </w:tc>
        <w:tc>
          <w:tcPr>
            <w:tcW w:w="1212" w:type="dxa"/>
          </w:tcPr>
          <w:p w:rsidR="00BC1D60" w:rsidRDefault="00BC1D60" w:rsidP="00BC5B38">
            <w:pPr>
              <w:pStyle w:val="ESTableRow"/>
              <w:keepNext/>
              <w:jc w:val="right"/>
            </w:pPr>
            <w:r>
              <w:t>(0.5%)</w:t>
            </w:r>
          </w:p>
        </w:tc>
        <w:tc>
          <w:tcPr>
            <w:tcW w:w="1212" w:type="dxa"/>
          </w:tcPr>
          <w:p w:rsidR="00BC1D60" w:rsidRDefault="00BC1D60" w:rsidP="00BC5B38">
            <w:pPr>
              <w:pStyle w:val="ESTableRow"/>
              <w:keepNext/>
              <w:jc w:val="right"/>
            </w:pPr>
            <w:r>
              <w:t>4.3%</w:t>
            </w:r>
          </w:p>
        </w:tc>
        <w:tc>
          <w:tcPr>
            <w:tcW w:w="1212" w:type="dxa"/>
          </w:tcPr>
          <w:p w:rsidR="00BC1D60" w:rsidRDefault="00BC1D60" w:rsidP="00BC5B38">
            <w:pPr>
              <w:pStyle w:val="ESTableRow"/>
              <w:keepNext/>
              <w:jc w:val="right"/>
            </w:pPr>
            <w:r>
              <w:t>5.3%</w:t>
            </w:r>
          </w:p>
        </w:tc>
        <w:tc>
          <w:tcPr>
            <w:tcW w:w="1212" w:type="dxa"/>
          </w:tcPr>
          <w:p w:rsidR="00BC1D60" w:rsidRDefault="00BC1D60" w:rsidP="00BC5B38">
            <w:pPr>
              <w:pStyle w:val="ESTableRow"/>
              <w:keepNext/>
              <w:jc w:val="right"/>
            </w:pPr>
            <w:r>
              <w:t>5.9%</w:t>
            </w:r>
          </w:p>
        </w:tc>
      </w:tr>
      <w:tr w:rsidR="00BC1D60" w:rsidTr="00BC5B38">
        <w:trPr>
          <w:cantSplit/>
        </w:trPr>
        <w:tc>
          <w:tcPr>
            <w:tcW w:w="2000" w:type="dxa"/>
          </w:tcPr>
          <w:p w:rsidR="00BC1D60" w:rsidRDefault="00BC1D60" w:rsidP="00BC5B38">
            <w:pPr>
              <w:pStyle w:val="ESTableRow"/>
              <w:keepNext/>
            </w:pPr>
            <w:r>
              <w:t>EBIT FY (€ mn)</w:t>
            </w:r>
          </w:p>
        </w:tc>
        <w:tc>
          <w:tcPr>
            <w:tcW w:w="1212" w:type="dxa"/>
          </w:tcPr>
          <w:p w:rsidR="00BC1D60" w:rsidRDefault="00BC1D60" w:rsidP="00BC5B38">
            <w:pPr>
              <w:pStyle w:val="ESTableRow"/>
              <w:keepNext/>
              <w:jc w:val="right"/>
            </w:pPr>
            <w:r>
              <w:t>(567)</w:t>
            </w:r>
          </w:p>
        </w:tc>
        <w:tc>
          <w:tcPr>
            <w:tcW w:w="1212" w:type="dxa"/>
          </w:tcPr>
          <w:p w:rsidR="00BC1D60" w:rsidRDefault="00BC1D60" w:rsidP="00BC5B38">
            <w:pPr>
              <w:pStyle w:val="ESTableRow"/>
              <w:keepNext/>
              <w:jc w:val="right"/>
            </w:pPr>
            <w:r>
              <w:t>94</w:t>
            </w:r>
          </w:p>
        </w:tc>
        <w:tc>
          <w:tcPr>
            <w:tcW w:w="1212" w:type="dxa"/>
          </w:tcPr>
          <w:p w:rsidR="00BC1D60" w:rsidRDefault="00BC1D60" w:rsidP="00BC5B38">
            <w:pPr>
              <w:pStyle w:val="ESTableRow"/>
              <w:keepNext/>
              <w:jc w:val="right"/>
            </w:pPr>
            <w:r>
              <w:t>213</w:t>
            </w:r>
          </w:p>
        </w:tc>
        <w:tc>
          <w:tcPr>
            <w:tcW w:w="1212" w:type="dxa"/>
          </w:tcPr>
          <w:p w:rsidR="00BC1D60" w:rsidRDefault="00BC1D60" w:rsidP="00BC5B38">
            <w:pPr>
              <w:pStyle w:val="ESTableRow"/>
              <w:keepNext/>
              <w:jc w:val="right"/>
            </w:pPr>
            <w:r>
              <w:t>288</w:t>
            </w:r>
          </w:p>
        </w:tc>
      </w:tr>
      <w:tr w:rsidR="00BC1D60" w:rsidTr="00BC5B38">
        <w:trPr>
          <w:cantSplit/>
        </w:trPr>
        <w:tc>
          <w:tcPr>
            <w:tcW w:w="2000" w:type="dxa"/>
          </w:tcPr>
          <w:p w:rsidR="00BC1D60" w:rsidRDefault="00BC1D60" w:rsidP="00BC5B38">
            <w:pPr>
              <w:pStyle w:val="ESTableRow"/>
              <w:keepNext/>
            </w:pPr>
            <w:r>
              <w:t xml:space="preserve">P/E (x) FY </w:t>
            </w:r>
          </w:p>
        </w:tc>
        <w:tc>
          <w:tcPr>
            <w:tcW w:w="1212" w:type="dxa"/>
          </w:tcPr>
          <w:p w:rsidR="00BC1D60" w:rsidRDefault="00BC1D60" w:rsidP="00BC5B38">
            <w:pPr>
              <w:pStyle w:val="ESTableRow"/>
              <w:keepNext/>
              <w:jc w:val="right"/>
            </w:pPr>
            <w:r>
              <w:t>NM</w:t>
            </w:r>
          </w:p>
        </w:tc>
        <w:tc>
          <w:tcPr>
            <w:tcW w:w="1212" w:type="dxa"/>
          </w:tcPr>
          <w:p w:rsidR="00BC1D60" w:rsidRDefault="00BC1D60" w:rsidP="00BC5B38">
            <w:pPr>
              <w:pStyle w:val="ESTableRow"/>
              <w:keepNext/>
              <w:jc w:val="right"/>
            </w:pPr>
            <w:r>
              <w:t>NM</w:t>
            </w:r>
          </w:p>
        </w:tc>
        <w:tc>
          <w:tcPr>
            <w:tcW w:w="1212" w:type="dxa"/>
          </w:tcPr>
          <w:p w:rsidR="00BC1D60" w:rsidRDefault="00BC1D60" w:rsidP="00BC5B38">
            <w:pPr>
              <w:pStyle w:val="ESTableRow"/>
              <w:keepNext/>
              <w:jc w:val="right"/>
            </w:pPr>
            <w:r>
              <w:t>23.6</w:t>
            </w:r>
          </w:p>
        </w:tc>
        <w:tc>
          <w:tcPr>
            <w:tcW w:w="1212" w:type="dxa"/>
          </w:tcPr>
          <w:p w:rsidR="00BC1D60" w:rsidRDefault="00BC1D60" w:rsidP="00BC5B38">
            <w:pPr>
              <w:pStyle w:val="ESTableRow"/>
              <w:keepNext/>
              <w:jc w:val="right"/>
            </w:pPr>
            <w:r>
              <w:t>13.8</w:t>
            </w:r>
          </w:p>
        </w:tc>
      </w:tr>
      <w:tr w:rsidR="00BC1D60" w:rsidTr="00BC5B38">
        <w:trPr>
          <w:cantSplit/>
        </w:trPr>
        <w:tc>
          <w:tcPr>
            <w:tcW w:w="2000" w:type="dxa"/>
          </w:tcPr>
          <w:p w:rsidR="00BC1D60" w:rsidRDefault="00BC1D60" w:rsidP="00BC5B38">
            <w:pPr>
              <w:pStyle w:val="ESTableRow"/>
              <w:keepNext/>
            </w:pPr>
            <w:r>
              <w:t xml:space="preserve">EV/EBITDA FY </w:t>
            </w:r>
          </w:p>
        </w:tc>
        <w:tc>
          <w:tcPr>
            <w:tcW w:w="1212" w:type="dxa"/>
          </w:tcPr>
          <w:p w:rsidR="00BC1D60" w:rsidRDefault="00BC1D60" w:rsidP="00BC5B38">
            <w:pPr>
              <w:pStyle w:val="ESTableRow"/>
              <w:keepNext/>
              <w:jc w:val="right"/>
            </w:pPr>
            <w:r>
              <w:t>NM</w:t>
            </w:r>
          </w:p>
        </w:tc>
        <w:tc>
          <w:tcPr>
            <w:tcW w:w="1212" w:type="dxa"/>
          </w:tcPr>
          <w:p w:rsidR="00BC1D60" w:rsidRDefault="00BC1D60" w:rsidP="00BC5B38">
            <w:pPr>
              <w:pStyle w:val="ESTableRow"/>
              <w:keepNext/>
              <w:jc w:val="right"/>
            </w:pPr>
            <w:r>
              <w:t>6.8</w:t>
            </w:r>
          </w:p>
        </w:tc>
        <w:tc>
          <w:tcPr>
            <w:tcW w:w="1212" w:type="dxa"/>
          </w:tcPr>
          <w:p w:rsidR="00BC1D60" w:rsidRDefault="00BC1D60" w:rsidP="00BC5B38">
            <w:pPr>
              <w:pStyle w:val="ESTableRow"/>
              <w:keepNext/>
              <w:jc w:val="right"/>
            </w:pPr>
            <w:r>
              <w:t>5.3</w:t>
            </w:r>
          </w:p>
        </w:tc>
        <w:tc>
          <w:tcPr>
            <w:tcW w:w="1212" w:type="dxa"/>
          </w:tcPr>
          <w:p w:rsidR="00BC1D60" w:rsidRDefault="00BC1D60" w:rsidP="00BC5B38">
            <w:pPr>
              <w:pStyle w:val="ESTableRow"/>
              <w:keepNext/>
              <w:jc w:val="right"/>
            </w:pPr>
            <w:r>
              <w:t>4.7</w:t>
            </w:r>
          </w:p>
        </w:tc>
      </w:tr>
      <w:tr w:rsidR="00BC1D60" w:rsidTr="00BC5B38">
        <w:trPr>
          <w:cantSplit/>
        </w:trPr>
        <w:tc>
          <w:tcPr>
            <w:tcW w:w="2000" w:type="dxa"/>
            <w:tcBorders>
              <w:bottom w:val="single" w:sz="4" w:space="0" w:color="auto"/>
            </w:tcBorders>
          </w:tcPr>
          <w:p w:rsidR="00BC1D60" w:rsidRDefault="00BC1D60" w:rsidP="00BC5B38">
            <w:pPr>
              <w:pStyle w:val="ESTableRow"/>
              <w:keepNext/>
            </w:pPr>
            <w:r>
              <w:t>Pre Tax Income FY (€ mn)</w:t>
            </w:r>
          </w:p>
        </w:tc>
        <w:tc>
          <w:tcPr>
            <w:tcW w:w="1212" w:type="dxa"/>
            <w:tcBorders>
              <w:bottom w:val="single" w:sz="4" w:space="0" w:color="auto"/>
            </w:tcBorders>
          </w:tcPr>
          <w:p w:rsidR="00BC1D60" w:rsidRDefault="00BC1D60" w:rsidP="00BC5B38">
            <w:pPr>
              <w:pStyle w:val="ESTableRow"/>
              <w:keepNext/>
              <w:jc w:val="right"/>
            </w:pPr>
            <w:r>
              <w:t>(478)</w:t>
            </w:r>
          </w:p>
        </w:tc>
        <w:tc>
          <w:tcPr>
            <w:tcW w:w="1212" w:type="dxa"/>
            <w:tcBorders>
              <w:bottom w:val="single" w:sz="4" w:space="0" w:color="auto"/>
            </w:tcBorders>
          </w:tcPr>
          <w:p w:rsidR="00BC1D60" w:rsidRDefault="00BC1D60" w:rsidP="00BC5B38">
            <w:pPr>
              <w:pStyle w:val="ESTableRow"/>
              <w:keepNext/>
              <w:jc w:val="right"/>
            </w:pPr>
            <w:r>
              <w:t>(13)</w:t>
            </w:r>
          </w:p>
        </w:tc>
        <w:tc>
          <w:tcPr>
            <w:tcW w:w="1212" w:type="dxa"/>
            <w:tcBorders>
              <w:bottom w:val="single" w:sz="4" w:space="0" w:color="auto"/>
            </w:tcBorders>
          </w:tcPr>
          <w:p w:rsidR="00BC1D60" w:rsidRDefault="00BC1D60" w:rsidP="00BC5B38">
            <w:pPr>
              <w:pStyle w:val="ESTableRow"/>
              <w:keepNext/>
              <w:jc w:val="right"/>
            </w:pPr>
            <w:r>
              <w:t>102</w:t>
            </w:r>
          </w:p>
        </w:tc>
        <w:tc>
          <w:tcPr>
            <w:tcW w:w="1212" w:type="dxa"/>
            <w:tcBorders>
              <w:bottom w:val="single" w:sz="4" w:space="0" w:color="auto"/>
            </w:tcBorders>
          </w:tcPr>
          <w:p w:rsidR="00BC1D60" w:rsidRDefault="00BC1D60" w:rsidP="00BC5B38">
            <w:pPr>
              <w:pStyle w:val="ESTableRow"/>
              <w:keepNext/>
              <w:jc w:val="right"/>
            </w:pPr>
            <w:r>
              <w:t>174</w:t>
            </w:r>
          </w:p>
        </w:tc>
      </w:tr>
    </w:tbl>
    <w:p w:rsidR="00BC1D60" w:rsidRDefault="00BC1D60" w:rsidP="00BC1D60">
      <w:pPr>
        <w:pStyle w:val="Source"/>
        <w:rPr>
          <w:highlight w:val="yellow"/>
        </w:rPr>
      </w:pPr>
      <w:r>
        <w:t>Source: Company data, Bloomberg, J.P. Morgan estimates.</w:t>
      </w:r>
      <w:r w:rsidRPr="004F1ABB">
        <w:rPr>
          <w:highlight w:val="yellow"/>
        </w:rPr>
        <w:br w:type="page"/>
      </w:r>
    </w:p>
    <w:p w:rsidR="00BC1D60" w:rsidRPr="00A47405" w:rsidRDefault="00BC1D60" w:rsidP="00BC1D60">
      <w:pPr>
        <w:pStyle w:val="Body"/>
        <w:rPr>
          <w:highlight w:val="yellow"/>
        </w:rPr>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7D6BCE" w:rsidTr="00BC5B38">
        <w:tc>
          <w:tcPr>
            <w:tcW w:w="10604" w:type="dxa"/>
            <w:gridSpan w:val="3"/>
            <w:shd w:val="clear" w:color="auto" w:fill="auto"/>
          </w:tcPr>
          <w:p w:rsidR="00BC1D60" w:rsidRPr="007D6BCE" w:rsidRDefault="00BC1D60" w:rsidP="00BC5B38">
            <w:pPr>
              <w:pStyle w:val="Heading1-NoTOC"/>
            </w:pPr>
            <w:bookmarkStart w:id="368" w:name="_Toc392016385"/>
            <w:bookmarkStart w:id="369" w:name="_Toc392099103"/>
            <w:r w:rsidRPr="007D6BCE">
              <w:t>Getting to know our SMid Analysts…</w:t>
            </w:r>
            <w:bookmarkEnd w:id="368"/>
            <w:bookmarkEnd w:id="369"/>
          </w:p>
        </w:tc>
      </w:tr>
      <w:tr w:rsidR="00BC1D60" w:rsidRPr="007D6BCE" w:rsidTr="00BC5B38">
        <w:trPr>
          <w:trHeight w:val="3427"/>
        </w:trPr>
        <w:tc>
          <w:tcPr>
            <w:tcW w:w="2666" w:type="dxa"/>
            <w:shd w:val="clear" w:color="auto" w:fill="auto"/>
          </w:tcPr>
          <w:p w:rsidR="00BC1D60" w:rsidRPr="007D6BCE" w:rsidRDefault="00BC1D60" w:rsidP="00BC5B38">
            <w:pPr>
              <w:pStyle w:val="Body"/>
              <w:spacing w:after="120"/>
            </w:pPr>
            <w:r w:rsidRPr="007D6BCE">
              <w:rPr>
                <w:noProof/>
              </w:rPr>
              <w:drawing>
                <wp:inline distT="0" distB="0" distL="0" distR="0">
                  <wp:extent cx="1552575" cy="1885950"/>
                  <wp:effectExtent l="19050" t="0" r="9525" b="0"/>
                  <wp:docPr id="1165"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62"/>
                          <a:srcRect/>
                          <a:stretch>
                            <a:fillRect/>
                          </a:stretch>
                        </pic:blipFill>
                        <pic:spPr bwMode="auto">
                          <a:xfrm>
                            <a:off x="0" y="0"/>
                            <a:ext cx="1552575" cy="1885950"/>
                          </a:xfrm>
                          <a:prstGeom prst="rect">
                            <a:avLst/>
                          </a:prstGeom>
                          <a:noFill/>
                          <a:ln w="9525">
                            <a:noFill/>
                            <a:miter lim="800000"/>
                            <a:headEnd/>
                            <a:tailEnd/>
                          </a:ln>
                        </pic:spPr>
                      </pic:pic>
                    </a:graphicData>
                  </a:graphic>
                </wp:inline>
              </w:drawing>
            </w:r>
          </w:p>
        </w:tc>
        <w:tc>
          <w:tcPr>
            <w:tcW w:w="3544" w:type="dxa"/>
            <w:shd w:val="clear" w:color="auto" w:fill="auto"/>
          </w:tcPr>
          <w:p w:rsidR="00BC1D60" w:rsidRPr="007D6BCE" w:rsidRDefault="00BC1D60" w:rsidP="00BC5B38">
            <w:pPr>
              <w:pStyle w:val="Heading2"/>
              <w:outlineLvl w:val="1"/>
            </w:pPr>
            <w:r w:rsidRPr="007D6BCE">
              <w:t>Alessandro Abate</w:t>
            </w:r>
            <w:r w:rsidRPr="007D6BCE">
              <w:rPr>
                <w:noProof/>
                <w:lang w:val="en-GB" w:eastAsia="en-GB"/>
              </w:rPr>
              <w:t xml:space="preserve"> </w:t>
            </w:r>
          </w:p>
          <w:p w:rsidR="00BC1D60" w:rsidRPr="007D6BCE" w:rsidRDefault="003B051F" w:rsidP="00BC5B38">
            <w:pPr>
              <w:pStyle w:val="Body"/>
              <w:spacing w:after="120"/>
              <w:rPr>
                <w:rStyle w:val="txtblackbld1"/>
                <w:rFonts w:ascii="Arial Narrow" w:hAnsi="Arial Narrow"/>
                <w:b w:val="0"/>
                <w:bCs w:val="0"/>
                <w:szCs w:val="20"/>
              </w:rPr>
            </w:pPr>
            <w:hyperlink r:id="rId163" w:history="1">
              <w:r w:rsidR="00BC1D60" w:rsidRPr="007D6BCE">
                <w:rPr>
                  <w:rStyle w:val="Hyperlink"/>
                  <w:rFonts w:ascii="Arial Narrow" w:hAnsi="Arial Narrow" w:cs="Arial"/>
                  <w:szCs w:val="20"/>
                </w:rPr>
                <w:t>alessandro.abate@jpmorgan.com</w:t>
              </w:r>
            </w:hyperlink>
          </w:p>
          <w:p w:rsidR="00BC1D60" w:rsidRPr="007D6BCE" w:rsidRDefault="00BC1D60" w:rsidP="00BC5B38">
            <w:pPr>
              <w:pStyle w:val="Body"/>
              <w:spacing w:after="120"/>
              <w:rPr>
                <w:rFonts w:ascii="Arial Narrow" w:hAnsi="Arial Narrow"/>
              </w:rPr>
            </w:pPr>
            <w:r w:rsidRPr="007D6BCE">
              <w:rPr>
                <w:rFonts w:ascii="Arial Narrow" w:hAnsi="Arial Narrow"/>
              </w:rPr>
              <w:t>(44-20) 7134-9744</w:t>
            </w:r>
          </w:p>
          <w:p w:rsidR="00BC1D60" w:rsidRPr="007D6BCE" w:rsidRDefault="00BC1D60" w:rsidP="00BC5B38">
            <w:pPr>
              <w:pStyle w:val="Body"/>
              <w:spacing w:after="120"/>
              <w:rPr>
                <w:rFonts w:ascii="Arial Narrow" w:hAnsi="Arial Narrow"/>
              </w:rPr>
            </w:pPr>
          </w:p>
          <w:p w:rsidR="00BC1D60" w:rsidRPr="007D6BCE" w:rsidRDefault="00BC1D60" w:rsidP="00BC5B38">
            <w:pPr>
              <w:pStyle w:val="Body"/>
              <w:spacing w:after="120"/>
              <w:rPr>
                <w:rFonts w:ascii="Arial Narrow" w:hAnsi="Arial Narrow"/>
              </w:rPr>
            </w:pPr>
            <w:r w:rsidRPr="007D6BCE">
              <w:rPr>
                <w:rFonts w:ascii="Arial Narrow" w:hAnsi="Arial Narrow"/>
                <w:b/>
              </w:rPr>
              <w:t>Region:</w:t>
            </w:r>
            <w:r w:rsidRPr="007D6BCE">
              <w:rPr>
                <w:rFonts w:ascii="Arial Narrow" w:hAnsi="Arial Narrow"/>
              </w:rPr>
              <w:t xml:space="preserve"> W. Europe</w:t>
            </w:r>
            <w:r w:rsidRPr="007D6BCE">
              <w:rPr>
                <w:rFonts w:ascii="Arial Narrow" w:hAnsi="Arial Narrow"/>
              </w:rPr>
              <w:tab/>
            </w:r>
          </w:p>
          <w:p w:rsidR="00BC1D60" w:rsidRPr="007D6BCE" w:rsidRDefault="00BC1D60" w:rsidP="00BC5B38">
            <w:pPr>
              <w:pStyle w:val="Body"/>
              <w:spacing w:after="120"/>
              <w:rPr>
                <w:rFonts w:ascii="Arial Narrow" w:hAnsi="Arial Narrow"/>
              </w:rPr>
            </w:pPr>
            <w:r w:rsidRPr="007D6BCE">
              <w:rPr>
                <w:rFonts w:ascii="Arial Narrow" w:hAnsi="Arial Narrow"/>
                <w:b/>
              </w:rPr>
              <w:t>Sector:</w:t>
            </w:r>
            <w:r w:rsidRPr="007D6BCE">
              <w:rPr>
                <w:rFonts w:ascii="Arial Narrow" w:hAnsi="Arial Narrow"/>
              </w:rPr>
              <w:t xml:space="preserve"> European Metals, Mining &amp; Steel</w:t>
            </w:r>
          </w:p>
          <w:p w:rsidR="00BC1D60" w:rsidRPr="007D6BCE" w:rsidRDefault="00BC1D60" w:rsidP="00BC5B38">
            <w:pPr>
              <w:pStyle w:val="Body"/>
            </w:pPr>
          </w:p>
        </w:tc>
        <w:tc>
          <w:tcPr>
            <w:tcW w:w="4394" w:type="dxa"/>
            <w:shd w:val="clear" w:color="auto" w:fill="auto"/>
          </w:tcPr>
          <w:p w:rsidR="00BC1D60" w:rsidRPr="007D6BCE" w:rsidRDefault="00BC1D60" w:rsidP="00BC5B38">
            <w:pPr>
              <w:pStyle w:val="Body"/>
              <w:jc w:val="right"/>
            </w:pPr>
            <w:r w:rsidRPr="007D6BCE">
              <w:rPr>
                <w:noProof/>
              </w:rPr>
              <w:drawing>
                <wp:inline distT="0" distB="0" distL="0" distR="0">
                  <wp:extent cx="2505456" cy="1856561"/>
                  <wp:effectExtent l="19050" t="0" r="9144" b="0"/>
                  <wp:docPr id="116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4"/>
                          <a:srcRect/>
                          <a:stretch>
                            <a:fillRect/>
                          </a:stretch>
                        </pic:blipFill>
                        <pic:spPr bwMode="auto">
                          <a:xfrm>
                            <a:off x="0" y="0"/>
                            <a:ext cx="2505456" cy="1856561"/>
                          </a:xfrm>
                          <a:prstGeom prst="rect">
                            <a:avLst/>
                          </a:prstGeom>
                          <a:noFill/>
                          <a:ln w="9525">
                            <a:noFill/>
                            <a:miter lim="800000"/>
                            <a:headEnd/>
                            <a:tailEnd/>
                          </a:ln>
                        </pic:spPr>
                      </pic:pic>
                    </a:graphicData>
                  </a:graphic>
                </wp:inline>
              </w:drawing>
            </w:r>
            <w:r w:rsidRPr="007D6BCE">
              <w:t xml:space="preserve"> </w:t>
            </w:r>
          </w:p>
        </w:tc>
      </w:tr>
    </w:tbl>
    <w:p w:rsidR="00BC1D60" w:rsidRPr="007D6BCE" w:rsidRDefault="00BC1D60" w:rsidP="00BC1D60">
      <w:pPr>
        <w:pStyle w:val="Source"/>
        <w:spacing w:before="0"/>
        <w:ind w:left="-3124" w:hanging="137"/>
      </w:pPr>
      <w:r w:rsidRPr="007D6BCE">
        <w:rPr>
          <w:noProof/>
        </w:rPr>
        <w:drawing>
          <wp:inline distT="0" distB="0" distL="0" distR="0">
            <wp:extent cx="6702552" cy="1451975"/>
            <wp:effectExtent l="19050" t="0" r="3048" b="0"/>
            <wp:docPr id="11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5"/>
                    <a:srcRect/>
                    <a:stretch>
                      <a:fillRect/>
                    </a:stretch>
                  </pic:blipFill>
                  <pic:spPr bwMode="auto">
                    <a:xfrm>
                      <a:off x="0" y="0"/>
                      <a:ext cx="6702552" cy="1451975"/>
                    </a:xfrm>
                    <a:prstGeom prst="rect">
                      <a:avLst/>
                    </a:prstGeom>
                    <a:noFill/>
                    <a:ln w="9525">
                      <a:noFill/>
                      <a:miter lim="800000"/>
                      <a:headEnd/>
                      <a:tailEnd/>
                    </a:ln>
                  </pic:spPr>
                </pic:pic>
              </a:graphicData>
            </a:graphic>
          </wp:inline>
        </w:drawing>
      </w:r>
      <w:r w:rsidRPr="007D6BCE">
        <w:t xml:space="preserve"> Source: Bloomberg, Datastream, Factset, J.P. Morgan</w:t>
      </w:r>
      <w:r w:rsidRPr="007D6BCE">
        <w:br/>
      </w:r>
      <w:r w:rsidRPr="0087013D">
        <w:t>Prices as of 24 June 2014</w:t>
      </w:r>
    </w:p>
    <w:p w:rsidR="00BC1D60" w:rsidRPr="004F1ABB" w:rsidRDefault="00BC1D60" w:rsidP="00BC1D60">
      <w:pPr>
        <w:spacing w:line="264" w:lineRule="atLeast"/>
        <w:ind w:left="-3125"/>
        <w:rPr>
          <w:rFonts w:ascii="Arial Narrow" w:hAnsi="Arial Narrow" w:cs="Arial"/>
          <w:sz w:val="16"/>
          <w:szCs w:val="16"/>
          <w:highlight w:val="yellow"/>
        </w:rPr>
      </w:pPr>
    </w:p>
    <w:p w:rsidR="00BC1D60" w:rsidRPr="003312ED" w:rsidRDefault="00BC1D60" w:rsidP="00BC1D60">
      <w:pPr>
        <w:pStyle w:val="Sidecomments"/>
        <w:framePr w:w="0" w:hRule="auto" w:wrap="around"/>
      </w:pPr>
      <w:r w:rsidRPr="003312ED">
        <w:rPr>
          <w:noProof/>
        </w:rPr>
        <w:lastRenderedPageBreak/>
        <w:drawing>
          <wp:inline distT="0" distB="0" distL="0" distR="0">
            <wp:extent cx="1737360" cy="8345354"/>
            <wp:effectExtent l="19050" t="0" r="0" b="0"/>
            <wp:docPr id="1168"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66"/>
                    <a:srcRect/>
                    <a:stretch>
                      <a:fillRect/>
                    </a:stretch>
                  </pic:blipFill>
                  <pic:spPr bwMode="auto">
                    <a:xfrm>
                      <a:off x="0" y="0"/>
                      <a:ext cx="1737360" cy="8345354"/>
                    </a:xfrm>
                    <a:prstGeom prst="rect">
                      <a:avLst/>
                    </a:prstGeom>
                    <a:noFill/>
                    <a:ln w="9525">
                      <a:noFill/>
                      <a:miter lim="800000"/>
                      <a:headEnd/>
                      <a:tailEnd/>
                    </a:ln>
                  </pic:spPr>
                </pic:pic>
              </a:graphicData>
            </a:graphic>
          </wp:inline>
        </w:drawing>
      </w:r>
      <w:r w:rsidRPr="003312ED">
        <w:t xml:space="preserve"> </w:t>
      </w:r>
    </w:p>
    <w:p w:rsidR="00BC1D60" w:rsidRPr="003312ED" w:rsidRDefault="00BC1D60" w:rsidP="00BC1D60">
      <w:pPr>
        <w:pStyle w:val="Heading1"/>
      </w:pPr>
      <w:bookmarkStart w:id="370" w:name="_Toc368081380"/>
      <w:bookmarkStart w:id="371" w:name="_Ref368261693"/>
      <w:bookmarkStart w:id="372" w:name="_Ref376779074"/>
      <w:bookmarkStart w:id="373" w:name="_Toc376802109"/>
      <w:bookmarkStart w:id="374" w:name="_Toc384136026"/>
      <w:bookmarkStart w:id="375" w:name="_Toc392099104"/>
      <w:bookmarkStart w:id="376" w:name="_Toc392081829"/>
      <w:bookmarkStart w:id="377" w:name="_Toc392081892"/>
      <w:r w:rsidRPr="003312ED">
        <w:t>Synaptics Inc. (SYNA US / OW / $89.38)</w:t>
      </w:r>
      <w:bookmarkEnd w:id="370"/>
      <w:bookmarkEnd w:id="371"/>
      <w:bookmarkEnd w:id="372"/>
      <w:bookmarkEnd w:id="373"/>
      <w:bookmarkEnd w:id="374"/>
      <w:bookmarkEnd w:id="375"/>
      <w:bookmarkEnd w:id="376"/>
      <w:bookmarkEnd w:id="377"/>
    </w:p>
    <w:p w:rsidR="00BC1D60" w:rsidRPr="003312ED" w:rsidRDefault="00BC1D60" w:rsidP="00BC1D60">
      <w:pPr>
        <w:pStyle w:val="Heading2"/>
        <w:spacing w:after="120"/>
        <w:rPr>
          <w:i/>
        </w:rPr>
      </w:pPr>
      <w:r w:rsidRPr="003312ED">
        <w:rPr>
          <w:i/>
        </w:rPr>
        <w:t xml:space="preserve">Leading supplier of touch solutions </w:t>
      </w:r>
    </w:p>
    <w:p w:rsidR="00BC1D60" w:rsidRPr="003312ED" w:rsidRDefault="00BC1D60" w:rsidP="00BC1D60">
      <w:pPr>
        <w:pStyle w:val="Heading3"/>
      </w:pPr>
      <w:r w:rsidRPr="003312ED">
        <w:t>Investment Highlights:</w:t>
      </w:r>
    </w:p>
    <w:p w:rsidR="00BC1D60" w:rsidRPr="003312ED" w:rsidRDefault="00BC1D60" w:rsidP="00BC1D60">
      <w:pPr>
        <w:pStyle w:val="Bullet"/>
        <w:rPr>
          <w:lang w:val="en-GB" w:eastAsia="ja-JP"/>
        </w:rPr>
      </w:pPr>
      <w:r w:rsidRPr="003312ED">
        <w:rPr>
          <w:lang w:val="en-GB" w:eastAsia="ja-JP"/>
        </w:rPr>
        <w:t>SYNA is the leader in touch solutions for the high-end touch market with design wins with major handset OEMs including Samsung, HTC, Motorola, Sony, Nokia, Amazon, and LG. The company is also a leading provider of touch solutions into the Chinese handset market and has a dominant share of the PC touchpad market.</w:t>
      </w:r>
    </w:p>
    <w:p w:rsidR="00BC1D60" w:rsidRPr="003312ED" w:rsidRDefault="00BC1D60" w:rsidP="00BC1D60">
      <w:pPr>
        <w:pStyle w:val="Bullet"/>
        <w:rPr>
          <w:lang w:val="en-GB" w:eastAsia="ja-JP"/>
        </w:rPr>
      </w:pPr>
      <w:r w:rsidRPr="003312ED">
        <w:rPr>
          <w:lang w:val="en-GB" w:eastAsia="ja-JP"/>
        </w:rPr>
        <w:t>Move to in-cell, on-cell and integrated display technology allows room for higher ASPs.</w:t>
      </w:r>
    </w:p>
    <w:p w:rsidR="00BC1D60" w:rsidRPr="003312ED" w:rsidRDefault="00BC1D60" w:rsidP="00BC1D60">
      <w:pPr>
        <w:pStyle w:val="Bullet"/>
        <w:rPr>
          <w:lang w:val="en-GB" w:eastAsia="ja-JP"/>
        </w:rPr>
      </w:pPr>
      <w:r w:rsidRPr="003312ED">
        <w:rPr>
          <w:lang w:val="en-GB" w:eastAsia="ja-JP"/>
        </w:rPr>
        <w:t>Timely acquisitions (Renesas SP, and Validity) increasing the TAM and transition to TDDI. (touch, LCD, and biometric solutions in one chip)</w:t>
      </w:r>
    </w:p>
    <w:p w:rsidR="00BC1D60" w:rsidRPr="003312ED" w:rsidRDefault="00BC1D60" w:rsidP="00BC1D60">
      <w:pPr>
        <w:pStyle w:val="Bullet"/>
        <w:rPr>
          <w:lang w:val="en-GB" w:eastAsia="ja-JP"/>
        </w:rPr>
      </w:pPr>
      <w:r w:rsidRPr="003312ED">
        <w:rPr>
          <w:lang w:val="en-GB" w:eastAsia="ja-JP"/>
        </w:rPr>
        <w:t>We believe the company is on track to achieve record revenue of $938mm, or more, in FY14 or up 41% y/y</w:t>
      </w:r>
    </w:p>
    <w:p w:rsidR="00BC1D60" w:rsidRPr="003312ED" w:rsidRDefault="00BC1D60" w:rsidP="00BC1D60">
      <w:pPr>
        <w:pStyle w:val="Body"/>
        <w:spacing w:after="120"/>
      </w:pPr>
      <w:r w:rsidRPr="003312ED">
        <w:rPr>
          <w:b/>
        </w:rPr>
        <w:t xml:space="preserve">Valuation / Risks to our View: </w:t>
      </w:r>
      <w:r w:rsidRPr="003312ED">
        <w:t>Our Dec ‘14 price target of $98.00</w:t>
      </w:r>
      <w:r>
        <w:t xml:space="preserve"> </w:t>
      </w:r>
      <w:r w:rsidRPr="003312ED">
        <w:t xml:space="preserve">is based on 16x our CY15E PF EPS of $6.14 </w:t>
      </w:r>
      <w:r w:rsidRPr="003312ED">
        <w:rPr>
          <w:szCs w:val="20"/>
        </w:rPr>
        <w:t>Risks include 1) global economy weakness and slowing demand for PC, tablets, and handsets; 2) intensifying competition owing to new entrants into the capacitive touch space; 3) OEMs taking capacitive touch production in-house</w:t>
      </w:r>
      <w:r w:rsidRPr="003312ED">
        <w:t>; 4) new technologies disrupting the capacitive touch mkt; 5)</w:t>
      </w:r>
      <w:r>
        <w:t xml:space="preserve"> </w:t>
      </w:r>
      <w:r w:rsidRPr="003312ED">
        <w:t>integration risks related to Renesas SP acquisition 6) slowing rate of innovation in PC / handset mkt; 7) increasing operating expenses relative to expectations.</w:t>
      </w:r>
    </w:p>
    <w:p w:rsidR="00BC1D60" w:rsidRPr="003312ED" w:rsidRDefault="00BC1D60" w:rsidP="00BC1D60">
      <w:pPr>
        <w:pStyle w:val="Heading3"/>
        <w:spacing w:after="120"/>
        <w:rPr>
          <w:b w:val="0"/>
        </w:rPr>
      </w:pPr>
      <w:r w:rsidRPr="003312ED">
        <w:t xml:space="preserve">Synaptics in a Nutshell: </w:t>
      </w:r>
      <w:r w:rsidRPr="003312ED">
        <w:rPr>
          <w:b w:val="0"/>
          <w:lang w:val="en-GB" w:eastAsia="ja-JP"/>
        </w:rPr>
        <w:t>SYNA develops custom-designed user interface solutions for laptops, PCs and peripherals, mobile phones, &amp; media players that allow touch-sensitive positioning driven by finger motions. SYNA is the mkt leader in touch solutions with design wins at Samsung, HTC, Lenovo, LG, Blackberry, Nokia etc</w:t>
      </w:r>
      <w:r w:rsidRPr="003312ED">
        <w:rPr>
          <w:b w:val="0"/>
          <w:szCs w:val="20"/>
        </w:rPr>
        <w:t>.</w:t>
      </w:r>
    </w:p>
    <w:p w:rsidR="00BC1D60" w:rsidRPr="003312ED" w:rsidRDefault="00BC1D60" w:rsidP="00BC1D60">
      <w:pPr>
        <w:pStyle w:val="Heading3"/>
      </w:pPr>
      <w:r w:rsidRPr="003312ED">
        <w:t>Price Perf vs MSCI All Country World Small Cap (rebased as of 1-year ago)</w:t>
      </w:r>
    </w:p>
    <w:p w:rsidR="00BC1D60" w:rsidRPr="003312ED" w:rsidRDefault="00BC1D60" w:rsidP="00BC1D60">
      <w:pPr>
        <w:pStyle w:val="Body"/>
        <w:spacing w:after="0"/>
        <w:rPr>
          <w:noProof/>
          <w:lang w:val="en-GB" w:eastAsia="en-GB"/>
        </w:rPr>
      </w:pPr>
      <w:r w:rsidRPr="003312ED">
        <w:rPr>
          <w:noProof/>
        </w:rPr>
        <w:drawing>
          <wp:inline distT="0" distB="0" distL="0" distR="0">
            <wp:extent cx="4352290" cy="1664621"/>
            <wp:effectExtent l="19050" t="0" r="0" b="0"/>
            <wp:docPr id="116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67"/>
                    <a:srcRect/>
                    <a:stretch>
                      <a:fillRect/>
                    </a:stretch>
                  </pic:blipFill>
                  <pic:spPr bwMode="auto">
                    <a:xfrm>
                      <a:off x="0" y="0"/>
                      <a:ext cx="4352290" cy="1664621"/>
                    </a:xfrm>
                    <a:prstGeom prst="rect">
                      <a:avLst/>
                    </a:prstGeom>
                    <a:noFill/>
                    <a:ln w="9525">
                      <a:noFill/>
                      <a:miter lim="800000"/>
                      <a:headEnd/>
                      <a:tailEnd/>
                    </a:ln>
                  </pic:spPr>
                </pic:pic>
              </a:graphicData>
            </a:graphic>
          </wp:inline>
        </w:drawing>
      </w:r>
    </w:p>
    <w:p w:rsidR="00BC1D60" w:rsidRDefault="00BC1D60" w:rsidP="00BC1D60">
      <w:pPr>
        <w:pStyle w:val="ESTableCaption"/>
        <w:keepNext/>
      </w:pPr>
      <w:r w:rsidRPr="003312ED">
        <w:t>J.P. Morgan Estimates</w:t>
      </w:r>
      <w:r w:rsidRPr="003312ED">
        <w:br/>
      </w:r>
      <w:r>
        <w:rPr>
          <w:sz w:val="16"/>
        </w:rPr>
        <w:t>Synaptics Incorporated (SYNA;SYNA US)</w:t>
      </w:r>
    </w:p>
    <w:tbl>
      <w:tblPr>
        <w:tblW w:w="5000" w:type="pct"/>
        <w:tblCellMar>
          <w:left w:w="0" w:type="dxa"/>
          <w:right w:w="43" w:type="dxa"/>
        </w:tblCellMar>
        <w:tblLook w:val="01E0"/>
      </w:tblPr>
      <w:tblGrid>
        <w:gridCol w:w="2013"/>
        <w:gridCol w:w="1221"/>
        <w:gridCol w:w="1221"/>
        <w:gridCol w:w="1221"/>
        <w:gridCol w:w="1221"/>
      </w:tblGrid>
      <w:tr w:rsidR="00BC1D60" w:rsidTr="00BC5B38">
        <w:trPr>
          <w:cantSplit/>
        </w:trPr>
        <w:tc>
          <w:tcPr>
            <w:tcW w:w="2000" w:type="dxa"/>
            <w:tcBorders>
              <w:top w:val="single" w:sz="4" w:space="0" w:color="auto"/>
            </w:tcBorders>
          </w:tcPr>
          <w:p w:rsidR="00BC1D60" w:rsidRDefault="00BC1D60" w:rsidP="00BC5B38">
            <w:pPr>
              <w:pStyle w:val="ESTableRow"/>
              <w:keepNext/>
            </w:pPr>
            <w:r>
              <w:rPr>
                <w:b/>
              </w:rPr>
              <w:t>FYE Jun</w:t>
            </w:r>
          </w:p>
        </w:tc>
        <w:tc>
          <w:tcPr>
            <w:tcW w:w="1212" w:type="dxa"/>
            <w:tcBorders>
              <w:top w:val="single" w:sz="4" w:space="0" w:color="auto"/>
            </w:tcBorders>
          </w:tcPr>
          <w:p w:rsidR="00BC1D60" w:rsidRDefault="00BC1D60" w:rsidP="00BC5B38">
            <w:pPr>
              <w:pStyle w:val="ESTableRow"/>
              <w:keepNext/>
              <w:jc w:val="right"/>
            </w:pPr>
            <w:r>
              <w:rPr>
                <w:b/>
              </w:rPr>
              <w:t>2013A</w:t>
            </w:r>
          </w:p>
        </w:tc>
        <w:tc>
          <w:tcPr>
            <w:tcW w:w="1212" w:type="dxa"/>
            <w:tcBorders>
              <w:top w:val="single" w:sz="4" w:space="0" w:color="auto"/>
            </w:tcBorders>
          </w:tcPr>
          <w:p w:rsidR="00BC1D60" w:rsidRDefault="00BC1D60" w:rsidP="00BC5B38">
            <w:pPr>
              <w:pStyle w:val="ESTableRow"/>
              <w:keepNext/>
              <w:jc w:val="right"/>
            </w:pPr>
            <w:r>
              <w:rPr>
                <w:b/>
              </w:rPr>
              <w:t>2014E</w:t>
            </w:r>
          </w:p>
        </w:tc>
        <w:tc>
          <w:tcPr>
            <w:tcW w:w="1212" w:type="dxa"/>
            <w:tcBorders>
              <w:top w:val="single" w:sz="4" w:space="0" w:color="auto"/>
            </w:tcBorders>
          </w:tcPr>
          <w:p w:rsidR="00BC1D60" w:rsidRDefault="00BC1D60" w:rsidP="00BC5B38">
            <w:pPr>
              <w:pStyle w:val="ESTableRow"/>
              <w:keepNext/>
              <w:jc w:val="right"/>
            </w:pPr>
            <w:r>
              <w:rPr>
                <w:b/>
              </w:rPr>
              <w:t>2015E</w:t>
            </w:r>
          </w:p>
        </w:tc>
        <w:tc>
          <w:tcPr>
            <w:tcW w:w="1212" w:type="dxa"/>
            <w:tcBorders>
              <w:top w:val="single" w:sz="4" w:space="0" w:color="auto"/>
            </w:tcBorders>
          </w:tcPr>
          <w:p w:rsidR="00BC1D60" w:rsidRDefault="00BC1D60" w:rsidP="00BC5B38">
            <w:pPr>
              <w:pStyle w:val="ESTableRow"/>
              <w:keepNext/>
              <w:jc w:val="right"/>
            </w:pPr>
            <w:r>
              <w:rPr>
                <w:b/>
              </w:rPr>
              <w:t>2016E</w:t>
            </w:r>
          </w:p>
        </w:tc>
      </w:tr>
      <w:tr w:rsidR="00BC1D60" w:rsidTr="00BC5B38">
        <w:trPr>
          <w:cantSplit/>
        </w:trPr>
        <w:tc>
          <w:tcPr>
            <w:tcW w:w="2000" w:type="dxa"/>
            <w:tcBorders>
              <w:top w:val="single" w:sz="4" w:space="0" w:color="auto"/>
            </w:tcBorders>
          </w:tcPr>
          <w:p w:rsidR="00BC1D60" w:rsidRDefault="00BC1D60" w:rsidP="00BC5B38">
            <w:pPr>
              <w:pStyle w:val="ESTableRow"/>
              <w:keepNext/>
            </w:pPr>
            <w:r>
              <w:t>EPS - Recurring ($)</w:t>
            </w:r>
          </w:p>
        </w:tc>
        <w:tc>
          <w:tcPr>
            <w:tcW w:w="1212" w:type="dxa"/>
            <w:tcBorders>
              <w:top w:val="single" w:sz="4" w:space="0" w:color="auto"/>
            </w:tcBorders>
          </w:tcPr>
          <w:p w:rsidR="00BC1D60" w:rsidRDefault="00BC1D60" w:rsidP="00BC5B38">
            <w:pPr>
              <w:pStyle w:val="ESTableRow"/>
              <w:keepNext/>
              <w:jc w:val="right"/>
            </w:pPr>
          </w:p>
        </w:tc>
        <w:tc>
          <w:tcPr>
            <w:tcW w:w="1212" w:type="dxa"/>
            <w:tcBorders>
              <w:top w:val="single" w:sz="4" w:space="0" w:color="auto"/>
            </w:tcBorders>
          </w:tcPr>
          <w:p w:rsidR="00BC1D60" w:rsidRDefault="00BC1D60" w:rsidP="00BC5B38">
            <w:pPr>
              <w:pStyle w:val="ESTableRow"/>
              <w:keepNext/>
              <w:jc w:val="right"/>
            </w:pPr>
          </w:p>
        </w:tc>
        <w:tc>
          <w:tcPr>
            <w:tcW w:w="1212" w:type="dxa"/>
            <w:tcBorders>
              <w:top w:val="single" w:sz="4" w:space="0" w:color="auto"/>
            </w:tcBorders>
          </w:tcPr>
          <w:p w:rsidR="00BC1D60" w:rsidRDefault="00BC1D60" w:rsidP="00BC5B38">
            <w:pPr>
              <w:pStyle w:val="ESTableRow"/>
              <w:keepNext/>
              <w:jc w:val="right"/>
            </w:pPr>
          </w:p>
        </w:tc>
        <w:tc>
          <w:tcPr>
            <w:tcW w:w="1212" w:type="dxa"/>
            <w:tcBorders>
              <w:top w:val="single" w:sz="4" w:space="0" w:color="auto"/>
            </w:tcBorders>
          </w:tcPr>
          <w:p w:rsidR="00BC1D60" w:rsidRDefault="00BC1D60" w:rsidP="00BC5B38">
            <w:pPr>
              <w:pStyle w:val="ESTableRow"/>
              <w:keepNext/>
              <w:jc w:val="right"/>
            </w:pPr>
          </w:p>
        </w:tc>
      </w:tr>
      <w:tr w:rsidR="00BC1D60" w:rsidTr="00BC5B38">
        <w:trPr>
          <w:cantSplit/>
        </w:trPr>
        <w:tc>
          <w:tcPr>
            <w:tcW w:w="2000" w:type="dxa"/>
          </w:tcPr>
          <w:p w:rsidR="00BC1D60" w:rsidRDefault="00BC1D60" w:rsidP="00BC5B38">
            <w:pPr>
              <w:pStyle w:val="ESTableRow"/>
              <w:keepNext/>
            </w:pPr>
            <w:r>
              <w:t xml:space="preserve"> Q1 (Sep)</w:t>
            </w:r>
          </w:p>
        </w:tc>
        <w:tc>
          <w:tcPr>
            <w:tcW w:w="1212" w:type="dxa"/>
          </w:tcPr>
          <w:p w:rsidR="00BC1D60" w:rsidRDefault="00BC1D60" w:rsidP="00BC5B38">
            <w:pPr>
              <w:pStyle w:val="ESTableRow"/>
              <w:keepNext/>
              <w:jc w:val="right"/>
            </w:pPr>
            <w:r>
              <w:t>0.38</w:t>
            </w:r>
          </w:p>
        </w:tc>
        <w:tc>
          <w:tcPr>
            <w:tcW w:w="1212" w:type="dxa"/>
          </w:tcPr>
          <w:p w:rsidR="00BC1D60" w:rsidRDefault="00BC1D60" w:rsidP="00BC5B38">
            <w:pPr>
              <w:pStyle w:val="ESTableRow"/>
              <w:keepNext/>
              <w:jc w:val="right"/>
            </w:pPr>
            <w:r>
              <w:t>1.31A</w:t>
            </w:r>
          </w:p>
        </w:tc>
        <w:tc>
          <w:tcPr>
            <w:tcW w:w="1212" w:type="dxa"/>
          </w:tcPr>
          <w:p w:rsidR="00BC1D60" w:rsidRDefault="00BC1D60" w:rsidP="00BC5B38">
            <w:pPr>
              <w:pStyle w:val="ESTableRow"/>
              <w:keepNext/>
              <w:jc w:val="right"/>
            </w:pPr>
            <w:r>
              <w:t>1.27</w:t>
            </w:r>
          </w:p>
        </w:tc>
        <w:tc>
          <w:tcPr>
            <w:tcW w:w="1212" w:type="dxa"/>
          </w:tcPr>
          <w:p w:rsidR="00BC1D60" w:rsidRDefault="00BC1D60" w:rsidP="00BC5B38">
            <w:pPr>
              <w:pStyle w:val="ESTableRow"/>
              <w:keepNext/>
              <w:jc w:val="right"/>
            </w:pPr>
            <w:r>
              <w:t>1.73</w:t>
            </w:r>
          </w:p>
        </w:tc>
      </w:tr>
      <w:tr w:rsidR="00BC1D60" w:rsidTr="00BC5B38">
        <w:trPr>
          <w:cantSplit/>
        </w:trPr>
        <w:tc>
          <w:tcPr>
            <w:tcW w:w="2000" w:type="dxa"/>
          </w:tcPr>
          <w:p w:rsidR="00BC1D60" w:rsidRDefault="00BC1D60" w:rsidP="00BC5B38">
            <w:pPr>
              <w:pStyle w:val="ESTableRow"/>
              <w:keepNext/>
            </w:pPr>
            <w:r>
              <w:t xml:space="preserve"> Q2 (Dec)</w:t>
            </w:r>
          </w:p>
        </w:tc>
        <w:tc>
          <w:tcPr>
            <w:tcW w:w="1212" w:type="dxa"/>
          </w:tcPr>
          <w:p w:rsidR="00BC1D60" w:rsidRDefault="00BC1D60" w:rsidP="00BC5B38">
            <w:pPr>
              <w:pStyle w:val="ESTableRow"/>
              <w:keepNext/>
              <w:jc w:val="right"/>
            </w:pPr>
            <w:r>
              <w:t>0.53</w:t>
            </w:r>
          </w:p>
        </w:tc>
        <w:tc>
          <w:tcPr>
            <w:tcW w:w="1212" w:type="dxa"/>
          </w:tcPr>
          <w:p w:rsidR="00BC1D60" w:rsidRDefault="00BC1D60" w:rsidP="00BC5B38">
            <w:pPr>
              <w:pStyle w:val="ESTableRow"/>
              <w:keepNext/>
              <w:jc w:val="right"/>
            </w:pPr>
            <w:r>
              <w:t>0.86A</w:t>
            </w:r>
          </w:p>
        </w:tc>
        <w:tc>
          <w:tcPr>
            <w:tcW w:w="1212" w:type="dxa"/>
          </w:tcPr>
          <w:p w:rsidR="00BC1D60" w:rsidRDefault="00BC1D60" w:rsidP="00BC5B38">
            <w:pPr>
              <w:pStyle w:val="ESTableRow"/>
              <w:keepNext/>
              <w:jc w:val="right"/>
            </w:pPr>
            <w:r>
              <w:t>1.02</w:t>
            </w:r>
          </w:p>
        </w:tc>
        <w:tc>
          <w:tcPr>
            <w:tcW w:w="1212" w:type="dxa"/>
          </w:tcPr>
          <w:p w:rsidR="00BC1D60" w:rsidRDefault="00BC1D60" w:rsidP="00BC5B38">
            <w:pPr>
              <w:pStyle w:val="ESTableRow"/>
              <w:keepNext/>
              <w:jc w:val="right"/>
            </w:pPr>
            <w:r>
              <w:t>1.48</w:t>
            </w:r>
          </w:p>
        </w:tc>
      </w:tr>
      <w:tr w:rsidR="00BC1D60" w:rsidTr="00BC5B38">
        <w:trPr>
          <w:cantSplit/>
        </w:trPr>
        <w:tc>
          <w:tcPr>
            <w:tcW w:w="2000" w:type="dxa"/>
          </w:tcPr>
          <w:p w:rsidR="00BC1D60" w:rsidRDefault="00BC1D60" w:rsidP="00BC5B38">
            <w:pPr>
              <w:pStyle w:val="ESTableRow"/>
              <w:keepNext/>
            </w:pPr>
            <w:r>
              <w:t xml:space="preserve"> Q3 (Mar)</w:t>
            </w:r>
          </w:p>
        </w:tc>
        <w:tc>
          <w:tcPr>
            <w:tcW w:w="1212" w:type="dxa"/>
          </w:tcPr>
          <w:p w:rsidR="00BC1D60" w:rsidRDefault="00BC1D60" w:rsidP="00BC5B38">
            <w:pPr>
              <w:pStyle w:val="ESTableRow"/>
              <w:keepNext/>
              <w:jc w:val="right"/>
            </w:pPr>
            <w:r>
              <w:t>0.79</w:t>
            </w:r>
          </w:p>
        </w:tc>
        <w:tc>
          <w:tcPr>
            <w:tcW w:w="1212" w:type="dxa"/>
          </w:tcPr>
          <w:p w:rsidR="00BC1D60" w:rsidRDefault="00BC1D60" w:rsidP="00BC5B38">
            <w:pPr>
              <w:pStyle w:val="ESTableRow"/>
              <w:keepNext/>
              <w:jc w:val="right"/>
            </w:pPr>
            <w:r>
              <w:t>0.63A</w:t>
            </w:r>
          </w:p>
        </w:tc>
        <w:tc>
          <w:tcPr>
            <w:tcW w:w="1212" w:type="dxa"/>
          </w:tcPr>
          <w:p w:rsidR="00BC1D60" w:rsidRDefault="00BC1D60" w:rsidP="00BC5B38">
            <w:pPr>
              <w:pStyle w:val="ESTableRow"/>
              <w:keepNext/>
              <w:jc w:val="right"/>
            </w:pPr>
            <w:r>
              <w:t>1.14</w:t>
            </w:r>
          </w:p>
        </w:tc>
        <w:tc>
          <w:tcPr>
            <w:tcW w:w="1212" w:type="dxa"/>
          </w:tcPr>
          <w:p w:rsidR="00BC1D60" w:rsidRDefault="00BC1D60" w:rsidP="00BC5B38">
            <w:pPr>
              <w:pStyle w:val="ESTableRow"/>
              <w:keepNext/>
              <w:jc w:val="right"/>
            </w:pPr>
            <w:r>
              <w:t>1.29</w:t>
            </w:r>
          </w:p>
        </w:tc>
      </w:tr>
      <w:tr w:rsidR="00BC1D60" w:rsidTr="00BC5B38">
        <w:trPr>
          <w:cantSplit/>
        </w:trPr>
        <w:tc>
          <w:tcPr>
            <w:tcW w:w="2000" w:type="dxa"/>
          </w:tcPr>
          <w:p w:rsidR="00BC1D60" w:rsidRDefault="00BC1D60" w:rsidP="00BC5B38">
            <w:pPr>
              <w:pStyle w:val="ESTableRow"/>
              <w:keepNext/>
            </w:pPr>
            <w:r>
              <w:t xml:space="preserve"> Q4 (Jun)</w:t>
            </w:r>
          </w:p>
        </w:tc>
        <w:tc>
          <w:tcPr>
            <w:tcW w:w="1212" w:type="dxa"/>
          </w:tcPr>
          <w:p w:rsidR="00BC1D60" w:rsidRDefault="00BC1D60" w:rsidP="00BC5B38">
            <w:pPr>
              <w:pStyle w:val="ESTableRow"/>
              <w:keepNext/>
              <w:jc w:val="right"/>
            </w:pPr>
            <w:r>
              <w:t>1.36</w:t>
            </w:r>
          </w:p>
        </w:tc>
        <w:tc>
          <w:tcPr>
            <w:tcW w:w="1212" w:type="dxa"/>
          </w:tcPr>
          <w:p w:rsidR="00BC1D60" w:rsidRDefault="00BC1D60" w:rsidP="00BC5B38">
            <w:pPr>
              <w:pStyle w:val="ESTableRow"/>
              <w:keepNext/>
              <w:jc w:val="right"/>
            </w:pPr>
            <w:r>
              <w:t>1.44</w:t>
            </w:r>
          </w:p>
        </w:tc>
        <w:tc>
          <w:tcPr>
            <w:tcW w:w="1212" w:type="dxa"/>
          </w:tcPr>
          <w:p w:rsidR="00BC1D60" w:rsidRDefault="00BC1D60" w:rsidP="00BC5B38">
            <w:pPr>
              <w:pStyle w:val="ESTableRow"/>
              <w:keepNext/>
              <w:jc w:val="right"/>
            </w:pPr>
            <w:r>
              <w:t>1.80</w:t>
            </w:r>
          </w:p>
        </w:tc>
        <w:tc>
          <w:tcPr>
            <w:tcW w:w="1212" w:type="dxa"/>
          </w:tcPr>
          <w:p w:rsidR="00BC1D60" w:rsidRDefault="00BC1D60" w:rsidP="00BC5B38">
            <w:pPr>
              <w:pStyle w:val="ESTableRow"/>
              <w:keepNext/>
              <w:jc w:val="right"/>
            </w:pPr>
            <w:r>
              <w:t>1.99</w:t>
            </w:r>
          </w:p>
        </w:tc>
      </w:tr>
      <w:tr w:rsidR="00BC1D60" w:rsidTr="00BC5B38">
        <w:trPr>
          <w:cantSplit/>
        </w:trPr>
        <w:tc>
          <w:tcPr>
            <w:tcW w:w="2000" w:type="dxa"/>
          </w:tcPr>
          <w:p w:rsidR="00BC1D60" w:rsidRDefault="00BC1D60" w:rsidP="00BC5B38">
            <w:pPr>
              <w:pStyle w:val="ESTableRow"/>
              <w:keepNext/>
            </w:pPr>
            <w:r>
              <w:t xml:space="preserve"> FY</w:t>
            </w:r>
          </w:p>
        </w:tc>
        <w:tc>
          <w:tcPr>
            <w:tcW w:w="1212" w:type="dxa"/>
          </w:tcPr>
          <w:p w:rsidR="00BC1D60" w:rsidRDefault="00BC1D60" w:rsidP="00BC5B38">
            <w:pPr>
              <w:pStyle w:val="ESTableRow"/>
              <w:keepNext/>
              <w:jc w:val="right"/>
            </w:pPr>
            <w:r>
              <w:t>3.12</w:t>
            </w:r>
          </w:p>
        </w:tc>
        <w:tc>
          <w:tcPr>
            <w:tcW w:w="1212" w:type="dxa"/>
          </w:tcPr>
          <w:p w:rsidR="00BC1D60" w:rsidRDefault="00BC1D60" w:rsidP="00BC5B38">
            <w:pPr>
              <w:pStyle w:val="ESTableRow"/>
              <w:keepNext/>
              <w:jc w:val="right"/>
            </w:pPr>
            <w:r>
              <w:t>4.24</w:t>
            </w:r>
          </w:p>
        </w:tc>
        <w:tc>
          <w:tcPr>
            <w:tcW w:w="1212" w:type="dxa"/>
          </w:tcPr>
          <w:p w:rsidR="00BC1D60" w:rsidRDefault="00BC1D60" w:rsidP="00BC5B38">
            <w:pPr>
              <w:pStyle w:val="ESTableRow"/>
              <w:keepNext/>
              <w:jc w:val="right"/>
            </w:pPr>
            <w:r>
              <w:t>5.68</w:t>
            </w:r>
          </w:p>
        </w:tc>
        <w:tc>
          <w:tcPr>
            <w:tcW w:w="1212" w:type="dxa"/>
          </w:tcPr>
          <w:p w:rsidR="00BC1D60" w:rsidRDefault="00BC1D60" w:rsidP="00BC5B38">
            <w:pPr>
              <w:pStyle w:val="ESTableRow"/>
              <w:keepNext/>
              <w:jc w:val="right"/>
            </w:pPr>
            <w:r>
              <w:t>6.92</w:t>
            </w:r>
          </w:p>
        </w:tc>
      </w:tr>
      <w:tr w:rsidR="00BC1D60" w:rsidTr="00BC5B38">
        <w:trPr>
          <w:cantSplit/>
        </w:trPr>
        <w:tc>
          <w:tcPr>
            <w:tcW w:w="2000" w:type="dxa"/>
          </w:tcPr>
          <w:p w:rsidR="00BC1D60" w:rsidRDefault="00BC1D60" w:rsidP="00BC5B38">
            <w:pPr>
              <w:pStyle w:val="ESTableRow"/>
              <w:keepNext/>
            </w:pPr>
            <w:r>
              <w:t>Bloomberg EPS FY ($)</w:t>
            </w:r>
          </w:p>
        </w:tc>
        <w:tc>
          <w:tcPr>
            <w:tcW w:w="1212" w:type="dxa"/>
          </w:tcPr>
          <w:p w:rsidR="00BC1D60" w:rsidRDefault="00BC1D60" w:rsidP="00BC5B38">
            <w:pPr>
              <w:pStyle w:val="ESTableRow"/>
              <w:keepNext/>
              <w:jc w:val="right"/>
            </w:pPr>
            <w:r>
              <w:t>3.01</w:t>
            </w:r>
          </w:p>
        </w:tc>
        <w:tc>
          <w:tcPr>
            <w:tcW w:w="1212" w:type="dxa"/>
          </w:tcPr>
          <w:p w:rsidR="00BC1D60" w:rsidRDefault="00BC1D60" w:rsidP="00BC5B38">
            <w:pPr>
              <w:pStyle w:val="ESTableRow"/>
              <w:keepNext/>
              <w:jc w:val="right"/>
            </w:pPr>
            <w:r>
              <w:t>4.21</w:t>
            </w:r>
          </w:p>
        </w:tc>
        <w:tc>
          <w:tcPr>
            <w:tcW w:w="1212" w:type="dxa"/>
          </w:tcPr>
          <w:p w:rsidR="00BC1D60" w:rsidRDefault="00BC1D60" w:rsidP="00BC5B38">
            <w:pPr>
              <w:pStyle w:val="ESTableRow"/>
              <w:keepNext/>
              <w:jc w:val="right"/>
            </w:pPr>
            <w:r>
              <w:t>5.02</w:t>
            </w:r>
          </w:p>
        </w:tc>
        <w:tc>
          <w:tcPr>
            <w:tcW w:w="1212" w:type="dxa"/>
          </w:tcPr>
          <w:p w:rsidR="00BC1D60" w:rsidRDefault="00BC1D60" w:rsidP="00BC5B38">
            <w:pPr>
              <w:pStyle w:val="ESTableRow"/>
              <w:keepNext/>
              <w:jc w:val="right"/>
            </w:pPr>
            <w:r>
              <w:t>5.93</w:t>
            </w:r>
          </w:p>
        </w:tc>
      </w:tr>
      <w:tr w:rsidR="00BC1D60" w:rsidTr="00BC5B38">
        <w:trPr>
          <w:cantSplit/>
        </w:trPr>
        <w:tc>
          <w:tcPr>
            <w:tcW w:w="2000" w:type="dxa"/>
            <w:tcBorders>
              <w:bottom w:val="single" w:sz="4" w:space="0" w:color="auto"/>
            </w:tcBorders>
          </w:tcPr>
          <w:p w:rsidR="00BC1D60" w:rsidRDefault="00BC1D60" w:rsidP="00BC5B38">
            <w:pPr>
              <w:pStyle w:val="ESTableRow"/>
              <w:keepNext/>
            </w:pPr>
            <w:r>
              <w:t>Revenue FY ($ mn)</w:t>
            </w:r>
          </w:p>
        </w:tc>
        <w:tc>
          <w:tcPr>
            <w:tcW w:w="1212" w:type="dxa"/>
            <w:tcBorders>
              <w:bottom w:val="single" w:sz="4" w:space="0" w:color="auto"/>
            </w:tcBorders>
          </w:tcPr>
          <w:p w:rsidR="00BC1D60" w:rsidRDefault="00BC1D60" w:rsidP="00BC5B38">
            <w:pPr>
              <w:pStyle w:val="ESTableRow"/>
              <w:keepNext/>
              <w:jc w:val="right"/>
            </w:pPr>
            <w:r>
              <w:t>664</w:t>
            </w:r>
          </w:p>
        </w:tc>
        <w:tc>
          <w:tcPr>
            <w:tcW w:w="1212" w:type="dxa"/>
            <w:tcBorders>
              <w:bottom w:val="single" w:sz="4" w:space="0" w:color="auto"/>
            </w:tcBorders>
          </w:tcPr>
          <w:p w:rsidR="00BC1D60" w:rsidRDefault="00BC1D60" w:rsidP="00BC5B38">
            <w:pPr>
              <w:pStyle w:val="ESTableRow"/>
              <w:keepNext/>
              <w:jc w:val="right"/>
            </w:pPr>
            <w:r>
              <w:t>938</w:t>
            </w:r>
          </w:p>
        </w:tc>
        <w:tc>
          <w:tcPr>
            <w:tcW w:w="1212" w:type="dxa"/>
            <w:tcBorders>
              <w:bottom w:val="single" w:sz="4" w:space="0" w:color="auto"/>
            </w:tcBorders>
          </w:tcPr>
          <w:p w:rsidR="00BC1D60" w:rsidRDefault="00BC1D60" w:rsidP="00BC5B38">
            <w:pPr>
              <w:pStyle w:val="ESTableRow"/>
              <w:keepNext/>
              <w:jc w:val="right"/>
            </w:pPr>
            <w:r>
              <w:t>1,436</w:t>
            </w:r>
          </w:p>
        </w:tc>
        <w:tc>
          <w:tcPr>
            <w:tcW w:w="1212" w:type="dxa"/>
            <w:tcBorders>
              <w:bottom w:val="single" w:sz="4" w:space="0" w:color="auto"/>
            </w:tcBorders>
          </w:tcPr>
          <w:p w:rsidR="00BC1D60" w:rsidRDefault="00BC1D60" w:rsidP="00BC5B38">
            <w:pPr>
              <w:pStyle w:val="ESTableRow"/>
              <w:keepNext/>
              <w:jc w:val="right"/>
            </w:pPr>
            <w:r>
              <w:t>1,845</w:t>
            </w:r>
          </w:p>
        </w:tc>
      </w:tr>
    </w:tbl>
    <w:p w:rsidR="00BC1D60" w:rsidRPr="003312ED" w:rsidRDefault="00BC1D60" w:rsidP="00BC1D60">
      <w:pPr>
        <w:pStyle w:val="Source"/>
      </w:pPr>
      <w:r>
        <w:t>Source: Company data, Bloomberg, J.P. Morgan estimates. CY14E = $4.35; CY15E = $6.14</w:t>
      </w:r>
    </w:p>
    <w:p w:rsidR="00BC1D60" w:rsidRPr="004F1ABB" w:rsidRDefault="00BC1D60" w:rsidP="00BC1D60">
      <w:pPr>
        <w:spacing w:after="480" w:line="0" w:lineRule="auto"/>
        <w:rPr>
          <w:sz w:val="20"/>
          <w:highlight w:val="yellow"/>
        </w:rPr>
      </w:pPr>
      <w:r w:rsidRPr="004F1ABB">
        <w:rPr>
          <w:highlight w:val="yellow"/>
        </w:rPr>
        <w:br w:type="page"/>
      </w:r>
    </w:p>
    <w:p w:rsidR="00BC1D60" w:rsidRPr="007D6BCE" w:rsidRDefault="00BC1D60" w:rsidP="00BC1D60">
      <w:pPr>
        <w:pStyle w:val="Body"/>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7D6BCE" w:rsidTr="00BC5B38">
        <w:tc>
          <w:tcPr>
            <w:tcW w:w="10604" w:type="dxa"/>
            <w:gridSpan w:val="3"/>
            <w:shd w:val="clear" w:color="auto" w:fill="auto"/>
          </w:tcPr>
          <w:p w:rsidR="00BC1D60" w:rsidRPr="007D6BCE" w:rsidRDefault="00BC1D60" w:rsidP="00BC5B38">
            <w:pPr>
              <w:pStyle w:val="Heading1-NoTOC"/>
            </w:pPr>
            <w:bookmarkStart w:id="378" w:name="_Toc368054156"/>
            <w:bookmarkStart w:id="379" w:name="_Toc368081381"/>
            <w:bookmarkStart w:id="380" w:name="_Toc376756127"/>
            <w:bookmarkStart w:id="381" w:name="_Toc376801448"/>
            <w:bookmarkStart w:id="382" w:name="_Toc376802110"/>
            <w:bookmarkStart w:id="383" w:name="_Toc384045004"/>
            <w:bookmarkStart w:id="384" w:name="_Toc384136027"/>
            <w:bookmarkStart w:id="385" w:name="_Toc384136994"/>
            <w:bookmarkStart w:id="386" w:name="_Toc392016387"/>
            <w:bookmarkStart w:id="387" w:name="_Toc392099105"/>
            <w:r w:rsidRPr="007D6BCE">
              <w:t>Getting to know our SMid Analysts…</w:t>
            </w:r>
            <w:bookmarkEnd w:id="378"/>
            <w:bookmarkEnd w:id="379"/>
            <w:bookmarkEnd w:id="380"/>
            <w:bookmarkEnd w:id="381"/>
            <w:bookmarkEnd w:id="382"/>
            <w:bookmarkEnd w:id="383"/>
            <w:bookmarkEnd w:id="384"/>
            <w:bookmarkEnd w:id="385"/>
            <w:bookmarkEnd w:id="386"/>
            <w:bookmarkEnd w:id="387"/>
          </w:p>
        </w:tc>
      </w:tr>
      <w:tr w:rsidR="00BC1D60" w:rsidRPr="007D6BCE" w:rsidTr="00BC5B38">
        <w:trPr>
          <w:trHeight w:val="3427"/>
        </w:trPr>
        <w:tc>
          <w:tcPr>
            <w:tcW w:w="2666" w:type="dxa"/>
            <w:shd w:val="clear" w:color="auto" w:fill="auto"/>
          </w:tcPr>
          <w:p w:rsidR="00BC1D60" w:rsidRPr="007D6BCE" w:rsidRDefault="00BC1D60" w:rsidP="00BC5B38">
            <w:pPr>
              <w:pStyle w:val="Body"/>
              <w:spacing w:after="120"/>
            </w:pPr>
            <w:r w:rsidRPr="007D6BCE">
              <w:rPr>
                <w:noProof/>
              </w:rPr>
              <w:drawing>
                <wp:inline distT="0" distB="0" distL="0" distR="0">
                  <wp:extent cx="1554480" cy="1578805"/>
                  <wp:effectExtent l="19050" t="0" r="7620" b="0"/>
                  <wp:docPr id="11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8"/>
                          <a:srcRect l="21032" r="16708"/>
                          <a:stretch>
                            <a:fillRect/>
                          </a:stretch>
                        </pic:blipFill>
                        <pic:spPr bwMode="auto">
                          <a:xfrm>
                            <a:off x="0" y="0"/>
                            <a:ext cx="1554480" cy="1578805"/>
                          </a:xfrm>
                          <a:prstGeom prst="rect">
                            <a:avLst/>
                          </a:prstGeom>
                          <a:noFill/>
                          <a:ln w="9525">
                            <a:noFill/>
                            <a:miter lim="800000"/>
                            <a:headEnd/>
                            <a:tailEnd/>
                          </a:ln>
                        </pic:spPr>
                      </pic:pic>
                    </a:graphicData>
                  </a:graphic>
                </wp:inline>
              </w:drawing>
            </w:r>
          </w:p>
        </w:tc>
        <w:tc>
          <w:tcPr>
            <w:tcW w:w="3544" w:type="dxa"/>
            <w:shd w:val="clear" w:color="auto" w:fill="auto"/>
          </w:tcPr>
          <w:p w:rsidR="00BC1D60" w:rsidRPr="007D6BCE" w:rsidRDefault="00BC1D60" w:rsidP="00BC5B38">
            <w:pPr>
              <w:pStyle w:val="Heading2"/>
              <w:outlineLvl w:val="1"/>
            </w:pPr>
            <w:r w:rsidRPr="007D6BCE">
              <w:t>Paul Coster</w:t>
            </w:r>
            <w:r w:rsidRPr="007D6BCE">
              <w:rPr>
                <w:noProof/>
                <w:lang w:val="en-GB" w:eastAsia="en-GB"/>
              </w:rPr>
              <w:t xml:space="preserve"> </w:t>
            </w:r>
          </w:p>
          <w:p w:rsidR="00BC1D60" w:rsidRPr="007D6BCE" w:rsidRDefault="003B051F" w:rsidP="00BC5B38">
            <w:pPr>
              <w:pStyle w:val="Body"/>
              <w:spacing w:after="120"/>
              <w:rPr>
                <w:rStyle w:val="txtblackbld1"/>
                <w:rFonts w:ascii="Arial Narrow" w:hAnsi="Arial Narrow"/>
                <w:b w:val="0"/>
                <w:bCs w:val="0"/>
                <w:szCs w:val="20"/>
              </w:rPr>
            </w:pPr>
            <w:hyperlink r:id="rId169" w:history="1">
              <w:r w:rsidR="00BC1D60" w:rsidRPr="007D6BCE">
                <w:rPr>
                  <w:rStyle w:val="Hyperlink"/>
                  <w:rFonts w:ascii="Arial Narrow" w:hAnsi="Arial Narrow" w:cs="Arial"/>
                  <w:szCs w:val="20"/>
                </w:rPr>
                <w:t>paul.coster@jpmorgan.com</w:t>
              </w:r>
            </w:hyperlink>
          </w:p>
          <w:p w:rsidR="00BC1D60" w:rsidRPr="007D6BCE" w:rsidRDefault="00BC1D60" w:rsidP="00BC5B38">
            <w:pPr>
              <w:pStyle w:val="Body"/>
              <w:spacing w:after="120"/>
              <w:rPr>
                <w:rFonts w:ascii="Arial Narrow" w:hAnsi="Arial Narrow"/>
              </w:rPr>
            </w:pPr>
            <w:r w:rsidRPr="007D6BCE">
              <w:rPr>
                <w:rFonts w:ascii="Arial Narrow" w:hAnsi="Arial Narrow"/>
              </w:rPr>
              <w:t>(1-212) 622-6425</w:t>
            </w:r>
          </w:p>
          <w:p w:rsidR="00BC1D60" w:rsidRPr="007D6BCE" w:rsidRDefault="00BC1D60" w:rsidP="00BC5B38">
            <w:pPr>
              <w:pStyle w:val="Body"/>
              <w:spacing w:after="120"/>
              <w:rPr>
                <w:rFonts w:ascii="Arial Narrow" w:hAnsi="Arial Narrow"/>
              </w:rPr>
            </w:pPr>
          </w:p>
          <w:p w:rsidR="00BC1D60" w:rsidRPr="007D6BCE" w:rsidRDefault="00BC1D60" w:rsidP="00BC5B38">
            <w:pPr>
              <w:pStyle w:val="Body"/>
              <w:spacing w:after="120"/>
              <w:rPr>
                <w:rFonts w:ascii="Arial Narrow" w:hAnsi="Arial Narrow"/>
              </w:rPr>
            </w:pPr>
            <w:r w:rsidRPr="007D6BCE">
              <w:rPr>
                <w:rFonts w:ascii="Arial Narrow" w:hAnsi="Arial Narrow"/>
                <w:b/>
              </w:rPr>
              <w:t>Region:</w:t>
            </w:r>
            <w:r w:rsidRPr="007D6BCE">
              <w:rPr>
                <w:rFonts w:ascii="Arial Narrow" w:hAnsi="Arial Narrow"/>
              </w:rPr>
              <w:t xml:space="preserve"> US</w:t>
            </w:r>
          </w:p>
          <w:p w:rsidR="00BC1D60" w:rsidRPr="007D6BCE" w:rsidRDefault="00BC1D60" w:rsidP="00BC5B38">
            <w:pPr>
              <w:pStyle w:val="Body"/>
              <w:spacing w:after="120"/>
              <w:rPr>
                <w:rFonts w:ascii="Arial Narrow" w:hAnsi="Arial Narrow"/>
              </w:rPr>
            </w:pPr>
            <w:r w:rsidRPr="007D6BCE">
              <w:rPr>
                <w:rFonts w:ascii="Arial Narrow" w:hAnsi="Arial Narrow"/>
                <w:b/>
              </w:rPr>
              <w:t>Sector:</w:t>
            </w:r>
            <w:r w:rsidRPr="007D6BCE">
              <w:rPr>
                <w:rFonts w:ascii="Arial Narrow" w:hAnsi="Arial Narrow"/>
              </w:rPr>
              <w:t xml:space="preserve"> Alternative Energy, Applied and Emerging Technologies</w:t>
            </w:r>
          </w:p>
          <w:p w:rsidR="00BC1D60" w:rsidRPr="007D6BCE" w:rsidRDefault="00BC1D60" w:rsidP="00BC5B38">
            <w:pPr>
              <w:pStyle w:val="Body"/>
            </w:pPr>
          </w:p>
        </w:tc>
        <w:tc>
          <w:tcPr>
            <w:tcW w:w="4394" w:type="dxa"/>
            <w:shd w:val="clear" w:color="auto" w:fill="auto"/>
          </w:tcPr>
          <w:p w:rsidR="00BC1D60" w:rsidRPr="007D6BCE" w:rsidRDefault="00BC1D60" w:rsidP="00BC5B38">
            <w:pPr>
              <w:pStyle w:val="Body"/>
              <w:jc w:val="right"/>
            </w:pPr>
            <w:r w:rsidRPr="007D6BCE">
              <w:rPr>
                <w:noProof/>
              </w:rPr>
              <w:drawing>
                <wp:inline distT="0" distB="0" distL="0" distR="0">
                  <wp:extent cx="2505456" cy="2153971"/>
                  <wp:effectExtent l="19050" t="0" r="9144" b="0"/>
                  <wp:docPr id="117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0"/>
                          <a:srcRect/>
                          <a:stretch>
                            <a:fillRect/>
                          </a:stretch>
                        </pic:blipFill>
                        <pic:spPr bwMode="auto">
                          <a:xfrm>
                            <a:off x="0" y="0"/>
                            <a:ext cx="2505456" cy="2153971"/>
                          </a:xfrm>
                          <a:prstGeom prst="rect">
                            <a:avLst/>
                          </a:prstGeom>
                          <a:noFill/>
                          <a:ln w="9525">
                            <a:noFill/>
                            <a:miter lim="800000"/>
                            <a:headEnd/>
                            <a:tailEnd/>
                          </a:ln>
                        </pic:spPr>
                      </pic:pic>
                    </a:graphicData>
                  </a:graphic>
                </wp:inline>
              </w:drawing>
            </w:r>
            <w:r w:rsidRPr="007D6BCE" w:rsidDel="00675A7F">
              <w:t xml:space="preserve"> </w:t>
            </w:r>
          </w:p>
        </w:tc>
      </w:tr>
    </w:tbl>
    <w:p w:rsidR="00BC1D60" w:rsidRPr="007D6BCE" w:rsidRDefault="00BC1D60" w:rsidP="00BC1D60">
      <w:pPr>
        <w:pStyle w:val="Source"/>
        <w:spacing w:before="0"/>
        <w:ind w:left="-3124" w:hanging="137"/>
      </w:pPr>
      <w:r w:rsidRPr="007D6BCE">
        <w:rPr>
          <w:noProof/>
        </w:rPr>
        <w:drawing>
          <wp:inline distT="0" distB="0" distL="0" distR="0">
            <wp:extent cx="6702552" cy="3959932"/>
            <wp:effectExtent l="19050" t="0" r="3048" b="0"/>
            <wp:docPr id="117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1"/>
                    <a:srcRect/>
                    <a:stretch>
                      <a:fillRect/>
                    </a:stretch>
                  </pic:blipFill>
                  <pic:spPr bwMode="auto">
                    <a:xfrm>
                      <a:off x="0" y="0"/>
                      <a:ext cx="6702552" cy="3959932"/>
                    </a:xfrm>
                    <a:prstGeom prst="rect">
                      <a:avLst/>
                    </a:prstGeom>
                    <a:noFill/>
                    <a:ln w="9525">
                      <a:noFill/>
                      <a:miter lim="800000"/>
                      <a:headEnd/>
                      <a:tailEnd/>
                    </a:ln>
                  </pic:spPr>
                </pic:pic>
              </a:graphicData>
            </a:graphic>
          </wp:inline>
        </w:drawing>
      </w:r>
      <w:r>
        <w:t xml:space="preserve"> </w:t>
      </w:r>
      <w:r w:rsidRPr="007D6BCE">
        <w:t>Source: Bloomberg, Datastream, Factset, J.P. Morgan</w:t>
      </w:r>
      <w:r w:rsidRPr="007D6BCE">
        <w:br/>
      </w:r>
      <w:r w:rsidRPr="0087013D">
        <w:t>Prices as of 24 June 2014</w:t>
      </w:r>
    </w:p>
    <w:p w:rsidR="00BC1D60" w:rsidRPr="004F1ABB" w:rsidRDefault="00BC1D60" w:rsidP="00BC1D60">
      <w:pPr>
        <w:pStyle w:val="Source"/>
        <w:spacing w:before="0"/>
        <w:ind w:left="-3124" w:hanging="137"/>
        <w:rPr>
          <w:highlight w:val="yellow"/>
        </w:rPr>
      </w:pPr>
    </w:p>
    <w:p w:rsidR="00BC1D60" w:rsidRPr="004F1ABB" w:rsidRDefault="00BC1D60" w:rsidP="00BC1D60">
      <w:pPr>
        <w:pStyle w:val="Body"/>
        <w:rPr>
          <w:highlight w:val="yellow"/>
        </w:rPr>
      </w:pPr>
    </w:p>
    <w:p w:rsidR="00BC1D60" w:rsidRPr="004F1ABB" w:rsidRDefault="00BC1D60" w:rsidP="00BC1D60">
      <w:pPr>
        <w:pStyle w:val="Body"/>
        <w:rPr>
          <w:highlight w:val="yellow"/>
        </w:rPr>
      </w:pPr>
    </w:p>
    <w:p w:rsidR="00BC1D60" w:rsidRPr="004F1ABB" w:rsidRDefault="00BC1D60" w:rsidP="00BC1D60">
      <w:pPr>
        <w:pStyle w:val="Sidecomments"/>
        <w:framePr w:w="0" w:hRule="auto" w:wrap="around"/>
        <w:rPr>
          <w:highlight w:val="yellow"/>
        </w:rPr>
      </w:pPr>
      <w:r w:rsidRPr="003312ED">
        <w:rPr>
          <w:noProof/>
        </w:rPr>
        <w:lastRenderedPageBreak/>
        <w:drawing>
          <wp:inline distT="0" distB="0" distL="0" distR="0">
            <wp:extent cx="1737360" cy="7723698"/>
            <wp:effectExtent l="19050" t="0" r="0" b="0"/>
            <wp:docPr id="1174"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72"/>
                    <a:srcRect/>
                    <a:stretch>
                      <a:fillRect/>
                    </a:stretch>
                  </pic:blipFill>
                  <pic:spPr bwMode="auto">
                    <a:xfrm>
                      <a:off x="0" y="0"/>
                      <a:ext cx="1737360" cy="7723698"/>
                    </a:xfrm>
                    <a:prstGeom prst="rect">
                      <a:avLst/>
                    </a:prstGeom>
                    <a:noFill/>
                    <a:ln w="9525">
                      <a:noFill/>
                      <a:miter lim="800000"/>
                      <a:headEnd/>
                      <a:tailEnd/>
                    </a:ln>
                  </pic:spPr>
                </pic:pic>
              </a:graphicData>
            </a:graphic>
          </wp:inline>
        </w:drawing>
      </w:r>
    </w:p>
    <w:p w:rsidR="00BC1D60" w:rsidRPr="003312ED" w:rsidRDefault="00BC1D60" w:rsidP="00BC1D60">
      <w:pPr>
        <w:pStyle w:val="Heading1"/>
        <w:spacing w:before="0" w:after="120"/>
        <w:rPr>
          <w:sz w:val="32"/>
          <w:szCs w:val="32"/>
        </w:rPr>
      </w:pPr>
      <w:bookmarkStart w:id="388" w:name="_Ref352248486"/>
      <w:bookmarkStart w:id="389" w:name="_Toc352262709"/>
      <w:bookmarkStart w:id="390" w:name="_Toc352262883"/>
      <w:bookmarkStart w:id="391" w:name="_Toc360569924"/>
      <w:bookmarkStart w:id="392" w:name="_Toc368081384"/>
      <w:bookmarkStart w:id="393" w:name="_Toc376802111"/>
      <w:bookmarkStart w:id="394" w:name="_Toc384136028"/>
      <w:bookmarkStart w:id="395" w:name="_Toc392099106"/>
      <w:bookmarkStart w:id="396" w:name="_Toc392081830"/>
      <w:bookmarkStart w:id="397" w:name="_Toc392081893"/>
      <w:r w:rsidRPr="003312ED">
        <w:rPr>
          <w:sz w:val="32"/>
          <w:szCs w:val="32"/>
        </w:rPr>
        <w:t>Techtronic Industries (669 HK / OW / HK$</w:t>
      </w:r>
      <w:r>
        <w:rPr>
          <w:sz w:val="32"/>
          <w:szCs w:val="32"/>
        </w:rPr>
        <w:t>24.35</w:t>
      </w:r>
      <w:r w:rsidRPr="003312ED">
        <w:rPr>
          <w:sz w:val="32"/>
          <w:szCs w:val="32"/>
        </w:rPr>
        <w:t>)</w:t>
      </w:r>
      <w:bookmarkEnd w:id="388"/>
      <w:bookmarkEnd w:id="389"/>
      <w:bookmarkEnd w:id="390"/>
      <w:bookmarkEnd w:id="391"/>
      <w:bookmarkEnd w:id="392"/>
      <w:bookmarkEnd w:id="393"/>
      <w:bookmarkEnd w:id="394"/>
      <w:bookmarkEnd w:id="395"/>
      <w:bookmarkEnd w:id="396"/>
      <w:bookmarkEnd w:id="397"/>
    </w:p>
    <w:p w:rsidR="00BC1D60" w:rsidRPr="003312ED" w:rsidRDefault="00BC1D60" w:rsidP="00BC1D60">
      <w:pPr>
        <w:pStyle w:val="Heading2-NoTOC"/>
        <w:rPr>
          <w:i/>
        </w:rPr>
      </w:pPr>
      <w:r w:rsidRPr="003312ED">
        <w:rPr>
          <w:i/>
        </w:rPr>
        <w:t xml:space="preserve">Home </w:t>
      </w:r>
      <w:r>
        <w:rPr>
          <w:i/>
        </w:rPr>
        <w:t>D</w:t>
      </w:r>
      <w:r w:rsidRPr="003312ED">
        <w:rPr>
          <w:i/>
        </w:rPr>
        <w:t>epot strong</w:t>
      </w:r>
      <w:r>
        <w:rPr>
          <w:i/>
        </w:rPr>
        <w:t>,</w:t>
      </w:r>
      <w:r w:rsidRPr="003312ED">
        <w:rPr>
          <w:i/>
        </w:rPr>
        <w:t xml:space="preserve"> solid results give confidence</w:t>
      </w:r>
    </w:p>
    <w:p w:rsidR="00BC1D60" w:rsidRPr="003312ED" w:rsidRDefault="00BC1D60" w:rsidP="00BC1D60">
      <w:pPr>
        <w:pStyle w:val="Heading3"/>
        <w:spacing w:after="0" w:line="220" w:lineRule="exact"/>
      </w:pPr>
      <w:r w:rsidRPr="003312ED">
        <w:t>Investment Highlights:</w:t>
      </w:r>
    </w:p>
    <w:p w:rsidR="00BC1D60" w:rsidRPr="003312ED" w:rsidRDefault="00BC1D60" w:rsidP="00BC1D60">
      <w:pPr>
        <w:pStyle w:val="Bullet"/>
        <w:spacing w:line="220" w:lineRule="exact"/>
        <w:rPr>
          <w:lang w:val="en-GB" w:eastAsia="ja-JP"/>
        </w:rPr>
      </w:pPr>
      <w:r w:rsidRPr="0087013D">
        <w:rPr>
          <w:b/>
          <w:lang w:val="en-GB" w:eastAsia="ja-JP"/>
        </w:rPr>
        <w:t>Home Depot (HD) 1Q results show continued strength in the US market.</w:t>
      </w:r>
      <w:r>
        <w:rPr>
          <w:lang w:val="en-GB" w:eastAsia="ja-JP"/>
        </w:rPr>
        <w:t xml:space="preserve"> </w:t>
      </w:r>
      <w:r w:rsidRPr="003312ED">
        <w:rPr>
          <w:lang w:val="en-GB" w:eastAsia="ja-JP"/>
        </w:rPr>
        <w:t>The solid 1Q15 (Feb to April 2014) results of Techtronic (TTI)’s largest customer, Home Depot, should continue to support the growth profile for TTI. HD commented that the slow start to Spring dragged down results with solid performance in non-weather affected areas.</w:t>
      </w:r>
      <w:r>
        <w:rPr>
          <w:lang w:val="en-GB" w:eastAsia="ja-JP"/>
        </w:rPr>
        <w:t xml:space="preserve"> </w:t>
      </w:r>
      <w:r w:rsidRPr="003312ED">
        <w:rPr>
          <w:lang w:val="en-GB" w:eastAsia="ja-JP"/>
        </w:rPr>
        <w:t>Overall HD remains positive on the overall backdrop for home improvement spending in the US and the durable nature of the home and the assets attached to it.</w:t>
      </w:r>
    </w:p>
    <w:p w:rsidR="00BC1D60" w:rsidRPr="003312ED" w:rsidRDefault="00BC1D60" w:rsidP="00BC1D60">
      <w:pPr>
        <w:pStyle w:val="Bullet"/>
        <w:spacing w:line="220" w:lineRule="exact"/>
        <w:rPr>
          <w:lang w:val="en-GB" w:eastAsia="ja-JP"/>
        </w:rPr>
      </w:pPr>
      <w:r w:rsidRPr="0087013D">
        <w:rPr>
          <w:b/>
          <w:lang w:val="en-GB" w:eastAsia="ja-JP"/>
        </w:rPr>
        <w:t>Higher wages an unwarranted concern.</w:t>
      </w:r>
      <w:r>
        <w:rPr>
          <w:lang w:val="en-GB" w:eastAsia="ja-JP"/>
        </w:rPr>
        <w:t xml:space="preserve"> </w:t>
      </w:r>
      <w:r w:rsidRPr="003312ED">
        <w:rPr>
          <w:lang w:val="en-GB" w:eastAsia="ja-JP"/>
        </w:rPr>
        <w:t>A major supplier of motors for TTI is Johnson Electric (JE).</w:t>
      </w:r>
      <w:r>
        <w:rPr>
          <w:lang w:val="en-GB" w:eastAsia="ja-JP"/>
        </w:rPr>
        <w:t xml:space="preserve"> </w:t>
      </w:r>
      <w:r w:rsidRPr="003312ED">
        <w:rPr>
          <w:lang w:val="en-GB" w:eastAsia="ja-JP"/>
        </w:rPr>
        <w:t>JE had warned in May that FY Mar15 results may show a drop in operating margin for 2 main reasons which are: (1) the higher cost of wages in China, as well as (2) the commencement of operations of 3 new plants in Serbia, India and Mexico. This revelation by JE also dampened sentiment for TTI as they are n a related industry.</w:t>
      </w:r>
      <w:r>
        <w:rPr>
          <w:lang w:val="en-GB" w:eastAsia="ja-JP"/>
        </w:rPr>
        <w:t xml:space="preserve"> </w:t>
      </w:r>
    </w:p>
    <w:p w:rsidR="00BC1D60" w:rsidRPr="0087013D" w:rsidRDefault="00BC1D60" w:rsidP="00BC1D60">
      <w:pPr>
        <w:pStyle w:val="Bullet"/>
        <w:spacing w:line="220" w:lineRule="exact"/>
        <w:rPr>
          <w:spacing w:val="-2"/>
          <w:lang w:val="en-GB" w:eastAsia="ja-JP"/>
        </w:rPr>
      </w:pPr>
      <w:r w:rsidRPr="0087013D">
        <w:rPr>
          <w:b/>
          <w:spacing w:val="-2"/>
          <w:lang w:val="en-GB" w:eastAsia="ja-JP"/>
        </w:rPr>
        <w:t>Europe and floor care offer more upside.</w:t>
      </w:r>
      <w:r w:rsidRPr="0087013D">
        <w:rPr>
          <w:spacing w:val="-2"/>
          <w:lang w:val="en-GB" w:eastAsia="ja-JP"/>
        </w:rPr>
        <w:t xml:space="preserve"> Sales to Europe grew 18% in 2HFY13 compared to 9% in 1HFY13. TTI has a lot more market share to gain in Europe, where its market share is much lower than in the US but its products are equally attractive versus incumbent peers. In addition, floor care sales grew 17% YY in FY13 globally compared to a sales drop in FY12. We expect margins to expand significantly in ‘14 as start up marketing costs fade for the new Hoover products.</w:t>
      </w:r>
    </w:p>
    <w:p w:rsidR="00BC1D60" w:rsidRPr="003312ED" w:rsidRDefault="00BC1D60" w:rsidP="00BC1D60">
      <w:pPr>
        <w:pStyle w:val="Bullet"/>
        <w:numPr>
          <w:ilvl w:val="0"/>
          <w:numId w:val="0"/>
        </w:numPr>
        <w:spacing w:line="220" w:lineRule="exact"/>
        <w:rPr>
          <w:lang w:val="en-GB" w:eastAsia="ja-JP"/>
        </w:rPr>
      </w:pPr>
      <w:r w:rsidRPr="003312ED">
        <w:rPr>
          <w:b/>
        </w:rPr>
        <w:t xml:space="preserve">Valuation / Risks to our View: </w:t>
      </w:r>
      <w:r w:rsidRPr="003312ED">
        <w:rPr>
          <w:szCs w:val="20"/>
        </w:rPr>
        <w:t>Our PT (Dec-14, DCF-derived) of HK$36 implies a fwd P/E of 20x (FY15E). The key risk to our PT are rising cost of production in China and a slower than expected recovery in US demand.</w:t>
      </w:r>
      <w:r>
        <w:rPr>
          <w:szCs w:val="20"/>
        </w:rPr>
        <w:t xml:space="preserve"> </w:t>
      </w:r>
      <w:r w:rsidRPr="003312ED">
        <w:rPr>
          <w:szCs w:val="20"/>
        </w:rPr>
        <w:t>Another risk is the implementation risk on new product introductions and whether or not they are accepted by customers.</w:t>
      </w:r>
    </w:p>
    <w:p w:rsidR="00BC1D60" w:rsidRPr="003312ED" w:rsidRDefault="00BC1D60" w:rsidP="00BC1D60">
      <w:pPr>
        <w:pStyle w:val="Heading3"/>
        <w:keepNext w:val="0"/>
        <w:widowControl w:val="0"/>
        <w:spacing w:after="80" w:line="220" w:lineRule="exact"/>
        <w:rPr>
          <w:b w:val="0"/>
        </w:rPr>
      </w:pPr>
      <w:r w:rsidRPr="003312ED">
        <w:t xml:space="preserve">Techtronic in a Nutshell: </w:t>
      </w:r>
      <w:r w:rsidRPr="003312ED">
        <w:rPr>
          <w:b w:val="0"/>
          <w:szCs w:val="20"/>
        </w:rPr>
        <w:t>Techtronic was listed in 1990 and is one of the largest makers of branded power tools in China with over 70% of sales for the North American Market, Home Depot being the largest customer. Key brands include Ryobi, Milwaukee, AEG, Hoover and Dirt Devil.</w:t>
      </w:r>
    </w:p>
    <w:p w:rsidR="00BC1D60" w:rsidRPr="003312ED" w:rsidRDefault="00BC1D60" w:rsidP="00BC1D60">
      <w:pPr>
        <w:pStyle w:val="Heading3"/>
        <w:keepNext w:val="0"/>
        <w:widowControl w:val="0"/>
        <w:spacing w:after="0"/>
      </w:pPr>
      <w:r w:rsidRPr="003312ED">
        <w:t>Price Perf vs MSCI All Country World Small Cap (rebased as of 1-year ago)</w:t>
      </w:r>
    </w:p>
    <w:p w:rsidR="00BC1D60" w:rsidRDefault="00BC1D60" w:rsidP="00BC1D60">
      <w:pPr>
        <w:pStyle w:val="ESTableCaption"/>
        <w:widowControl w:val="0"/>
      </w:pPr>
      <w:r w:rsidRPr="003312ED">
        <w:drawing>
          <wp:inline distT="0" distB="0" distL="0" distR="0">
            <wp:extent cx="4352925" cy="1476375"/>
            <wp:effectExtent l="19050" t="0" r="9525" b="0"/>
            <wp:docPr id="1175"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73"/>
                    <a:srcRect t="6857" b="4571"/>
                    <a:stretch>
                      <a:fillRect/>
                    </a:stretch>
                  </pic:blipFill>
                  <pic:spPr bwMode="auto">
                    <a:xfrm>
                      <a:off x="0" y="0"/>
                      <a:ext cx="4352925" cy="1476375"/>
                    </a:xfrm>
                    <a:prstGeom prst="rect">
                      <a:avLst/>
                    </a:prstGeom>
                    <a:noFill/>
                    <a:ln w="9525">
                      <a:noFill/>
                      <a:miter lim="800000"/>
                      <a:headEnd/>
                      <a:tailEnd/>
                    </a:ln>
                  </pic:spPr>
                </pic:pic>
              </a:graphicData>
            </a:graphic>
          </wp:inline>
        </w:drawing>
      </w:r>
      <w:r w:rsidRPr="003312ED">
        <w:t>J.P. Morgan Estimates</w:t>
      </w:r>
      <w:r w:rsidRPr="003312ED">
        <w:br/>
      </w:r>
      <w:r>
        <w:rPr>
          <w:sz w:val="16"/>
        </w:rPr>
        <w:t>Techtronic Industries (Reuters: 0669.HK, Bloomberg: 669 HK)</w:t>
      </w:r>
    </w:p>
    <w:tbl>
      <w:tblPr>
        <w:tblW w:w="5000" w:type="pct"/>
        <w:tblCellMar>
          <w:left w:w="0" w:type="dxa"/>
          <w:right w:w="43" w:type="dxa"/>
        </w:tblCellMar>
        <w:tblLook w:val="01E0"/>
      </w:tblPr>
      <w:tblGrid>
        <w:gridCol w:w="1782"/>
        <w:gridCol w:w="1023"/>
        <w:gridCol w:w="1023"/>
        <w:gridCol w:w="1023"/>
        <w:gridCol w:w="1023"/>
        <w:gridCol w:w="1023"/>
      </w:tblGrid>
      <w:tr w:rsidR="00BC1D60" w:rsidTr="00BC5B38">
        <w:trPr>
          <w:cantSplit/>
        </w:trPr>
        <w:tc>
          <w:tcPr>
            <w:tcW w:w="1768" w:type="dxa"/>
            <w:tcBorders>
              <w:top w:val="single" w:sz="4" w:space="0" w:color="auto"/>
            </w:tcBorders>
          </w:tcPr>
          <w:p w:rsidR="00BC1D60" w:rsidRDefault="00BC1D60" w:rsidP="00BC5B38">
            <w:pPr>
              <w:pStyle w:val="ESTableRow"/>
              <w:widowControl w:val="0"/>
            </w:pPr>
            <w:r>
              <w:rPr>
                <w:rFonts w:ascii="Arial Narrow"/>
                <w:b/>
              </w:rPr>
              <w:t>$ in mn, year-end Dec</w:t>
            </w:r>
          </w:p>
        </w:tc>
        <w:tc>
          <w:tcPr>
            <w:tcW w:w="1016" w:type="dxa"/>
            <w:tcBorders>
              <w:top w:val="single" w:sz="4" w:space="0" w:color="auto"/>
            </w:tcBorders>
          </w:tcPr>
          <w:p w:rsidR="00BC1D60" w:rsidRDefault="00BC1D60" w:rsidP="00BC5B38">
            <w:pPr>
              <w:pStyle w:val="ESTableRow"/>
              <w:widowControl w:val="0"/>
              <w:jc w:val="right"/>
            </w:pPr>
            <w:r>
              <w:rPr>
                <w:rFonts w:ascii="Arial Narrow"/>
                <w:b/>
              </w:rPr>
              <w:t>FY11A</w:t>
            </w:r>
          </w:p>
        </w:tc>
        <w:tc>
          <w:tcPr>
            <w:tcW w:w="1016" w:type="dxa"/>
            <w:tcBorders>
              <w:top w:val="single" w:sz="4" w:space="0" w:color="auto"/>
            </w:tcBorders>
          </w:tcPr>
          <w:p w:rsidR="00BC1D60" w:rsidRDefault="00BC1D60" w:rsidP="00BC5B38">
            <w:pPr>
              <w:pStyle w:val="ESTableRow"/>
              <w:widowControl w:val="0"/>
              <w:jc w:val="right"/>
            </w:pPr>
            <w:r>
              <w:rPr>
                <w:rFonts w:ascii="Arial Narrow"/>
                <w:b/>
              </w:rPr>
              <w:t>FY12A</w:t>
            </w:r>
          </w:p>
        </w:tc>
        <w:tc>
          <w:tcPr>
            <w:tcW w:w="1016" w:type="dxa"/>
            <w:tcBorders>
              <w:top w:val="single" w:sz="4" w:space="0" w:color="auto"/>
            </w:tcBorders>
          </w:tcPr>
          <w:p w:rsidR="00BC1D60" w:rsidRDefault="00BC1D60" w:rsidP="00BC5B38">
            <w:pPr>
              <w:pStyle w:val="ESTableRow"/>
              <w:widowControl w:val="0"/>
              <w:jc w:val="right"/>
            </w:pPr>
            <w:r>
              <w:rPr>
                <w:rFonts w:ascii="Arial Narrow"/>
                <w:b/>
              </w:rPr>
              <w:t>FY13E</w:t>
            </w:r>
          </w:p>
        </w:tc>
        <w:tc>
          <w:tcPr>
            <w:tcW w:w="1016" w:type="dxa"/>
            <w:tcBorders>
              <w:top w:val="single" w:sz="4" w:space="0" w:color="auto"/>
            </w:tcBorders>
          </w:tcPr>
          <w:p w:rsidR="00BC1D60" w:rsidRDefault="00BC1D60" w:rsidP="00BC5B38">
            <w:pPr>
              <w:pStyle w:val="ESTableRow"/>
              <w:widowControl w:val="0"/>
              <w:jc w:val="right"/>
            </w:pPr>
            <w:r>
              <w:rPr>
                <w:rFonts w:ascii="Arial Narrow"/>
                <w:b/>
              </w:rPr>
              <w:t>FY14E</w:t>
            </w:r>
          </w:p>
        </w:tc>
        <w:tc>
          <w:tcPr>
            <w:tcW w:w="1016" w:type="dxa"/>
            <w:tcBorders>
              <w:top w:val="single" w:sz="4" w:space="0" w:color="auto"/>
            </w:tcBorders>
          </w:tcPr>
          <w:p w:rsidR="00BC1D60" w:rsidRDefault="00BC1D60" w:rsidP="00BC5B38">
            <w:pPr>
              <w:pStyle w:val="ESTableRow"/>
              <w:widowControl w:val="0"/>
              <w:jc w:val="right"/>
            </w:pPr>
            <w:r>
              <w:rPr>
                <w:rFonts w:ascii="Arial Narrow"/>
                <w:b/>
              </w:rPr>
              <w:t>FY15E</w:t>
            </w:r>
          </w:p>
        </w:tc>
      </w:tr>
      <w:tr w:rsidR="00BC1D60" w:rsidTr="00BC5B38">
        <w:trPr>
          <w:cantSplit/>
        </w:trPr>
        <w:tc>
          <w:tcPr>
            <w:tcW w:w="1768" w:type="dxa"/>
            <w:tcBorders>
              <w:top w:val="single" w:sz="4" w:space="0" w:color="auto"/>
            </w:tcBorders>
          </w:tcPr>
          <w:p w:rsidR="00BC1D60" w:rsidRDefault="00BC1D60" w:rsidP="00BC5B38">
            <w:pPr>
              <w:pStyle w:val="ESTableRow"/>
              <w:widowControl w:val="0"/>
            </w:pPr>
            <w:r>
              <w:rPr>
                <w:rFonts w:ascii="Arial Narrow"/>
              </w:rPr>
              <w:t>Revenue ($ mn)</w:t>
            </w:r>
          </w:p>
        </w:tc>
        <w:tc>
          <w:tcPr>
            <w:tcW w:w="1016" w:type="dxa"/>
            <w:tcBorders>
              <w:top w:val="single" w:sz="4" w:space="0" w:color="auto"/>
            </w:tcBorders>
          </w:tcPr>
          <w:p w:rsidR="00BC1D60" w:rsidRDefault="00BC1D60" w:rsidP="00BC5B38">
            <w:pPr>
              <w:pStyle w:val="ESTableRow"/>
              <w:widowControl w:val="0"/>
              <w:jc w:val="right"/>
            </w:pPr>
            <w:r>
              <w:rPr>
                <w:rFonts w:ascii="Arial Narrow"/>
              </w:rPr>
              <w:t>3,667</w:t>
            </w:r>
          </w:p>
        </w:tc>
        <w:tc>
          <w:tcPr>
            <w:tcW w:w="1016" w:type="dxa"/>
            <w:tcBorders>
              <w:top w:val="single" w:sz="4" w:space="0" w:color="auto"/>
            </w:tcBorders>
          </w:tcPr>
          <w:p w:rsidR="00BC1D60" w:rsidRDefault="00BC1D60" w:rsidP="00BC5B38">
            <w:pPr>
              <w:pStyle w:val="ESTableRow"/>
              <w:widowControl w:val="0"/>
              <w:jc w:val="right"/>
            </w:pPr>
            <w:r>
              <w:rPr>
                <w:rFonts w:ascii="Arial Narrow"/>
              </w:rPr>
              <w:t>3,852</w:t>
            </w:r>
          </w:p>
        </w:tc>
        <w:tc>
          <w:tcPr>
            <w:tcW w:w="1016" w:type="dxa"/>
            <w:tcBorders>
              <w:top w:val="single" w:sz="4" w:space="0" w:color="auto"/>
            </w:tcBorders>
          </w:tcPr>
          <w:p w:rsidR="00BC1D60" w:rsidRDefault="00BC1D60" w:rsidP="00BC5B38">
            <w:pPr>
              <w:pStyle w:val="ESTableRow"/>
              <w:widowControl w:val="0"/>
              <w:jc w:val="right"/>
            </w:pPr>
            <w:r>
              <w:rPr>
                <w:rFonts w:ascii="Arial Narrow"/>
              </w:rPr>
              <w:t>4,300</w:t>
            </w:r>
          </w:p>
        </w:tc>
        <w:tc>
          <w:tcPr>
            <w:tcW w:w="1016" w:type="dxa"/>
            <w:tcBorders>
              <w:top w:val="single" w:sz="4" w:space="0" w:color="auto"/>
            </w:tcBorders>
          </w:tcPr>
          <w:p w:rsidR="00BC1D60" w:rsidRDefault="00BC1D60" w:rsidP="00BC5B38">
            <w:pPr>
              <w:pStyle w:val="ESTableRow"/>
              <w:widowControl w:val="0"/>
              <w:jc w:val="right"/>
            </w:pPr>
            <w:r>
              <w:rPr>
                <w:rFonts w:ascii="Arial Narrow"/>
              </w:rPr>
              <w:t>4,835</w:t>
            </w:r>
          </w:p>
        </w:tc>
        <w:tc>
          <w:tcPr>
            <w:tcW w:w="1016" w:type="dxa"/>
            <w:tcBorders>
              <w:top w:val="single" w:sz="4" w:space="0" w:color="auto"/>
            </w:tcBorders>
          </w:tcPr>
          <w:p w:rsidR="00BC1D60" w:rsidRDefault="00BC1D60" w:rsidP="00BC5B38">
            <w:pPr>
              <w:pStyle w:val="ESTableRow"/>
              <w:widowControl w:val="0"/>
              <w:jc w:val="right"/>
            </w:pPr>
            <w:r>
              <w:rPr>
                <w:rFonts w:ascii="Arial Narrow"/>
              </w:rPr>
              <w:t>5,372</w:t>
            </w:r>
          </w:p>
        </w:tc>
      </w:tr>
      <w:tr w:rsidR="00BC1D60" w:rsidTr="00BC5B38">
        <w:trPr>
          <w:cantSplit/>
        </w:trPr>
        <w:tc>
          <w:tcPr>
            <w:tcW w:w="1768" w:type="dxa"/>
          </w:tcPr>
          <w:p w:rsidR="00BC1D60" w:rsidRDefault="00BC1D60" w:rsidP="00BC5B38">
            <w:pPr>
              <w:pStyle w:val="ESTableRow"/>
              <w:widowControl w:val="0"/>
            </w:pPr>
            <w:r>
              <w:rPr>
                <w:rFonts w:ascii="Arial Narrow"/>
              </w:rPr>
              <w:t>Net Profit ($ mn)</w:t>
            </w:r>
          </w:p>
        </w:tc>
        <w:tc>
          <w:tcPr>
            <w:tcW w:w="1016" w:type="dxa"/>
          </w:tcPr>
          <w:p w:rsidR="00BC1D60" w:rsidRDefault="00BC1D60" w:rsidP="00BC5B38">
            <w:pPr>
              <w:pStyle w:val="ESTableRow"/>
              <w:widowControl w:val="0"/>
              <w:jc w:val="right"/>
            </w:pPr>
            <w:r>
              <w:rPr>
                <w:rFonts w:ascii="Arial Narrow"/>
              </w:rPr>
              <w:t>150</w:t>
            </w:r>
          </w:p>
        </w:tc>
        <w:tc>
          <w:tcPr>
            <w:tcW w:w="1016" w:type="dxa"/>
          </w:tcPr>
          <w:p w:rsidR="00BC1D60" w:rsidRDefault="00BC1D60" w:rsidP="00BC5B38">
            <w:pPr>
              <w:pStyle w:val="ESTableRow"/>
              <w:widowControl w:val="0"/>
              <w:jc w:val="right"/>
            </w:pPr>
            <w:r>
              <w:rPr>
                <w:rFonts w:ascii="Arial Narrow"/>
              </w:rPr>
              <w:t>202</w:t>
            </w:r>
          </w:p>
        </w:tc>
        <w:tc>
          <w:tcPr>
            <w:tcW w:w="1016" w:type="dxa"/>
          </w:tcPr>
          <w:p w:rsidR="00BC1D60" w:rsidRDefault="00BC1D60" w:rsidP="00BC5B38">
            <w:pPr>
              <w:pStyle w:val="ESTableRow"/>
              <w:widowControl w:val="0"/>
              <w:jc w:val="right"/>
            </w:pPr>
            <w:r>
              <w:rPr>
                <w:rFonts w:ascii="Arial Narrow"/>
              </w:rPr>
              <w:t>250</w:t>
            </w:r>
          </w:p>
        </w:tc>
        <w:tc>
          <w:tcPr>
            <w:tcW w:w="1016" w:type="dxa"/>
          </w:tcPr>
          <w:p w:rsidR="00BC1D60" w:rsidRDefault="00BC1D60" w:rsidP="00BC5B38">
            <w:pPr>
              <w:pStyle w:val="ESTableRow"/>
              <w:widowControl w:val="0"/>
              <w:jc w:val="right"/>
            </w:pPr>
            <w:r>
              <w:rPr>
                <w:rFonts w:ascii="Arial Narrow"/>
              </w:rPr>
              <w:t>343</w:t>
            </w:r>
          </w:p>
        </w:tc>
        <w:tc>
          <w:tcPr>
            <w:tcW w:w="1016" w:type="dxa"/>
          </w:tcPr>
          <w:p w:rsidR="00BC1D60" w:rsidRDefault="00BC1D60" w:rsidP="00BC5B38">
            <w:pPr>
              <w:pStyle w:val="ESTableRow"/>
              <w:widowControl w:val="0"/>
              <w:jc w:val="right"/>
            </w:pPr>
            <w:r>
              <w:rPr>
                <w:rFonts w:ascii="Arial Narrow"/>
              </w:rPr>
              <w:t>423</w:t>
            </w:r>
          </w:p>
        </w:tc>
      </w:tr>
      <w:tr w:rsidR="00BC1D60" w:rsidTr="00BC5B38">
        <w:trPr>
          <w:cantSplit/>
        </w:trPr>
        <w:tc>
          <w:tcPr>
            <w:tcW w:w="1768" w:type="dxa"/>
          </w:tcPr>
          <w:p w:rsidR="00BC1D60" w:rsidRDefault="00BC1D60" w:rsidP="00BC5B38">
            <w:pPr>
              <w:pStyle w:val="ESTableRow"/>
              <w:widowControl w:val="0"/>
            </w:pPr>
            <w:r>
              <w:rPr>
                <w:rFonts w:ascii="Arial Narrow"/>
              </w:rPr>
              <w:t>EPS ($)</w:t>
            </w:r>
          </w:p>
        </w:tc>
        <w:tc>
          <w:tcPr>
            <w:tcW w:w="1016" w:type="dxa"/>
          </w:tcPr>
          <w:p w:rsidR="00BC1D60" w:rsidRDefault="00BC1D60" w:rsidP="00BC5B38">
            <w:pPr>
              <w:pStyle w:val="ESTableRow"/>
              <w:widowControl w:val="0"/>
              <w:jc w:val="right"/>
            </w:pPr>
            <w:r>
              <w:rPr>
                <w:rFonts w:ascii="Arial Narrow"/>
              </w:rPr>
              <w:t>0.09</w:t>
            </w:r>
          </w:p>
        </w:tc>
        <w:tc>
          <w:tcPr>
            <w:tcW w:w="1016" w:type="dxa"/>
          </w:tcPr>
          <w:p w:rsidR="00BC1D60" w:rsidRDefault="00BC1D60" w:rsidP="00BC5B38">
            <w:pPr>
              <w:pStyle w:val="ESTableRow"/>
              <w:widowControl w:val="0"/>
              <w:jc w:val="right"/>
            </w:pPr>
            <w:r>
              <w:rPr>
                <w:rFonts w:ascii="Arial Narrow"/>
              </w:rPr>
              <w:t>0.11</w:t>
            </w:r>
          </w:p>
        </w:tc>
        <w:tc>
          <w:tcPr>
            <w:tcW w:w="1016" w:type="dxa"/>
          </w:tcPr>
          <w:p w:rsidR="00BC1D60" w:rsidRDefault="00BC1D60" w:rsidP="00BC5B38">
            <w:pPr>
              <w:pStyle w:val="ESTableRow"/>
              <w:widowControl w:val="0"/>
              <w:jc w:val="right"/>
            </w:pPr>
            <w:r>
              <w:rPr>
                <w:rFonts w:ascii="Arial Narrow"/>
              </w:rPr>
              <w:t>0.13</w:t>
            </w:r>
          </w:p>
        </w:tc>
        <w:tc>
          <w:tcPr>
            <w:tcW w:w="1016" w:type="dxa"/>
          </w:tcPr>
          <w:p w:rsidR="00BC1D60" w:rsidRDefault="00BC1D60" w:rsidP="00BC5B38">
            <w:pPr>
              <w:pStyle w:val="ESTableRow"/>
              <w:widowControl w:val="0"/>
              <w:jc w:val="right"/>
            </w:pPr>
            <w:r>
              <w:rPr>
                <w:rFonts w:ascii="Arial Narrow"/>
              </w:rPr>
              <w:t>0.18</w:t>
            </w:r>
          </w:p>
        </w:tc>
        <w:tc>
          <w:tcPr>
            <w:tcW w:w="1016" w:type="dxa"/>
          </w:tcPr>
          <w:p w:rsidR="00BC1D60" w:rsidRDefault="00BC1D60" w:rsidP="00BC5B38">
            <w:pPr>
              <w:pStyle w:val="ESTableRow"/>
              <w:widowControl w:val="0"/>
              <w:jc w:val="right"/>
            </w:pPr>
            <w:r>
              <w:rPr>
                <w:rFonts w:ascii="Arial Narrow"/>
              </w:rPr>
              <w:t>0.23</w:t>
            </w:r>
          </w:p>
        </w:tc>
      </w:tr>
      <w:tr w:rsidR="00BC1D60" w:rsidTr="00BC5B38">
        <w:trPr>
          <w:cantSplit/>
        </w:trPr>
        <w:tc>
          <w:tcPr>
            <w:tcW w:w="1768" w:type="dxa"/>
          </w:tcPr>
          <w:p w:rsidR="00BC1D60" w:rsidRDefault="00BC1D60" w:rsidP="00BC5B38">
            <w:pPr>
              <w:pStyle w:val="ESTableRow"/>
              <w:widowControl w:val="0"/>
            </w:pPr>
            <w:r>
              <w:rPr>
                <w:rFonts w:ascii="Arial Narrow"/>
              </w:rPr>
              <w:t>DPS ($)</w:t>
            </w:r>
          </w:p>
        </w:tc>
        <w:tc>
          <w:tcPr>
            <w:tcW w:w="1016" w:type="dxa"/>
          </w:tcPr>
          <w:p w:rsidR="00BC1D60" w:rsidRDefault="00BC1D60" w:rsidP="00BC5B38">
            <w:pPr>
              <w:pStyle w:val="ESTableRow"/>
              <w:widowControl w:val="0"/>
              <w:jc w:val="right"/>
            </w:pPr>
            <w:r>
              <w:rPr>
                <w:rFonts w:ascii="Arial Narrow"/>
              </w:rPr>
              <w:t>0.02</w:t>
            </w:r>
          </w:p>
        </w:tc>
        <w:tc>
          <w:tcPr>
            <w:tcW w:w="1016" w:type="dxa"/>
          </w:tcPr>
          <w:p w:rsidR="00BC1D60" w:rsidRDefault="00BC1D60" w:rsidP="00BC5B38">
            <w:pPr>
              <w:pStyle w:val="ESTableRow"/>
              <w:widowControl w:val="0"/>
              <w:jc w:val="right"/>
            </w:pPr>
            <w:r>
              <w:rPr>
                <w:rFonts w:ascii="Arial Narrow"/>
              </w:rPr>
              <w:t>0.02</w:t>
            </w:r>
          </w:p>
        </w:tc>
        <w:tc>
          <w:tcPr>
            <w:tcW w:w="1016" w:type="dxa"/>
          </w:tcPr>
          <w:p w:rsidR="00BC1D60" w:rsidRDefault="00BC1D60" w:rsidP="00BC5B38">
            <w:pPr>
              <w:pStyle w:val="ESTableRow"/>
              <w:widowControl w:val="0"/>
              <w:jc w:val="right"/>
            </w:pPr>
            <w:r>
              <w:rPr>
                <w:rFonts w:ascii="Arial Narrow"/>
              </w:rPr>
              <w:t>0.04</w:t>
            </w:r>
          </w:p>
        </w:tc>
        <w:tc>
          <w:tcPr>
            <w:tcW w:w="1016" w:type="dxa"/>
          </w:tcPr>
          <w:p w:rsidR="00BC1D60" w:rsidRDefault="00BC1D60" w:rsidP="00BC5B38">
            <w:pPr>
              <w:pStyle w:val="ESTableRow"/>
              <w:widowControl w:val="0"/>
              <w:jc w:val="right"/>
            </w:pPr>
            <w:r>
              <w:rPr>
                <w:rFonts w:ascii="Arial Narrow"/>
              </w:rPr>
              <w:t>0.05</w:t>
            </w:r>
          </w:p>
        </w:tc>
        <w:tc>
          <w:tcPr>
            <w:tcW w:w="1016" w:type="dxa"/>
          </w:tcPr>
          <w:p w:rsidR="00BC1D60" w:rsidRDefault="00BC1D60" w:rsidP="00BC5B38">
            <w:pPr>
              <w:pStyle w:val="ESTableRow"/>
              <w:widowControl w:val="0"/>
              <w:jc w:val="right"/>
            </w:pPr>
            <w:r>
              <w:rPr>
                <w:rFonts w:ascii="Arial Narrow"/>
              </w:rPr>
              <w:t>0.06</w:t>
            </w:r>
          </w:p>
        </w:tc>
      </w:tr>
      <w:tr w:rsidR="00BC1D60" w:rsidTr="00BC5B38">
        <w:trPr>
          <w:cantSplit/>
        </w:trPr>
        <w:tc>
          <w:tcPr>
            <w:tcW w:w="1768" w:type="dxa"/>
          </w:tcPr>
          <w:p w:rsidR="00BC1D60" w:rsidRDefault="00BC1D60" w:rsidP="00BC5B38">
            <w:pPr>
              <w:pStyle w:val="ESTableRow"/>
              <w:widowControl w:val="0"/>
            </w:pPr>
            <w:r>
              <w:rPr>
                <w:rFonts w:ascii="Arial Narrow"/>
              </w:rPr>
              <w:t xml:space="preserve">Revenue growth (%) </w:t>
            </w:r>
          </w:p>
        </w:tc>
        <w:tc>
          <w:tcPr>
            <w:tcW w:w="1016" w:type="dxa"/>
          </w:tcPr>
          <w:p w:rsidR="00BC1D60" w:rsidRDefault="00BC1D60" w:rsidP="00BC5B38">
            <w:pPr>
              <w:pStyle w:val="ESTableRow"/>
              <w:widowControl w:val="0"/>
              <w:jc w:val="right"/>
            </w:pPr>
            <w:r>
              <w:rPr>
                <w:rFonts w:ascii="Arial Narrow"/>
              </w:rPr>
              <w:t>7.9%</w:t>
            </w:r>
          </w:p>
        </w:tc>
        <w:tc>
          <w:tcPr>
            <w:tcW w:w="1016" w:type="dxa"/>
          </w:tcPr>
          <w:p w:rsidR="00BC1D60" w:rsidRDefault="00BC1D60" w:rsidP="00BC5B38">
            <w:pPr>
              <w:pStyle w:val="ESTableRow"/>
              <w:widowControl w:val="0"/>
              <w:jc w:val="right"/>
            </w:pPr>
            <w:r>
              <w:rPr>
                <w:rFonts w:ascii="Arial Narrow"/>
              </w:rPr>
              <w:t>5.1%</w:t>
            </w:r>
          </w:p>
        </w:tc>
        <w:tc>
          <w:tcPr>
            <w:tcW w:w="1016" w:type="dxa"/>
          </w:tcPr>
          <w:p w:rsidR="00BC1D60" w:rsidRDefault="00BC1D60" w:rsidP="00BC5B38">
            <w:pPr>
              <w:pStyle w:val="ESTableRow"/>
              <w:widowControl w:val="0"/>
              <w:jc w:val="right"/>
            </w:pPr>
            <w:r>
              <w:rPr>
                <w:rFonts w:ascii="Arial Narrow"/>
              </w:rPr>
              <w:t>11.6%</w:t>
            </w:r>
          </w:p>
        </w:tc>
        <w:tc>
          <w:tcPr>
            <w:tcW w:w="1016" w:type="dxa"/>
          </w:tcPr>
          <w:p w:rsidR="00BC1D60" w:rsidRDefault="00BC1D60" w:rsidP="00BC5B38">
            <w:pPr>
              <w:pStyle w:val="ESTableRow"/>
              <w:widowControl w:val="0"/>
              <w:jc w:val="right"/>
            </w:pPr>
            <w:r>
              <w:rPr>
                <w:rFonts w:ascii="Arial Narrow"/>
              </w:rPr>
              <w:t>12.5%</w:t>
            </w:r>
          </w:p>
        </w:tc>
        <w:tc>
          <w:tcPr>
            <w:tcW w:w="1016" w:type="dxa"/>
          </w:tcPr>
          <w:p w:rsidR="00BC1D60" w:rsidRDefault="00BC1D60" w:rsidP="00BC5B38">
            <w:pPr>
              <w:pStyle w:val="ESTableRow"/>
              <w:widowControl w:val="0"/>
              <w:jc w:val="right"/>
            </w:pPr>
            <w:r>
              <w:rPr>
                <w:rFonts w:ascii="Arial Narrow"/>
              </w:rPr>
              <w:t>11.1%</w:t>
            </w:r>
          </w:p>
        </w:tc>
      </w:tr>
      <w:tr w:rsidR="00BC1D60" w:rsidTr="00BC5B38">
        <w:trPr>
          <w:cantSplit/>
        </w:trPr>
        <w:tc>
          <w:tcPr>
            <w:tcW w:w="1768" w:type="dxa"/>
          </w:tcPr>
          <w:p w:rsidR="00BC1D60" w:rsidRDefault="00BC1D60" w:rsidP="00BC5B38">
            <w:pPr>
              <w:pStyle w:val="ESTableRow"/>
              <w:widowControl w:val="0"/>
            </w:pPr>
            <w:r>
              <w:rPr>
                <w:rFonts w:ascii="Arial Narrow"/>
              </w:rPr>
              <w:t xml:space="preserve">EPS growth (%) </w:t>
            </w:r>
          </w:p>
        </w:tc>
        <w:tc>
          <w:tcPr>
            <w:tcW w:w="1016" w:type="dxa"/>
          </w:tcPr>
          <w:p w:rsidR="00BC1D60" w:rsidRDefault="00BC1D60" w:rsidP="00BC5B38">
            <w:pPr>
              <w:pStyle w:val="ESTableRow"/>
              <w:widowControl w:val="0"/>
              <w:jc w:val="right"/>
            </w:pPr>
            <w:r>
              <w:rPr>
                <w:rFonts w:ascii="Arial Narrow"/>
              </w:rPr>
              <w:t>59.8%</w:t>
            </w:r>
          </w:p>
        </w:tc>
        <w:tc>
          <w:tcPr>
            <w:tcW w:w="1016" w:type="dxa"/>
          </w:tcPr>
          <w:p w:rsidR="00BC1D60" w:rsidRDefault="00BC1D60" w:rsidP="00BC5B38">
            <w:pPr>
              <w:pStyle w:val="ESTableRow"/>
              <w:widowControl w:val="0"/>
              <w:jc w:val="right"/>
            </w:pPr>
            <w:r>
              <w:rPr>
                <w:rFonts w:ascii="Arial Narrow"/>
              </w:rPr>
              <w:t>25.0%</w:t>
            </w:r>
          </w:p>
        </w:tc>
        <w:tc>
          <w:tcPr>
            <w:tcW w:w="1016" w:type="dxa"/>
          </w:tcPr>
          <w:p w:rsidR="00BC1D60" w:rsidRDefault="00BC1D60" w:rsidP="00BC5B38">
            <w:pPr>
              <w:pStyle w:val="ESTableRow"/>
              <w:widowControl w:val="0"/>
              <w:jc w:val="right"/>
            </w:pPr>
            <w:r>
              <w:rPr>
                <w:rFonts w:ascii="Arial Narrow"/>
              </w:rPr>
              <w:t>17.3%</w:t>
            </w:r>
          </w:p>
        </w:tc>
        <w:tc>
          <w:tcPr>
            <w:tcW w:w="1016" w:type="dxa"/>
          </w:tcPr>
          <w:p w:rsidR="00BC1D60" w:rsidRDefault="00BC1D60" w:rsidP="00BC5B38">
            <w:pPr>
              <w:pStyle w:val="ESTableRow"/>
              <w:widowControl w:val="0"/>
              <w:jc w:val="right"/>
            </w:pPr>
            <w:r>
              <w:rPr>
                <w:rFonts w:ascii="Arial Narrow"/>
              </w:rPr>
              <w:t>37.5%</w:t>
            </w:r>
          </w:p>
        </w:tc>
        <w:tc>
          <w:tcPr>
            <w:tcW w:w="1016" w:type="dxa"/>
          </w:tcPr>
          <w:p w:rsidR="00BC1D60" w:rsidRDefault="00BC1D60" w:rsidP="00BC5B38">
            <w:pPr>
              <w:pStyle w:val="ESTableRow"/>
              <w:widowControl w:val="0"/>
              <w:jc w:val="right"/>
            </w:pPr>
            <w:r>
              <w:rPr>
                <w:rFonts w:ascii="Arial Narrow"/>
              </w:rPr>
              <w:t>23.2%</w:t>
            </w:r>
          </w:p>
        </w:tc>
      </w:tr>
      <w:tr w:rsidR="00BC1D60" w:rsidTr="00BC5B38">
        <w:trPr>
          <w:cantSplit/>
        </w:trPr>
        <w:tc>
          <w:tcPr>
            <w:tcW w:w="1768" w:type="dxa"/>
          </w:tcPr>
          <w:p w:rsidR="00BC1D60" w:rsidRDefault="00BC1D60" w:rsidP="00BC5B38">
            <w:pPr>
              <w:pStyle w:val="ESTableRow"/>
              <w:widowControl w:val="0"/>
            </w:pPr>
            <w:r>
              <w:rPr>
                <w:rFonts w:ascii="Arial Narrow"/>
              </w:rPr>
              <w:t xml:space="preserve">ROCE </w:t>
            </w:r>
          </w:p>
        </w:tc>
        <w:tc>
          <w:tcPr>
            <w:tcW w:w="1016" w:type="dxa"/>
          </w:tcPr>
          <w:p w:rsidR="00BC1D60" w:rsidRDefault="00BC1D60" w:rsidP="00BC5B38">
            <w:pPr>
              <w:pStyle w:val="ESTableRow"/>
              <w:widowControl w:val="0"/>
              <w:jc w:val="right"/>
            </w:pPr>
            <w:r>
              <w:rPr>
                <w:rFonts w:ascii="Arial Narrow"/>
              </w:rPr>
              <w:t>8.2%</w:t>
            </w:r>
          </w:p>
        </w:tc>
        <w:tc>
          <w:tcPr>
            <w:tcW w:w="1016" w:type="dxa"/>
          </w:tcPr>
          <w:p w:rsidR="00BC1D60" w:rsidRDefault="00BC1D60" w:rsidP="00BC5B38">
            <w:pPr>
              <w:pStyle w:val="ESTableRow"/>
              <w:widowControl w:val="0"/>
              <w:jc w:val="right"/>
            </w:pPr>
            <w:r>
              <w:rPr>
                <w:rFonts w:ascii="Arial Narrow"/>
              </w:rPr>
              <w:t>9.7%</w:t>
            </w:r>
          </w:p>
        </w:tc>
        <w:tc>
          <w:tcPr>
            <w:tcW w:w="1016" w:type="dxa"/>
          </w:tcPr>
          <w:p w:rsidR="00BC1D60" w:rsidRDefault="00BC1D60" w:rsidP="00BC5B38">
            <w:pPr>
              <w:pStyle w:val="ESTableRow"/>
              <w:widowControl w:val="0"/>
              <w:jc w:val="right"/>
            </w:pPr>
            <w:r>
              <w:rPr>
                <w:rFonts w:ascii="Arial Narrow"/>
              </w:rPr>
              <w:t>11.0%</w:t>
            </w:r>
          </w:p>
        </w:tc>
        <w:tc>
          <w:tcPr>
            <w:tcW w:w="1016" w:type="dxa"/>
          </w:tcPr>
          <w:p w:rsidR="00BC1D60" w:rsidRDefault="00BC1D60" w:rsidP="00BC5B38">
            <w:pPr>
              <w:pStyle w:val="ESTableRow"/>
              <w:widowControl w:val="0"/>
              <w:jc w:val="right"/>
            </w:pPr>
            <w:r>
              <w:rPr>
                <w:rFonts w:ascii="Arial Narrow"/>
              </w:rPr>
              <w:t>13.7%</w:t>
            </w:r>
          </w:p>
        </w:tc>
        <w:tc>
          <w:tcPr>
            <w:tcW w:w="1016" w:type="dxa"/>
          </w:tcPr>
          <w:p w:rsidR="00BC1D60" w:rsidRDefault="00BC1D60" w:rsidP="00BC5B38">
            <w:pPr>
              <w:pStyle w:val="ESTableRow"/>
              <w:widowControl w:val="0"/>
              <w:jc w:val="right"/>
            </w:pPr>
            <w:r>
              <w:rPr>
                <w:rFonts w:ascii="Arial Narrow"/>
              </w:rPr>
              <w:t>15.4%</w:t>
            </w:r>
          </w:p>
        </w:tc>
      </w:tr>
      <w:tr w:rsidR="00BC1D60" w:rsidTr="00BC5B38">
        <w:trPr>
          <w:cantSplit/>
        </w:trPr>
        <w:tc>
          <w:tcPr>
            <w:tcW w:w="1768" w:type="dxa"/>
          </w:tcPr>
          <w:p w:rsidR="00BC1D60" w:rsidRDefault="00BC1D60" w:rsidP="00BC5B38">
            <w:pPr>
              <w:pStyle w:val="ESTableRow"/>
              <w:widowControl w:val="0"/>
            </w:pPr>
            <w:r>
              <w:rPr>
                <w:rFonts w:ascii="Arial Narrow"/>
              </w:rPr>
              <w:t xml:space="preserve">ROE </w:t>
            </w:r>
          </w:p>
        </w:tc>
        <w:tc>
          <w:tcPr>
            <w:tcW w:w="1016" w:type="dxa"/>
          </w:tcPr>
          <w:p w:rsidR="00BC1D60" w:rsidRDefault="00BC1D60" w:rsidP="00BC5B38">
            <w:pPr>
              <w:pStyle w:val="ESTableRow"/>
              <w:widowControl w:val="0"/>
              <w:jc w:val="right"/>
            </w:pPr>
            <w:r>
              <w:rPr>
                <w:rFonts w:ascii="Arial Narrow"/>
              </w:rPr>
              <w:t>12.7%</w:t>
            </w:r>
          </w:p>
        </w:tc>
        <w:tc>
          <w:tcPr>
            <w:tcW w:w="1016" w:type="dxa"/>
          </w:tcPr>
          <w:p w:rsidR="00BC1D60" w:rsidRDefault="00BC1D60" w:rsidP="00BC5B38">
            <w:pPr>
              <w:pStyle w:val="ESTableRow"/>
              <w:widowControl w:val="0"/>
              <w:jc w:val="right"/>
            </w:pPr>
            <w:r>
              <w:rPr>
                <w:rFonts w:ascii="Arial Narrow"/>
              </w:rPr>
              <w:t>14.5%</w:t>
            </w:r>
          </w:p>
        </w:tc>
        <w:tc>
          <w:tcPr>
            <w:tcW w:w="1016" w:type="dxa"/>
          </w:tcPr>
          <w:p w:rsidR="00BC1D60" w:rsidRDefault="00BC1D60" w:rsidP="00BC5B38">
            <w:pPr>
              <w:pStyle w:val="ESTableRow"/>
              <w:widowControl w:val="0"/>
              <w:jc w:val="right"/>
            </w:pPr>
            <w:r>
              <w:rPr>
                <w:rFonts w:ascii="Arial Narrow"/>
              </w:rPr>
              <w:t>15.2%</w:t>
            </w:r>
          </w:p>
        </w:tc>
        <w:tc>
          <w:tcPr>
            <w:tcW w:w="1016" w:type="dxa"/>
          </w:tcPr>
          <w:p w:rsidR="00BC1D60" w:rsidRDefault="00BC1D60" w:rsidP="00BC5B38">
            <w:pPr>
              <w:pStyle w:val="ESTableRow"/>
              <w:widowControl w:val="0"/>
              <w:jc w:val="right"/>
            </w:pPr>
            <w:r>
              <w:rPr>
                <w:rFonts w:ascii="Arial Narrow"/>
              </w:rPr>
              <w:t>18.4%</w:t>
            </w:r>
          </w:p>
        </w:tc>
        <w:tc>
          <w:tcPr>
            <w:tcW w:w="1016" w:type="dxa"/>
          </w:tcPr>
          <w:p w:rsidR="00BC1D60" w:rsidRDefault="00BC1D60" w:rsidP="00BC5B38">
            <w:pPr>
              <w:pStyle w:val="ESTableRow"/>
              <w:widowControl w:val="0"/>
              <w:jc w:val="right"/>
            </w:pPr>
            <w:r>
              <w:rPr>
                <w:rFonts w:ascii="Arial Narrow"/>
              </w:rPr>
              <w:t>19.6%</w:t>
            </w:r>
          </w:p>
        </w:tc>
      </w:tr>
      <w:tr w:rsidR="00BC1D60" w:rsidTr="00BC5B38">
        <w:trPr>
          <w:cantSplit/>
        </w:trPr>
        <w:tc>
          <w:tcPr>
            <w:tcW w:w="1768" w:type="dxa"/>
          </w:tcPr>
          <w:p w:rsidR="00BC1D60" w:rsidRDefault="00BC1D60" w:rsidP="00BC5B38">
            <w:pPr>
              <w:pStyle w:val="ESTableRow"/>
              <w:widowControl w:val="0"/>
            </w:pPr>
            <w:r>
              <w:rPr>
                <w:rFonts w:ascii="Arial Narrow"/>
              </w:rPr>
              <w:t xml:space="preserve">P/E (x) </w:t>
            </w:r>
          </w:p>
        </w:tc>
        <w:tc>
          <w:tcPr>
            <w:tcW w:w="1016" w:type="dxa"/>
          </w:tcPr>
          <w:p w:rsidR="00BC1D60" w:rsidRDefault="00BC1D60" w:rsidP="00BC5B38">
            <w:pPr>
              <w:pStyle w:val="ESTableRow"/>
              <w:widowControl w:val="0"/>
              <w:jc w:val="right"/>
            </w:pPr>
            <w:r>
              <w:rPr>
                <w:rFonts w:ascii="Arial Narrow"/>
              </w:rPr>
              <w:t>35.1</w:t>
            </w:r>
          </w:p>
        </w:tc>
        <w:tc>
          <w:tcPr>
            <w:tcW w:w="1016" w:type="dxa"/>
          </w:tcPr>
          <w:p w:rsidR="00BC1D60" w:rsidRDefault="00BC1D60" w:rsidP="00BC5B38">
            <w:pPr>
              <w:pStyle w:val="ESTableRow"/>
              <w:widowControl w:val="0"/>
              <w:jc w:val="right"/>
            </w:pPr>
            <w:r>
              <w:rPr>
                <w:rFonts w:ascii="Arial Narrow"/>
              </w:rPr>
              <w:t>28.1</w:t>
            </w:r>
          </w:p>
        </w:tc>
        <w:tc>
          <w:tcPr>
            <w:tcW w:w="1016" w:type="dxa"/>
          </w:tcPr>
          <w:p w:rsidR="00BC1D60" w:rsidRDefault="00BC1D60" w:rsidP="00BC5B38">
            <w:pPr>
              <w:pStyle w:val="ESTableRow"/>
              <w:widowControl w:val="0"/>
              <w:jc w:val="right"/>
            </w:pPr>
            <w:r>
              <w:rPr>
                <w:rFonts w:ascii="Arial Narrow"/>
              </w:rPr>
              <w:t>23.9</w:t>
            </w:r>
          </w:p>
        </w:tc>
        <w:tc>
          <w:tcPr>
            <w:tcW w:w="1016" w:type="dxa"/>
          </w:tcPr>
          <w:p w:rsidR="00BC1D60" w:rsidRDefault="00BC1D60" w:rsidP="00BC5B38">
            <w:pPr>
              <w:pStyle w:val="ESTableRow"/>
              <w:widowControl w:val="0"/>
              <w:jc w:val="right"/>
            </w:pPr>
            <w:r>
              <w:rPr>
                <w:rFonts w:ascii="Arial Narrow"/>
              </w:rPr>
              <w:t>17.4</w:t>
            </w:r>
          </w:p>
        </w:tc>
        <w:tc>
          <w:tcPr>
            <w:tcW w:w="1016" w:type="dxa"/>
          </w:tcPr>
          <w:p w:rsidR="00BC1D60" w:rsidRDefault="00BC1D60" w:rsidP="00BC5B38">
            <w:pPr>
              <w:pStyle w:val="ESTableRow"/>
              <w:widowControl w:val="0"/>
              <w:jc w:val="right"/>
            </w:pPr>
            <w:r>
              <w:rPr>
                <w:rFonts w:ascii="Arial Narrow"/>
              </w:rPr>
              <w:t>14.1</w:t>
            </w:r>
          </w:p>
        </w:tc>
      </w:tr>
      <w:tr w:rsidR="00BC1D60" w:rsidTr="00BC5B38">
        <w:trPr>
          <w:cantSplit/>
        </w:trPr>
        <w:tc>
          <w:tcPr>
            <w:tcW w:w="1768" w:type="dxa"/>
          </w:tcPr>
          <w:p w:rsidR="00BC1D60" w:rsidRDefault="00BC1D60" w:rsidP="00BC5B38">
            <w:pPr>
              <w:pStyle w:val="ESTableRow"/>
              <w:widowControl w:val="0"/>
            </w:pPr>
            <w:r>
              <w:rPr>
                <w:rFonts w:ascii="Arial Narrow"/>
              </w:rPr>
              <w:t xml:space="preserve">P/BV (x) </w:t>
            </w:r>
          </w:p>
        </w:tc>
        <w:tc>
          <w:tcPr>
            <w:tcW w:w="1016" w:type="dxa"/>
          </w:tcPr>
          <w:p w:rsidR="00BC1D60" w:rsidRDefault="00BC1D60" w:rsidP="00BC5B38">
            <w:pPr>
              <w:pStyle w:val="ESTableRow"/>
              <w:widowControl w:val="0"/>
              <w:jc w:val="right"/>
            </w:pPr>
            <w:r>
              <w:rPr>
                <w:rFonts w:ascii="Arial Narrow"/>
              </w:rPr>
              <w:t>0.5</w:t>
            </w:r>
          </w:p>
        </w:tc>
        <w:tc>
          <w:tcPr>
            <w:tcW w:w="1016" w:type="dxa"/>
          </w:tcPr>
          <w:p w:rsidR="00BC1D60" w:rsidRDefault="00BC1D60" w:rsidP="00BC5B38">
            <w:pPr>
              <w:pStyle w:val="ESTableRow"/>
              <w:widowControl w:val="0"/>
              <w:jc w:val="right"/>
            </w:pPr>
            <w:r>
              <w:rPr>
                <w:rFonts w:ascii="Arial Narrow"/>
              </w:rPr>
              <w:t>0.5</w:t>
            </w:r>
          </w:p>
        </w:tc>
        <w:tc>
          <w:tcPr>
            <w:tcW w:w="1016" w:type="dxa"/>
          </w:tcPr>
          <w:p w:rsidR="00BC1D60" w:rsidRDefault="00BC1D60" w:rsidP="00BC5B38">
            <w:pPr>
              <w:pStyle w:val="ESTableRow"/>
              <w:widowControl w:val="0"/>
              <w:jc w:val="right"/>
            </w:pPr>
            <w:r>
              <w:rPr>
                <w:rFonts w:ascii="Arial Narrow"/>
              </w:rPr>
              <w:t>0.4</w:t>
            </w:r>
          </w:p>
        </w:tc>
        <w:tc>
          <w:tcPr>
            <w:tcW w:w="1016" w:type="dxa"/>
          </w:tcPr>
          <w:p w:rsidR="00BC1D60" w:rsidRDefault="00BC1D60" w:rsidP="00BC5B38">
            <w:pPr>
              <w:pStyle w:val="ESTableRow"/>
              <w:widowControl w:val="0"/>
              <w:jc w:val="right"/>
            </w:pPr>
            <w:r>
              <w:rPr>
                <w:rFonts w:ascii="Arial Narrow"/>
              </w:rPr>
              <w:t>0.4</w:t>
            </w:r>
          </w:p>
        </w:tc>
        <w:tc>
          <w:tcPr>
            <w:tcW w:w="1016" w:type="dxa"/>
          </w:tcPr>
          <w:p w:rsidR="00BC1D60" w:rsidRDefault="00BC1D60" w:rsidP="00BC5B38">
            <w:pPr>
              <w:pStyle w:val="ESTableRow"/>
              <w:widowControl w:val="0"/>
              <w:jc w:val="right"/>
            </w:pPr>
            <w:r>
              <w:rPr>
                <w:rFonts w:ascii="Arial Narrow"/>
              </w:rPr>
              <w:t>0.3</w:t>
            </w:r>
          </w:p>
        </w:tc>
      </w:tr>
      <w:tr w:rsidR="00BC1D60" w:rsidTr="00BC5B38">
        <w:trPr>
          <w:cantSplit/>
        </w:trPr>
        <w:tc>
          <w:tcPr>
            <w:tcW w:w="1768" w:type="dxa"/>
          </w:tcPr>
          <w:p w:rsidR="00BC1D60" w:rsidRDefault="00BC1D60" w:rsidP="00BC5B38">
            <w:pPr>
              <w:pStyle w:val="ESTableRow"/>
              <w:widowControl w:val="0"/>
            </w:pPr>
            <w:r>
              <w:rPr>
                <w:rFonts w:ascii="Arial Narrow"/>
              </w:rPr>
              <w:t xml:space="preserve">EV/EBITDA (x) </w:t>
            </w:r>
          </w:p>
        </w:tc>
        <w:tc>
          <w:tcPr>
            <w:tcW w:w="1016" w:type="dxa"/>
          </w:tcPr>
          <w:p w:rsidR="00BC1D60" w:rsidRDefault="00BC1D60" w:rsidP="00BC5B38">
            <w:pPr>
              <w:pStyle w:val="ESTableRow"/>
              <w:widowControl w:val="0"/>
              <w:jc w:val="right"/>
            </w:pPr>
            <w:r>
              <w:rPr>
                <w:rFonts w:ascii="Arial Narrow"/>
              </w:rPr>
              <w:t>12.8</w:t>
            </w:r>
          </w:p>
        </w:tc>
        <w:tc>
          <w:tcPr>
            <w:tcW w:w="1016" w:type="dxa"/>
          </w:tcPr>
          <w:p w:rsidR="00BC1D60" w:rsidRDefault="00BC1D60" w:rsidP="00BC5B38">
            <w:pPr>
              <w:pStyle w:val="ESTableRow"/>
              <w:widowControl w:val="0"/>
              <w:jc w:val="right"/>
            </w:pPr>
            <w:r>
              <w:rPr>
                <w:rFonts w:ascii="Arial Narrow"/>
              </w:rPr>
              <w:t>9.6</w:t>
            </w:r>
          </w:p>
        </w:tc>
        <w:tc>
          <w:tcPr>
            <w:tcW w:w="1016" w:type="dxa"/>
          </w:tcPr>
          <w:p w:rsidR="00BC1D60" w:rsidRDefault="00BC1D60" w:rsidP="00BC5B38">
            <w:pPr>
              <w:pStyle w:val="ESTableRow"/>
              <w:widowControl w:val="0"/>
              <w:jc w:val="right"/>
            </w:pPr>
            <w:r>
              <w:rPr>
                <w:rFonts w:ascii="Arial Narrow"/>
              </w:rPr>
              <w:t>9.1</w:t>
            </w:r>
          </w:p>
        </w:tc>
        <w:tc>
          <w:tcPr>
            <w:tcW w:w="1016" w:type="dxa"/>
          </w:tcPr>
          <w:p w:rsidR="00BC1D60" w:rsidRDefault="00BC1D60" w:rsidP="00BC5B38">
            <w:pPr>
              <w:pStyle w:val="ESTableRow"/>
              <w:widowControl w:val="0"/>
              <w:jc w:val="right"/>
            </w:pPr>
            <w:r>
              <w:rPr>
                <w:rFonts w:ascii="Arial Narrow"/>
              </w:rPr>
              <w:t>6.8</w:t>
            </w:r>
          </w:p>
        </w:tc>
        <w:tc>
          <w:tcPr>
            <w:tcW w:w="1016" w:type="dxa"/>
          </w:tcPr>
          <w:p w:rsidR="00BC1D60" w:rsidRDefault="00BC1D60" w:rsidP="00BC5B38">
            <w:pPr>
              <w:pStyle w:val="ESTableRow"/>
              <w:widowControl w:val="0"/>
              <w:jc w:val="right"/>
            </w:pPr>
            <w:r>
              <w:rPr>
                <w:rFonts w:ascii="Arial Narrow"/>
              </w:rPr>
              <w:t>5.3</w:t>
            </w:r>
          </w:p>
        </w:tc>
      </w:tr>
      <w:tr w:rsidR="00BC1D60" w:rsidTr="00BC5B38">
        <w:trPr>
          <w:cantSplit/>
        </w:trPr>
        <w:tc>
          <w:tcPr>
            <w:tcW w:w="1768" w:type="dxa"/>
            <w:tcBorders>
              <w:bottom w:val="single" w:sz="4" w:space="0" w:color="auto"/>
            </w:tcBorders>
          </w:tcPr>
          <w:p w:rsidR="00BC1D60" w:rsidRDefault="00BC1D60" w:rsidP="00BC5B38">
            <w:pPr>
              <w:pStyle w:val="ESTableRow"/>
              <w:widowControl w:val="0"/>
            </w:pPr>
            <w:r>
              <w:rPr>
                <w:rFonts w:ascii="Arial Narrow"/>
              </w:rPr>
              <w:t xml:space="preserve">Dividend Yield </w:t>
            </w:r>
          </w:p>
        </w:tc>
        <w:tc>
          <w:tcPr>
            <w:tcW w:w="1016" w:type="dxa"/>
            <w:tcBorders>
              <w:bottom w:val="single" w:sz="4" w:space="0" w:color="auto"/>
            </w:tcBorders>
          </w:tcPr>
          <w:p w:rsidR="00BC1D60" w:rsidRDefault="00BC1D60" w:rsidP="00BC5B38">
            <w:pPr>
              <w:pStyle w:val="ESTableRow"/>
              <w:widowControl w:val="0"/>
              <w:jc w:val="right"/>
            </w:pPr>
            <w:r>
              <w:rPr>
                <w:rFonts w:ascii="Arial Narrow"/>
              </w:rPr>
              <w:t>0.5%</w:t>
            </w:r>
          </w:p>
        </w:tc>
        <w:tc>
          <w:tcPr>
            <w:tcW w:w="1016" w:type="dxa"/>
            <w:tcBorders>
              <w:bottom w:val="single" w:sz="4" w:space="0" w:color="auto"/>
            </w:tcBorders>
          </w:tcPr>
          <w:p w:rsidR="00BC1D60" w:rsidRDefault="00BC1D60" w:rsidP="00BC5B38">
            <w:pPr>
              <w:pStyle w:val="ESTableRow"/>
              <w:widowControl w:val="0"/>
              <w:jc w:val="right"/>
            </w:pPr>
            <w:r>
              <w:rPr>
                <w:rFonts w:ascii="Arial Narrow"/>
              </w:rPr>
              <w:t>0.7%</w:t>
            </w:r>
          </w:p>
        </w:tc>
        <w:tc>
          <w:tcPr>
            <w:tcW w:w="1016" w:type="dxa"/>
            <w:tcBorders>
              <w:bottom w:val="single" w:sz="4" w:space="0" w:color="auto"/>
            </w:tcBorders>
          </w:tcPr>
          <w:p w:rsidR="00BC1D60" w:rsidRDefault="00BC1D60" w:rsidP="00BC5B38">
            <w:pPr>
              <w:pStyle w:val="ESTableRow"/>
              <w:widowControl w:val="0"/>
              <w:jc w:val="right"/>
            </w:pPr>
            <w:r>
              <w:rPr>
                <w:rFonts w:ascii="Arial Narrow"/>
              </w:rPr>
              <w:t>1.1%</w:t>
            </w:r>
          </w:p>
        </w:tc>
        <w:tc>
          <w:tcPr>
            <w:tcW w:w="1016" w:type="dxa"/>
            <w:tcBorders>
              <w:bottom w:val="single" w:sz="4" w:space="0" w:color="auto"/>
            </w:tcBorders>
          </w:tcPr>
          <w:p w:rsidR="00BC1D60" w:rsidRDefault="00BC1D60" w:rsidP="00BC5B38">
            <w:pPr>
              <w:pStyle w:val="ESTableRow"/>
              <w:widowControl w:val="0"/>
              <w:jc w:val="right"/>
            </w:pPr>
            <w:r>
              <w:rPr>
                <w:rFonts w:ascii="Arial Narrow"/>
              </w:rPr>
              <w:t>1.4%</w:t>
            </w:r>
          </w:p>
        </w:tc>
        <w:tc>
          <w:tcPr>
            <w:tcW w:w="1016" w:type="dxa"/>
            <w:tcBorders>
              <w:bottom w:val="single" w:sz="4" w:space="0" w:color="auto"/>
            </w:tcBorders>
          </w:tcPr>
          <w:p w:rsidR="00BC1D60" w:rsidRDefault="00BC1D60" w:rsidP="00BC5B38">
            <w:pPr>
              <w:pStyle w:val="ESTableRow"/>
              <w:widowControl w:val="0"/>
              <w:jc w:val="right"/>
            </w:pPr>
            <w:r>
              <w:rPr>
                <w:rFonts w:ascii="Arial Narrow"/>
              </w:rPr>
              <w:t>1.7%</w:t>
            </w:r>
          </w:p>
        </w:tc>
      </w:tr>
    </w:tbl>
    <w:p w:rsidR="00BC1D60" w:rsidRPr="004F1ABB" w:rsidRDefault="00BC1D60" w:rsidP="00BC1D60">
      <w:pPr>
        <w:pStyle w:val="Source"/>
        <w:rPr>
          <w:sz w:val="20"/>
          <w:highlight w:val="yellow"/>
        </w:rPr>
      </w:pPr>
      <w:r>
        <w:t>Source: Company data, Bloomberg, J.P. Morgan estimates</w:t>
      </w:r>
      <w:r w:rsidRPr="004F1ABB">
        <w:rPr>
          <w:highlight w:val="yellow"/>
        </w:rPr>
        <w:br w:type="page"/>
      </w:r>
    </w:p>
    <w:p w:rsidR="00BC1D60" w:rsidRPr="004F1ABB" w:rsidRDefault="00BC1D60" w:rsidP="00BC1D60">
      <w:pPr>
        <w:pStyle w:val="Body"/>
        <w:rPr>
          <w:highlight w:val="yellow"/>
        </w:rPr>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7D6BCE" w:rsidTr="00BC5B38">
        <w:tc>
          <w:tcPr>
            <w:tcW w:w="10604" w:type="dxa"/>
            <w:gridSpan w:val="3"/>
            <w:shd w:val="clear" w:color="auto" w:fill="auto"/>
          </w:tcPr>
          <w:p w:rsidR="00BC1D60" w:rsidRPr="007D6BCE" w:rsidRDefault="00BC1D60" w:rsidP="00BC5B38">
            <w:pPr>
              <w:pStyle w:val="Heading1-NoTOC"/>
            </w:pPr>
            <w:bookmarkStart w:id="398" w:name="_Toc368054160"/>
            <w:bookmarkStart w:id="399" w:name="_Toc368081385"/>
            <w:bookmarkStart w:id="400" w:name="_Toc376756129"/>
            <w:bookmarkStart w:id="401" w:name="_Toc376801450"/>
            <w:bookmarkStart w:id="402" w:name="_Toc376802112"/>
            <w:bookmarkStart w:id="403" w:name="_Toc384045006"/>
            <w:bookmarkStart w:id="404" w:name="_Toc384136029"/>
            <w:bookmarkStart w:id="405" w:name="_Toc384136996"/>
            <w:bookmarkStart w:id="406" w:name="_Toc392016389"/>
            <w:bookmarkStart w:id="407" w:name="_Toc392099107"/>
            <w:r w:rsidRPr="007D6BCE">
              <w:t>Getting to know our SMid Analysts…</w:t>
            </w:r>
            <w:bookmarkEnd w:id="398"/>
            <w:bookmarkEnd w:id="399"/>
            <w:bookmarkEnd w:id="400"/>
            <w:bookmarkEnd w:id="401"/>
            <w:bookmarkEnd w:id="402"/>
            <w:bookmarkEnd w:id="403"/>
            <w:bookmarkEnd w:id="404"/>
            <w:bookmarkEnd w:id="405"/>
            <w:bookmarkEnd w:id="406"/>
            <w:bookmarkEnd w:id="407"/>
          </w:p>
        </w:tc>
      </w:tr>
      <w:tr w:rsidR="00BC1D60" w:rsidRPr="007D6BCE" w:rsidTr="00BC5B38">
        <w:trPr>
          <w:trHeight w:val="3427"/>
        </w:trPr>
        <w:tc>
          <w:tcPr>
            <w:tcW w:w="2666" w:type="dxa"/>
            <w:shd w:val="clear" w:color="auto" w:fill="auto"/>
          </w:tcPr>
          <w:p w:rsidR="00BC1D60" w:rsidRPr="007D6BCE" w:rsidRDefault="00BC1D60" w:rsidP="00BC5B38">
            <w:pPr>
              <w:shd w:val="clear" w:color="auto" w:fill="F6F6F6"/>
              <w:spacing w:line="336" w:lineRule="atLeast"/>
              <w:jc w:val="center"/>
              <w:rPr>
                <w:rFonts w:ascii="Arial" w:hAnsi="Arial" w:cs="Arial"/>
                <w:color w:val="666666"/>
                <w:sz w:val="15"/>
                <w:szCs w:val="15"/>
              </w:rPr>
            </w:pPr>
            <w:r w:rsidRPr="007D6BCE">
              <w:rPr>
                <w:rFonts w:ascii="Arial" w:hAnsi="Arial" w:cs="Arial"/>
                <w:noProof/>
                <w:color w:val="666666"/>
                <w:sz w:val="15"/>
                <w:szCs w:val="15"/>
              </w:rPr>
              <w:drawing>
                <wp:inline distT="0" distB="0" distL="0" distR="0">
                  <wp:extent cx="1463040" cy="1969254"/>
                  <wp:effectExtent l="19050" t="0" r="3810" b="0"/>
                  <wp:docPr id="1176" name="Picture 130" descr="https://mm.jpmorgan.com/ImageServlet?sid=W06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mm.jpmorgan.com/ImageServlet?sid=W069460"/>
                          <pic:cNvPicPr>
                            <a:picLocks noChangeAspect="1" noChangeArrowheads="1"/>
                          </pic:cNvPicPr>
                        </pic:nvPicPr>
                        <pic:blipFill>
                          <a:blip r:embed="rId174"/>
                          <a:srcRect l="5663" r="47586"/>
                          <a:stretch>
                            <a:fillRect/>
                          </a:stretch>
                        </pic:blipFill>
                        <pic:spPr bwMode="auto">
                          <a:xfrm>
                            <a:off x="0" y="0"/>
                            <a:ext cx="1463040" cy="1969254"/>
                          </a:xfrm>
                          <a:prstGeom prst="rect">
                            <a:avLst/>
                          </a:prstGeom>
                          <a:noFill/>
                          <a:ln w="9525">
                            <a:noFill/>
                            <a:miter lim="800000"/>
                            <a:headEnd/>
                            <a:tailEnd/>
                          </a:ln>
                        </pic:spPr>
                      </pic:pic>
                    </a:graphicData>
                  </a:graphic>
                </wp:inline>
              </w:drawing>
            </w:r>
          </w:p>
          <w:p w:rsidR="00BC1D60" w:rsidRPr="007D6BCE" w:rsidRDefault="00BC1D60" w:rsidP="00BC5B38">
            <w:pPr>
              <w:pStyle w:val="Body"/>
              <w:spacing w:after="120"/>
            </w:pPr>
          </w:p>
        </w:tc>
        <w:tc>
          <w:tcPr>
            <w:tcW w:w="3544" w:type="dxa"/>
            <w:shd w:val="clear" w:color="auto" w:fill="auto"/>
          </w:tcPr>
          <w:p w:rsidR="00BC1D60" w:rsidRPr="007D6BCE" w:rsidRDefault="00BC1D60" w:rsidP="00BC5B38">
            <w:pPr>
              <w:pStyle w:val="Heading2"/>
              <w:outlineLvl w:val="1"/>
            </w:pPr>
            <w:r w:rsidRPr="007D6BCE">
              <w:t>Leon Chik, CFA</w:t>
            </w:r>
          </w:p>
          <w:p w:rsidR="00BC1D60" w:rsidRPr="007D6BCE" w:rsidRDefault="003B051F" w:rsidP="00BC5B38">
            <w:pPr>
              <w:pStyle w:val="Body"/>
              <w:spacing w:after="120"/>
              <w:rPr>
                <w:rStyle w:val="txtblackbld1"/>
                <w:rFonts w:ascii="Arial Narrow" w:hAnsi="Arial Narrow"/>
                <w:b w:val="0"/>
                <w:bCs w:val="0"/>
                <w:szCs w:val="20"/>
              </w:rPr>
            </w:pPr>
            <w:hyperlink r:id="rId175" w:history="1">
              <w:r w:rsidR="00BC1D60" w:rsidRPr="007D6BCE">
                <w:rPr>
                  <w:rStyle w:val="Hyperlink"/>
                  <w:rFonts w:ascii="Arial Narrow" w:hAnsi="Arial Narrow" w:cs="Arial"/>
                  <w:szCs w:val="20"/>
                </w:rPr>
                <w:t>leon.hk.chik@jpmorgan.com</w:t>
              </w:r>
            </w:hyperlink>
          </w:p>
          <w:p w:rsidR="00BC1D60" w:rsidRPr="007D6BCE" w:rsidRDefault="00BC1D60" w:rsidP="00BC5B38">
            <w:pPr>
              <w:pStyle w:val="Body"/>
              <w:spacing w:after="120"/>
              <w:rPr>
                <w:rFonts w:ascii="Arial Narrow" w:hAnsi="Arial Narrow"/>
                <w:lang w:val="es-ES_tradnl"/>
              </w:rPr>
            </w:pPr>
            <w:r w:rsidRPr="007D6BCE">
              <w:rPr>
                <w:rFonts w:ascii="Arial Narrow" w:hAnsi="Arial Narrow"/>
                <w:lang w:val="es-ES_tradnl"/>
              </w:rPr>
              <w:t>(852) 2800-8590</w:t>
            </w:r>
          </w:p>
          <w:p w:rsidR="00BC1D60" w:rsidRPr="007D6BCE" w:rsidRDefault="00BC1D60" w:rsidP="00BC5B38">
            <w:pPr>
              <w:pStyle w:val="Body"/>
              <w:spacing w:after="120"/>
              <w:rPr>
                <w:rFonts w:ascii="Arial Narrow" w:hAnsi="Arial Narrow"/>
                <w:lang w:val="es-ES_tradnl"/>
              </w:rPr>
            </w:pPr>
          </w:p>
          <w:p w:rsidR="00BC1D60" w:rsidRPr="007D6BCE" w:rsidRDefault="00BC1D60" w:rsidP="00BC5B38">
            <w:pPr>
              <w:pStyle w:val="Body"/>
              <w:spacing w:after="120"/>
              <w:rPr>
                <w:rFonts w:ascii="Arial Narrow" w:hAnsi="Arial Narrow"/>
                <w:lang w:val="es-ES_tradnl"/>
              </w:rPr>
            </w:pPr>
            <w:r w:rsidRPr="007D6BCE">
              <w:rPr>
                <w:rFonts w:ascii="Arial Narrow" w:hAnsi="Arial Narrow"/>
                <w:b/>
                <w:lang w:val="es-ES_tradnl"/>
              </w:rPr>
              <w:t>Region:</w:t>
            </w:r>
            <w:r w:rsidRPr="007D6BCE">
              <w:rPr>
                <w:rFonts w:ascii="Arial Narrow" w:hAnsi="Arial Narrow"/>
                <w:lang w:val="es-ES_tradnl"/>
              </w:rPr>
              <w:t xml:space="preserve"> Asia ex-Japan (China-HK)</w:t>
            </w:r>
          </w:p>
          <w:p w:rsidR="00BC1D60" w:rsidRPr="007D6BCE" w:rsidRDefault="00BC1D60" w:rsidP="00BC5B38">
            <w:pPr>
              <w:pStyle w:val="Body"/>
              <w:spacing w:after="120"/>
              <w:rPr>
                <w:rFonts w:ascii="Arial Narrow" w:hAnsi="Arial Narrow"/>
              </w:rPr>
            </w:pPr>
            <w:r w:rsidRPr="007D6BCE">
              <w:rPr>
                <w:rFonts w:ascii="Arial Narrow" w:hAnsi="Arial Narrow"/>
                <w:b/>
              </w:rPr>
              <w:t>Sector:</w:t>
            </w:r>
            <w:r w:rsidRPr="007D6BCE">
              <w:rPr>
                <w:rFonts w:ascii="Arial Narrow" w:hAnsi="Arial Narrow"/>
              </w:rPr>
              <w:t xml:space="preserve"> SMid-Caps</w:t>
            </w:r>
          </w:p>
          <w:p w:rsidR="00BC1D60" w:rsidRPr="007D6BCE" w:rsidRDefault="00BC1D60" w:rsidP="00BC5B38">
            <w:pPr>
              <w:pStyle w:val="Body"/>
            </w:pPr>
          </w:p>
        </w:tc>
        <w:tc>
          <w:tcPr>
            <w:tcW w:w="4394" w:type="dxa"/>
            <w:shd w:val="clear" w:color="auto" w:fill="auto"/>
          </w:tcPr>
          <w:p w:rsidR="00BC1D60" w:rsidRPr="007D6BCE" w:rsidRDefault="00BC1D60" w:rsidP="00BC5B38">
            <w:pPr>
              <w:pStyle w:val="Body"/>
              <w:jc w:val="right"/>
            </w:pPr>
            <w:r w:rsidRPr="007D6BCE">
              <w:rPr>
                <w:noProof/>
              </w:rPr>
              <w:drawing>
                <wp:inline distT="0" distB="0" distL="0" distR="0">
                  <wp:extent cx="2505456" cy="2595580"/>
                  <wp:effectExtent l="19050" t="0" r="9144" b="0"/>
                  <wp:docPr id="117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6"/>
                          <a:srcRect/>
                          <a:stretch>
                            <a:fillRect/>
                          </a:stretch>
                        </pic:blipFill>
                        <pic:spPr bwMode="auto">
                          <a:xfrm>
                            <a:off x="0" y="0"/>
                            <a:ext cx="2505456" cy="2595580"/>
                          </a:xfrm>
                          <a:prstGeom prst="rect">
                            <a:avLst/>
                          </a:prstGeom>
                          <a:noFill/>
                          <a:ln w="9525">
                            <a:noFill/>
                            <a:miter lim="800000"/>
                            <a:headEnd/>
                            <a:tailEnd/>
                          </a:ln>
                        </pic:spPr>
                      </pic:pic>
                    </a:graphicData>
                  </a:graphic>
                </wp:inline>
              </w:drawing>
            </w:r>
            <w:r w:rsidRPr="007D6BCE" w:rsidDel="00BD1C92">
              <w:t xml:space="preserve"> </w:t>
            </w:r>
          </w:p>
        </w:tc>
      </w:tr>
    </w:tbl>
    <w:p w:rsidR="00BC1D60" w:rsidRPr="007D6BCE" w:rsidRDefault="00BC1D60" w:rsidP="00BC1D60">
      <w:pPr>
        <w:pStyle w:val="Source"/>
        <w:spacing w:before="0"/>
        <w:ind w:left="-3124" w:hanging="137"/>
      </w:pPr>
      <w:r w:rsidRPr="007D6BCE">
        <w:rPr>
          <w:noProof/>
        </w:rPr>
        <w:drawing>
          <wp:inline distT="0" distB="0" distL="0" distR="0">
            <wp:extent cx="6702552" cy="2537290"/>
            <wp:effectExtent l="19050" t="0" r="3048" b="0"/>
            <wp:docPr id="117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7"/>
                    <a:srcRect/>
                    <a:stretch>
                      <a:fillRect/>
                    </a:stretch>
                  </pic:blipFill>
                  <pic:spPr bwMode="auto">
                    <a:xfrm>
                      <a:off x="0" y="0"/>
                      <a:ext cx="6702552" cy="2537290"/>
                    </a:xfrm>
                    <a:prstGeom prst="rect">
                      <a:avLst/>
                    </a:prstGeom>
                    <a:noFill/>
                    <a:ln w="9525">
                      <a:noFill/>
                      <a:miter lim="800000"/>
                      <a:headEnd/>
                      <a:tailEnd/>
                    </a:ln>
                  </pic:spPr>
                </pic:pic>
              </a:graphicData>
            </a:graphic>
          </wp:inline>
        </w:drawing>
      </w:r>
      <w:r w:rsidRPr="007D6BCE">
        <w:t xml:space="preserve"> Source: Bloomberg, Datastream, Factset, J.P. Morgan</w:t>
      </w:r>
      <w:r w:rsidRPr="007D6BCE">
        <w:br/>
      </w:r>
      <w:r w:rsidRPr="0087013D">
        <w:t>Prices as of 24 June 2014</w:t>
      </w:r>
    </w:p>
    <w:p w:rsidR="00BC1D60" w:rsidRPr="004F1ABB" w:rsidRDefault="00BC1D60" w:rsidP="00BC1D60">
      <w:pPr>
        <w:spacing w:line="264" w:lineRule="atLeast"/>
        <w:ind w:left="-3125"/>
        <w:rPr>
          <w:rFonts w:ascii="Arial Narrow" w:hAnsi="Arial Narrow" w:cs="Arial"/>
          <w:b/>
          <w:sz w:val="16"/>
          <w:szCs w:val="16"/>
          <w:highlight w:val="yellow"/>
        </w:rPr>
      </w:pPr>
    </w:p>
    <w:p w:rsidR="00BC1D60" w:rsidRPr="004F1ABB" w:rsidRDefault="00BC1D60" w:rsidP="00BC1D60">
      <w:pPr>
        <w:spacing w:line="264" w:lineRule="atLeast"/>
        <w:ind w:left="-3125"/>
        <w:rPr>
          <w:rFonts w:ascii="Arial Narrow" w:hAnsi="Arial Narrow" w:cs="Arial"/>
          <w:sz w:val="16"/>
          <w:szCs w:val="16"/>
          <w:highlight w:val="yellow"/>
        </w:rPr>
      </w:pPr>
    </w:p>
    <w:p w:rsidR="00BC1D60" w:rsidRPr="004F1ABB" w:rsidRDefault="00BC1D60" w:rsidP="00BC1D60">
      <w:pPr>
        <w:spacing w:after="480" w:line="0" w:lineRule="auto"/>
        <w:rPr>
          <w:highlight w:val="yellow"/>
        </w:rPr>
      </w:pPr>
    </w:p>
    <w:p w:rsidR="00BC1D60" w:rsidRPr="004F1ABB" w:rsidRDefault="00BC1D60" w:rsidP="00BC1D60">
      <w:pPr>
        <w:pStyle w:val="Body"/>
        <w:rPr>
          <w:highlight w:val="yellow"/>
        </w:rPr>
      </w:pPr>
    </w:p>
    <w:p w:rsidR="00BC1D60" w:rsidRPr="004F1ABB" w:rsidRDefault="00BC1D60" w:rsidP="00BC1D60">
      <w:pPr>
        <w:pStyle w:val="Body"/>
        <w:rPr>
          <w:highlight w:val="yellow"/>
        </w:rPr>
      </w:pPr>
    </w:p>
    <w:p w:rsidR="00BC1D60" w:rsidRPr="004F1ABB" w:rsidRDefault="00BC1D60" w:rsidP="00BC1D60">
      <w:pPr>
        <w:pStyle w:val="Body"/>
        <w:rPr>
          <w:highlight w:val="yellow"/>
        </w:rPr>
      </w:pPr>
    </w:p>
    <w:p w:rsidR="00BC1D60" w:rsidRPr="004F1ABB" w:rsidRDefault="00BC1D60" w:rsidP="00BC1D60">
      <w:pPr>
        <w:pStyle w:val="Body"/>
        <w:rPr>
          <w:highlight w:val="yellow"/>
        </w:rPr>
      </w:pPr>
    </w:p>
    <w:p w:rsidR="00BC1D60" w:rsidRPr="004F1ABB" w:rsidRDefault="00BC1D60" w:rsidP="00BC1D60">
      <w:pPr>
        <w:pStyle w:val="Body"/>
        <w:rPr>
          <w:highlight w:val="yellow"/>
        </w:rPr>
      </w:pPr>
    </w:p>
    <w:p w:rsidR="00BC1D60" w:rsidRPr="004F1ABB" w:rsidRDefault="00BC1D60" w:rsidP="00BC1D60">
      <w:pPr>
        <w:pStyle w:val="Sidecomments"/>
        <w:framePr w:w="0" w:hRule="auto" w:wrap="around"/>
        <w:rPr>
          <w:highlight w:val="yellow"/>
        </w:rPr>
      </w:pPr>
      <w:r w:rsidRPr="008404B2">
        <w:rPr>
          <w:noProof/>
        </w:rPr>
        <w:drawing>
          <wp:inline distT="0" distB="0" distL="0" distR="0">
            <wp:extent cx="1737360" cy="7361184"/>
            <wp:effectExtent l="19050" t="0" r="0" b="0"/>
            <wp:docPr id="1184"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78"/>
                    <a:srcRect/>
                    <a:stretch>
                      <a:fillRect/>
                    </a:stretch>
                  </pic:blipFill>
                  <pic:spPr bwMode="auto">
                    <a:xfrm>
                      <a:off x="0" y="0"/>
                      <a:ext cx="1737360" cy="7361184"/>
                    </a:xfrm>
                    <a:prstGeom prst="rect">
                      <a:avLst/>
                    </a:prstGeom>
                    <a:noFill/>
                    <a:ln w="9525">
                      <a:noFill/>
                      <a:miter lim="800000"/>
                      <a:headEnd/>
                      <a:tailEnd/>
                    </a:ln>
                  </pic:spPr>
                </pic:pic>
              </a:graphicData>
            </a:graphic>
          </wp:inline>
        </w:drawing>
      </w:r>
    </w:p>
    <w:p w:rsidR="00BC1D60" w:rsidRPr="008404B2" w:rsidRDefault="00BC1D60" w:rsidP="00BC1D60">
      <w:pPr>
        <w:pStyle w:val="Heading1"/>
      </w:pPr>
      <w:bookmarkStart w:id="408" w:name="_Ref352248496"/>
      <w:bookmarkStart w:id="409" w:name="_Toc352262715"/>
      <w:bookmarkStart w:id="410" w:name="_Toc352262889"/>
      <w:bookmarkStart w:id="411" w:name="_Toc360569936"/>
      <w:bookmarkStart w:id="412" w:name="_Toc368081392"/>
      <w:bookmarkStart w:id="413" w:name="_Toc376802119"/>
      <w:bookmarkStart w:id="414" w:name="_Toc384136032"/>
      <w:bookmarkStart w:id="415" w:name="_Toc392099108"/>
      <w:bookmarkStart w:id="416" w:name="_Toc392081831"/>
      <w:bookmarkStart w:id="417" w:name="_Toc392081894"/>
      <w:r w:rsidRPr="008404B2">
        <w:t>Worley Parsons (WOR AU / OW / A$</w:t>
      </w:r>
      <w:r>
        <w:t>17.3</w:t>
      </w:r>
      <w:r w:rsidRPr="008404B2">
        <w:t>)</w:t>
      </w:r>
      <w:bookmarkEnd w:id="408"/>
      <w:bookmarkEnd w:id="409"/>
      <w:bookmarkEnd w:id="410"/>
      <w:bookmarkEnd w:id="411"/>
      <w:bookmarkEnd w:id="412"/>
      <w:bookmarkEnd w:id="413"/>
      <w:bookmarkEnd w:id="414"/>
      <w:bookmarkEnd w:id="415"/>
      <w:bookmarkEnd w:id="416"/>
      <w:bookmarkEnd w:id="417"/>
    </w:p>
    <w:p w:rsidR="00BC1D60" w:rsidRPr="008404B2" w:rsidRDefault="00BC1D60" w:rsidP="00BC1D60">
      <w:pPr>
        <w:pStyle w:val="Heading2"/>
        <w:spacing w:after="120"/>
        <w:rPr>
          <w:i/>
        </w:rPr>
      </w:pPr>
      <w:r w:rsidRPr="008404B2">
        <w:rPr>
          <w:i/>
        </w:rPr>
        <w:t>Clear path to medium term earnings growth with oil linkage</w:t>
      </w:r>
    </w:p>
    <w:p w:rsidR="00BC1D60" w:rsidRPr="008404B2" w:rsidRDefault="00BC1D60" w:rsidP="00BC1D60">
      <w:pPr>
        <w:pStyle w:val="Heading3"/>
        <w:spacing w:after="0" w:line="220" w:lineRule="exact"/>
      </w:pPr>
      <w:r w:rsidRPr="008404B2">
        <w:t>Investment Highlights:</w:t>
      </w:r>
    </w:p>
    <w:p w:rsidR="00BC1D60" w:rsidRPr="008404B2" w:rsidRDefault="00BC1D60" w:rsidP="00BC1D60">
      <w:pPr>
        <w:pStyle w:val="Bullet"/>
        <w:spacing w:after="0" w:line="220" w:lineRule="exact"/>
        <w:rPr>
          <w:lang w:val="en-GB" w:eastAsia="ja-JP"/>
        </w:rPr>
      </w:pPr>
      <w:r w:rsidRPr="008404B2">
        <w:rPr>
          <w:lang w:val="en-GB" w:eastAsia="ja-JP"/>
        </w:rPr>
        <w:t>While near term Hydrocarbons capex growth remains subdued, the medium to long term trends remain intact. Continued growth in and industrialisation of major developing economies coupled with a recovery in economic activity in major developed world economies is likely to support further growth in demand for energy. Policy changes are also likely to favour a shift in energy demand. Finally, improvements in technology and the depletion of conventional resources are leading to an increase in production from unconventional sources.</w:t>
      </w:r>
    </w:p>
    <w:p w:rsidR="00BC1D60" w:rsidRPr="008404B2" w:rsidRDefault="00BC1D60" w:rsidP="00BC1D60">
      <w:pPr>
        <w:pStyle w:val="Bullet"/>
        <w:spacing w:after="0" w:line="220" w:lineRule="exact"/>
        <w:rPr>
          <w:lang w:val="en-GB" w:eastAsia="ja-JP"/>
        </w:rPr>
      </w:pPr>
      <w:r w:rsidRPr="008404B2">
        <w:rPr>
          <w:lang w:val="en-GB" w:eastAsia="ja-JP"/>
        </w:rPr>
        <w:t>WOR’s 20 Nov13 Trading Update highlighted a range of one-off, cyclical and structural issues impacting near term earnings as well as representing a medium term shift in revenues towards lower margin/higher risk works. We believe that this update finally led to a reset of consensus expectations around revenue growth and margin trajectory. As such, we believe that market expectations for WOR now better reflect WOR’s operating model/structure and risk appetite going forward. WOR also retains a strong balance sheet position to support acquisitive/organic growth.</w:t>
      </w:r>
    </w:p>
    <w:p w:rsidR="00BC1D60" w:rsidRPr="008404B2" w:rsidRDefault="00BC1D60" w:rsidP="00BC1D60">
      <w:pPr>
        <w:pStyle w:val="Bullet"/>
        <w:spacing w:after="0" w:line="220" w:lineRule="exact"/>
        <w:rPr>
          <w:lang w:val="en-GB" w:eastAsia="ja-JP"/>
        </w:rPr>
      </w:pPr>
      <w:r w:rsidRPr="008404B2">
        <w:rPr>
          <w:lang w:val="en-GB" w:eastAsia="ja-JP"/>
        </w:rPr>
        <w:t>WOR has had some success in securing new work in CY14 YTD. These wins have been spread across the breadth of front end project selection/design, project execution and project operations/maintenance/brownfield works. Moreover, we believe that these awards are providing an offset to the pullback WOR has experienced amongst its Minerals &amp; Metals customers.</w:t>
      </w:r>
    </w:p>
    <w:p w:rsidR="00BC1D60" w:rsidRPr="008404B2" w:rsidRDefault="00BC1D60" w:rsidP="00BC1D60">
      <w:pPr>
        <w:pStyle w:val="Body"/>
        <w:spacing w:after="0" w:line="220" w:lineRule="exact"/>
      </w:pPr>
      <w:r w:rsidRPr="008404B2">
        <w:rPr>
          <w:b/>
        </w:rPr>
        <w:t xml:space="preserve">Valuation / Risks to our View: </w:t>
      </w:r>
      <w:r w:rsidRPr="008404B2">
        <w:t>Our Jun15 price target of $18.56 is based on the weighted average of our FY15E PE Rel, FY15E sum-of-the-parts and DCF valuations. Downside risks include persistent weakness in capex in the global energy and resources sectors, cost overruns/project issues on fixed price construction/fabrication work and strength in the A$.</w:t>
      </w:r>
    </w:p>
    <w:p w:rsidR="00BC1D60" w:rsidRPr="008404B2" w:rsidRDefault="00BC1D60" w:rsidP="00BC1D60">
      <w:pPr>
        <w:pStyle w:val="Heading3"/>
        <w:spacing w:after="0" w:line="220" w:lineRule="exact"/>
        <w:rPr>
          <w:b w:val="0"/>
        </w:rPr>
      </w:pPr>
      <w:r w:rsidRPr="008404B2">
        <w:t>WorleyParsons Limited in a Nutshell:</w:t>
      </w:r>
      <w:r>
        <w:t xml:space="preserve"> </w:t>
      </w:r>
      <w:r w:rsidRPr="008404B2">
        <w:rPr>
          <w:b w:val="0"/>
        </w:rPr>
        <w:t>WOR is a global engineering firm with exposures to the global Hydrocarbons, Minerals, Metals &amp; Chemicals and Infrastructure sectors. WOR delivers services from front-end design/development through engineering/construction/procurement to brownfield asset services.</w:t>
      </w:r>
    </w:p>
    <w:p w:rsidR="00BC1D60" w:rsidRPr="008404B2" w:rsidRDefault="00BC1D60" w:rsidP="00BC1D60">
      <w:pPr>
        <w:pStyle w:val="Heading3"/>
      </w:pPr>
      <w:r w:rsidRPr="008404B2">
        <w:t>Price Perf vs MSCI All Country World Small Cap (rebased as of 1-yr ago):</w:t>
      </w:r>
    </w:p>
    <w:p w:rsidR="00BC1D60" w:rsidRPr="008404B2" w:rsidRDefault="00BC1D60" w:rsidP="00BC1D60">
      <w:pPr>
        <w:pStyle w:val="Body"/>
        <w:spacing w:after="0"/>
        <w:rPr>
          <w:noProof/>
          <w:lang w:val="en-GB" w:eastAsia="en-GB"/>
        </w:rPr>
      </w:pPr>
      <w:r w:rsidRPr="008404B2">
        <w:rPr>
          <w:noProof/>
        </w:rPr>
        <w:drawing>
          <wp:inline distT="0" distB="0" distL="0" distR="0">
            <wp:extent cx="4013863" cy="1352593"/>
            <wp:effectExtent l="19050" t="0" r="5687" b="0"/>
            <wp:docPr id="1185"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79"/>
                    <a:srcRect t="6857" b="5143"/>
                    <a:stretch>
                      <a:fillRect/>
                    </a:stretch>
                  </pic:blipFill>
                  <pic:spPr bwMode="auto">
                    <a:xfrm>
                      <a:off x="0" y="0"/>
                      <a:ext cx="4016846" cy="1353598"/>
                    </a:xfrm>
                    <a:prstGeom prst="rect">
                      <a:avLst/>
                    </a:prstGeom>
                    <a:noFill/>
                    <a:ln w="9525">
                      <a:noFill/>
                      <a:miter lim="800000"/>
                      <a:headEnd/>
                      <a:tailEnd/>
                    </a:ln>
                  </pic:spPr>
                </pic:pic>
              </a:graphicData>
            </a:graphic>
          </wp:inline>
        </w:drawing>
      </w:r>
    </w:p>
    <w:p w:rsidR="00BC1D60" w:rsidRPr="008404B2" w:rsidRDefault="00BC1D60" w:rsidP="00BC1D60">
      <w:pPr>
        <w:pStyle w:val="ESTableCaption"/>
        <w:widowControl w:val="0"/>
      </w:pPr>
      <w:r w:rsidRPr="008404B2">
        <w:t>J.P. Morgan estimates.</w:t>
      </w:r>
    </w:p>
    <w:p w:rsidR="00BC1D60" w:rsidRDefault="00BC1D60" w:rsidP="00BC1D60">
      <w:pPr>
        <w:pStyle w:val="ESTableCaption"/>
        <w:widowControl w:val="0"/>
      </w:pPr>
      <w:r>
        <w:rPr>
          <w:sz w:val="16"/>
        </w:rPr>
        <w:t>WorleyParsons Limited (Reuters: WOR.AX, Bloomberg: WOR AU)</w:t>
      </w:r>
    </w:p>
    <w:tbl>
      <w:tblPr>
        <w:tblW w:w="5000" w:type="pct"/>
        <w:tblCellMar>
          <w:left w:w="0" w:type="dxa"/>
          <w:right w:w="43" w:type="dxa"/>
        </w:tblCellMar>
        <w:tblLook w:val="01E0"/>
      </w:tblPr>
      <w:tblGrid>
        <w:gridCol w:w="1782"/>
        <w:gridCol w:w="1023"/>
        <w:gridCol w:w="1023"/>
        <w:gridCol w:w="1023"/>
        <w:gridCol w:w="1023"/>
        <w:gridCol w:w="1023"/>
      </w:tblGrid>
      <w:tr w:rsidR="00BC1D60" w:rsidTr="00BC5B38">
        <w:trPr>
          <w:cantSplit/>
        </w:trPr>
        <w:tc>
          <w:tcPr>
            <w:tcW w:w="1768" w:type="dxa"/>
            <w:tcBorders>
              <w:top w:val="single" w:sz="4" w:space="0" w:color="auto"/>
            </w:tcBorders>
          </w:tcPr>
          <w:p w:rsidR="00BC1D60" w:rsidRDefault="00BC1D60" w:rsidP="00BC5B38">
            <w:pPr>
              <w:pStyle w:val="ESTableRow"/>
              <w:widowControl w:val="0"/>
            </w:pPr>
            <w:r>
              <w:rPr>
                <w:rFonts w:ascii="Arial Narrow"/>
                <w:b/>
              </w:rPr>
              <w:t>Year-end Jun (A$)</w:t>
            </w:r>
          </w:p>
        </w:tc>
        <w:tc>
          <w:tcPr>
            <w:tcW w:w="1016" w:type="dxa"/>
            <w:tcBorders>
              <w:top w:val="single" w:sz="4" w:space="0" w:color="auto"/>
            </w:tcBorders>
          </w:tcPr>
          <w:p w:rsidR="00BC1D60" w:rsidRDefault="00BC1D60" w:rsidP="00BC5B38">
            <w:pPr>
              <w:pStyle w:val="ESTableRow"/>
              <w:widowControl w:val="0"/>
              <w:jc w:val="right"/>
            </w:pPr>
            <w:r>
              <w:rPr>
                <w:rFonts w:ascii="Arial Narrow"/>
                <w:b/>
              </w:rPr>
              <w:t>FY12A</w:t>
            </w:r>
          </w:p>
        </w:tc>
        <w:tc>
          <w:tcPr>
            <w:tcW w:w="1016" w:type="dxa"/>
            <w:tcBorders>
              <w:top w:val="single" w:sz="4" w:space="0" w:color="auto"/>
            </w:tcBorders>
          </w:tcPr>
          <w:p w:rsidR="00BC1D60" w:rsidRDefault="00BC1D60" w:rsidP="00BC5B38">
            <w:pPr>
              <w:pStyle w:val="ESTableRow"/>
              <w:widowControl w:val="0"/>
              <w:jc w:val="right"/>
            </w:pPr>
            <w:r>
              <w:rPr>
                <w:rFonts w:ascii="Arial Narrow"/>
                <w:b/>
              </w:rPr>
              <w:t>FY13A</w:t>
            </w:r>
          </w:p>
        </w:tc>
        <w:tc>
          <w:tcPr>
            <w:tcW w:w="1016" w:type="dxa"/>
            <w:tcBorders>
              <w:top w:val="single" w:sz="4" w:space="0" w:color="auto"/>
            </w:tcBorders>
          </w:tcPr>
          <w:p w:rsidR="00BC1D60" w:rsidRDefault="00BC1D60" w:rsidP="00BC5B38">
            <w:pPr>
              <w:pStyle w:val="ESTableRow"/>
              <w:widowControl w:val="0"/>
              <w:jc w:val="right"/>
            </w:pPr>
            <w:r>
              <w:rPr>
                <w:rFonts w:ascii="Arial Narrow"/>
                <w:b/>
              </w:rPr>
              <w:t>FY14E</w:t>
            </w:r>
          </w:p>
        </w:tc>
        <w:tc>
          <w:tcPr>
            <w:tcW w:w="1016" w:type="dxa"/>
            <w:tcBorders>
              <w:top w:val="single" w:sz="4" w:space="0" w:color="auto"/>
            </w:tcBorders>
          </w:tcPr>
          <w:p w:rsidR="00BC1D60" w:rsidRDefault="00BC1D60" w:rsidP="00BC5B38">
            <w:pPr>
              <w:pStyle w:val="ESTableRow"/>
              <w:widowControl w:val="0"/>
              <w:jc w:val="right"/>
            </w:pPr>
            <w:r>
              <w:rPr>
                <w:rFonts w:ascii="Arial Narrow"/>
                <w:b/>
              </w:rPr>
              <w:t>FY15E</w:t>
            </w:r>
          </w:p>
        </w:tc>
        <w:tc>
          <w:tcPr>
            <w:tcW w:w="1016" w:type="dxa"/>
            <w:tcBorders>
              <w:top w:val="single" w:sz="4" w:space="0" w:color="auto"/>
            </w:tcBorders>
          </w:tcPr>
          <w:p w:rsidR="00BC1D60" w:rsidRDefault="00BC1D60" w:rsidP="00BC5B38">
            <w:pPr>
              <w:pStyle w:val="ESTableRow"/>
              <w:widowControl w:val="0"/>
              <w:jc w:val="right"/>
            </w:pPr>
            <w:r>
              <w:rPr>
                <w:rFonts w:ascii="Arial Narrow"/>
                <w:b/>
              </w:rPr>
              <w:t>FY16E</w:t>
            </w:r>
          </w:p>
        </w:tc>
      </w:tr>
      <w:tr w:rsidR="00BC1D60" w:rsidTr="00BC5B38">
        <w:trPr>
          <w:cantSplit/>
        </w:trPr>
        <w:tc>
          <w:tcPr>
            <w:tcW w:w="1768" w:type="dxa"/>
            <w:tcBorders>
              <w:top w:val="single" w:sz="4" w:space="0" w:color="auto"/>
            </w:tcBorders>
          </w:tcPr>
          <w:p w:rsidR="00BC1D60" w:rsidRDefault="00BC1D60" w:rsidP="00BC5B38">
            <w:pPr>
              <w:pStyle w:val="ESTableRow"/>
              <w:widowControl w:val="0"/>
            </w:pPr>
            <w:r>
              <w:rPr>
                <w:rFonts w:ascii="Arial Narrow"/>
              </w:rPr>
              <w:t>Revenue (A$ mn)</w:t>
            </w:r>
          </w:p>
        </w:tc>
        <w:tc>
          <w:tcPr>
            <w:tcW w:w="1016" w:type="dxa"/>
            <w:tcBorders>
              <w:top w:val="single" w:sz="4" w:space="0" w:color="auto"/>
            </w:tcBorders>
          </w:tcPr>
          <w:p w:rsidR="00BC1D60" w:rsidRDefault="00BC1D60" w:rsidP="00BC5B38">
            <w:pPr>
              <w:pStyle w:val="ESTableRow"/>
              <w:widowControl w:val="0"/>
              <w:jc w:val="right"/>
            </w:pPr>
            <w:r>
              <w:rPr>
                <w:rFonts w:ascii="Arial Narrow"/>
              </w:rPr>
              <w:t>7,335</w:t>
            </w:r>
          </w:p>
        </w:tc>
        <w:tc>
          <w:tcPr>
            <w:tcW w:w="1016" w:type="dxa"/>
            <w:tcBorders>
              <w:top w:val="single" w:sz="4" w:space="0" w:color="auto"/>
            </w:tcBorders>
          </w:tcPr>
          <w:p w:rsidR="00BC1D60" w:rsidRDefault="00BC1D60" w:rsidP="00BC5B38">
            <w:pPr>
              <w:pStyle w:val="ESTableRow"/>
              <w:widowControl w:val="0"/>
              <w:jc w:val="right"/>
            </w:pPr>
            <w:r>
              <w:rPr>
                <w:rFonts w:ascii="Arial Narrow"/>
              </w:rPr>
              <w:t>7,604</w:t>
            </w:r>
          </w:p>
        </w:tc>
        <w:tc>
          <w:tcPr>
            <w:tcW w:w="1016" w:type="dxa"/>
            <w:tcBorders>
              <w:top w:val="single" w:sz="4" w:space="0" w:color="auto"/>
            </w:tcBorders>
          </w:tcPr>
          <w:p w:rsidR="00BC1D60" w:rsidRDefault="00BC1D60" w:rsidP="00BC5B38">
            <w:pPr>
              <w:pStyle w:val="ESTableRow"/>
              <w:widowControl w:val="0"/>
              <w:jc w:val="right"/>
            </w:pPr>
            <w:r>
              <w:rPr>
                <w:rFonts w:ascii="Arial Narrow"/>
              </w:rPr>
              <w:t>7,547</w:t>
            </w:r>
          </w:p>
        </w:tc>
        <w:tc>
          <w:tcPr>
            <w:tcW w:w="1016" w:type="dxa"/>
            <w:tcBorders>
              <w:top w:val="single" w:sz="4" w:space="0" w:color="auto"/>
            </w:tcBorders>
          </w:tcPr>
          <w:p w:rsidR="00BC1D60" w:rsidRDefault="00BC1D60" w:rsidP="00BC5B38">
            <w:pPr>
              <w:pStyle w:val="ESTableRow"/>
              <w:widowControl w:val="0"/>
              <w:jc w:val="right"/>
            </w:pPr>
            <w:r>
              <w:rPr>
                <w:rFonts w:ascii="Arial Narrow"/>
              </w:rPr>
              <w:t>7,768</w:t>
            </w:r>
          </w:p>
        </w:tc>
        <w:tc>
          <w:tcPr>
            <w:tcW w:w="1016" w:type="dxa"/>
            <w:tcBorders>
              <w:top w:val="single" w:sz="4" w:space="0" w:color="auto"/>
            </w:tcBorders>
          </w:tcPr>
          <w:p w:rsidR="00BC1D60" w:rsidRDefault="00BC1D60" w:rsidP="00BC5B38">
            <w:pPr>
              <w:pStyle w:val="ESTableRow"/>
              <w:widowControl w:val="0"/>
              <w:jc w:val="right"/>
            </w:pPr>
            <w:r>
              <w:rPr>
                <w:rFonts w:ascii="Arial Narrow"/>
              </w:rPr>
              <w:t>8,322</w:t>
            </w:r>
          </w:p>
        </w:tc>
      </w:tr>
      <w:tr w:rsidR="00BC1D60" w:rsidTr="00BC5B38">
        <w:trPr>
          <w:cantSplit/>
        </w:trPr>
        <w:tc>
          <w:tcPr>
            <w:tcW w:w="1768" w:type="dxa"/>
          </w:tcPr>
          <w:p w:rsidR="00BC1D60" w:rsidRDefault="00BC1D60" w:rsidP="00BC5B38">
            <w:pPr>
              <w:pStyle w:val="ESTableRow"/>
              <w:widowControl w:val="0"/>
            </w:pPr>
            <w:r>
              <w:rPr>
                <w:rFonts w:ascii="Arial Narrow"/>
              </w:rPr>
              <w:t>EBITDA (A$ mn)</w:t>
            </w:r>
          </w:p>
        </w:tc>
        <w:tc>
          <w:tcPr>
            <w:tcW w:w="1016" w:type="dxa"/>
          </w:tcPr>
          <w:p w:rsidR="00BC1D60" w:rsidRDefault="00BC1D60" w:rsidP="00BC5B38">
            <w:pPr>
              <w:pStyle w:val="ESTableRow"/>
              <w:widowControl w:val="0"/>
              <w:jc w:val="right"/>
            </w:pPr>
            <w:r>
              <w:rPr>
                <w:rFonts w:ascii="Arial Narrow"/>
              </w:rPr>
              <w:t>606</w:t>
            </w:r>
          </w:p>
        </w:tc>
        <w:tc>
          <w:tcPr>
            <w:tcW w:w="1016" w:type="dxa"/>
          </w:tcPr>
          <w:p w:rsidR="00BC1D60" w:rsidRDefault="00BC1D60" w:rsidP="00BC5B38">
            <w:pPr>
              <w:pStyle w:val="ESTableRow"/>
              <w:widowControl w:val="0"/>
              <w:jc w:val="right"/>
            </w:pPr>
            <w:r>
              <w:rPr>
                <w:rFonts w:ascii="Arial Narrow"/>
              </w:rPr>
              <w:t>595</w:t>
            </w:r>
          </w:p>
        </w:tc>
        <w:tc>
          <w:tcPr>
            <w:tcW w:w="1016" w:type="dxa"/>
          </w:tcPr>
          <w:p w:rsidR="00BC1D60" w:rsidRDefault="00BC1D60" w:rsidP="00BC5B38">
            <w:pPr>
              <w:pStyle w:val="ESTableRow"/>
              <w:widowControl w:val="0"/>
              <w:jc w:val="right"/>
            </w:pPr>
            <w:r>
              <w:rPr>
                <w:rFonts w:ascii="Arial Narrow"/>
              </w:rPr>
              <w:t>490</w:t>
            </w:r>
          </w:p>
        </w:tc>
        <w:tc>
          <w:tcPr>
            <w:tcW w:w="1016" w:type="dxa"/>
          </w:tcPr>
          <w:p w:rsidR="00BC1D60" w:rsidRDefault="00BC1D60" w:rsidP="00BC5B38">
            <w:pPr>
              <w:pStyle w:val="ESTableRow"/>
              <w:widowControl w:val="0"/>
              <w:jc w:val="right"/>
            </w:pPr>
            <w:r>
              <w:rPr>
                <w:rFonts w:ascii="Arial Narrow"/>
              </w:rPr>
              <w:t>589</w:t>
            </w:r>
          </w:p>
        </w:tc>
        <w:tc>
          <w:tcPr>
            <w:tcW w:w="1016" w:type="dxa"/>
          </w:tcPr>
          <w:p w:rsidR="00BC1D60" w:rsidRDefault="00BC1D60" w:rsidP="00BC5B38">
            <w:pPr>
              <w:pStyle w:val="ESTableRow"/>
              <w:widowControl w:val="0"/>
              <w:jc w:val="right"/>
            </w:pPr>
            <w:r>
              <w:rPr>
                <w:rFonts w:ascii="Arial Narrow"/>
              </w:rPr>
              <w:t>673</w:t>
            </w:r>
          </w:p>
        </w:tc>
      </w:tr>
      <w:tr w:rsidR="00BC1D60" w:rsidTr="00BC5B38">
        <w:trPr>
          <w:cantSplit/>
        </w:trPr>
        <w:tc>
          <w:tcPr>
            <w:tcW w:w="1768" w:type="dxa"/>
          </w:tcPr>
          <w:p w:rsidR="00BC1D60" w:rsidRDefault="00BC1D60" w:rsidP="00BC5B38">
            <w:pPr>
              <w:pStyle w:val="ESTableRow"/>
              <w:widowControl w:val="0"/>
            </w:pPr>
            <w:r>
              <w:rPr>
                <w:rFonts w:ascii="Arial Narrow"/>
              </w:rPr>
              <w:t>Net Profit (A$ mn)</w:t>
            </w:r>
          </w:p>
        </w:tc>
        <w:tc>
          <w:tcPr>
            <w:tcW w:w="1016" w:type="dxa"/>
          </w:tcPr>
          <w:p w:rsidR="00BC1D60" w:rsidRDefault="00BC1D60" w:rsidP="00BC5B38">
            <w:pPr>
              <w:pStyle w:val="ESTableRow"/>
              <w:widowControl w:val="0"/>
              <w:jc w:val="right"/>
            </w:pPr>
            <w:r>
              <w:rPr>
                <w:rFonts w:ascii="Arial Narrow"/>
              </w:rPr>
              <w:t>353</w:t>
            </w:r>
          </w:p>
        </w:tc>
        <w:tc>
          <w:tcPr>
            <w:tcW w:w="1016" w:type="dxa"/>
          </w:tcPr>
          <w:p w:rsidR="00BC1D60" w:rsidRDefault="00BC1D60" w:rsidP="00BC5B38">
            <w:pPr>
              <w:pStyle w:val="ESTableRow"/>
              <w:widowControl w:val="0"/>
              <w:jc w:val="right"/>
            </w:pPr>
            <w:r>
              <w:rPr>
                <w:rFonts w:ascii="Arial Narrow"/>
              </w:rPr>
              <w:t>322</w:t>
            </w:r>
          </w:p>
        </w:tc>
        <w:tc>
          <w:tcPr>
            <w:tcW w:w="1016" w:type="dxa"/>
          </w:tcPr>
          <w:p w:rsidR="00BC1D60" w:rsidRDefault="00BC1D60" w:rsidP="00BC5B38">
            <w:pPr>
              <w:pStyle w:val="ESTableRow"/>
              <w:widowControl w:val="0"/>
              <w:jc w:val="right"/>
            </w:pPr>
            <w:r>
              <w:rPr>
                <w:rFonts w:ascii="Arial Narrow"/>
              </w:rPr>
              <w:t>248</w:t>
            </w:r>
          </w:p>
        </w:tc>
        <w:tc>
          <w:tcPr>
            <w:tcW w:w="1016" w:type="dxa"/>
          </w:tcPr>
          <w:p w:rsidR="00BC1D60" w:rsidRDefault="00BC1D60" w:rsidP="00BC5B38">
            <w:pPr>
              <w:pStyle w:val="ESTableRow"/>
              <w:widowControl w:val="0"/>
              <w:jc w:val="right"/>
            </w:pPr>
            <w:r>
              <w:rPr>
                <w:rFonts w:ascii="Arial Narrow"/>
              </w:rPr>
              <w:t>308</w:t>
            </w:r>
          </w:p>
        </w:tc>
        <w:tc>
          <w:tcPr>
            <w:tcW w:w="1016" w:type="dxa"/>
          </w:tcPr>
          <w:p w:rsidR="00BC1D60" w:rsidRDefault="00BC1D60" w:rsidP="00BC5B38">
            <w:pPr>
              <w:pStyle w:val="ESTableRow"/>
              <w:widowControl w:val="0"/>
              <w:jc w:val="right"/>
            </w:pPr>
            <w:r>
              <w:rPr>
                <w:rFonts w:ascii="Arial Narrow"/>
              </w:rPr>
              <w:t>367</w:t>
            </w:r>
          </w:p>
        </w:tc>
      </w:tr>
      <w:tr w:rsidR="00BC1D60" w:rsidTr="00BC5B38">
        <w:trPr>
          <w:cantSplit/>
        </w:trPr>
        <w:tc>
          <w:tcPr>
            <w:tcW w:w="1768" w:type="dxa"/>
          </w:tcPr>
          <w:p w:rsidR="00BC1D60" w:rsidRDefault="00BC1D60" w:rsidP="00BC5B38">
            <w:pPr>
              <w:pStyle w:val="ESTableRow"/>
              <w:widowControl w:val="0"/>
            </w:pPr>
            <w:r>
              <w:rPr>
                <w:rFonts w:ascii="Arial Narrow"/>
              </w:rPr>
              <w:t>EPS (A$)</w:t>
            </w:r>
          </w:p>
        </w:tc>
        <w:tc>
          <w:tcPr>
            <w:tcW w:w="1016" w:type="dxa"/>
          </w:tcPr>
          <w:p w:rsidR="00BC1D60" w:rsidRDefault="00BC1D60" w:rsidP="00BC5B38">
            <w:pPr>
              <w:pStyle w:val="ESTableRow"/>
              <w:widowControl w:val="0"/>
              <w:jc w:val="right"/>
            </w:pPr>
            <w:r>
              <w:rPr>
                <w:rFonts w:ascii="Arial Narrow"/>
              </w:rPr>
              <w:t>1.44</w:t>
            </w:r>
          </w:p>
        </w:tc>
        <w:tc>
          <w:tcPr>
            <w:tcW w:w="1016" w:type="dxa"/>
          </w:tcPr>
          <w:p w:rsidR="00BC1D60" w:rsidRDefault="00BC1D60" w:rsidP="00BC5B38">
            <w:pPr>
              <w:pStyle w:val="ESTableRow"/>
              <w:widowControl w:val="0"/>
              <w:jc w:val="right"/>
            </w:pPr>
            <w:r>
              <w:rPr>
                <w:rFonts w:ascii="Arial Narrow"/>
              </w:rPr>
              <w:t>1.31</w:t>
            </w:r>
          </w:p>
        </w:tc>
        <w:tc>
          <w:tcPr>
            <w:tcW w:w="1016" w:type="dxa"/>
          </w:tcPr>
          <w:p w:rsidR="00BC1D60" w:rsidRDefault="00BC1D60" w:rsidP="00BC5B38">
            <w:pPr>
              <w:pStyle w:val="ESTableRow"/>
              <w:widowControl w:val="0"/>
              <w:jc w:val="right"/>
            </w:pPr>
            <w:r>
              <w:rPr>
                <w:rFonts w:ascii="Arial Narrow"/>
              </w:rPr>
              <w:t>1.00</w:t>
            </w:r>
          </w:p>
        </w:tc>
        <w:tc>
          <w:tcPr>
            <w:tcW w:w="1016" w:type="dxa"/>
          </w:tcPr>
          <w:p w:rsidR="00BC1D60" w:rsidRDefault="00BC1D60" w:rsidP="00BC5B38">
            <w:pPr>
              <w:pStyle w:val="ESTableRow"/>
              <w:widowControl w:val="0"/>
              <w:jc w:val="right"/>
            </w:pPr>
            <w:r>
              <w:rPr>
                <w:rFonts w:ascii="Arial Narrow"/>
              </w:rPr>
              <w:t>1.25</w:t>
            </w:r>
          </w:p>
        </w:tc>
        <w:tc>
          <w:tcPr>
            <w:tcW w:w="1016" w:type="dxa"/>
          </w:tcPr>
          <w:p w:rsidR="00BC1D60" w:rsidRDefault="00BC1D60" w:rsidP="00BC5B38">
            <w:pPr>
              <w:pStyle w:val="ESTableRow"/>
              <w:widowControl w:val="0"/>
              <w:jc w:val="right"/>
            </w:pPr>
            <w:r>
              <w:rPr>
                <w:rFonts w:ascii="Arial Narrow"/>
              </w:rPr>
              <w:t>1.49</w:t>
            </w:r>
          </w:p>
        </w:tc>
      </w:tr>
      <w:tr w:rsidR="00BC1D60" w:rsidTr="00BC5B38">
        <w:trPr>
          <w:cantSplit/>
        </w:trPr>
        <w:tc>
          <w:tcPr>
            <w:tcW w:w="1768" w:type="dxa"/>
          </w:tcPr>
          <w:p w:rsidR="00BC1D60" w:rsidRDefault="00BC1D60" w:rsidP="00BC5B38">
            <w:pPr>
              <w:pStyle w:val="ESTableRow"/>
              <w:widowControl w:val="0"/>
            </w:pPr>
            <w:r>
              <w:rPr>
                <w:rFonts w:ascii="Arial Narrow"/>
              </w:rPr>
              <w:t xml:space="preserve">P/E (x) </w:t>
            </w:r>
          </w:p>
        </w:tc>
        <w:tc>
          <w:tcPr>
            <w:tcW w:w="1016" w:type="dxa"/>
          </w:tcPr>
          <w:p w:rsidR="00BC1D60" w:rsidRDefault="00BC1D60" w:rsidP="00BC5B38">
            <w:pPr>
              <w:pStyle w:val="ESTableRow"/>
              <w:widowControl w:val="0"/>
              <w:jc w:val="right"/>
            </w:pPr>
            <w:r>
              <w:rPr>
                <w:rFonts w:ascii="Arial Narrow"/>
              </w:rPr>
              <w:t>12.2</w:t>
            </w:r>
          </w:p>
        </w:tc>
        <w:tc>
          <w:tcPr>
            <w:tcW w:w="1016" w:type="dxa"/>
          </w:tcPr>
          <w:p w:rsidR="00BC1D60" w:rsidRDefault="00BC1D60" w:rsidP="00BC5B38">
            <w:pPr>
              <w:pStyle w:val="ESTableRow"/>
              <w:widowControl w:val="0"/>
              <w:jc w:val="right"/>
            </w:pPr>
            <w:r>
              <w:rPr>
                <w:rFonts w:ascii="Arial Narrow"/>
              </w:rPr>
              <w:t>13.4</w:t>
            </w:r>
          </w:p>
        </w:tc>
        <w:tc>
          <w:tcPr>
            <w:tcW w:w="1016" w:type="dxa"/>
          </w:tcPr>
          <w:p w:rsidR="00BC1D60" w:rsidRDefault="00BC1D60" w:rsidP="00BC5B38">
            <w:pPr>
              <w:pStyle w:val="ESTableRow"/>
              <w:widowControl w:val="0"/>
              <w:jc w:val="right"/>
            </w:pPr>
            <w:r>
              <w:rPr>
                <w:rFonts w:ascii="Arial Narrow"/>
              </w:rPr>
              <w:t>17.5</w:t>
            </w:r>
          </w:p>
        </w:tc>
        <w:tc>
          <w:tcPr>
            <w:tcW w:w="1016" w:type="dxa"/>
          </w:tcPr>
          <w:p w:rsidR="00BC1D60" w:rsidRDefault="00BC1D60" w:rsidP="00BC5B38">
            <w:pPr>
              <w:pStyle w:val="ESTableRow"/>
              <w:widowControl w:val="0"/>
              <w:jc w:val="right"/>
            </w:pPr>
            <w:r>
              <w:rPr>
                <w:rFonts w:ascii="Arial Narrow"/>
              </w:rPr>
              <w:t>14.0</w:t>
            </w:r>
          </w:p>
        </w:tc>
        <w:tc>
          <w:tcPr>
            <w:tcW w:w="1016" w:type="dxa"/>
          </w:tcPr>
          <w:p w:rsidR="00BC1D60" w:rsidRDefault="00BC1D60" w:rsidP="00BC5B38">
            <w:pPr>
              <w:pStyle w:val="ESTableRow"/>
              <w:widowControl w:val="0"/>
              <w:jc w:val="right"/>
            </w:pPr>
            <w:r>
              <w:rPr>
                <w:rFonts w:ascii="Arial Narrow"/>
              </w:rPr>
              <w:t>11.8</w:t>
            </w:r>
          </w:p>
        </w:tc>
      </w:tr>
      <w:tr w:rsidR="00BC1D60" w:rsidTr="00BC5B38">
        <w:trPr>
          <w:cantSplit/>
        </w:trPr>
        <w:tc>
          <w:tcPr>
            <w:tcW w:w="1768" w:type="dxa"/>
          </w:tcPr>
          <w:p w:rsidR="00BC1D60" w:rsidRDefault="00BC1D60" w:rsidP="00BC5B38">
            <w:pPr>
              <w:pStyle w:val="ESTableRow"/>
              <w:widowControl w:val="0"/>
            </w:pPr>
            <w:r>
              <w:rPr>
                <w:rFonts w:ascii="Arial Narrow"/>
              </w:rPr>
              <w:t xml:space="preserve">EV/EBITDA (x) </w:t>
            </w:r>
          </w:p>
        </w:tc>
        <w:tc>
          <w:tcPr>
            <w:tcW w:w="1016" w:type="dxa"/>
          </w:tcPr>
          <w:p w:rsidR="00BC1D60" w:rsidRDefault="00BC1D60" w:rsidP="00BC5B38">
            <w:pPr>
              <w:pStyle w:val="ESTableRow"/>
              <w:widowControl w:val="0"/>
              <w:jc w:val="right"/>
            </w:pPr>
            <w:r>
              <w:rPr>
                <w:rFonts w:ascii="Arial Narrow"/>
              </w:rPr>
              <w:t>7.1</w:t>
            </w:r>
          </w:p>
        </w:tc>
        <w:tc>
          <w:tcPr>
            <w:tcW w:w="1016" w:type="dxa"/>
          </w:tcPr>
          <w:p w:rsidR="00BC1D60" w:rsidRDefault="00BC1D60" w:rsidP="00BC5B38">
            <w:pPr>
              <w:pStyle w:val="ESTableRow"/>
              <w:widowControl w:val="0"/>
              <w:jc w:val="right"/>
            </w:pPr>
            <w:r>
              <w:rPr>
                <w:rFonts w:ascii="Arial Narrow"/>
              </w:rPr>
              <w:t>7.7</w:t>
            </w:r>
          </w:p>
        </w:tc>
        <w:tc>
          <w:tcPr>
            <w:tcW w:w="1016" w:type="dxa"/>
          </w:tcPr>
          <w:p w:rsidR="00BC1D60" w:rsidRDefault="00BC1D60" w:rsidP="00BC5B38">
            <w:pPr>
              <w:pStyle w:val="ESTableRow"/>
              <w:widowControl w:val="0"/>
              <w:jc w:val="right"/>
            </w:pPr>
            <w:r>
              <w:rPr>
                <w:rFonts w:ascii="Arial Narrow"/>
              </w:rPr>
              <w:t>8.8</w:t>
            </w:r>
          </w:p>
        </w:tc>
        <w:tc>
          <w:tcPr>
            <w:tcW w:w="1016" w:type="dxa"/>
          </w:tcPr>
          <w:p w:rsidR="00BC1D60" w:rsidRDefault="00BC1D60" w:rsidP="00BC5B38">
            <w:pPr>
              <w:pStyle w:val="ESTableRow"/>
              <w:widowControl w:val="0"/>
              <w:jc w:val="right"/>
            </w:pPr>
            <w:r>
              <w:rPr>
                <w:rFonts w:ascii="Arial Narrow"/>
              </w:rPr>
              <w:t>7.0</w:t>
            </w:r>
          </w:p>
        </w:tc>
        <w:tc>
          <w:tcPr>
            <w:tcW w:w="1016" w:type="dxa"/>
          </w:tcPr>
          <w:p w:rsidR="00BC1D60" w:rsidRDefault="00BC1D60" w:rsidP="00BC5B38">
            <w:pPr>
              <w:pStyle w:val="ESTableRow"/>
              <w:widowControl w:val="0"/>
              <w:jc w:val="right"/>
            </w:pPr>
            <w:r>
              <w:rPr>
                <w:rFonts w:ascii="Arial Narrow"/>
              </w:rPr>
              <w:t>5.8</w:t>
            </w:r>
          </w:p>
        </w:tc>
      </w:tr>
      <w:tr w:rsidR="00BC1D60" w:rsidTr="00BC5B38">
        <w:trPr>
          <w:cantSplit/>
        </w:trPr>
        <w:tc>
          <w:tcPr>
            <w:tcW w:w="1768" w:type="dxa"/>
          </w:tcPr>
          <w:p w:rsidR="00BC1D60" w:rsidRDefault="00BC1D60" w:rsidP="00BC5B38">
            <w:pPr>
              <w:pStyle w:val="ESTableRow"/>
              <w:widowControl w:val="0"/>
            </w:pPr>
            <w:r>
              <w:rPr>
                <w:rFonts w:ascii="Arial Narrow"/>
              </w:rPr>
              <w:t>DPS (A$)</w:t>
            </w:r>
          </w:p>
        </w:tc>
        <w:tc>
          <w:tcPr>
            <w:tcW w:w="1016" w:type="dxa"/>
          </w:tcPr>
          <w:p w:rsidR="00BC1D60" w:rsidRDefault="00BC1D60" w:rsidP="00BC5B38">
            <w:pPr>
              <w:pStyle w:val="ESTableRow"/>
              <w:widowControl w:val="0"/>
              <w:jc w:val="right"/>
            </w:pPr>
            <w:r>
              <w:rPr>
                <w:rFonts w:ascii="Arial Narrow"/>
              </w:rPr>
              <w:t>0.91</w:t>
            </w:r>
          </w:p>
        </w:tc>
        <w:tc>
          <w:tcPr>
            <w:tcW w:w="1016" w:type="dxa"/>
          </w:tcPr>
          <w:p w:rsidR="00BC1D60" w:rsidRDefault="00BC1D60" w:rsidP="00BC5B38">
            <w:pPr>
              <w:pStyle w:val="ESTableRow"/>
              <w:widowControl w:val="0"/>
              <w:jc w:val="right"/>
            </w:pPr>
            <w:r>
              <w:rPr>
                <w:rFonts w:ascii="Arial Narrow"/>
              </w:rPr>
              <w:t>0.93</w:t>
            </w:r>
          </w:p>
        </w:tc>
        <w:tc>
          <w:tcPr>
            <w:tcW w:w="1016" w:type="dxa"/>
          </w:tcPr>
          <w:p w:rsidR="00BC1D60" w:rsidRDefault="00BC1D60" w:rsidP="00BC5B38">
            <w:pPr>
              <w:pStyle w:val="ESTableRow"/>
              <w:widowControl w:val="0"/>
              <w:jc w:val="right"/>
            </w:pPr>
            <w:r>
              <w:rPr>
                <w:rFonts w:ascii="Arial Narrow"/>
              </w:rPr>
              <w:t>0.71</w:t>
            </w:r>
          </w:p>
        </w:tc>
        <w:tc>
          <w:tcPr>
            <w:tcW w:w="1016" w:type="dxa"/>
          </w:tcPr>
          <w:p w:rsidR="00BC1D60" w:rsidRDefault="00BC1D60" w:rsidP="00BC5B38">
            <w:pPr>
              <w:pStyle w:val="ESTableRow"/>
              <w:widowControl w:val="0"/>
              <w:jc w:val="right"/>
            </w:pPr>
            <w:r>
              <w:rPr>
                <w:rFonts w:ascii="Arial Narrow"/>
              </w:rPr>
              <w:t>0.92</w:t>
            </w:r>
          </w:p>
        </w:tc>
        <w:tc>
          <w:tcPr>
            <w:tcW w:w="1016" w:type="dxa"/>
          </w:tcPr>
          <w:p w:rsidR="00BC1D60" w:rsidRDefault="00BC1D60" w:rsidP="00BC5B38">
            <w:pPr>
              <w:pStyle w:val="ESTableRow"/>
              <w:widowControl w:val="0"/>
              <w:jc w:val="right"/>
            </w:pPr>
            <w:r>
              <w:rPr>
                <w:rFonts w:ascii="Arial Narrow"/>
              </w:rPr>
              <w:t>1.10</w:t>
            </w:r>
          </w:p>
        </w:tc>
      </w:tr>
      <w:tr w:rsidR="00BC1D60" w:rsidTr="00BC5B38">
        <w:trPr>
          <w:cantSplit/>
        </w:trPr>
        <w:tc>
          <w:tcPr>
            <w:tcW w:w="1768" w:type="dxa"/>
          </w:tcPr>
          <w:p w:rsidR="00BC1D60" w:rsidRDefault="00BC1D60" w:rsidP="00BC5B38">
            <w:pPr>
              <w:pStyle w:val="ESTableRow"/>
              <w:widowControl w:val="0"/>
            </w:pPr>
            <w:r>
              <w:rPr>
                <w:rFonts w:ascii="Arial Narrow"/>
              </w:rPr>
              <w:t xml:space="preserve">Dividend Yield </w:t>
            </w:r>
          </w:p>
        </w:tc>
        <w:tc>
          <w:tcPr>
            <w:tcW w:w="1016" w:type="dxa"/>
          </w:tcPr>
          <w:p w:rsidR="00BC1D60" w:rsidRDefault="00BC1D60" w:rsidP="00BC5B38">
            <w:pPr>
              <w:pStyle w:val="ESTableRow"/>
              <w:widowControl w:val="0"/>
              <w:jc w:val="right"/>
            </w:pPr>
            <w:r>
              <w:rPr>
                <w:rFonts w:ascii="Arial Narrow"/>
              </w:rPr>
              <w:t>5.2%</w:t>
            </w:r>
          </w:p>
        </w:tc>
        <w:tc>
          <w:tcPr>
            <w:tcW w:w="1016" w:type="dxa"/>
          </w:tcPr>
          <w:p w:rsidR="00BC1D60" w:rsidRDefault="00BC1D60" w:rsidP="00BC5B38">
            <w:pPr>
              <w:pStyle w:val="ESTableRow"/>
              <w:widowControl w:val="0"/>
              <w:jc w:val="right"/>
            </w:pPr>
            <w:r>
              <w:rPr>
                <w:rFonts w:ascii="Arial Narrow"/>
              </w:rPr>
              <w:t>5.3%</w:t>
            </w:r>
          </w:p>
        </w:tc>
        <w:tc>
          <w:tcPr>
            <w:tcW w:w="1016" w:type="dxa"/>
          </w:tcPr>
          <w:p w:rsidR="00BC1D60" w:rsidRDefault="00BC1D60" w:rsidP="00BC5B38">
            <w:pPr>
              <w:pStyle w:val="ESTableRow"/>
              <w:widowControl w:val="0"/>
              <w:jc w:val="right"/>
            </w:pPr>
            <w:r>
              <w:rPr>
                <w:rFonts w:ascii="Arial Narrow"/>
              </w:rPr>
              <w:t>4.1%</w:t>
            </w:r>
          </w:p>
        </w:tc>
        <w:tc>
          <w:tcPr>
            <w:tcW w:w="1016" w:type="dxa"/>
          </w:tcPr>
          <w:p w:rsidR="00BC1D60" w:rsidRDefault="00BC1D60" w:rsidP="00BC5B38">
            <w:pPr>
              <w:pStyle w:val="ESTableRow"/>
              <w:widowControl w:val="0"/>
              <w:jc w:val="right"/>
            </w:pPr>
            <w:r>
              <w:rPr>
                <w:rFonts w:ascii="Arial Narrow"/>
              </w:rPr>
              <w:t>5.3%</w:t>
            </w:r>
          </w:p>
        </w:tc>
        <w:tc>
          <w:tcPr>
            <w:tcW w:w="1016" w:type="dxa"/>
          </w:tcPr>
          <w:p w:rsidR="00BC1D60" w:rsidRDefault="00BC1D60" w:rsidP="00BC5B38">
            <w:pPr>
              <w:pStyle w:val="ESTableRow"/>
              <w:widowControl w:val="0"/>
              <w:jc w:val="right"/>
            </w:pPr>
            <w:r>
              <w:rPr>
                <w:rFonts w:ascii="Arial Narrow"/>
              </w:rPr>
              <w:t>6.3%</w:t>
            </w:r>
          </w:p>
        </w:tc>
      </w:tr>
      <w:tr w:rsidR="00BC1D60" w:rsidTr="00BC5B38">
        <w:trPr>
          <w:cantSplit/>
        </w:trPr>
        <w:tc>
          <w:tcPr>
            <w:tcW w:w="1768" w:type="dxa"/>
          </w:tcPr>
          <w:p w:rsidR="00BC1D60" w:rsidRDefault="00BC1D60" w:rsidP="00BC5B38">
            <w:pPr>
              <w:pStyle w:val="ESTableRow"/>
              <w:widowControl w:val="0"/>
            </w:pPr>
            <w:r>
              <w:rPr>
                <w:rFonts w:ascii="Arial Narrow"/>
              </w:rPr>
              <w:t>Normalised EPS (A$)</w:t>
            </w:r>
          </w:p>
        </w:tc>
        <w:tc>
          <w:tcPr>
            <w:tcW w:w="1016" w:type="dxa"/>
          </w:tcPr>
          <w:p w:rsidR="00BC1D60" w:rsidRDefault="00BC1D60" w:rsidP="00BC5B38">
            <w:pPr>
              <w:pStyle w:val="ESTableRow"/>
              <w:widowControl w:val="0"/>
              <w:jc w:val="right"/>
            </w:pPr>
            <w:r>
              <w:rPr>
                <w:rFonts w:ascii="Arial Narrow"/>
              </w:rPr>
              <w:t>1.39</w:t>
            </w:r>
          </w:p>
        </w:tc>
        <w:tc>
          <w:tcPr>
            <w:tcW w:w="1016" w:type="dxa"/>
          </w:tcPr>
          <w:p w:rsidR="00BC1D60" w:rsidRDefault="00BC1D60" w:rsidP="00BC5B38">
            <w:pPr>
              <w:pStyle w:val="ESTableRow"/>
              <w:widowControl w:val="0"/>
              <w:jc w:val="right"/>
            </w:pPr>
            <w:r>
              <w:rPr>
                <w:rFonts w:ascii="Arial Narrow"/>
              </w:rPr>
              <w:t>1.27</w:t>
            </w:r>
          </w:p>
        </w:tc>
        <w:tc>
          <w:tcPr>
            <w:tcW w:w="1016" w:type="dxa"/>
          </w:tcPr>
          <w:p w:rsidR="00BC1D60" w:rsidRDefault="00BC1D60" w:rsidP="00BC5B38">
            <w:pPr>
              <w:pStyle w:val="ESTableRow"/>
              <w:widowControl w:val="0"/>
              <w:jc w:val="right"/>
            </w:pPr>
            <w:r>
              <w:rPr>
                <w:rFonts w:ascii="Arial Narrow"/>
              </w:rPr>
              <w:t>0.95</w:t>
            </w:r>
          </w:p>
        </w:tc>
        <w:tc>
          <w:tcPr>
            <w:tcW w:w="1016" w:type="dxa"/>
          </w:tcPr>
          <w:p w:rsidR="00BC1D60" w:rsidRDefault="00BC1D60" w:rsidP="00BC5B38">
            <w:pPr>
              <w:pStyle w:val="ESTableRow"/>
              <w:widowControl w:val="0"/>
              <w:jc w:val="right"/>
            </w:pPr>
            <w:r>
              <w:rPr>
                <w:rFonts w:ascii="Arial Narrow"/>
              </w:rPr>
              <w:t>1.24</w:t>
            </w:r>
          </w:p>
        </w:tc>
        <w:tc>
          <w:tcPr>
            <w:tcW w:w="1016" w:type="dxa"/>
          </w:tcPr>
          <w:p w:rsidR="00BC1D60" w:rsidRDefault="00BC1D60" w:rsidP="00BC5B38">
            <w:pPr>
              <w:pStyle w:val="ESTableRow"/>
              <w:widowControl w:val="0"/>
              <w:jc w:val="right"/>
            </w:pPr>
            <w:r>
              <w:rPr>
                <w:rFonts w:ascii="Arial Narrow"/>
              </w:rPr>
              <w:t>1.48</w:t>
            </w:r>
          </w:p>
        </w:tc>
      </w:tr>
      <w:tr w:rsidR="00BC1D60" w:rsidTr="00BC5B38">
        <w:trPr>
          <w:cantSplit/>
        </w:trPr>
        <w:tc>
          <w:tcPr>
            <w:tcW w:w="1768" w:type="dxa"/>
          </w:tcPr>
          <w:p w:rsidR="00BC1D60" w:rsidRDefault="00BC1D60" w:rsidP="00BC5B38">
            <w:pPr>
              <w:pStyle w:val="ESTableRow"/>
              <w:widowControl w:val="0"/>
            </w:pPr>
            <w:r>
              <w:rPr>
                <w:rFonts w:ascii="Arial Narrow"/>
              </w:rPr>
              <w:t xml:space="preserve">Normalised EPS Growth </w:t>
            </w:r>
          </w:p>
        </w:tc>
        <w:tc>
          <w:tcPr>
            <w:tcW w:w="1016" w:type="dxa"/>
          </w:tcPr>
          <w:p w:rsidR="00BC1D60" w:rsidRDefault="00BC1D60" w:rsidP="00BC5B38">
            <w:pPr>
              <w:pStyle w:val="ESTableRow"/>
              <w:widowControl w:val="0"/>
              <w:jc w:val="right"/>
            </w:pPr>
            <w:r>
              <w:rPr>
                <w:rFonts w:ascii="Arial Narrow"/>
              </w:rPr>
              <w:t>15.6%</w:t>
            </w:r>
          </w:p>
        </w:tc>
        <w:tc>
          <w:tcPr>
            <w:tcW w:w="1016" w:type="dxa"/>
          </w:tcPr>
          <w:p w:rsidR="00BC1D60" w:rsidRDefault="00BC1D60" w:rsidP="00BC5B38">
            <w:pPr>
              <w:pStyle w:val="ESTableRow"/>
              <w:widowControl w:val="0"/>
              <w:jc w:val="right"/>
            </w:pPr>
            <w:r>
              <w:rPr>
                <w:rFonts w:ascii="Arial Narrow"/>
              </w:rPr>
              <w:t>(9.0%)</w:t>
            </w:r>
          </w:p>
        </w:tc>
        <w:tc>
          <w:tcPr>
            <w:tcW w:w="1016" w:type="dxa"/>
          </w:tcPr>
          <w:p w:rsidR="00BC1D60" w:rsidRDefault="00BC1D60" w:rsidP="00BC5B38">
            <w:pPr>
              <w:pStyle w:val="ESTableRow"/>
              <w:widowControl w:val="0"/>
              <w:jc w:val="right"/>
            </w:pPr>
            <w:r>
              <w:rPr>
                <w:rFonts w:ascii="Arial Narrow"/>
              </w:rPr>
              <w:t>(25.0%)</w:t>
            </w:r>
          </w:p>
        </w:tc>
        <w:tc>
          <w:tcPr>
            <w:tcW w:w="1016" w:type="dxa"/>
          </w:tcPr>
          <w:p w:rsidR="00BC1D60" w:rsidRDefault="00BC1D60" w:rsidP="00BC5B38">
            <w:pPr>
              <w:pStyle w:val="ESTableRow"/>
              <w:widowControl w:val="0"/>
              <w:jc w:val="right"/>
            </w:pPr>
            <w:r>
              <w:rPr>
                <w:rFonts w:ascii="Arial Narrow"/>
              </w:rPr>
              <w:t>30.5%</w:t>
            </w:r>
          </w:p>
        </w:tc>
        <w:tc>
          <w:tcPr>
            <w:tcW w:w="1016" w:type="dxa"/>
          </w:tcPr>
          <w:p w:rsidR="00BC1D60" w:rsidRDefault="00BC1D60" w:rsidP="00BC5B38">
            <w:pPr>
              <w:pStyle w:val="ESTableRow"/>
              <w:widowControl w:val="0"/>
              <w:jc w:val="right"/>
            </w:pPr>
            <w:r>
              <w:rPr>
                <w:rFonts w:ascii="Arial Narrow"/>
              </w:rPr>
              <w:t>19.0%</w:t>
            </w:r>
          </w:p>
        </w:tc>
      </w:tr>
      <w:tr w:rsidR="00BC1D60" w:rsidTr="00BC5B38">
        <w:trPr>
          <w:cantSplit/>
        </w:trPr>
        <w:tc>
          <w:tcPr>
            <w:tcW w:w="1768" w:type="dxa"/>
            <w:tcBorders>
              <w:bottom w:val="single" w:sz="4" w:space="0" w:color="auto"/>
            </w:tcBorders>
          </w:tcPr>
          <w:p w:rsidR="00BC1D60" w:rsidRDefault="00BC1D60" w:rsidP="00BC5B38">
            <w:pPr>
              <w:pStyle w:val="ESTableRow"/>
              <w:widowControl w:val="0"/>
            </w:pPr>
            <w:r>
              <w:rPr>
                <w:rFonts w:ascii="Arial Narrow"/>
              </w:rPr>
              <w:t xml:space="preserve">Normalised PE </w:t>
            </w:r>
          </w:p>
        </w:tc>
        <w:tc>
          <w:tcPr>
            <w:tcW w:w="1016" w:type="dxa"/>
            <w:tcBorders>
              <w:bottom w:val="single" w:sz="4" w:space="0" w:color="auto"/>
            </w:tcBorders>
          </w:tcPr>
          <w:p w:rsidR="00BC1D60" w:rsidRDefault="00BC1D60" w:rsidP="00BC5B38">
            <w:pPr>
              <w:pStyle w:val="ESTableRow"/>
              <w:widowControl w:val="0"/>
              <w:jc w:val="right"/>
            </w:pPr>
            <w:r>
              <w:rPr>
                <w:rFonts w:ascii="Arial Narrow"/>
              </w:rPr>
              <w:t>12.5</w:t>
            </w:r>
          </w:p>
        </w:tc>
        <w:tc>
          <w:tcPr>
            <w:tcW w:w="1016" w:type="dxa"/>
            <w:tcBorders>
              <w:bottom w:val="single" w:sz="4" w:space="0" w:color="auto"/>
            </w:tcBorders>
          </w:tcPr>
          <w:p w:rsidR="00BC1D60" w:rsidRDefault="00BC1D60" w:rsidP="00BC5B38">
            <w:pPr>
              <w:pStyle w:val="ESTableRow"/>
              <w:widowControl w:val="0"/>
              <w:jc w:val="right"/>
            </w:pPr>
            <w:r>
              <w:rPr>
                <w:rFonts w:ascii="Arial Narrow"/>
              </w:rPr>
              <w:t>13.7</w:t>
            </w:r>
          </w:p>
        </w:tc>
        <w:tc>
          <w:tcPr>
            <w:tcW w:w="1016" w:type="dxa"/>
            <w:tcBorders>
              <w:bottom w:val="single" w:sz="4" w:space="0" w:color="auto"/>
            </w:tcBorders>
          </w:tcPr>
          <w:p w:rsidR="00BC1D60" w:rsidRDefault="00BC1D60" w:rsidP="00BC5B38">
            <w:pPr>
              <w:pStyle w:val="ESTableRow"/>
              <w:widowControl w:val="0"/>
              <w:jc w:val="right"/>
            </w:pPr>
            <w:r>
              <w:rPr>
                <w:rFonts w:ascii="Arial Narrow"/>
              </w:rPr>
              <w:t>18.3</w:t>
            </w:r>
          </w:p>
        </w:tc>
        <w:tc>
          <w:tcPr>
            <w:tcW w:w="1016" w:type="dxa"/>
            <w:tcBorders>
              <w:bottom w:val="single" w:sz="4" w:space="0" w:color="auto"/>
            </w:tcBorders>
          </w:tcPr>
          <w:p w:rsidR="00BC1D60" w:rsidRDefault="00BC1D60" w:rsidP="00BC5B38">
            <w:pPr>
              <w:pStyle w:val="ESTableRow"/>
              <w:widowControl w:val="0"/>
              <w:jc w:val="right"/>
            </w:pPr>
            <w:r>
              <w:rPr>
                <w:rFonts w:ascii="Arial Narrow"/>
              </w:rPr>
              <w:t>14.0</w:t>
            </w:r>
          </w:p>
        </w:tc>
        <w:tc>
          <w:tcPr>
            <w:tcW w:w="1016" w:type="dxa"/>
            <w:tcBorders>
              <w:bottom w:val="single" w:sz="4" w:space="0" w:color="auto"/>
            </w:tcBorders>
          </w:tcPr>
          <w:p w:rsidR="00BC1D60" w:rsidRDefault="00BC1D60" w:rsidP="00BC5B38">
            <w:pPr>
              <w:pStyle w:val="ESTableRow"/>
              <w:widowControl w:val="0"/>
              <w:jc w:val="right"/>
            </w:pPr>
            <w:r>
              <w:rPr>
                <w:rFonts w:ascii="Arial Narrow"/>
              </w:rPr>
              <w:t>11.8</w:t>
            </w:r>
          </w:p>
        </w:tc>
      </w:tr>
    </w:tbl>
    <w:p w:rsidR="00BC1D60" w:rsidRDefault="00BC1D60" w:rsidP="00BC1D60">
      <w:pPr>
        <w:pStyle w:val="Source"/>
        <w:keepLines w:val="0"/>
        <w:widowControl w:val="0"/>
        <w:rPr>
          <w:highlight w:val="yellow"/>
        </w:rPr>
      </w:pPr>
      <w:r>
        <w:t>Source: Company data, Bloomberg, J.P. Morgan estimates.</w:t>
      </w:r>
      <w:r w:rsidRPr="004F1ABB">
        <w:rPr>
          <w:highlight w:val="yellow"/>
        </w:rPr>
        <w:br w:type="page"/>
      </w:r>
    </w:p>
    <w:p w:rsidR="00BC1D60" w:rsidRPr="00A47405" w:rsidRDefault="00BC1D60" w:rsidP="00BC1D60">
      <w:pPr>
        <w:pStyle w:val="Body"/>
        <w:rPr>
          <w:highlight w:val="yellow"/>
        </w:rPr>
      </w:pPr>
    </w:p>
    <w:tbl>
      <w:tblPr>
        <w:tblStyle w:val="TableGrid"/>
        <w:tblW w:w="10604"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66"/>
        <w:gridCol w:w="3544"/>
        <w:gridCol w:w="4394"/>
      </w:tblGrid>
      <w:tr w:rsidR="00BC1D60" w:rsidRPr="0017749D" w:rsidTr="00BC5B38">
        <w:tc>
          <w:tcPr>
            <w:tcW w:w="10604" w:type="dxa"/>
            <w:gridSpan w:val="3"/>
            <w:shd w:val="clear" w:color="auto" w:fill="auto"/>
          </w:tcPr>
          <w:p w:rsidR="00BC1D60" w:rsidRPr="0017749D" w:rsidRDefault="00BC1D60" w:rsidP="00BC5B38">
            <w:pPr>
              <w:pStyle w:val="Heading1-NoTOC"/>
            </w:pPr>
            <w:bookmarkStart w:id="418" w:name="_Toc384136033"/>
            <w:bookmarkStart w:id="419" w:name="_Toc384137000"/>
            <w:bookmarkStart w:id="420" w:name="_Toc392016393"/>
            <w:bookmarkStart w:id="421" w:name="_Toc392099109"/>
            <w:r w:rsidRPr="0017749D">
              <w:t>Getting to know our SMid Analysts…</w:t>
            </w:r>
            <w:bookmarkEnd w:id="418"/>
            <w:bookmarkEnd w:id="419"/>
            <w:bookmarkEnd w:id="420"/>
            <w:bookmarkEnd w:id="421"/>
          </w:p>
        </w:tc>
      </w:tr>
      <w:tr w:rsidR="00BC1D60" w:rsidRPr="0017749D" w:rsidTr="00BC5B38">
        <w:trPr>
          <w:trHeight w:val="3427"/>
        </w:trPr>
        <w:tc>
          <w:tcPr>
            <w:tcW w:w="2666" w:type="dxa"/>
            <w:shd w:val="clear" w:color="auto" w:fill="auto"/>
          </w:tcPr>
          <w:p w:rsidR="00BC1D60" w:rsidRPr="0017749D" w:rsidRDefault="00BC1D60" w:rsidP="00BC5B38">
            <w:pPr>
              <w:pStyle w:val="Body"/>
              <w:spacing w:after="120"/>
            </w:pPr>
            <w:r w:rsidRPr="0017749D">
              <w:rPr>
                <w:rFonts w:ascii="Arial" w:hAnsi="Arial" w:cs="Arial"/>
                <w:noProof/>
                <w:color w:val="716F63"/>
                <w:sz w:val="17"/>
                <w:szCs w:val="17"/>
              </w:rPr>
              <w:drawing>
                <wp:inline distT="0" distB="0" distL="0" distR="0">
                  <wp:extent cx="1543050" cy="1600200"/>
                  <wp:effectExtent l="19050" t="0" r="0" b="0"/>
                  <wp:docPr id="1186" name="Picture 74" descr="Anthony Passe-de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nthony Passe-de Silva"/>
                          <pic:cNvPicPr>
                            <a:picLocks noChangeAspect="1" noChangeArrowheads="1"/>
                          </pic:cNvPicPr>
                        </pic:nvPicPr>
                        <pic:blipFill>
                          <a:blip r:embed="rId180"/>
                          <a:srcRect l="24107" r="15625"/>
                          <a:stretch>
                            <a:fillRect/>
                          </a:stretch>
                        </pic:blipFill>
                        <pic:spPr bwMode="auto">
                          <a:xfrm>
                            <a:off x="0" y="0"/>
                            <a:ext cx="1543050" cy="1600200"/>
                          </a:xfrm>
                          <a:prstGeom prst="rect">
                            <a:avLst/>
                          </a:prstGeom>
                          <a:noFill/>
                          <a:ln w="9525">
                            <a:noFill/>
                            <a:miter lim="800000"/>
                            <a:headEnd/>
                            <a:tailEnd/>
                          </a:ln>
                        </pic:spPr>
                      </pic:pic>
                    </a:graphicData>
                  </a:graphic>
                </wp:inline>
              </w:drawing>
            </w:r>
          </w:p>
        </w:tc>
        <w:tc>
          <w:tcPr>
            <w:tcW w:w="3544" w:type="dxa"/>
            <w:shd w:val="clear" w:color="auto" w:fill="auto"/>
          </w:tcPr>
          <w:p w:rsidR="00BC1D60" w:rsidRPr="0017749D" w:rsidRDefault="00BC1D60" w:rsidP="00BC5B38">
            <w:pPr>
              <w:pStyle w:val="Heading2"/>
              <w:pBdr>
                <w:top w:val="single" w:sz="2" w:space="4" w:color="auto"/>
              </w:pBdr>
              <w:outlineLvl w:val="1"/>
              <w:rPr>
                <w:lang w:val="es-ES_tradnl"/>
              </w:rPr>
            </w:pPr>
            <w:r w:rsidRPr="0017749D">
              <w:rPr>
                <w:lang w:val="es-ES_tradnl"/>
              </w:rPr>
              <w:t>Anthony Passe-de Silva</w:t>
            </w:r>
          </w:p>
          <w:p w:rsidR="00BC1D60" w:rsidRPr="0017749D" w:rsidRDefault="003B051F" w:rsidP="00BC5B38">
            <w:pPr>
              <w:pStyle w:val="Body"/>
              <w:pBdr>
                <w:top w:val="single" w:sz="2" w:space="4" w:color="auto"/>
              </w:pBdr>
              <w:spacing w:after="120"/>
              <w:rPr>
                <w:rFonts w:ascii="Arial Narrow" w:hAnsi="Arial Narrow"/>
                <w:lang w:val="es-ES_tradnl"/>
              </w:rPr>
            </w:pPr>
            <w:hyperlink r:id="rId181" w:history="1">
              <w:r w:rsidR="00BC1D60" w:rsidRPr="0017749D">
                <w:rPr>
                  <w:rStyle w:val="Hyperlink"/>
                  <w:rFonts w:ascii="Arial Narrow" w:hAnsi="Arial Narrow"/>
                  <w:lang w:val="es-ES_tradnl"/>
                </w:rPr>
                <w:t>anthony.g.passede.silva@jpmorgan.com</w:t>
              </w:r>
            </w:hyperlink>
          </w:p>
          <w:p w:rsidR="00BC1D60" w:rsidRPr="0017749D" w:rsidRDefault="00BC1D60" w:rsidP="00BC5B38">
            <w:pPr>
              <w:pStyle w:val="Body"/>
              <w:spacing w:after="120"/>
              <w:rPr>
                <w:rFonts w:ascii="Arial Narrow" w:hAnsi="Arial Narrow"/>
                <w:lang w:val="es-ES_tradnl"/>
              </w:rPr>
            </w:pPr>
            <w:r w:rsidRPr="0017749D">
              <w:rPr>
                <w:rFonts w:ascii="Arial Narrow" w:hAnsi="Arial Narrow"/>
                <w:lang w:val="es-ES_tradnl"/>
              </w:rPr>
              <w:t>(61-2) 9003-8614</w:t>
            </w:r>
          </w:p>
          <w:p w:rsidR="00BC1D60" w:rsidRPr="0017749D" w:rsidRDefault="00BC1D60" w:rsidP="00BC5B38">
            <w:pPr>
              <w:pStyle w:val="Body"/>
              <w:spacing w:after="120"/>
              <w:rPr>
                <w:rFonts w:ascii="Arial Narrow" w:hAnsi="Arial Narrow"/>
                <w:lang w:val="es-ES_tradnl"/>
              </w:rPr>
            </w:pPr>
          </w:p>
          <w:p w:rsidR="00BC1D60" w:rsidRPr="0017749D" w:rsidRDefault="00BC1D60" w:rsidP="00BC5B38">
            <w:pPr>
              <w:pStyle w:val="Body"/>
              <w:spacing w:after="120"/>
              <w:rPr>
                <w:rFonts w:ascii="Arial Narrow" w:hAnsi="Arial Narrow"/>
              </w:rPr>
            </w:pPr>
            <w:r w:rsidRPr="0017749D">
              <w:rPr>
                <w:rFonts w:ascii="Arial Narrow" w:hAnsi="Arial Narrow"/>
                <w:b/>
              </w:rPr>
              <w:t>Region:</w:t>
            </w:r>
            <w:r w:rsidRPr="0017749D">
              <w:rPr>
                <w:rFonts w:ascii="Arial Narrow" w:hAnsi="Arial Narrow"/>
              </w:rPr>
              <w:t xml:space="preserve"> Australia/NZ</w:t>
            </w:r>
          </w:p>
          <w:p w:rsidR="00BC1D60" w:rsidRPr="0017749D" w:rsidRDefault="00BC1D60" w:rsidP="00BC5B38">
            <w:pPr>
              <w:pStyle w:val="Body"/>
              <w:spacing w:after="120"/>
              <w:rPr>
                <w:rFonts w:ascii="Arial Narrow" w:hAnsi="Arial Narrow"/>
              </w:rPr>
            </w:pPr>
            <w:r w:rsidRPr="0017749D">
              <w:rPr>
                <w:rFonts w:ascii="Arial Narrow" w:hAnsi="Arial Narrow"/>
                <w:b/>
              </w:rPr>
              <w:t>Sector:</w:t>
            </w:r>
            <w:r w:rsidRPr="0017749D">
              <w:rPr>
                <w:rFonts w:ascii="Arial Narrow" w:hAnsi="Arial Narrow"/>
              </w:rPr>
              <w:t xml:space="preserve"> Developers &amp; Contractors</w:t>
            </w:r>
          </w:p>
          <w:p w:rsidR="00BC1D60" w:rsidRPr="0017749D" w:rsidRDefault="00BC1D60" w:rsidP="00BC5B38">
            <w:pPr>
              <w:pStyle w:val="Body"/>
            </w:pPr>
          </w:p>
        </w:tc>
        <w:tc>
          <w:tcPr>
            <w:tcW w:w="4394" w:type="dxa"/>
            <w:shd w:val="clear" w:color="auto" w:fill="auto"/>
          </w:tcPr>
          <w:p w:rsidR="00BC1D60" w:rsidRPr="0017749D" w:rsidRDefault="00BC1D60" w:rsidP="00BC5B38">
            <w:pPr>
              <w:pStyle w:val="Body"/>
              <w:jc w:val="right"/>
            </w:pPr>
            <w:r w:rsidRPr="0017749D">
              <w:rPr>
                <w:noProof/>
              </w:rPr>
              <w:drawing>
                <wp:inline distT="0" distB="0" distL="0" distR="0">
                  <wp:extent cx="2505456" cy="1568163"/>
                  <wp:effectExtent l="19050" t="0" r="9144" b="0"/>
                  <wp:docPr id="118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2"/>
                          <a:srcRect/>
                          <a:stretch>
                            <a:fillRect/>
                          </a:stretch>
                        </pic:blipFill>
                        <pic:spPr bwMode="auto">
                          <a:xfrm>
                            <a:off x="0" y="0"/>
                            <a:ext cx="2505456" cy="1568163"/>
                          </a:xfrm>
                          <a:prstGeom prst="rect">
                            <a:avLst/>
                          </a:prstGeom>
                          <a:noFill/>
                          <a:ln w="9525">
                            <a:noFill/>
                            <a:miter lim="800000"/>
                            <a:headEnd/>
                            <a:tailEnd/>
                          </a:ln>
                        </pic:spPr>
                      </pic:pic>
                    </a:graphicData>
                  </a:graphic>
                </wp:inline>
              </w:drawing>
            </w:r>
            <w:r w:rsidRPr="0017749D">
              <w:t xml:space="preserve"> </w:t>
            </w:r>
          </w:p>
        </w:tc>
      </w:tr>
    </w:tbl>
    <w:p w:rsidR="00BC1D60" w:rsidRPr="00DB353C" w:rsidRDefault="00BC1D60" w:rsidP="00BC1D60">
      <w:pPr>
        <w:pStyle w:val="Source"/>
        <w:spacing w:before="0"/>
        <w:ind w:left="-3124" w:hanging="137"/>
      </w:pPr>
      <w:r w:rsidRPr="0017749D">
        <w:rPr>
          <w:noProof/>
        </w:rPr>
        <w:drawing>
          <wp:inline distT="0" distB="0" distL="0" distR="0">
            <wp:extent cx="6702552" cy="1994633"/>
            <wp:effectExtent l="19050" t="0" r="3048" b="0"/>
            <wp:docPr id="118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3"/>
                    <a:srcRect/>
                    <a:stretch>
                      <a:fillRect/>
                    </a:stretch>
                  </pic:blipFill>
                  <pic:spPr bwMode="auto">
                    <a:xfrm>
                      <a:off x="0" y="0"/>
                      <a:ext cx="6702552" cy="1994633"/>
                    </a:xfrm>
                    <a:prstGeom prst="rect">
                      <a:avLst/>
                    </a:prstGeom>
                    <a:noFill/>
                    <a:ln w="9525">
                      <a:noFill/>
                      <a:miter lim="800000"/>
                      <a:headEnd/>
                      <a:tailEnd/>
                    </a:ln>
                  </pic:spPr>
                </pic:pic>
              </a:graphicData>
            </a:graphic>
          </wp:inline>
        </w:drawing>
      </w:r>
      <w:r w:rsidRPr="0017749D">
        <w:t xml:space="preserve"> Source: Bloomberg, Datastream, Factset, J.P. Morgan</w:t>
      </w:r>
      <w:r w:rsidRPr="0017749D">
        <w:br/>
      </w:r>
      <w:r w:rsidRPr="0087013D">
        <w:t>Prices as of 24 June 2014</w:t>
      </w:r>
    </w:p>
    <w:p w:rsidR="00BC1D60" w:rsidRDefault="00BC1D60" w:rsidP="00BC1D60">
      <w:pPr>
        <w:pStyle w:val="Body"/>
      </w:pPr>
    </w:p>
    <w:p w:rsidR="00BC1D60" w:rsidRDefault="00BC1D60" w:rsidP="00BC1D60">
      <w:pPr>
        <w:pStyle w:val="Body"/>
      </w:pPr>
    </w:p>
    <w:p w:rsidR="00BC1D60" w:rsidRDefault="00BC1D60" w:rsidP="00BC1D60">
      <w:pPr>
        <w:pStyle w:val="Body"/>
      </w:pPr>
    </w:p>
    <w:p w:rsidR="00BC1D60" w:rsidRDefault="00BC1D60" w:rsidP="00BC1D60">
      <w:pPr>
        <w:pStyle w:val="Body"/>
      </w:pPr>
    </w:p>
    <w:p w:rsidR="00BC1D60" w:rsidRDefault="00BC1D60" w:rsidP="00BC1D60">
      <w:pPr>
        <w:pStyle w:val="Body"/>
      </w:pPr>
    </w:p>
    <w:p w:rsidR="00BC1D60" w:rsidRDefault="00BC1D60" w:rsidP="00BC1D60">
      <w:pPr>
        <w:pStyle w:val="Body"/>
      </w:pPr>
    </w:p>
    <w:p w:rsidR="00BC1D60" w:rsidRDefault="00BC1D60" w:rsidP="00BC1D60">
      <w:pPr>
        <w:pStyle w:val="Body"/>
      </w:pPr>
    </w:p>
    <w:p w:rsidR="00BC1D60" w:rsidRDefault="00BC1D60" w:rsidP="00BC1D60">
      <w:pPr>
        <w:pStyle w:val="Body"/>
      </w:pPr>
    </w:p>
    <w:p w:rsidR="00BC1D60" w:rsidRDefault="00BC1D60" w:rsidP="00BC1D60">
      <w:pPr>
        <w:pStyle w:val="Body"/>
        <w:sectPr w:rsidR="00BC1D60" w:rsidSect="009339A1">
          <w:headerReference w:type="first" r:id="rId184"/>
          <w:footerReference w:type="first" r:id="rId185"/>
          <w:pgSz w:w="12240" w:h="15840" w:code="1"/>
          <w:pgMar w:top="1494" w:right="1138" w:bottom="810" w:left="4248" w:header="936" w:footer="576" w:gutter="0"/>
          <w:cols w:space="720"/>
          <w:formProt w:val="0"/>
          <w:docGrid w:linePitch="360"/>
        </w:sectPr>
      </w:pPr>
    </w:p>
    <w:p w:rsidR="00BC1D60" w:rsidRDefault="00BC1D60" w:rsidP="00BC1D60">
      <w:pPr>
        <w:pStyle w:val="Body"/>
      </w:pPr>
    </w:p>
    <w:p w:rsidR="00BC1D60" w:rsidRDefault="00BC1D60" w:rsidP="00BC1D60">
      <w:pPr>
        <w:pStyle w:val="Body"/>
      </w:pPr>
    </w:p>
    <w:p w:rsidR="00BC1D60" w:rsidRDefault="00BC1D60" w:rsidP="00BC1D60">
      <w:pPr>
        <w:pStyle w:val="Body"/>
      </w:pPr>
    </w:p>
    <w:p w:rsidR="00BC1D60" w:rsidRDefault="00BC1D60" w:rsidP="00BC1D60">
      <w:pPr>
        <w:pStyle w:val="Body"/>
      </w:pPr>
    </w:p>
    <w:p w:rsidR="00BC1D60" w:rsidRDefault="00BC1D60" w:rsidP="00BC1D60">
      <w:pPr>
        <w:pStyle w:val="Body"/>
      </w:pPr>
    </w:p>
    <w:p w:rsidR="00BC1D60" w:rsidRDefault="00BC1D60" w:rsidP="00BC1D60">
      <w:pPr>
        <w:pStyle w:val="Body"/>
      </w:pPr>
    </w:p>
    <w:p w:rsidR="00BC1D60" w:rsidRDefault="00BC1D60" w:rsidP="00BC1D60">
      <w:pPr>
        <w:pStyle w:val="Body"/>
      </w:pPr>
    </w:p>
    <w:p w:rsidR="00BC1D60" w:rsidRDefault="00BC1D60" w:rsidP="00BC1D60">
      <w:pPr>
        <w:pStyle w:val="Body"/>
      </w:pPr>
    </w:p>
    <w:p w:rsidR="00BC1D60" w:rsidRDefault="00BC1D60" w:rsidP="00BC1D60">
      <w:pPr>
        <w:pStyle w:val="Body"/>
      </w:pPr>
    </w:p>
    <w:p w:rsidR="00BC1D60" w:rsidRDefault="00BC1D60" w:rsidP="00BC1D60">
      <w:pPr>
        <w:pStyle w:val="Body"/>
      </w:pPr>
    </w:p>
    <w:p w:rsidR="00BC1D60" w:rsidRDefault="00BC1D60" w:rsidP="00BC1D60">
      <w:pPr>
        <w:pStyle w:val="Body"/>
      </w:pPr>
    </w:p>
    <w:p w:rsidR="00BC1D60" w:rsidRDefault="00BC1D60" w:rsidP="00BC1D60">
      <w:pPr>
        <w:pStyle w:val="Body"/>
      </w:pPr>
    </w:p>
    <w:p w:rsidR="00BC1D60" w:rsidRDefault="00BC1D60" w:rsidP="00BC1D60">
      <w:pPr>
        <w:pStyle w:val="Body"/>
      </w:pPr>
    </w:p>
    <w:p w:rsidR="00BC1D60" w:rsidRDefault="00BC1D60" w:rsidP="00BC1D60">
      <w:pPr>
        <w:pStyle w:val="Body"/>
      </w:pPr>
    </w:p>
    <w:p w:rsidR="00BC1D60" w:rsidRDefault="00BC1D60" w:rsidP="00BC1D60">
      <w:pPr>
        <w:pStyle w:val="Body"/>
      </w:pPr>
    </w:p>
    <w:p w:rsidR="00BC1D60" w:rsidRDefault="00BC1D60" w:rsidP="00BC1D60">
      <w:pPr>
        <w:pStyle w:val="Body"/>
        <w:rPr>
          <w:i/>
        </w:rPr>
      </w:pPr>
      <w:r w:rsidRPr="00610CCB">
        <w:rPr>
          <w:i/>
        </w:rPr>
        <w:t>This page is intentionally left blank</w:t>
      </w:r>
    </w:p>
    <w:p w:rsidR="00B11ED5" w:rsidRDefault="00B11ED5" w:rsidP="00096996">
      <w:pPr>
        <w:pStyle w:val="Body"/>
        <w:sectPr w:rsidR="00B11ED5" w:rsidSect="00096996">
          <w:headerReference w:type="first" r:id="rId186"/>
          <w:footerReference w:type="first" r:id="rId187"/>
          <w:pgSz w:w="12240" w:h="15840" w:code="1"/>
          <w:pgMar w:top="2376" w:right="1138" w:bottom="936" w:left="4248" w:header="936" w:footer="576" w:gutter="0"/>
          <w:cols w:space="720"/>
          <w:formProt w:val="0"/>
          <w:docGrid w:linePitch="360"/>
        </w:sectPr>
      </w:pPr>
    </w:p>
    <w:bookmarkStart w:id="422" w:name="_LegalDisclosure" w:displacedByCustomXml="next"/>
    <w:sdt>
      <w:sdtPr>
        <w:rPr>
          <w:sz w:val="20"/>
        </w:rPr>
        <w:alias w:val="DISCLOSURE"/>
        <w:tag w:val="DISCLOSURE"/>
        <w:id w:val="166324026"/>
        <w:lock w:val="sdtContentLocked"/>
        <w:placeholder>
          <w:docPart w:val="E1AA52EE8A6C40EEABBB49C86BADB28F"/>
        </w:placeholder>
      </w:sdtPr>
      <w:sdtContent>
        <w:p w:rsidR="00991DB2" w:rsidRDefault="00991DB2">
          <w:pPr>
            <w:divId w:val="1499273663"/>
            <w:rPr>
              <w:rFonts w:eastAsia="Times New Roman"/>
              <w:sz w:val="12"/>
              <w:szCs w:val="12"/>
            </w:rPr>
          </w:pPr>
        </w:p>
        <w:p w:rsidR="00991DB2" w:rsidRDefault="00991DB2">
          <w:pPr>
            <w:divId w:val="1016464105"/>
            <w:rPr>
              <w:rFonts w:eastAsia="Times New Roman"/>
              <w:sz w:val="18"/>
              <w:szCs w:val="18"/>
            </w:rPr>
          </w:pPr>
          <w:r>
            <w:rPr>
              <w:rFonts w:eastAsia="Times New Roman"/>
              <w:b/>
              <w:bCs/>
              <w:sz w:val="20"/>
              <w:szCs w:val="20"/>
            </w:rPr>
            <w:t xml:space="preserve">Companies Discussed in This Report </w:t>
          </w:r>
          <w:r>
            <w:rPr>
              <w:rFonts w:eastAsia="Times New Roman"/>
              <w:sz w:val="20"/>
              <w:szCs w:val="20"/>
            </w:rPr>
            <w:t>(all prices in this report as of market close on 03 July 2014, unless otherwise indicated)</w:t>
          </w:r>
          <w:r>
            <w:rPr>
              <w:rFonts w:eastAsia="Times New Roman"/>
              <w:sz w:val="20"/>
              <w:szCs w:val="20"/>
            </w:rPr>
            <w:br/>
            <w:t xml:space="preserve">Beijing Capital International Airport (0694.HK/HK$5.29[04 July 2014]/Overweight), CSG Limited (CSV.AX/A$1.00[04 July 2014]/Overweight), Cadence Design Systems (CDNS/$17.56/Overweight), Cape (CIU.L/297p/Overweight), Cineworld (CINE.L/346p/Overweight), EnQuest (ENQ.L/136p/Overweight), Even (EVEN3.SA/R$6.52/Overweight), Gem Diamonds Ltd (GEMD.L/169p/Overweight), Havas (EURC.PA/€6.12/Neutral), Jupiter (JUP.L/412p/Overweight), Laird (LRD.L/287p/Overweight), M6 (MMTP.PA/€14.94/Overweight), Media Prima Berhad (MPRM.KL/M$2.48[04 July 2014]/Overweight), Nihon Kohden (6849) (6849.T/¥5230[04 July 2014]/Overweight), Novatek Microelectronics Corp. (3034.TW/NT$148.0[04 July 2014]/Overweight), Omantel (OTL.OM/RO1.65/Overweight), Pirelli &amp; C. SpA (PECI.MI/€12.20/Overweight), Prosegur (PSG.MC/€5.38/Neutral), Quintain Estates &amp; Development (QED.L/89p/Overweight), Synaptics Inc. (SYNA/$92.68/Overweight), Techtronic Industries (0669.HK/HK$24.80[04 July 2014]/Overweight), WorleyParsons Limited (WOR.AX/A$18.93[04 July 2014]/Overweight) </w:t>
          </w:r>
        </w:p>
        <w:p w:rsidR="00991DB2" w:rsidRDefault="00991DB2">
          <w:pPr>
            <w:divId w:val="877856088"/>
            <w:rPr>
              <w:rFonts w:eastAsia="Times New Roman"/>
              <w:sz w:val="12"/>
              <w:szCs w:val="12"/>
            </w:rPr>
          </w:pPr>
        </w:p>
        <w:p w:rsidR="00991DB2" w:rsidRDefault="00991DB2">
          <w:pPr>
            <w:divId w:val="1016464105"/>
            <w:rPr>
              <w:rFonts w:eastAsia="Times New Roman"/>
              <w:sz w:val="20"/>
              <w:szCs w:val="20"/>
            </w:rPr>
          </w:pPr>
          <w:r>
            <w:rPr>
              <w:rFonts w:eastAsia="Times New Roman"/>
              <w:b/>
              <w:bCs/>
              <w:sz w:val="18"/>
              <w:szCs w:val="18"/>
            </w:rPr>
            <w:t xml:space="preserve">Analyst Certification: </w:t>
          </w:r>
          <w:r>
            <w:rPr>
              <w:rFonts w:eastAsia="Times New Roman"/>
              <w:sz w:val="18"/>
              <w:szCs w:val="18"/>
            </w:rPr>
            <w:t>The research analyst(s) denoted by an “AC” on the cover of this report certifies (or, where multiple research analysts are primarily responsible for this report, the research analyst denoted by an “AC” on the cover or within the document individually certifies, with respect to each security or issuer that the research analyst covers in this research) that: (1) all of the views expressed in this report accurately reflect his or her personal views about any and all of the subject securities or issuers; and (2) no part of any of the research analyst's compensation was, is, or will be directly or indirectly related to the specific recommendations or views expressed by the research analyst(s) in this report. For all Korea-based research analysts listed on the front cover, they also certify, as per KOFIA requirements, that their analysis was made in good faith and that the views reflect their own opinion, without undue influence or intervention.</w:t>
          </w:r>
        </w:p>
        <w:p w:rsidR="00991DB2" w:rsidRDefault="00991DB2">
          <w:pPr>
            <w:divId w:val="148449984"/>
            <w:rPr>
              <w:rFonts w:eastAsia="Times New Roman"/>
              <w:sz w:val="12"/>
              <w:szCs w:val="12"/>
            </w:rPr>
          </w:pPr>
        </w:p>
        <w:p w:rsidR="00991DB2" w:rsidRDefault="00991DB2" w:rsidP="00991DB2">
          <w:pPr>
            <w:divId w:val="1016464105"/>
            <w:rPr>
              <w:rFonts w:eastAsia="Times New Roman"/>
              <w:sz w:val="20"/>
              <w:szCs w:val="20"/>
            </w:rPr>
          </w:pPr>
          <w:r>
            <w:rPr>
              <w:rFonts w:eastAsia="Times New Roman"/>
              <w:b/>
              <w:bCs/>
              <w:sz w:val="20"/>
              <w:szCs w:val="20"/>
            </w:rPr>
            <w:t>Important Disclosures</w:t>
          </w:r>
          <w:r>
            <w:rPr>
              <w:rFonts w:eastAsia="Times New Roman"/>
              <w:sz w:val="20"/>
              <w:szCs w:val="20"/>
            </w:rPr>
            <w:t xml:space="preserve"> </w:t>
          </w:r>
        </w:p>
        <w:p w:rsidR="00991DB2" w:rsidRDefault="00991DB2" w:rsidP="00991DB2">
          <w:pPr>
            <w:spacing w:line="100" w:lineRule="auto"/>
            <w:divId w:val="1016464105"/>
            <w:rPr>
              <w:rFonts w:eastAsia="Times New Roman"/>
              <w:sz w:val="20"/>
              <w:szCs w:val="20"/>
            </w:rPr>
          </w:pPr>
          <w:r>
            <w:rPr>
              <w:rFonts w:eastAsia="Times New Roman"/>
              <w:sz w:val="20"/>
              <w:szCs w:val="20"/>
            </w:rPr>
            <w:pict>
              <v:rect id="_x0000_i1031" style="width:0;height:.55pt" o:hralign="center" o:hrstd="t" o:hrnoshade="t" o:hr="t" fillcolor="black" stroked="f"/>
            </w:pict>
          </w:r>
        </w:p>
        <w:p w:rsidR="00991DB2" w:rsidRDefault="00991DB2" w:rsidP="00991DB2">
          <w:pPr>
            <w:divId w:val="558593210"/>
            <w:rPr>
              <w:rFonts w:eastAsia="Times New Roman"/>
              <w:sz w:val="12"/>
              <w:szCs w:val="12"/>
            </w:rPr>
          </w:pPr>
        </w:p>
        <w:p w:rsidR="00991DB2" w:rsidRDefault="00991DB2">
          <w:pPr>
            <w:divId w:val="1016464105"/>
            <w:rPr>
              <w:rFonts w:eastAsia="Times New Roman"/>
            </w:rPr>
          </w:pPr>
          <w:r>
            <w:rPr>
              <w:rFonts w:eastAsia="Times New Roman" w:hAnsi="Symbol"/>
            </w:rPr>
            <w:t></w:t>
          </w:r>
          <w:r>
            <w:rPr>
              <w:rFonts w:eastAsia="Times New Roman"/>
            </w:rPr>
            <w:t xml:space="preserve">  </w:t>
          </w:r>
          <w:r>
            <w:rPr>
              <w:rFonts w:eastAsia="Times New Roman"/>
              <w:b/>
              <w:bCs/>
              <w:sz w:val="18"/>
              <w:szCs w:val="18"/>
            </w:rPr>
            <w:t xml:space="preserve">Market Maker: </w:t>
          </w:r>
          <w:r>
            <w:rPr>
              <w:rFonts w:eastAsia="Times New Roman"/>
              <w:sz w:val="18"/>
              <w:szCs w:val="18"/>
            </w:rPr>
            <w:t>JPMS makes a market in the stock of Cadence Design Systems, Synaptics Inc..</w:t>
          </w:r>
        </w:p>
        <w:p w:rsidR="00991DB2" w:rsidRDefault="00991DB2">
          <w:pPr>
            <w:divId w:val="1016464105"/>
            <w:rPr>
              <w:rFonts w:eastAsia="Times New Roman"/>
            </w:rPr>
          </w:pPr>
          <w:r>
            <w:rPr>
              <w:rFonts w:eastAsia="Times New Roman" w:hAnsi="Symbol"/>
            </w:rPr>
            <w:t></w:t>
          </w:r>
          <w:r>
            <w:rPr>
              <w:rFonts w:eastAsia="Times New Roman"/>
            </w:rPr>
            <w:t xml:space="preserve">  </w:t>
          </w:r>
          <w:r>
            <w:rPr>
              <w:rFonts w:eastAsia="Times New Roman"/>
              <w:b/>
              <w:bCs/>
              <w:sz w:val="18"/>
              <w:szCs w:val="18"/>
            </w:rPr>
            <w:t xml:space="preserve">Market Maker/ Liquidity Provider: </w:t>
          </w:r>
          <w:r>
            <w:rPr>
              <w:rFonts w:eastAsia="Times New Roman"/>
              <w:sz w:val="18"/>
              <w:szCs w:val="18"/>
            </w:rPr>
            <w:t>J.P. Morgan Securities plc and/or an affiliate is a market maker and/or liquidity provider in Laird, Cape, Cineworld, EnQuest, Havas, Gem Diamonds Ltd, Jupiter, M6, Mediobanca, Omantel, Pirelli &amp; C. SpA, Prosegur, Quintain Estates &amp; Development.</w:t>
          </w:r>
        </w:p>
        <w:p w:rsidR="00991DB2" w:rsidRDefault="00991DB2">
          <w:pPr>
            <w:divId w:val="1016464105"/>
            <w:rPr>
              <w:rFonts w:eastAsia="Times New Roman"/>
            </w:rPr>
          </w:pPr>
          <w:r>
            <w:rPr>
              <w:rFonts w:eastAsia="Times New Roman" w:hAnsi="Symbol"/>
            </w:rPr>
            <w:t></w:t>
          </w:r>
          <w:r>
            <w:rPr>
              <w:rFonts w:eastAsia="Times New Roman"/>
            </w:rPr>
            <w:t xml:space="preserve">  </w:t>
          </w:r>
          <w:r>
            <w:rPr>
              <w:rFonts w:eastAsia="Times New Roman"/>
              <w:b/>
              <w:bCs/>
              <w:sz w:val="18"/>
              <w:szCs w:val="18"/>
            </w:rPr>
            <w:t xml:space="preserve">Lead or Co-manager: </w:t>
          </w:r>
          <w:r>
            <w:rPr>
              <w:rFonts w:eastAsia="Times New Roman"/>
              <w:sz w:val="18"/>
              <w:szCs w:val="18"/>
            </w:rPr>
            <w:t>J.P. Morgan acted as lead or co-manager in a public offering of equity and/or debt securities for Cineworld, EnQuest, Jupiter within the past 12 months.</w:t>
          </w:r>
        </w:p>
        <w:p w:rsidR="00991DB2" w:rsidRDefault="00991DB2">
          <w:pPr>
            <w:divId w:val="1016464105"/>
            <w:rPr>
              <w:rFonts w:eastAsia="Times New Roman"/>
            </w:rPr>
          </w:pPr>
          <w:r>
            <w:rPr>
              <w:rFonts w:eastAsia="Times New Roman" w:hAnsi="Symbol"/>
            </w:rPr>
            <w:t></w:t>
          </w:r>
          <w:r>
            <w:rPr>
              <w:rFonts w:eastAsia="Times New Roman"/>
            </w:rPr>
            <w:t xml:space="preserve">  </w:t>
          </w:r>
          <w:r>
            <w:rPr>
              <w:rFonts w:eastAsia="Times New Roman"/>
              <w:b/>
              <w:bCs/>
              <w:sz w:val="18"/>
              <w:szCs w:val="18"/>
            </w:rPr>
            <w:t xml:space="preserve">Beneficial Ownership (1% or more): </w:t>
          </w:r>
          <w:r>
            <w:rPr>
              <w:rFonts w:eastAsia="Times New Roman"/>
              <w:sz w:val="18"/>
              <w:szCs w:val="18"/>
            </w:rPr>
            <w:t>J.P. Morgan beneficially owns 1% or more of a class of common equity securities of Cadence Design Systems, Pirelli &amp; C. SpA, Techtronic Industries.</w:t>
          </w:r>
        </w:p>
        <w:p w:rsidR="00991DB2" w:rsidRDefault="00991DB2">
          <w:pPr>
            <w:divId w:val="1016464105"/>
            <w:rPr>
              <w:rFonts w:eastAsia="Times New Roman"/>
            </w:rPr>
          </w:pPr>
          <w:r>
            <w:rPr>
              <w:rFonts w:eastAsia="Times New Roman" w:hAnsi="Symbol"/>
            </w:rPr>
            <w:t></w:t>
          </w:r>
          <w:r>
            <w:rPr>
              <w:rFonts w:eastAsia="Times New Roman"/>
            </w:rPr>
            <w:t xml:space="preserve">  </w:t>
          </w:r>
          <w:r>
            <w:rPr>
              <w:rFonts w:eastAsia="Times New Roman"/>
              <w:b/>
              <w:bCs/>
              <w:sz w:val="18"/>
              <w:szCs w:val="18"/>
            </w:rPr>
            <w:t>Client:</w:t>
          </w:r>
          <w:r>
            <w:rPr>
              <w:rFonts w:eastAsia="Times New Roman"/>
              <w:sz w:val="18"/>
              <w:szCs w:val="18"/>
            </w:rPr>
            <w:t xml:space="preserve"> J.P. Morgan currently has, or had within the past 12 months, the following company(ies) as clients: Laird, Cadence Design Systems, Cape, Cineworld, EnQuest, Even, Havas, Gem Diamonds Ltd, Jupiter, Mediobanca, Pirelli &amp; C. SpA, Prosegur, Quintain Estates &amp; Development, Synaptics Inc., Techtronic Industries, WorleyParsons Limited.</w:t>
          </w:r>
        </w:p>
        <w:p w:rsidR="00991DB2" w:rsidRDefault="00991DB2">
          <w:pPr>
            <w:divId w:val="1016464105"/>
            <w:rPr>
              <w:rFonts w:eastAsia="Times New Roman"/>
            </w:rPr>
          </w:pPr>
          <w:r>
            <w:rPr>
              <w:rFonts w:eastAsia="Times New Roman" w:hAnsi="Symbol"/>
            </w:rPr>
            <w:t></w:t>
          </w:r>
          <w:r>
            <w:rPr>
              <w:rFonts w:eastAsia="Times New Roman"/>
            </w:rPr>
            <w:t xml:space="preserve">  </w:t>
          </w:r>
          <w:r>
            <w:rPr>
              <w:rFonts w:eastAsia="Times New Roman"/>
              <w:b/>
              <w:bCs/>
              <w:sz w:val="18"/>
              <w:szCs w:val="18"/>
            </w:rPr>
            <w:t xml:space="preserve">Client/Investment Banking: </w:t>
          </w:r>
          <w:r>
            <w:rPr>
              <w:rFonts w:eastAsia="Times New Roman"/>
              <w:sz w:val="18"/>
              <w:szCs w:val="18"/>
            </w:rPr>
            <w:t>J.P. Morgan currently has, or had within the past 12 months, the following company(ies) as investment banking clients: Cineworld, EnQuest, Jupiter, Pirelli &amp; C. SpA, Quintain Estates &amp; Development.</w:t>
          </w:r>
        </w:p>
        <w:p w:rsidR="00991DB2" w:rsidRDefault="00991DB2">
          <w:pPr>
            <w:divId w:val="1016464105"/>
            <w:rPr>
              <w:rFonts w:eastAsia="Times New Roman"/>
            </w:rPr>
          </w:pPr>
          <w:r>
            <w:rPr>
              <w:rFonts w:eastAsia="Times New Roman" w:hAnsi="Symbol"/>
            </w:rPr>
            <w:t></w:t>
          </w:r>
          <w:r>
            <w:rPr>
              <w:rFonts w:eastAsia="Times New Roman"/>
            </w:rPr>
            <w:t xml:space="preserve">  </w:t>
          </w:r>
          <w:r>
            <w:rPr>
              <w:rFonts w:eastAsia="Times New Roman"/>
              <w:b/>
              <w:bCs/>
              <w:sz w:val="18"/>
              <w:szCs w:val="18"/>
            </w:rPr>
            <w:t xml:space="preserve">Client/Non-Investment Banking, Securities-Related: </w:t>
          </w:r>
          <w:r>
            <w:rPr>
              <w:rFonts w:eastAsia="Times New Roman"/>
              <w:sz w:val="18"/>
              <w:szCs w:val="18"/>
            </w:rPr>
            <w:t>J.P. Morgan currently has, or had within the past 12 months, the following company(ies) as clients, and the services provided were non-investment-banking, securities-related: Laird, Cadence Design Systems, EnQuest, Havas, Jupiter, Mediobanca, Pirelli &amp; C. SpA, Quintain Estates &amp; Development, Techtronic Industries, WorleyParsons Limited.</w:t>
          </w:r>
        </w:p>
        <w:p w:rsidR="00991DB2" w:rsidRDefault="00991DB2">
          <w:pPr>
            <w:divId w:val="1016464105"/>
            <w:rPr>
              <w:rFonts w:eastAsia="Times New Roman"/>
            </w:rPr>
          </w:pPr>
          <w:r>
            <w:rPr>
              <w:rFonts w:eastAsia="Times New Roman" w:hAnsi="Symbol"/>
            </w:rPr>
            <w:t></w:t>
          </w:r>
          <w:r>
            <w:rPr>
              <w:rFonts w:eastAsia="Times New Roman"/>
            </w:rPr>
            <w:t xml:space="preserve">  </w:t>
          </w:r>
          <w:r>
            <w:rPr>
              <w:rFonts w:eastAsia="Times New Roman"/>
              <w:b/>
              <w:bCs/>
              <w:sz w:val="18"/>
              <w:szCs w:val="18"/>
            </w:rPr>
            <w:t xml:space="preserve">Client/Non-Securities-Related: </w:t>
          </w:r>
          <w:r>
            <w:rPr>
              <w:rFonts w:eastAsia="Times New Roman"/>
              <w:sz w:val="18"/>
              <w:szCs w:val="18"/>
            </w:rPr>
            <w:t>J.P. Morgan currently has, or had within the past 12 months, the following company(ies) as clients, and the services provided were non-securities-related: Cadence Design Systems, EnQuest, Havas, Techtronic Industries, WorleyParsons Limited.</w:t>
          </w:r>
        </w:p>
        <w:p w:rsidR="00991DB2" w:rsidRDefault="00991DB2">
          <w:pPr>
            <w:divId w:val="1016464105"/>
            <w:rPr>
              <w:rFonts w:eastAsia="Times New Roman"/>
            </w:rPr>
          </w:pPr>
          <w:r>
            <w:rPr>
              <w:rFonts w:eastAsia="Times New Roman" w:hAnsi="Symbol"/>
            </w:rPr>
            <w:t></w:t>
          </w:r>
          <w:r>
            <w:rPr>
              <w:rFonts w:eastAsia="Times New Roman"/>
            </w:rPr>
            <w:t xml:space="preserve">  </w:t>
          </w:r>
          <w:r>
            <w:rPr>
              <w:rFonts w:eastAsia="Times New Roman"/>
              <w:b/>
              <w:bCs/>
              <w:sz w:val="18"/>
              <w:szCs w:val="18"/>
            </w:rPr>
            <w:t>Investment Banking (past 12 months):</w:t>
          </w:r>
          <w:r>
            <w:rPr>
              <w:rFonts w:eastAsia="Times New Roman"/>
              <w:sz w:val="18"/>
              <w:szCs w:val="18"/>
            </w:rPr>
            <w:t xml:space="preserve"> J.P. Morgan received in the past 12 months compensation from investment banking Cineworld, EnQuest, Jupiter, Pirelli &amp; C. SpA, Quintain Estates &amp; Development.</w:t>
          </w:r>
        </w:p>
        <w:p w:rsidR="00991DB2" w:rsidRDefault="00991DB2">
          <w:pPr>
            <w:divId w:val="1016464105"/>
            <w:rPr>
              <w:rFonts w:eastAsia="Times New Roman"/>
            </w:rPr>
          </w:pPr>
          <w:r>
            <w:rPr>
              <w:rFonts w:eastAsia="Times New Roman" w:hAnsi="Symbol"/>
            </w:rPr>
            <w:t></w:t>
          </w:r>
          <w:r>
            <w:rPr>
              <w:rFonts w:eastAsia="Times New Roman"/>
            </w:rPr>
            <w:t xml:space="preserve">  </w:t>
          </w:r>
          <w:r>
            <w:rPr>
              <w:rFonts w:eastAsia="Times New Roman"/>
              <w:b/>
              <w:bCs/>
              <w:sz w:val="18"/>
              <w:szCs w:val="18"/>
            </w:rPr>
            <w:t>Investment Banking (next 3 months):</w:t>
          </w:r>
          <w:r>
            <w:rPr>
              <w:rFonts w:eastAsia="Times New Roman"/>
              <w:sz w:val="18"/>
              <w:szCs w:val="18"/>
            </w:rPr>
            <w:t xml:space="preserve"> J.P. Morgan expects to receive, or intends to seek, compensation for investment banking services in the next three months from Laird, Cadence Design Systems, Cape, Cineworld, EnQuest, Jupiter, Pirelli &amp; C. SpA, Quintain Estates &amp; Development.</w:t>
          </w:r>
        </w:p>
        <w:p w:rsidR="00991DB2" w:rsidRDefault="00991DB2">
          <w:pPr>
            <w:divId w:val="1016464105"/>
            <w:rPr>
              <w:rFonts w:eastAsia="Times New Roman"/>
            </w:rPr>
          </w:pPr>
          <w:r>
            <w:rPr>
              <w:rFonts w:eastAsia="Times New Roman" w:hAnsi="Symbol"/>
            </w:rPr>
            <w:t></w:t>
          </w:r>
          <w:r>
            <w:rPr>
              <w:rFonts w:eastAsia="Times New Roman"/>
            </w:rPr>
            <w:t xml:space="preserve">  </w:t>
          </w:r>
          <w:r>
            <w:rPr>
              <w:rFonts w:eastAsia="Times New Roman"/>
              <w:b/>
              <w:bCs/>
              <w:sz w:val="18"/>
              <w:szCs w:val="18"/>
            </w:rPr>
            <w:t>Non-Investment Banking Compensation:</w:t>
          </w:r>
          <w:r>
            <w:rPr>
              <w:rFonts w:eastAsia="Times New Roman"/>
              <w:sz w:val="18"/>
              <w:szCs w:val="18"/>
            </w:rPr>
            <w:t xml:space="preserve"> J.P. Morgan has received compensation in the past 12 months for products or services other than investment banking from Laird, Cadence Design Systems, EnQuest, Havas, Jupiter, Mediobanca, Pirelli &amp; C. SpA, Quintain Estates &amp; Development, Techtronic Industries, WorleyParsons Limited.</w:t>
          </w:r>
        </w:p>
        <w:p w:rsidR="00991DB2" w:rsidRDefault="00991DB2">
          <w:pPr>
            <w:divId w:val="1016464105"/>
            <w:rPr>
              <w:rFonts w:eastAsia="Times New Roman"/>
            </w:rPr>
          </w:pPr>
          <w:r>
            <w:rPr>
              <w:rFonts w:eastAsia="Times New Roman" w:hAnsi="Symbol"/>
            </w:rPr>
            <w:t></w:t>
          </w:r>
          <w:r>
            <w:rPr>
              <w:rFonts w:eastAsia="Times New Roman"/>
            </w:rPr>
            <w:t xml:space="preserve">  </w:t>
          </w:r>
          <w:r>
            <w:rPr>
              <w:rFonts w:eastAsia="Times New Roman"/>
              <w:b/>
              <w:bCs/>
              <w:sz w:val="18"/>
              <w:szCs w:val="18"/>
            </w:rPr>
            <w:t>Broker:</w:t>
          </w:r>
          <w:r>
            <w:rPr>
              <w:rFonts w:eastAsia="Times New Roman"/>
              <w:sz w:val="18"/>
              <w:szCs w:val="18"/>
            </w:rPr>
            <w:t xml:space="preserve"> J.P. Morgan Securities plc acts as Corporate Broker to Laird, Cape, Cineworld, EnQuest, Gem Diamonds Ltd, Jupiter, Quintain Estates &amp; Development.</w:t>
          </w:r>
        </w:p>
        <w:p w:rsidR="00991DB2" w:rsidRDefault="00991DB2">
          <w:pPr>
            <w:divId w:val="1016464105"/>
            <w:rPr>
              <w:rFonts w:eastAsia="Times New Roman"/>
              <w:b/>
              <w:bCs/>
              <w:sz w:val="18"/>
              <w:szCs w:val="18"/>
            </w:rPr>
          </w:pPr>
          <w:r>
            <w:rPr>
              <w:rFonts w:eastAsia="Times New Roman" w:hAnsi="Symbol"/>
            </w:rPr>
            <w:lastRenderedPageBreak/>
            <w:t></w:t>
          </w:r>
          <w:r>
            <w:rPr>
              <w:rFonts w:eastAsia="Times New Roman"/>
            </w:rPr>
            <w:t xml:space="preserve">  </w:t>
          </w:r>
          <w:r>
            <w:rPr>
              <w:rFonts w:eastAsia="Times New Roman"/>
              <w:sz w:val="18"/>
              <w:szCs w:val="18"/>
            </w:rPr>
            <w:t>“J.P. Morgan is acting as corporate broker and sole Sponsor to Cineworld Group plc in its combination with Cinema City International as announced on 10th January 2013. J.P. Morgan currently does not have any recommendation on Cineworld Group plc. This report is not intended to serve as an endorsement of the proposed transaction [or to provide voting advice] or to result in or recommend any course of action by a security holder”</w:t>
          </w:r>
        </w:p>
        <w:p w:rsidR="00991DB2" w:rsidRDefault="00991DB2">
          <w:pPr>
            <w:divId w:val="533155862"/>
            <w:rPr>
              <w:rFonts w:eastAsia="Times New Roman"/>
              <w:b/>
              <w:bCs/>
              <w:sz w:val="12"/>
              <w:szCs w:val="12"/>
            </w:rPr>
          </w:pPr>
        </w:p>
        <w:p w:rsidR="00991DB2" w:rsidRDefault="00991DB2">
          <w:pPr>
            <w:divId w:val="1016464105"/>
            <w:rPr>
              <w:rFonts w:ascii="Arial" w:eastAsia="Times New Roman" w:hAnsi="Arial" w:cs="Arial"/>
              <w:sz w:val="18"/>
              <w:szCs w:val="18"/>
            </w:rPr>
          </w:pPr>
          <w:r>
            <w:rPr>
              <w:rFonts w:eastAsia="Times New Roman"/>
              <w:b/>
              <w:bCs/>
              <w:sz w:val="18"/>
              <w:szCs w:val="18"/>
            </w:rPr>
            <w:t xml:space="preserve">Company-Specific Disclosures: </w:t>
          </w:r>
          <w:r>
            <w:rPr>
              <w:rFonts w:eastAsia="Times New Roman"/>
              <w:sz w:val="18"/>
              <w:szCs w:val="18"/>
            </w:rPr>
            <w:t>Important disclosures, including price charts, are available for compendium reports and all J.P. Morgan–covered companies by visiting</w:t>
          </w:r>
          <w:r>
            <w:rPr>
              <w:rFonts w:eastAsia="Times New Roman"/>
              <w:b/>
              <w:bCs/>
              <w:sz w:val="18"/>
              <w:szCs w:val="18"/>
            </w:rPr>
            <w:t xml:space="preserve"> </w:t>
          </w:r>
          <w:hyperlink r:id="rId188" w:history="1">
            <w:r>
              <w:rPr>
                <w:rStyle w:val="Hyperlink"/>
                <w:rFonts w:eastAsia="Times New Roman"/>
                <w:sz w:val="18"/>
                <w:szCs w:val="18"/>
              </w:rPr>
              <w:t>https://jpmm.com/research/disclosures</w:t>
            </w:r>
          </w:hyperlink>
          <w:r>
            <w:rPr>
              <w:rFonts w:eastAsia="Times New Roman"/>
              <w:sz w:val="18"/>
              <w:szCs w:val="18"/>
            </w:rPr>
            <w:t xml:space="preserve">, calling 1-800-477-0406, or e-mailing </w:t>
          </w:r>
          <w:hyperlink r:id="rId189" w:history="1">
            <w:r>
              <w:rPr>
                <w:rStyle w:val="Hyperlink"/>
                <w:rFonts w:eastAsia="Times New Roman"/>
                <w:sz w:val="18"/>
                <w:szCs w:val="18"/>
              </w:rPr>
              <w:t>research.disclosure.inquiries@jpmorgan.com</w:t>
            </w:r>
          </w:hyperlink>
          <w:r>
            <w:rPr>
              <w:rFonts w:eastAsia="Times New Roman"/>
              <w:sz w:val="18"/>
              <w:szCs w:val="18"/>
            </w:rPr>
            <w:t xml:space="preserve"> with your request. J.P. Morgan’s Strategy, Technical, and Quantitative Research teams may screen companies not covered by J.P. Morgan. For important disclosures for these companies, please call 1-800-477-0406 or e-mail </w:t>
          </w:r>
          <w:hyperlink r:id="rId190" w:history="1">
            <w:r>
              <w:rPr>
                <w:rStyle w:val="Hyperlink"/>
                <w:rFonts w:eastAsia="Times New Roman"/>
                <w:sz w:val="18"/>
                <w:szCs w:val="18"/>
              </w:rPr>
              <w:t>research.disclosure.inquiries@jpmorgan.com</w:t>
            </w:r>
          </w:hyperlink>
          <w:r>
            <w:rPr>
              <w:rFonts w:eastAsia="Times New Roman"/>
              <w:sz w:val="18"/>
              <w:szCs w:val="18"/>
            </w:rPr>
            <w:t>.</w:t>
          </w:r>
        </w:p>
        <w:p w:rsidR="00991DB2" w:rsidRDefault="00991DB2">
          <w:pPr>
            <w:divId w:val="2023163877"/>
            <w:rPr>
              <w:rFonts w:eastAsia="Times New Roman"/>
              <w:sz w:val="12"/>
              <w:szCs w:val="12"/>
            </w:rPr>
          </w:pPr>
        </w:p>
        <w:p w:rsidR="00991DB2" w:rsidRDefault="00991DB2">
          <w:pPr>
            <w:divId w:val="1016464105"/>
            <w:rPr>
              <w:rFonts w:eastAsia="Times New Roman"/>
              <w:sz w:val="18"/>
              <w:szCs w:val="18"/>
            </w:rPr>
          </w:pPr>
          <w:r>
            <w:rPr>
              <w:rFonts w:eastAsia="Times New Roman"/>
              <w:b/>
              <w:bCs/>
              <w:sz w:val="18"/>
              <w:szCs w:val="18"/>
            </w:rPr>
            <w:t xml:space="preserve">Explanation of Equity Research Ratings, Designations and Analyst(s) Coverage Universe: </w:t>
          </w:r>
          <w:r>
            <w:rPr>
              <w:rFonts w:eastAsia="Times New Roman"/>
              <w:b/>
              <w:bCs/>
              <w:sz w:val="18"/>
              <w:szCs w:val="18"/>
            </w:rPr>
            <w:br/>
          </w:r>
          <w:r>
            <w:rPr>
              <w:rFonts w:eastAsia="Times New Roman"/>
              <w:sz w:val="18"/>
              <w:szCs w:val="18"/>
            </w:rPr>
            <w:t xml:space="preserve">J.P. Morgan uses the following rating system: Overweight [Over the next six to twelve months, we expect this stock will outperform the average total return of the stocks in the analyst’s (or the analyst’s team’s) coverage universe.] Neutral [Over the next six to twelve months, we expect this stock will perform in line with the average total return of the stocks in the analyst’s (or the analyst’s team’s) coverage universe.] Underweight [Over the next six to twelve months, we expect this stock will underperform the average total return of the stocks in the analyst’s (or the analyst’s team’s) coverage universe.] Not Rated (NR): J.P. Morgan has removed the rating and, if applicable, the price target, for this stock because of either a lack of a sufficient fundamental basis or for legal, regulatory or policy reasons. The previous rating and, if applicable, the price target, no longer should be relied upon. An NR designation is not a recommendation or a rating. In our Asia (ex-Australia) and U.K. small- and mid-cap equity research, each stock’s expected total return is compared to the expected total return of a benchmark country market index, not to those analysts’ coverage universe. If it does not appear in the Important Disclosures section of this report, the certifying analyst’s coverage universe can be found on J.P. Morgan’s research website, www.jpmorganmarkets.com. </w:t>
          </w:r>
        </w:p>
        <w:p w:rsidR="00991DB2" w:rsidRDefault="00991DB2">
          <w:pPr>
            <w:divId w:val="1778326182"/>
            <w:rPr>
              <w:rFonts w:eastAsia="Times New Roman"/>
              <w:sz w:val="12"/>
              <w:szCs w:val="12"/>
            </w:rPr>
          </w:pPr>
        </w:p>
        <w:p w:rsidR="00991DB2" w:rsidRDefault="00991DB2" w:rsidP="00991DB2">
          <w:pPr>
            <w:keepNext/>
            <w:keepLines/>
            <w:spacing w:before="55" w:after="55"/>
            <w:ind w:left="55" w:right="55"/>
            <w:divId w:val="1016464105"/>
            <w:rPr>
              <w:b/>
              <w:bCs/>
              <w:sz w:val="18"/>
              <w:szCs w:val="18"/>
            </w:rPr>
          </w:pPr>
          <w:r>
            <w:rPr>
              <w:b/>
              <w:bCs/>
              <w:sz w:val="18"/>
              <w:szCs w:val="18"/>
            </w:rPr>
            <w:t>J.P. Morgan Equity Research Ratings Distribution, as of June 30, 2014</w:t>
          </w:r>
        </w:p>
        <w:tbl>
          <w:tblPr>
            <w:tblW w:w="3250" w:type="pct"/>
            <w:tblCellMar>
              <w:left w:w="0" w:type="dxa"/>
              <w:right w:w="0" w:type="dxa"/>
            </w:tblCellMar>
            <w:tblLook w:val="04A0"/>
          </w:tblPr>
          <w:tblGrid>
            <w:gridCol w:w="3762"/>
            <w:gridCol w:w="908"/>
            <w:gridCol w:w="908"/>
            <w:gridCol w:w="908"/>
          </w:tblGrid>
          <w:tr w:rsidR="00991DB2">
            <w:trPr>
              <w:divId w:val="1016464105"/>
            </w:trPr>
            <w:tc>
              <w:tcPr>
                <w:tcW w:w="2900" w:type="pct"/>
                <w:tcBorders>
                  <w:bottom w:val="single" w:sz="4" w:space="0" w:color="000000"/>
                </w:tcBorders>
                <w:hideMark/>
              </w:tcPr>
              <w:p w:rsidR="00991DB2" w:rsidRDefault="00991DB2" w:rsidP="00991DB2">
                <w:pPr>
                  <w:keepNext/>
                  <w:keepLines/>
                  <w:rPr>
                    <w:rFonts w:eastAsia="Times New Roman"/>
                  </w:rPr>
                </w:pPr>
              </w:p>
            </w:tc>
            <w:tc>
              <w:tcPr>
                <w:tcW w:w="700" w:type="pct"/>
                <w:tcBorders>
                  <w:bottom w:val="single" w:sz="4" w:space="0" w:color="000000"/>
                </w:tcBorders>
                <w:hideMark/>
              </w:tcPr>
              <w:p w:rsidR="00991DB2" w:rsidRDefault="00991DB2" w:rsidP="00991DB2">
                <w:pPr>
                  <w:keepNext/>
                  <w:keepLines/>
                  <w:spacing w:before="100" w:beforeAutospacing="1" w:after="100" w:afterAutospacing="1"/>
                  <w:rPr>
                    <w:rFonts w:eastAsiaTheme="minorEastAsia"/>
                    <w:sz w:val="16"/>
                    <w:szCs w:val="16"/>
                  </w:rPr>
                </w:pPr>
                <w:r>
                  <w:rPr>
                    <w:b/>
                    <w:bCs/>
                    <w:sz w:val="16"/>
                    <w:szCs w:val="16"/>
                  </w:rPr>
                  <w:t>Overweight</w:t>
                </w:r>
                <w:r>
                  <w:rPr>
                    <w:sz w:val="16"/>
                    <w:szCs w:val="16"/>
                  </w:rPr>
                  <w:br/>
                  <w:t>(buy)</w:t>
                </w:r>
              </w:p>
            </w:tc>
            <w:tc>
              <w:tcPr>
                <w:tcW w:w="700" w:type="pct"/>
                <w:tcBorders>
                  <w:bottom w:val="single" w:sz="4" w:space="0" w:color="000000"/>
                </w:tcBorders>
                <w:hideMark/>
              </w:tcPr>
              <w:p w:rsidR="00991DB2" w:rsidRDefault="00991DB2" w:rsidP="00991DB2">
                <w:pPr>
                  <w:keepNext/>
                  <w:keepLines/>
                  <w:spacing w:before="100" w:beforeAutospacing="1" w:after="100" w:afterAutospacing="1"/>
                  <w:rPr>
                    <w:rFonts w:eastAsiaTheme="minorEastAsia"/>
                    <w:sz w:val="16"/>
                    <w:szCs w:val="16"/>
                  </w:rPr>
                </w:pPr>
                <w:r>
                  <w:rPr>
                    <w:b/>
                    <w:bCs/>
                    <w:sz w:val="16"/>
                    <w:szCs w:val="16"/>
                  </w:rPr>
                  <w:t>Neutral</w:t>
                </w:r>
                <w:r>
                  <w:rPr>
                    <w:sz w:val="16"/>
                    <w:szCs w:val="16"/>
                  </w:rPr>
                  <w:br/>
                  <w:t>(hold)</w:t>
                </w:r>
              </w:p>
            </w:tc>
            <w:tc>
              <w:tcPr>
                <w:tcW w:w="700" w:type="pct"/>
                <w:tcBorders>
                  <w:bottom w:val="single" w:sz="4" w:space="0" w:color="000000"/>
                </w:tcBorders>
                <w:hideMark/>
              </w:tcPr>
              <w:p w:rsidR="00991DB2" w:rsidRDefault="00991DB2" w:rsidP="00991DB2">
                <w:pPr>
                  <w:keepNext/>
                  <w:keepLines/>
                  <w:spacing w:before="100" w:beforeAutospacing="1" w:after="100" w:afterAutospacing="1"/>
                  <w:rPr>
                    <w:rFonts w:eastAsiaTheme="minorEastAsia"/>
                    <w:sz w:val="16"/>
                    <w:szCs w:val="16"/>
                  </w:rPr>
                </w:pPr>
                <w:r>
                  <w:rPr>
                    <w:b/>
                    <w:bCs/>
                    <w:sz w:val="16"/>
                    <w:szCs w:val="16"/>
                  </w:rPr>
                  <w:t>Underweight</w:t>
                </w:r>
                <w:r>
                  <w:rPr>
                    <w:sz w:val="16"/>
                    <w:szCs w:val="16"/>
                  </w:rPr>
                  <w:br/>
                  <w:t>(sell)</w:t>
                </w:r>
              </w:p>
            </w:tc>
          </w:tr>
          <w:tr w:rsidR="00991DB2">
            <w:trPr>
              <w:divId w:val="1016464105"/>
            </w:trPr>
            <w:tc>
              <w:tcPr>
                <w:tcW w:w="0" w:type="auto"/>
                <w:tcBorders>
                  <w:top w:val="single" w:sz="4" w:space="0" w:color="000000"/>
                </w:tcBorders>
                <w:hideMark/>
              </w:tcPr>
              <w:p w:rsidR="00991DB2" w:rsidRDefault="00991DB2" w:rsidP="00991DB2">
                <w:pPr>
                  <w:keepNext/>
                  <w:keepLines/>
                  <w:spacing w:before="100" w:beforeAutospacing="1" w:after="100" w:afterAutospacing="1"/>
                  <w:ind w:left="78"/>
                  <w:rPr>
                    <w:rFonts w:eastAsiaTheme="minorEastAsia"/>
                    <w:sz w:val="16"/>
                    <w:szCs w:val="16"/>
                  </w:rPr>
                </w:pPr>
                <w:r>
                  <w:rPr>
                    <w:sz w:val="16"/>
                    <w:szCs w:val="16"/>
                  </w:rPr>
                  <w:t>J.P. Morgan Global Equity Research Coverage</w:t>
                </w:r>
              </w:p>
            </w:tc>
            <w:tc>
              <w:tcPr>
                <w:tcW w:w="0" w:type="auto"/>
                <w:tcBorders>
                  <w:top w:val="single" w:sz="4" w:space="0" w:color="000000"/>
                </w:tcBorders>
                <w:hideMark/>
              </w:tcPr>
              <w:p w:rsidR="00991DB2" w:rsidRDefault="00991DB2" w:rsidP="00991DB2">
                <w:pPr>
                  <w:keepNext/>
                  <w:keepLines/>
                  <w:spacing w:before="100" w:beforeAutospacing="1" w:after="100" w:afterAutospacing="1"/>
                  <w:rPr>
                    <w:rFonts w:eastAsiaTheme="minorEastAsia"/>
                    <w:sz w:val="16"/>
                    <w:szCs w:val="16"/>
                  </w:rPr>
                </w:pPr>
                <w:r>
                  <w:rPr>
                    <w:sz w:val="16"/>
                    <w:szCs w:val="16"/>
                  </w:rPr>
                  <w:t>45%</w:t>
                </w:r>
              </w:p>
            </w:tc>
            <w:tc>
              <w:tcPr>
                <w:tcW w:w="0" w:type="auto"/>
                <w:tcBorders>
                  <w:top w:val="single" w:sz="4" w:space="0" w:color="000000"/>
                </w:tcBorders>
                <w:hideMark/>
              </w:tcPr>
              <w:p w:rsidR="00991DB2" w:rsidRDefault="00991DB2" w:rsidP="00991DB2">
                <w:pPr>
                  <w:keepNext/>
                  <w:keepLines/>
                  <w:spacing w:before="100" w:beforeAutospacing="1" w:after="100" w:afterAutospacing="1"/>
                  <w:rPr>
                    <w:rFonts w:eastAsiaTheme="minorEastAsia"/>
                    <w:sz w:val="16"/>
                    <w:szCs w:val="16"/>
                  </w:rPr>
                </w:pPr>
                <w:r>
                  <w:rPr>
                    <w:sz w:val="16"/>
                    <w:szCs w:val="16"/>
                  </w:rPr>
                  <w:t>43%</w:t>
                </w:r>
              </w:p>
            </w:tc>
            <w:tc>
              <w:tcPr>
                <w:tcW w:w="0" w:type="auto"/>
                <w:tcBorders>
                  <w:top w:val="single" w:sz="4" w:space="0" w:color="000000"/>
                </w:tcBorders>
                <w:hideMark/>
              </w:tcPr>
              <w:p w:rsidR="00991DB2" w:rsidRDefault="00991DB2" w:rsidP="00991DB2">
                <w:pPr>
                  <w:keepNext/>
                  <w:keepLines/>
                  <w:spacing w:before="100" w:beforeAutospacing="1" w:after="100" w:afterAutospacing="1"/>
                  <w:rPr>
                    <w:rFonts w:eastAsiaTheme="minorEastAsia"/>
                    <w:sz w:val="16"/>
                    <w:szCs w:val="16"/>
                  </w:rPr>
                </w:pPr>
                <w:r>
                  <w:rPr>
                    <w:sz w:val="16"/>
                    <w:szCs w:val="16"/>
                  </w:rPr>
                  <w:t>11%</w:t>
                </w:r>
              </w:p>
            </w:tc>
          </w:tr>
          <w:tr w:rsidR="00991DB2">
            <w:trPr>
              <w:divId w:val="1016464105"/>
            </w:trPr>
            <w:tc>
              <w:tcPr>
                <w:tcW w:w="0" w:type="auto"/>
                <w:tcBorders>
                  <w:bottom w:val="single" w:sz="4" w:space="0" w:color="000000"/>
                </w:tcBorders>
                <w:hideMark/>
              </w:tcPr>
              <w:p w:rsidR="00991DB2" w:rsidRDefault="00991DB2" w:rsidP="00991DB2">
                <w:pPr>
                  <w:keepNext/>
                  <w:keepLines/>
                  <w:spacing w:before="100" w:beforeAutospacing="1" w:after="100" w:afterAutospacing="1"/>
                  <w:ind w:left="78"/>
                  <w:rPr>
                    <w:rFonts w:eastAsiaTheme="minorEastAsia"/>
                    <w:sz w:val="16"/>
                    <w:szCs w:val="16"/>
                  </w:rPr>
                </w:pPr>
                <w:r>
                  <w:rPr>
                    <w:sz w:val="16"/>
                    <w:szCs w:val="16"/>
                  </w:rPr>
                  <w:t>    IB clients*</w:t>
                </w:r>
              </w:p>
            </w:tc>
            <w:tc>
              <w:tcPr>
                <w:tcW w:w="0" w:type="auto"/>
                <w:tcBorders>
                  <w:bottom w:val="single" w:sz="4" w:space="0" w:color="000000"/>
                </w:tcBorders>
                <w:hideMark/>
              </w:tcPr>
              <w:p w:rsidR="00991DB2" w:rsidRDefault="00991DB2" w:rsidP="00991DB2">
                <w:pPr>
                  <w:keepNext/>
                  <w:keepLines/>
                  <w:spacing w:before="100" w:beforeAutospacing="1" w:after="100" w:afterAutospacing="1"/>
                  <w:rPr>
                    <w:rFonts w:eastAsiaTheme="minorEastAsia"/>
                    <w:sz w:val="16"/>
                    <w:szCs w:val="16"/>
                  </w:rPr>
                </w:pPr>
                <w:r>
                  <w:rPr>
                    <w:sz w:val="16"/>
                    <w:szCs w:val="16"/>
                  </w:rPr>
                  <w:t>55%</w:t>
                </w:r>
              </w:p>
            </w:tc>
            <w:tc>
              <w:tcPr>
                <w:tcW w:w="0" w:type="auto"/>
                <w:tcBorders>
                  <w:bottom w:val="single" w:sz="4" w:space="0" w:color="000000"/>
                </w:tcBorders>
                <w:hideMark/>
              </w:tcPr>
              <w:p w:rsidR="00991DB2" w:rsidRDefault="00991DB2" w:rsidP="00991DB2">
                <w:pPr>
                  <w:keepNext/>
                  <w:keepLines/>
                  <w:spacing w:before="100" w:beforeAutospacing="1" w:after="100" w:afterAutospacing="1"/>
                  <w:rPr>
                    <w:rFonts w:eastAsiaTheme="minorEastAsia"/>
                    <w:sz w:val="16"/>
                    <w:szCs w:val="16"/>
                  </w:rPr>
                </w:pPr>
                <w:r>
                  <w:rPr>
                    <w:sz w:val="16"/>
                    <w:szCs w:val="16"/>
                  </w:rPr>
                  <w:t>49%</w:t>
                </w:r>
              </w:p>
            </w:tc>
            <w:tc>
              <w:tcPr>
                <w:tcW w:w="0" w:type="auto"/>
                <w:tcBorders>
                  <w:bottom w:val="single" w:sz="4" w:space="0" w:color="000000"/>
                </w:tcBorders>
                <w:hideMark/>
              </w:tcPr>
              <w:p w:rsidR="00991DB2" w:rsidRDefault="00991DB2" w:rsidP="00991DB2">
                <w:pPr>
                  <w:keepNext/>
                  <w:keepLines/>
                  <w:spacing w:before="100" w:beforeAutospacing="1" w:after="100" w:afterAutospacing="1"/>
                  <w:rPr>
                    <w:rFonts w:eastAsiaTheme="minorEastAsia"/>
                    <w:sz w:val="16"/>
                    <w:szCs w:val="16"/>
                  </w:rPr>
                </w:pPr>
                <w:r>
                  <w:rPr>
                    <w:sz w:val="16"/>
                    <w:szCs w:val="16"/>
                  </w:rPr>
                  <w:t>34%</w:t>
                </w:r>
              </w:p>
            </w:tc>
          </w:tr>
          <w:tr w:rsidR="00991DB2">
            <w:trPr>
              <w:divId w:val="1016464105"/>
            </w:trPr>
            <w:tc>
              <w:tcPr>
                <w:tcW w:w="0" w:type="auto"/>
                <w:tcBorders>
                  <w:top w:val="single" w:sz="4" w:space="0" w:color="000000"/>
                </w:tcBorders>
                <w:hideMark/>
              </w:tcPr>
              <w:p w:rsidR="00991DB2" w:rsidRDefault="00991DB2" w:rsidP="00991DB2">
                <w:pPr>
                  <w:keepNext/>
                  <w:keepLines/>
                  <w:spacing w:before="100" w:beforeAutospacing="1" w:after="100" w:afterAutospacing="1"/>
                  <w:ind w:left="78"/>
                  <w:rPr>
                    <w:rFonts w:eastAsiaTheme="minorEastAsia"/>
                    <w:sz w:val="16"/>
                    <w:szCs w:val="16"/>
                  </w:rPr>
                </w:pPr>
                <w:r>
                  <w:rPr>
                    <w:sz w:val="16"/>
                    <w:szCs w:val="16"/>
                  </w:rPr>
                  <w:t>JPMS Equity Research Coverage</w:t>
                </w:r>
              </w:p>
            </w:tc>
            <w:tc>
              <w:tcPr>
                <w:tcW w:w="0" w:type="auto"/>
                <w:tcBorders>
                  <w:top w:val="single" w:sz="4" w:space="0" w:color="000000"/>
                </w:tcBorders>
                <w:hideMark/>
              </w:tcPr>
              <w:p w:rsidR="00991DB2" w:rsidRDefault="00991DB2" w:rsidP="00991DB2">
                <w:pPr>
                  <w:keepNext/>
                  <w:keepLines/>
                  <w:spacing w:before="100" w:beforeAutospacing="1" w:after="100" w:afterAutospacing="1"/>
                  <w:rPr>
                    <w:rFonts w:eastAsiaTheme="minorEastAsia"/>
                    <w:sz w:val="16"/>
                    <w:szCs w:val="16"/>
                  </w:rPr>
                </w:pPr>
                <w:r>
                  <w:rPr>
                    <w:sz w:val="16"/>
                    <w:szCs w:val="16"/>
                  </w:rPr>
                  <w:t>46%</w:t>
                </w:r>
              </w:p>
            </w:tc>
            <w:tc>
              <w:tcPr>
                <w:tcW w:w="0" w:type="auto"/>
                <w:tcBorders>
                  <w:top w:val="single" w:sz="4" w:space="0" w:color="000000"/>
                </w:tcBorders>
                <w:hideMark/>
              </w:tcPr>
              <w:p w:rsidR="00991DB2" w:rsidRDefault="00991DB2" w:rsidP="00991DB2">
                <w:pPr>
                  <w:keepNext/>
                  <w:keepLines/>
                  <w:spacing w:before="100" w:beforeAutospacing="1" w:after="100" w:afterAutospacing="1"/>
                  <w:rPr>
                    <w:rFonts w:eastAsiaTheme="minorEastAsia"/>
                    <w:sz w:val="16"/>
                    <w:szCs w:val="16"/>
                  </w:rPr>
                </w:pPr>
                <w:r>
                  <w:rPr>
                    <w:sz w:val="16"/>
                    <w:szCs w:val="16"/>
                  </w:rPr>
                  <w:t>47%</w:t>
                </w:r>
              </w:p>
            </w:tc>
            <w:tc>
              <w:tcPr>
                <w:tcW w:w="0" w:type="auto"/>
                <w:tcBorders>
                  <w:top w:val="single" w:sz="4" w:space="0" w:color="000000"/>
                </w:tcBorders>
                <w:hideMark/>
              </w:tcPr>
              <w:p w:rsidR="00991DB2" w:rsidRDefault="00991DB2" w:rsidP="00991DB2">
                <w:pPr>
                  <w:keepNext/>
                  <w:keepLines/>
                  <w:spacing w:before="100" w:beforeAutospacing="1" w:after="100" w:afterAutospacing="1"/>
                  <w:rPr>
                    <w:rFonts w:eastAsiaTheme="minorEastAsia"/>
                    <w:sz w:val="16"/>
                    <w:szCs w:val="16"/>
                  </w:rPr>
                </w:pPr>
                <w:r>
                  <w:rPr>
                    <w:sz w:val="16"/>
                    <w:szCs w:val="16"/>
                  </w:rPr>
                  <w:t>7%</w:t>
                </w:r>
              </w:p>
            </w:tc>
          </w:tr>
          <w:tr w:rsidR="00991DB2">
            <w:trPr>
              <w:divId w:val="1016464105"/>
            </w:trPr>
            <w:tc>
              <w:tcPr>
                <w:tcW w:w="0" w:type="auto"/>
                <w:tcBorders>
                  <w:bottom w:val="single" w:sz="4" w:space="0" w:color="000000"/>
                </w:tcBorders>
                <w:hideMark/>
              </w:tcPr>
              <w:p w:rsidR="00991DB2" w:rsidRDefault="00991DB2" w:rsidP="00991DB2">
                <w:pPr>
                  <w:keepNext/>
                  <w:keepLines/>
                  <w:spacing w:before="100" w:beforeAutospacing="1" w:after="100" w:afterAutospacing="1"/>
                  <w:ind w:left="78"/>
                  <w:rPr>
                    <w:rFonts w:eastAsiaTheme="minorEastAsia"/>
                    <w:sz w:val="16"/>
                    <w:szCs w:val="16"/>
                  </w:rPr>
                </w:pPr>
                <w:r>
                  <w:rPr>
                    <w:sz w:val="16"/>
                    <w:szCs w:val="16"/>
                  </w:rPr>
                  <w:t>    IB clients*</w:t>
                </w:r>
              </w:p>
            </w:tc>
            <w:tc>
              <w:tcPr>
                <w:tcW w:w="0" w:type="auto"/>
                <w:tcBorders>
                  <w:bottom w:val="single" w:sz="4" w:space="0" w:color="000000"/>
                </w:tcBorders>
                <w:hideMark/>
              </w:tcPr>
              <w:p w:rsidR="00991DB2" w:rsidRDefault="00991DB2" w:rsidP="00991DB2">
                <w:pPr>
                  <w:keepNext/>
                  <w:keepLines/>
                  <w:spacing w:before="100" w:beforeAutospacing="1" w:after="100" w:afterAutospacing="1"/>
                  <w:rPr>
                    <w:rFonts w:eastAsiaTheme="minorEastAsia"/>
                    <w:sz w:val="16"/>
                    <w:szCs w:val="16"/>
                  </w:rPr>
                </w:pPr>
                <w:r>
                  <w:rPr>
                    <w:sz w:val="16"/>
                    <w:szCs w:val="16"/>
                  </w:rPr>
                  <w:t>75%</w:t>
                </w:r>
              </w:p>
            </w:tc>
            <w:tc>
              <w:tcPr>
                <w:tcW w:w="0" w:type="auto"/>
                <w:tcBorders>
                  <w:bottom w:val="single" w:sz="4" w:space="0" w:color="000000"/>
                </w:tcBorders>
                <w:hideMark/>
              </w:tcPr>
              <w:p w:rsidR="00991DB2" w:rsidRDefault="00991DB2" w:rsidP="00991DB2">
                <w:pPr>
                  <w:keepNext/>
                  <w:keepLines/>
                  <w:spacing w:before="100" w:beforeAutospacing="1" w:after="100" w:afterAutospacing="1"/>
                  <w:rPr>
                    <w:rFonts w:eastAsiaTheme="minorEastAsia"/>
                    <w:sz w:val="16"/>
                    <w:szCs w:val="16"/>
                  </w:rPr>
                </w:pPr>
                <w:r>
                  <w:rPr>
                    <w:sz w:val="16"/>
                    <w:szCs w:val="16"/>
                  </w:rPr>
                  <w:t>66%</w:t>
                </w:r>
              </w:p>
            </w:tc>
            <w:tc>
              <w:tcPr>
                <w:tcW w:w="0" w:type="auto"/>
                <w:tcBorders>
                  <w:bottom w:val="single" w:sz="4" w:space="0" w:color="000000"/>
                </w:tcBorders>
                <w:hideMark/>
              </w:tcPr>
              <w:p w:rsidR="00991DB2" w:rsidRDefault="00991DB2" w:rsidP="00991DB2">
                <w:pPr>
                  <w:keepNext/>
                  <w:keepLines/>
                  <w:spacing w:before="100" w:beforeAutospacing="1" w:after="100" w:afterAutospacing="1"/>
                  <w:rPr>
                    <w:rFonts w:eastAsiaTheme="minorEastAsia"/>
                    <w:sz w:val="16"/>
                    <w:szCs w:val="16"/>
                  </w:rPr>
                </w:pPr>
                <w:r>
                  <w:rPr>
                    <w:sz w:val="16"/>
                    <w:szCs w:val="16"/>
                  </w:rPr>
                  <w:t>54%</w:t>
                </w:r>
              </w:p>
            </w:tc>
          </w:tr>
        </w:tbl>
        <w:p w:rsidR="00991DB2" w:rsidRDefault="00991DB2" w:rsidP="00991DB2">
          <w:pPr>
            <w:keepLines/>
            <w:spacing w:before="55" w:after="55"/>
            <w:ind w:left="55" w:right="55"/>
            <w:divId w:val="1016464105"/>
            <w:rPr>
              <w:rFonts w:eastAsiaTheme="minorEastAsia"/>
              <w:sz w:val="16"/>
              <w:szCs w:val="16"/>
            </w:rPr>
          </w:pPr>
          <w:r>
            <w:rPr>
              <w:sz w:val="16"/>
              <w:szCs w:val="16"/>
            </w:rPr>
            <w:t>*Percentage of investment banking clients in each rating category.</w:t>
          </w:r>
          <w:r>
            <w:rPr>
              <w:sz w:val="16"/>
              <w:szCs w:val="16"/>
            </w:rPr>
            <w:br/>
            <w:t>For purposes only of FINRA/NYSE ratings distribution rules, our Overweight rating falls into a buy rating category; our Neutral rating falls into a hold rating category; and our Underweight rating falls into a sell rating category. Please note that stocks with an NR designation are not included in the table above.</w:t>
          </w:r>
          <w:r>
            <w:rPr>
              <w:sz w:val="16"/>
              <w:szCs w:val="16"/>
            </w:rPr>
            <w:br/>
          </w:r>
        </w:p>
        <w:p w:rsidR="00991DB2" w:rsidRDefault="00991DB2">
          <w:pPr>
            <w:divId w:val="1413163641"/>
            <w:rPr>
              <w:rFonts w:eastAsia="Times New Roman"/>
              <w:sz w:val="12"/>
              <w:szCs w:val="12"/>
            </w:rPr>
          </w:pPr>
        </w:p>
        <w:p w:rsidR="00991DB2" w:rsidRDefault="00991DB2">
          <w:pPr>
            <w:divId w:val="1016464105"/>
            <w:rPr>
              <w:rFonts w:eastAsia="Times New Roman"/>
              <w:sz w:val="18"/>
              <w:szCs w:val="18"/>
            </w:rPr>
          </w:pPr>
          <w:r>
            <w:rPr>
              <w:rFonts w:eastAsia="Times New Roman"/>
              <w:b/>
              <w:bCs/>
              <w:sz w:val="18"/>
              <w:szCs w:val="18"/>
            </w:rPr>
            <w:t xml:space="preserve">Equity Valuation and Risks: </w:t>
          </w:r>
          <w:r>
            <w:rPr>
              <w:rFonts w:eastAsia="Times New Roman"/>
              <w:sz w:val="18"/>
              <w:szCs w:val="18"/>
            </w:rPr>
            <w:t xml:space="preserve">For valuation methodology and risks associated with covered companies or price targets for covered companies, please see the most recent company-specific research report at </w:t>
          </w:r>
          <w:hyperlink r:id="rId191" w:history="1">
            <w:r>
              <w:rPr>
                <w:rStyle w:val="Hyperlink"/>
                <w:rFonts w:eastAsia="Times New Roman"/>
                <w:sz w:val="18"/>
                <w:szCs w:val="18"/>
              </w:rPr>
              <w:t>http://www.jpmorganmarkets.com</w:t>
            </w:r>
          </w:hyperlink>
          <w:r>
            <w:rPr>
              <w:rFonts w:eastAsia="Times New Roman"/>
              <w:sz w:val="18"/>
              <w:szCs w:val="18"/>
            </w:rPr>
            <w:t xml:space="preserve">, contact the primary analyst or your J.P. Morgan representative, or email </w:t>
          </w:r>
          <w:hyperlink r:id="rId192" w:history="1">
            <w:r>
              <w:rPr>
                <w:rStyle w:val="Hyperlink"/>
                <w:rFonts w:eastAsia="Times New Roman"/>
                <w:sz w:val="18"/>
                <w:szCs w:val="18"/>
              </w:rPr>
              <w:t>research.disclosure.inquiries@jpmorgan.com</w:t>
            </w:r>
          </w:hyperlink>
          <w:r>
            <w:rPr>
              <w:rFonts w:eastAsia="Times New Roman"/>
              <w:sz w:val="18"/>
              <w:szCs w:val="18"/>
            </w:rPr>
            <w:t>.</w:t>
          </w:r>
        </w:p>
        <w:p w:rsidR="00991DB2" w:rsidRDefault="00991DB2">
          <w:pPr>
            <w:divId w:val="64232806"/>
            <w:rPr>
              <w:rFonts w:eastAsia="Times New Roman"/>
              <w:sz w:val="12"/>
              <w:szCs w:val="12"/>
            </w:rPr>
          </w:pPr>
        </w:p>
        <w:p w:rsidR="00991DB2" w:rsidRDefault="00991DB2">
          <w:pPr>
            <w:divId w:val="1016464105"/>
            <w:rPr>
              <w:rFonts w:eastAsia="Times New Roman"/>
              <w:sz w:val="18"/>
              <w:szCs w:val="18"/>
            </w:rPr>
          </w:pPr>
          <w:r>
            <w:rPr>
              <w:rFonts w:eastAsia="Times New Roman"/>
              <w:b/>
              <w:bCs/>
              <w:sz w:val="18"/>
              <w:szCs w:val="18"/>
            </w:rPr>
            <w:t>Equity Analysts' Compensation:</w:t>
          </w:r>
          <w:r>
            <w:rPr>
              <w:rFonts w:ascii="Arial" w:eastAsia="Times New Roman" w:hAnsi="Arial" w:cs="Arial"/>
              <w:sz w:val="16"/>
              <w:szCs w:val="16"/>
            </w:rPr>
            <w:t xml:space="preserve"> </w:t>
          </w:r>
          <w:r>
            <w:rPr>
              <w:rFonts w:eastAsia="Times New Roman"/>
              <w:sz w:val="18"/>
              <w:szCs w:val="18"/>
            </w:rPr>
            <w:t xml:space="preserve">The equity research analysts responsible for the preparation of this report receive compensation based upon various factors, including the quality and accuracy of research, client feedback, competitive factors, and overall firm revenues. </w:t>
          </w:r>
        </w:p>
        <w:p w:rsidR="00991DB2" w:rsidRDefault="00991DB2">
          <w:pPr>
            <w:divId w:val="1836914411"/>
            <w:rPr>
              <w:rFonts w:eastAsia="Times New Roman"/>
              <w:sz w:val="12"/>
              <w:szCs w:val="12"/>
            </w:rPr>
          </w:pPr>
        </w:p>
        <w:p w:rsidR="00991DB2" w:rsidRDefault="00991DB2">
          <w:pPr>
            <w:divId w:val="1016464105"/>
            <w:rPr>
              <w:rFonts w:eastAsia="Times New Roman"/>
              <w:sz w:val="20"/>
              <w:szCs w:val="20"/>
            </w:rPr>
          </w:pPr>
          <w:r>
            <w:rPr>
              <w:rFonts w:eastAsia="Times New Roman"/>
              <w:b/>
              <w:bCs/>
              <w:sz w:val="18"/>
              <w:szCs w:val="18"/>
            </w:rPr>
            <w:t xml:space="preserve">Registration of non-US Analysts: </w:t>
          </w:r>
          <w:r>
            <w:rPr>
              <w:rFonts w:eastAsia="Times New Roman"/>
              <w:sz w:val="18"/>
              <w:szCs w:val="18"/>
            </w:rPr>
            <w:t>Unless otherwise noted, the non-US analysts listed on the front of this report are employees of non-US affiliates of JPMS, are not registered/qualified as research analysts under NASD/NYSE rules, may not be associated persons of JPMS, and may not be subject to FINRA Rule 2711 and NYSE Rule 472 restrictions on communications with covered companies, public appearances, and trading securities held by a research analyst account.</w:t>
          </w:r>
        </w:p>
        <w:p w:rsidR="00991DB2" w:rsidRDefault="00991DB2">
          <w:pPr>
            <w:divId w:val="988941024"/>
            <w:rPr>
              <w:rFonts w:eastAsia="Times New Roman"/>
              <w:sz w:val="12"/>
              <w:szCs w:val="12"/>
            </w:rPr>
          </w:pPr>
        </w:p>
        <w:p w:rsidR="00991DB2" w:rsidRDefault="00991DB2" w:rsidP="00991DB2">
          <w:pPr>
            <w:divId w:val="1016464105"/>
            <w:rPr>
              <w:rFonts w:eastAsia="Times New Roman"/>
              <w:sz w:val="20"/>
              <w:szCs w:val="20"/>
            </w:rPr>
          </w:pPr>
          <w:r>
            <w:rPr>
              <w:rFonts w:eastAsia="Times New Roman"/>
              <w:b/>
              <w:bCs/>
              <w:sz w:val="20"/>
              <w:szCs w:val="20"/>
            </w:rPr>
            <w:t xml:space="preserve">Other Disclosures </w:t>
          </w:r>
        </w:p>
        <w:p w:rsidR="00991DB2" w:rsidRDefault="00991DB2" w:rsidP="00991DB2">
          <w:pPr>
            <w:spacing w:line="100" w:lineRule="auto"/>
            <w:divId w:val="1016464105"/>
            <w:rPr>
              <w:rFonts w:eastAsia="Times New Roman"/>
              <w:sz w:val="20"/>
              <w:szCs w:val="20"/>
            </w:rPr>
          </w:pPr>
          <w:r>
            <w:rPr>
              <w:rFonts w:eastAsia="Times New Roman"/>
              <w:sz w:val="20"/>
              <w:szCs w:val="20"/>
            </w:rPr>
            <w:pict>
              <v:rect id="_x0000_i1032" style="width:0;height:.55pt" o:hralign="center" o:hrstd="t" o:hrnoshade="t" o:hr="t" fillcolor="black" stroked="f"/>
            </w:pict>
          </w:r>
        </w:p>
        <w:p w:rsidR="00991DB2" w:rsidRDefault="00991DB2" w:rsidP="00991DB2">
          <w:pPr>
            <w:divId w:val="1016464105"/>
            <w:rPr>
              <w:rFonts w:eastAsia="Times New Roman"/>
              <w:sz w:val="16"/>
              <w:szCs w:val="16"/>
            </w:rPr>
          </w:pPr>
          <w:r>
            <w:rPr>
              <w:rFonts w:eastAsia="Times New Roman"/>
              <w:sz w:val="16"/>
              <w:szCs w:val="16"/>
            </w:rPr>
            <w:t xml:space="preserve">J.P. Morgan ("JPM") is the global brand name for J.P. Morgan Securities LLC ("JPMS") and its affiliates worldwide. J.P. Morgan Cazenove is a marketing name for the U.K. investment banking businesses and EMEA cash equities and equity research businesses of JPMorgan Chase &amp; Co. and its subsidiaries. </w:t>
          </w:r>
        </w:p>
        <w:p w:rsidR="00991DB2" w:rsidRDefault="00991DB2">
          <w:pPr>
            <w:divId w:val="974260943"/>
            <w:rPr>
              <w:rFonts w:eastAsia="Times New Roman"/>
              <w:sz w:val="12"/>
              <w:szCs w:val="12"/>
            </w:rPr>
          </w:pPr>
        </w:p>
        <w:p w:rsidR="00991DB2" w:rsidRDefault="00991DB2">
          <w:pPr>
            <w:divId w:val="1016464105"/>
            <w:rPr>
              <w:rFonts w:eastAsia="Times New Roman"/>
              <w:sz w:val="16"/>
              <w:szCs w:val="16"/>
            </w:rPr>
          </w:pPr>
          <w:r>
            <w:rPr>
              <w:rFonts w:eastAsia="Times New Roman"/>
              <w:sz w:val="16"/>
              <w:szCs w:val="16"/>
            </w:rPr>
            <w:t>All research reports made available to clients are simultaneously available on our client website, J.P. Morgan Markets. Not all research content is redistributed, e-mailed or made available to third-party aggregators. For all research reports available on a particular stock, please contact your sales representative.</w:t>
          </w:r>
        </w:p>
        <w:p w:rsidR="00991DB2" w:rsidRDefault="00991DB2">
          <w:pPr>
            <w:divId w:val="1162965874"/>
            <w:rPr>
              <w:rFonts w:eastAsia="Times New Roman"/>
              <w:sz w:val="12"/>
              <w:szCs w:val="12"/>
            </w:rPr>
          </w:pPr>
        </w:p>
        <w:p w:rsidR="00991DB2" w:rsidRDefault="00991DB2">
          <w:pPr>
            <w:divId w:val="2061049056"/>
            <w:rPr>
              <w:rFonts w:eastAsia="Times New Roman"/>
              <w:sz w:val="12"/>
              <w:szCs w:val="12"/>
            </w:rPr>
          </w:pPr>
        </w:p>
        <w:p w:rsidR="00991DB2" w:rsidRDefault="00991DB2">
          <w:pPr>
            <w:divId w:val="1016464105"/>
            <w:rPr>
              <w:rFonts w:eastAsia="Times New Roman"/>
              <w:sz w:val="16"/>
              <w:szCs w:val="16"/>
            </w:rPr>
          </w:pPr>
          <w:r>
            <w:rPr>
              <w:rFonts w:eastAsia="Times New Roman"/>
              <w:b/>
              <w:bCs/>
              <w:sz w:val="16"/>
              <w:szCs w:val="16"/>
            </w:rPr>
            <w:t>Options related research:</w:t>
          </w:r>
          <w:r>
            <w:rPr>
              <w:rFonts w:eastAsia="Times New Roman"/>
              <w:sz w:val="16"/>
              <w:szCs w:val="16"/>
            </w:rPr>
            <w:t xml:space="preserve"> If the information contained herein regards options related research, such information is available only to persons who have received the proper option risk disclosure documents. For a copy of the Option Clearing Corporation's Characteristics and Risks of Standardized Options, please contact your J.P. Morgan Representative or visit the OCC's website at </w:t>
          </w:r>
          <w:hyperlink r:id="rId193" w:history="1">
            <w:r>
              <w:rPr>
                <w:rStyle w:val="Hyperlink"/>
                <w:rFonts w:eastAsia="Times New Roman"/>
                <w:sz w:val="16"/>
                <w:szCs w:val="16"/>
              </w:rPr>
              <w:t xml:space="preserve">http://www.optionsclearing.com/publications/risks/riskstoc.pdf </w:t>
            </w:r>
          </w:hyperlink>
        </w:p>
        <w:p w:rsidR="00991DB2" w:rsidRDefault="00991DB2">
          <w:pPr>
            <w:divId w:val="1301378789"/>
            <w:rPr>
              <w:rFonts w:eastAsia="Times New Roman"/>
              <w:sz w:val="12"/>
              <w:szCs w:val="12"/>
            </w:rPr>
          </w:pPr>
        </w:p>
        <w:p w:rsidR="00991DB2" w:rsidRDefault="00991DB2">
          <w:pPr>
            <w:divId w:val="1016464105"/>
            <w:rPr>
              <w:rFonts w:eastAsia="Times New Roman"/>
              <w:b/>
              <w:bCs/>
              <w:sz w:val="16"/>
              <w:szCs w:val="16"/>
            </w:rPr>
          </w:pPr>
          <w:r>
            <w:rPr>
              <w:rFonts w:eastAsia="Times New Roman"/>
              <w:b/>
              <w:bCs/>
              <w:sz w:val="16"/>
              <w:szCs w:val="16"/>
            </w:rPr>
            <w:t xml:space="preserve">Legal Entities Disclosures </w:t>
          </w:r>
          <w:r>
            <w:rPr>
              <w:rFonts w:eastAsia="Times New Roman"/>
              <w:b/>
              <w:bCs/>
              <w:sz w:val="16"/>
              <w:szCs w:val="16"/>
            </w:rPr>
            <w:br/>
            <w:t>U.S</w:t>
          </w:r>
          <w:r>
            <w:rPr>
              <w:rFonts w:eastAsia="Times New Roman"/>
              <w:sz w:val="16"/>
              <w:szCs w:val="16"/>
            </w:rPr>
            <w:t xml:space="preserve">.: JPMS is a member of NYSE, FINRA, SIPC and the NFA. JPMorgan Chase Bank, N.A. is a member of FDIC. </w:t>
          </w:r>
          <w:r>
            <w:rPr>
              <w:rFonts w:eastAsia="Times New Roman"/>
              <w:b/>
              <w:bCs/>
              <w:sz w:val="16"/>
              <w:szCs w:val="16"/>
            </w:rPr>
            <w:t>U.K</w:t>
          </w:r>
          <w:r>
            <w:rPr>
              <w:rFonts w:eastAsia="Times New Roman"/>
              <w:sz w:val="16"/>
              <w:szCs w:val="16"/>
            </w:rPr>
            <w:t xml:space="preserve">.: JPMorgan Chase N.A., London </w:t>
          </w:r>
          <w:r>
            <w:rPr>
              <w:rFonts w:eastAsia="Times New Roman"/>
              <w:sz w:val="16"/>
              <w:szCs w:val="16"/>
            </w:rPr>
            <w:lastRenderedPageBreak/>
            <w:t xml:space="preserve">Branch, is authorised by the Prudential Regulation Authority and is subject to regulation by the Financial Conduct Authority and to limited regulation by the Prudential Regulation Authority. Details about the extent of our regulation by the Prudential Regulation Authority are available from J.P. Morgan on request. J.P. Morgan Securities plc (JPMS plc) is a member of the London Stock Exchange and is authorised by the Prudential Regulation Authority and regulated by the Financial Conduct Authority and the Prudential Regulation Authority. Registered in England &amp; Wales No. 2711006. Registered Office 25 Bank Street, London, E14 5JP. </w:t>
          </w:r>
          <w:r>
            <w:rPr>
              <w:rFonts w:eastAsia="Times New Roman"/>
              <w:b/>
              <w:bCs/>
              <w:sz w:val="16"/>
              <w:szCs w:val="16"/>
            </w:rPr>
            <w:t>South Africa</w:t>
          </w:r>
          <w:r>
            <w:rPr>
              <w:rFonts w:eastAsia="Times New Roman"/>
              <w:sz w:val="16"/>
              <w:szCs w:val="16"/>
            </w:rPr>
            <w:t xml:space="preserve">: J.P. Morgan Equities South Africa Proprietary Limited is a member of the Johannesburg Securities Exchange and is regulated by the Financial Services Board. </w:t>
          </w:r>
          <w:r>
            <w:rPr>
              <w:rFonts w:eastAsia="Times New Roman"/>
              <w:b/>
              <w:bCs/>
              <w:sz w:val="16"/>
              <w:szCs w:val="16"/>
            </w:rPr>
            <w:t>Hong Kong</w:t>
          </w:r>
          <w:r>
            <w:rPr>
              <w:rFonts w:eastAsia="Times New Roman"/>
              <w:sz w:val="16"/>
              <w:szCs w:val="16"/>
            </w:rPr>
            <w:t xml:space="preserve">: J.P. Morgan Securities (Asia Pacific) Limited (CE number AAJ321) is regulated by the Hong Kong Monetary Authority and the Securities and Futures Commission in Hong Kong and/or J.P. Morgan Broking (Hong Kong) Limited (CE number AAB027) is regulated by the Securities and Futures Commission in Hong Kong. </w:t>
          </w:r>
          <w:r>
            <w:rPr>
              <w:rFonts w:eastAsia="Times New Roman"/>
              <w:b/>
              <w:bCs/>
              <w:sz w:val="16"/>
              <w:szCs w:val="16"/>
            </w:rPr>
            <w:t>Korea</w:t>
          </w:r>
          <w:r>
            <w:rPr>
              <w:rFonts w:eastAsia="Times New Roman"/>
              <w:sz w:val="16"/>
              <w:szCs w:val="16"/>
            </w:rPr>
            <w:t xml:space="preserve">: J.P. Morgan Securities (Far East) Ltd, Seoul Branch, is regulated by the Korea Financial Supervisory Service. </w:t>
          </w:r>
          <w:r>
            <w:rPr>
              <w:rFonts w:eastAsia="Times New Roman"/>
              <w:b/>
              <w:bCs/>
              <w:sz w:val="16"/>
              <w:szCs w:val="16"/>
            </w:rPr>
            <w:t>Australia</w:t>
          </w:r>
          <w:r>
            <w:rPr>
              <w:rFonts w:eastAsia="Times New Roman"/>
              <w:sz w:val="16"/>
              <w:szCs w:val="16"/>
            </w:rPr>
            <w:t xml:space="preserve">: J.P. Morgan Australia Limited (JPMAL) (ABN 52 002 888 011/AFS Licence No: 238188) is regulated by ASIC and J.P. Morgan Securities Australia Limited (JPMSAL) (ABN 61 003 245 234/AFS Licence No: 238066) is regulated by ASIC and is a Market, Clearing and Settlement Participant of ASX Limited and CHI-X. </w:t>
          </w:r>
          <w:r>
            <w:rPr>
              <w:rFonts w:eastAsia="Times New Roman"/>
              <w:b/>
              <w:bCs/>
              <w:sz w:val="16"/>
              <w:szCs w:val="16"/>
            </w:rPr>
            <w:t>Taiwan</w:t>
          </w:r>
          <w:r>
            <w:rPr>
              <w:rFonts w:eastAsia="Times New Roman"/>
              <w:sz w:val="16"/>
              <w:szCs w:val="16"/>
            </w:rPr>
            <w:t xml:space="preserve">: J.P.Morgan Securities (Taiwan) Limited is a participant of the Taiwan Stock Exchange (company-type) and regulated by the Taiwan Securities and Futures Bureau. </w:t>
          </w:r>
          <w:r>
            <w:rPr>
              <w:rFonts w:eastAsia="Times New Roman"/>
              <w:b/>
              <w:bCs/>
              <w:sz w:val="16"/>
              <w:szCs w:val="16"/>
            </w:rPr>
            <w:t xml:space="preserve">India: </w:t>
          </w:r>
          <w:r>
            <w:rPr>
              <w:rFonts w:eastAsia="Times New Roman"/>
              <w:sz w:val="16"/>
              <w:szCs w:val="16"/>
            </w:rPr>
            <w:t xml:space="preserve">J.P. Morgan India Private Limited (Corporate Identity Number - U67120MH1992FTC068724), having its registered office at J.P. Morgan Tower, Off. C.S.T. Road, Kalina, Santacruz - East, Mumbai – 400098, is a member of the National Stock Exchange of India Limited (SEBI Registration Number - INB 230675231/INF 230675231/INE 230675231) and Bombay Stock Exchange Limited (SEBI Registration Number - INB 010675237/INF 010675237) and is regulated by Securities and Exchange Board of India. Telephone: 91-22-6157 3000, Facsimile: 91-22-6157 3990 and Website: </w:t>
          </w:r>
          <w:hyperlink r:id="rId194" w:history="1">
            <w:r>
              <w:rPr>
                <w:rStyle w:val="Hyperlink"/>
                <w:rFonts w:eastAsia="Times New Roman"/>
                <w:sz w:val="16"/>
                <w:szCs w:val="16"/>
              </w:rPr>
              <w:t>www.jpmipl.com</w:t>
            </w:r>
          </w:hyperlink>
          <w:r>
            <w:rPr>
              <w:rFonts w:eastAsia="Times New Roman"/>
              <w:sz w:val="16"/>
              <w:szCs w:val="16"/>
            </w:rPr>
            <w:t xml:space="preserve">. For non local research reports, this material is not distributed in India by J.P. Morgan India Private Limited. </w:t>
          </w:r>
          <w:r>
            <w:rPr>
              <w:rFonts w:eastAsia="Times New Roman"/>
              <w:b/>
              <w:bCs/>
              <w:sz w:val="16"/>
              <w:szCs w:val="16"/>
            </w:rPr>
            <w:t>Thailand</w:t>
          </w:r>
          <w:r>
            <w:rPr>
              <w:rFonts w:eastAsia="Times New Roman"/>
              <w:sz w:val="16"/>
              <w:szCs w:val="16"/>
            </w:rPr>
            <w:t xml:space="preserve">: This material is issued and distributed in Thailand by JPMorgan Securities (Thailand) Ltd., which is a member of the Stock Exchange of Thailand and is regulated by the Ministry of Finance and the Securities and Exchange Commission and its registered address is 3rd Floor, 20 North Sathorn Road, Silom, Bangrak, Bangkok 10500. </w:t>
          </w:r>
          <w:r>
            <w:rPr>
              <w:rFonts w:eastAsia="Times New Roman"/>
              <w:b/>
              <w:bCs/>
              <w:sz w:val="16"/>
              <w:szCs w:val="16"/>
            </w:rPr>
            <w:t>Indonesia</w:t>
          </w:r>
          <w:r>
            <w:rPr>
              <w:rFonts w:eastAsia="Times New Roman"/>
              <w:sz w:val="16"/>
              <w:szCs w:val="16"/>
            </w:rPr>
            <w:t xml:space="preserve">: PT J.P. Morgan Securities Indonesia is a member of the Indonesia Stock Exchange and is regulated by the OJK a.k.a. BAPEPAM LK. </w:t>
          </w:r>
          <w:r>
            <w:rPr>
              <w:rFonts w:eastAsia="Times New Roman"/>
              <w:b/>
              <w:bCs/>
              <w:sz w:val="16"/>
              <w:szCs w:val="16"/>
            </w:rPr>
            <w:t>Philippines</w:t>
          </w:r>
          <w:r>
            <w:rPr>
              <w:rFonts w:eastAsia="Times New Roman"/>
              <w:sz w:val="16"/>
              <w:szCs w:val="16"/>
            </w:rPr>
            <w:t xml:space="preserve">: J.P. Morgan Securities Philippines Inc. is a Trading Participant of the Philippine Stock Exchange and a member of the Securities Clearing Corporation of the Philippines and the Securities Investor Protection Fund. It is regulated by the Securities and Exchange Commission. </w:t>
          </w:r>
          <w:r>
            <w:rPr>
              <w:rFonts w:eastAsia="Times New Roman"/>
              <w:b/>
              <w:bCs/>
              <w:sz w:val="16"/>
              <w:szCs w:val="16"/>
            </w:rPr>
            <w:t>Brazil</w:t>
          </w:r>
          <w:r>
            <w:rPr>
              <w:rFonts w:eastAsia="Times New Roman"/>
              <w:sz w:val="16"/>
              <w:szCs w:val="16"/>
            </w:rPr>
            <w:t xml:space="preserve">: Banco J.P. Morgan S.A. is regulated by the Comissao de Valores Mobiliarios (CVM) and by the Central Bank of Brazil. </w:t>
          </w:r>
          <w:r>
            <w:rPr>
              <w:rFonts w:eastAsia="Times New Roman"/>
              <w:b/>
              <w:bCs/>
              <w:sz w:val="16"/>
              <w:szCs w:val="16"/>
            </w:rPr>
            <w:t>Mexico</w:t>
          </w:r>
          <w:r>
            <w:rPr>
              <w:rFonts w:eastAsia="Times New Roman"/>
              <w:sz w:val="16"/>
              <w:szCs w:val="16"/>
            </w:rPr>
            <w:t xml:space="preserve">: J.P. Morgan Casa de Bolsa, S.A. de C.V., J.P. Morgan Grupo Financiero is a member of the Mexican Stock Exchange and authorized to act as a broker dealer by the National Banking and Securities Exchange Commission. </w:t>
          </w:r>
          <w:r>
            <w:rPr>
              <w:rFonts w:eastAsia="Times New Roman"/>
              <w:b/>
              <w:bCs/>
              <w:sz w:val="16"/>
              <w:szCs w:val="16"/>
            </w:rPr>
            <w:t>Singapore</w:t>
          </w:r>
          <w:r>
            <w:rPr>
              <w:rFonts w:eastAsia="Times New Roman"/>
              <w:sz w:val="16"/>
              <w:szCs w:val="16"/>
            </w:rPr>
            <w:t xml:space="preserve">: This material is issued and distributed in Singapore by or through J.P. Morgan Securities Singapore Private Limited (JPMSS) [MCI (P) 199/03/2014 and Co. Reg. No.: 199405335R] which is a member of the Singapore Exchange Securities Trading Limited and is regulated by the Monetary Authority of Singapore (MAS) and/or JPMorgan Chase Bank, N.A., Singapore branch (JPMCB Singapore) which is regulated by the MAS. This material is provided in Singapore only to accredited investors, expert investors and institutional investors, as defined in Section 4A of the Securities and Futures Act, Cap. 289. Recipients of this document are to contact JPMSS or JPMCB Singapore in respect of any matters arising from, or in connection with, the document. </w:t>
          </w:r>
          <w:r>
            <w:rPr>
              <w:rFonts w:eastAsia="Times New Roman"/>
              <w:b/>
              <w:bCs/>
              <w:sz w:val="16"/>
              <w:szCs w:val="16"/>
            </w:rPr>
            <w:t>Japan</w:t>
          </w:r>
          <w:r>
            <w:rPr>
              <w:rFonts w:eastAsia="Times New Roman"/>
              <w:sz w:val="16"/>
              <w:szCs w:val="16"/>
            </w:rPr>
            <w:t xml:space="preserve">: JPMorgan Securities Japan Co., Ltd. is regulated by the Financial Services Agency in Japan. </w:t>
          </w:r>
          <w:r>
            <w:rPr>
              <w:rFonts w:eastAsia="Times New Roman"/>
              <w:b/>
              <w:bCs/>
              <w:sz w:val="16"/>
              <w:szCs w:val="16"/>
            </w:rPr>
            <w:t>Malaysia</w:t>
          </w:r>
          <w:r>
            <w:rPr>
              <w:rFonts w:eastAsia="Times New Roman"/>
              <w:sz w:val="16"/>
              <w:szCs w:val="16"/>
            </w:rPr>
            <w:t xml:space="preserve">: This material is issued and distributed in Malaysia by JPMorgan Securities (Malaysia) Sdn Bhd (18146-X) which is a Participating Organization of Bursa Malaysia Berhad and a holder of Capital Markets Services License issued by the Securities Commission in Malaysia. </w:t>
          </w:r>
          <w:r>
            <w:rPr>
              <w:rFonts w:eastAsia="Times New Roman"/>
              <w:b/>
              <w:bCs/>
              <w:sz w:val="16"/>
              <w:szCs w:val="16"/>
            </w:rPr>
            <w:t>Pakistan</w:t>
          </w:r>
          <w:r>
            <w:rPr>
              <w:rFonts w:eastAsia="Times New Roman"/>
              <w:sz w:val="16"/>
              <w:szCs w:val="16"/>
            </w:rPr>
            <w:t xml:space="preserve">: J. P. Morgan Pakistan Broking (Pvt.) Ltd is a member of the Karachi Stock Exchange and regulated by the Securities and Exchange Commission of Pakistan. </w:t>
          </w:r>
          <w:r>
            <w:rPr>
              <w:rFonts w:eastAsia="Times New Roman"/>
              <w:b/>
              <w:bCs/>
              <w:sz w:val="16"/>
              <w:szCs w:val="16"/>
            </w:rPr>
            <w:t>Saudi Arabia</w:t>
          </w:r>
          <w:r>
            <w:rPr>
              <w:rFonts w:eastAsia="Times New Roman"/>
              <w:sz w:val="16"/>
              <w:szCs w:val="16"/>
            </w:rPr>
            <w:t xml:space="preserve">: J.P. Morgan Saudi Arabia Ltd. is authorized by the Capital Market Authority of the Kingdom of Saudi Arabia (CMA) to carry out dealing as an agent, arranging, advising and custody, with respect to securities business under licence number 35-07079 and its registered address is at 8th Floor, Al-Faisaliyah Tower, King Fahad Road, P.O. Box 51907, Riyadh 11553, Kingdom of Saudi Arabia. </w:t>
          </w:r>
          <w:r>
            <w:rPr>
              <w:rFonts w:eastAsia="Times New Roman"/>
              <w:b/>
              <w:bCs/>
              <w:sz w:val="16"/>
              <w:szCs w:val="16"/>
            </w:rPr>
            <w:t>Dubai</w:t>
          </w:r>
          <w:r>
            <w:rPr>
              <w:rFonts w:eastAsia="Times New Roman"/>
              <w:sz w:val="16"/>
              <w:szCs w:val="16"/>
            </w:rPr>
            <w:t>: JPMorgan Chase Bank, N.A., Dubai Branch is regulated by the Dubai Financial Services Authority (DFSA) and its registered address is Dubai International Financial Centre - Building 3, Level 7, PO Box 506551, Dubai, UAE.</w:t>
          </w:r>
          <w:r>
            <w:rPr>
              <w:rFonts w:eastAsia="Times New Roman"/>
              <w:b/>
              <w:bCs/>
              <w:sz w:val="16"/>
              <w:szCs w:val="16"/>
            </w:rPr>
            <w:t xml:space="preserve"> </w:t>
          </w:r>
        </w:p>
        <w:p w:rsidR="00991DB2" w:rsidRDefault="00991DB2">
          <w:pPr>
            <w:divId w:val="1774934076"/>
            <w:rPr>
              <w:rFonts w:eastAsia="Times New Roman"/>
              <w:b/>
              <w:bCs/>
              <w:sz w:val="12"/>
              <w:szCs w:val="12"/>
            </w:rPr>
          </w:pPr>
        </w:p>
        <w:p w:rsidR="00991DB2" w:rsidRDefault="00991DB2">
          <w:pPr>
            <w:divId w:val="1016464105"/>
            <w:rPr>
              <w:rFonts w:eastAsia="Times New Roman"/>
              <w:sz w:val="16"/>
              <w:szCs w:val="16"/>
            </w:rPr>
          </w:pPr>
          <w:r>
            <w:rPr>
              <w:rFonts w:eastAsia="Times New Roman"/>
              <w:b/>
              <w:bCs/>
              <w:sz w:val="16"/>
              <w:szCs w:val="16"/>
            </w:rPr>
            <w:t xml:space="preserve">Country and Region Specific Disclosures </w:t>
          </w:r>
          <w:r>
            <w:rPr>
              <w:rFonts w:eastAsia="Times New Roman"/>
              <w:b/>
              <w:bCs/>
              <w:sz w:val="16"/>
              <w:szCs w:val="16"/>
            </w:rPr>
            <w:br/>
            <w:t xml:space="preserve">U.K. and European Economic Area (EEA): </w:t>
          </w:r>
          <w:r>
            <w:rPr>
              <w:rFonts w:eastAsia="Times New Roman"/>
              <w:sz w:val="16"/>
              <w:szCs w:val="16"/>
            </w:rPr>
            <w:t xml:space="preserve">Unless specified to the contrary, issued and approved for distribution in the U.K. and the EEA by JPMS plc. Investment research issued by JPMS plc has been prepared in accordance with JPMS plc's policies for managing conflicts of interest arising as a result of publication and distribution of investment research. Many European regulators require a firm to establish, implement and maintain such a policy. This report has been issued in the U.K. only to persons of a kind described in Article 19 (5), 38, 47 and 49 of the Financial Services and Markets Act 2000 (Financial Promotion) Order 2005 (all such persons being referred to as "relevant persons"). This document must not be acted on or relied on by persons who are not relevant persons. Any investment or investment activity to which this document relates is only available to relevant persons and will be engaged in only with relevant persons. In other EEA countries, the report has been issued to persons regarded as professional investors (or equivalent) in their home jurisdiction. </w:t>
          </w:r>
          <w:r>
            <w:rPr>
              <w:rFonts w:eastAsia="Times New Roman"/>
              <w:b/>
              <w:bCs/>
              <w:sz w:val="16"/>
              <w:szCs w:val="16"/>
            </w:rPr>
            <w:t xml:space="preserve">Australia: </w:t>
          </w:r>
          <w:r>
            <w:rPr>
              <w:rFonts w:eastAsia="Times New Roman"/>
              <w:sz w:val="16"/>
              <w:szCs w:val="16"/>
            </w:rPr>
            <w:t xml:space="preserve">This material is issued and distributed by JPMSAL in Australia to "wholesale clients" only. This material does not take into account the specific investment objectives, financial situation or particular needs of the recipient. The recipient of this material must not distribute it to any third party or outside Australia without the prior written consent of JPMSAL. For the purposes of this paragraph the term "wholesale client" has the meaning given in section 761G of the Corporations Act 2001. </w:t>
          </w:r>
          <w:r>
            <w:rPr>
              <w:rFonts w:eastAsia="Times New Roman"/>
              <w:b/>
              <w:bCs/>
              <w:sz w:val="16"/>
              <w:szCs w:val="16"/>
            </w:rPr>
            <w:t xml:space="preserve">Germany: </w:t>
          </w:r>
          <w:r>
            <w:rPr>
              <w:rFonts w:eastAsia="Times New Roman"/>
              <w:sz w:val="16"/>
              <w:szCs w:val="16"/>
            </w:rPr>
            <w:t xml:space="preserve">This material is distributed in Germany by J.P. Morgan Securities plc, Frankfurt Branch and J.P.Morgan Chase Bank, N.A., Frankfurt Branch which are regulated by the Bundesanstalt für Finanzdienstleistungsaufsicht. </w:t>
          </w:r>
          <w:r>
            <w:rPr>
              <w:rFonts w:eastAsia="Times New Roman"/>
              <w:b/>
              <w:bCs/>
              <w:sz w:val="16"/>
              <w:szCs w:val="16"/>
            </w:rPr>
            <w:t xml:space="preserve">Hong Kong: </w:t>
          </w:r>
          <w:r>
            <w:rPr>
              <w:rFonts w:eastAsia="Times New Roman"/>
              <w:sz w:val="16"/>
              <w:szCs w:val="16"/>
            </w:rPr>
            <w:t xml:space="preserve">The 1% ownership disclosure as of the previous month end satisfies the requirements under Paragraph 16.5(a) of the Hong Kong Code of Conduct for Persons Licensed by or Registered with the Securities and Futures Commission. (For research published within the first ten days of the month, the disclosure may be based on the month end data from two months prior.) J.P. Morgan Broking (Hong Kong) Limited is the liquidity provider/market maker for derivative warrants, callable bull bear contracts and stock options listed on the Stock Exchange of Hong Kong Limited. An updated list can be found on HKEx website: http://www.hkex.com.hk. </w:t>
          </w:r>
          <w:r>
            <w:rPr>
              <w:rFonts w:eastAsia="Times New Roman"/>
              <w:b/>
              <w:bCs/>
              <w:sz w:val="16"/>
              <w:szCs w:val="16"/>
            </w:rPr>
            <w:t xml:space="preserve">Japan: </w:t>
          </w:r>
          <w:r>
            <w:rPr>
              <w:rFonts w:eastAsia="Times New Roman"/>
              <w:sz w:val="16"/>
              <w:szCs w:val="16"/>
            </w:rPr>
            <w:t xml:space="preserve">There is a risk that a loss may occur due to a change in the price of the shares in the case of share trading, and that a loss may occur due to the exchange rate in the case of foreign share trading. In the case of share trading, JPMorgan Securities Japan Co., Ltd., will be receiving a brokerage fee and consumption tax (shouhizei) calculated by multiplying the executed price by the commission rate which was individually agreed between JPMorgan Securities Japan Co., Ltd., and the customer in advance. Financial Instruments Firms: JPMorgan Securities Japan Co., Ltd., Kanto Local Finance Bureau (kinsho) No. 82 Participating Association / Japan Securities Dealers Association, The Financial Futures Association of Japan, Type II Financial Instruments Firms Association and Japan Investment Advisers Association. </w:t>
          </w:r>
          <w:r>
            <w:rPr>
              <w:rFonts w:eastAsia="Times New Roman"/>
              <w:b/>
              <w:bCs/>
              <w:sz w:val="16"/>
              <w:szCs w:val="16"/>
            </w:rPr>
            <w:t xml:space="preserve">Korea: </w:t>
          </w:r>
          <w:r>
            <w:rPr>
              <w:rFonts w:eastAsia="Times New Roman"/>
              <w:sz w:val="16"/>
              <w:szCs w:val="16"/>
            </w:rPr>
            <w:t xml:space="preserve">This report may have been edited or contributed to from time to time by affiliates of J.P. Morgan Securities (Far East) Ltd, Seoul Branch. </w:t>
          </w:r>
          <w:r>
            <w:rPr>
              <w:rFonts w:eastAsia="Times New Roman"/>
              <w:b/>
              <w:bCs/>
              <w:sz w:val="16"/>
              <w:szCs w:val="16"/>
            </w:rPr>
            <w:t xml:space="preserve">Singapore: </w:t>
          </w:r>
          <w:r>
            <w:rPr>
              <w:rFonts w:eastAsia="Times New Roman"/>
              <w:sz w:val="16"/>
              <w:szCs w:val="16"/>
            </w:rPr>
            <w:t xml:space="preserve">JPMSS and/or its affiliates may have a holding in any of the securities discussed in this report; for securities where the holding is 1% or greater, the specific holding is disclosed in the Important Disclosures section above. </w:t>
          </w:r>
          <w:r>
            <w:rPr>
              <w:rFonts w:eastAsia="Times New Roman"/>
              <w:b/>
              <w:bCs/>
              <w:sz w:val="16"/>
              <w:szCs w:val="16"/>
            </w:rPr>
            <w:t xml:space="preserve">India: </w:t>
          </w:r>
          <w:r>
            <w:rPr>
              <w:rFonts w:eastAsia="Times New Roman"/>
              <w:sz w:val="16"/>
              <w:szCs w:val="16"/>
            </w:rPr>
            <w:t xml:space="preserve">For private circulation only, not for sale. </w:t>
          </w:r>
          <w:r>
            <w:rPr>
              <w:rFonts w:eastAsia="Times New Roman"/>
              <w:b/>
              <w:bCs/>
              <w:sz w:val="16"/>
              <w:szCs w:val="16"/>
            </w:rPr>
            <w:t xml:space="preserve">Pakistan: </w:t>
          </w:r>
          <w:r>
            <w:rPr>
              <w:rFonts w:eastAsia="Times New Roman"/>
              <w:sz w:val="16"/>
              <w:szCs w:val="16"/>
            </w:rPr>
            <w:t xml:space="preserve">For private circulation only, not for sale. </w:t>
          </w:r>
          <w:r>
            <w:rPr>
              <w:rFonts w:eastAsia="Times New Roman"/>
              <w:b/>
              <w:bCs/>
              <w:sz w:val="16"/>
              <w:szCs w:val="16"/>
            </w:rPr>
            <w:t xml:space="preserve">New Zealand: </w:t>
          </w:r>
          <w:r>
            <w:rPr>
              <w:rFonts w:eastAsia="Times New Roman"/>
              <w:sz w:val="16"/>
              <w:szCs w:val="16"/>
            </w:rPr>
            <w:t xml:space="preserve">This material is issued and distributed by JPMSAL in New Zealand only to persons whose principal business is the investment of money or who, in the course of and for the purposes of their business, habitually invest money. JPMSAL does not issue or distribute this material to members of "the public" as determined in accordance with section 3 of the Securities Act 1978. The recipient of this material must not distribute it to any third party or outside New Zealand without the prior written consent of JPMSAL. </w:t>
          </w:r>
          <w:r>
            <w:rPr>
              <w:rFonts w:eastAsia="Times New Roman"/>
              <w:b/>
              <w:bCs/>
              <w:sz w:val="16"/>
              <w:szCs w:val="16"/>
            </w:rPr>
            <w:t xml:space="preserve">Canada: </w:t>
          </w:r>
          <w:r>
            <w:rPr>
              <w:rFonts w:eastAsia="Times New Roman"/>
              <w:sz w:val="16"/>
              <w:szCs w:val="16"/>
            </w:rPr>
            <w:t xml:space="preserve">The information contained herein is not, and under no circumstances is to be construed as, a prospectus, an </w:t>
          </w:r>
          <w:r>
            <w:rPr>
              <w:rFonts w:eastAsia="Times New Roman"/>
              <w:sz w:val="16"/>
              <w:szCs w:val="16"/>
            </w:rPr>
            <w:lastRenderedPageBreak/>
            <w:t xml:space="preserve">advertisement, a public offering, an offer to sell securities described herein, or solicitation of an offer to buy securities described herein, in Canada or any province or territory thereof. Any offer or sale of the securities described herein in Canada will be made only under an exemption from the requirements to file a prospectus with the relevant Canadian securities regulators and only by a dealer properly registered under applicable securities laws or, alternatively, pursuant to an exemption from the dealer registration requirement in the relevant province or territory of Canada in which such offer or sale is made. The information contained herein is under no circumstances to be construed as investment advice in any province or territory of Canada and is not tailored to the needs of the recipient. To the extent that the information contained herein references securities of an issuer incorporated, formed or created under the laws of Canada or a province or territory of Canada, any trades in such securities must be conducted through a dealer registered in Canada. No securities commission or similar regulatory authority in Canada has reviewed or in any way passed judgment upon these materials, the information contained herein or the merits of the securities described herein, and any representation to the contrary is an offence. </w:t>
          </w:r>
          <w:r>
            <w:rPr>
              <w:rFonts w:eastAsia="Times New Roman"/>
              <w:b/>
              <w:bCs/>
              <w:sz w:val="16"/>
              <w:szCs w:val="16"/>
            </w:rPr>
            <w:t xml:space="preserve">Dubai: </w:t>
          </w:r>
          <w:r>
            <w:rPr>
              <w:rFonts w:eastAsia="Times New Roman"/>
              <w:sz w:val="16"/>
              <w:szCs w:val="16"/>
            </w:rPr>
            <w:t xml:space="preserve">This report has been issued to persons regarded as professional clients as defined under the DFSA rules. </w:t>
          </w:r>
          <w:r>
            <w:rPr>
              <w:rFonts w:eastAsia="Times New Roman"/>
              <w:b/>
              <w:bCs/>
              <w:sz w:val="16"/>
              <w:szCs w:val="16"/>
            </w:rPr>
            <w:t>Brazil</w:t>
          </w:r>
          <w:r>
            <w:rPr>
              <w:rFonts w:eastAsia="Times New Roman"/>
              <w:sz w:val="16"/>
              <w:szCs w:val="16"/>
            </w:rPr>
            <w:t xml:space="preserve">: Ombudsman J.P. Morgan: 0800-7700847 / ouvidoria.jp.morgan@jpmorgan.com. </w:t>
          </w:r>
        </w:p>
        <w:p w:rsidR="00991DB2" w:rsidRDefault="00991DB2">
          <w:pPr>
            <w:divId w:val="443378839"/>
            <w:rPr>
              <w:rFonts w:eastAsia="Times New Roman"/>
              <w:sz w:val="12"/>
              <w:szCs w:val="12"/>
            </w:rPr>
          </w:pPr>
        </w:p>
        <w:p w:rsidR="00991DB2" w:rsidRDefault="00991DB2">
          <w:pPr>
            <w:divId w:val="1016464105"/>
            <w:rPr>
              <w:rFonts w:eastAsia="Times New Roman"/>
              <w:sz w:val="16"/>
              <w:szCs w:val="16"/>
            </w:rPr>
          </w:pPr>
          <w:r>
            <w:rPr>
              <w:rFonts w:eastAsia="Times New Roman"/>
              <w:b/>
              <w:bCs/>
              <w:sz w:val="16"/>
              <w:szCs w:val="16"/>
            </w:rPr>
            <w:t xml:space="preserve">General: </w:t>
          </w:r>
          <w:r>
            <w:rPr>
              <w:rFonts w:eastAsia="Times New Roman"/>
              <w:sz w:val="16"/>
              <w:szCs w:val="16"/>
            </w:rPr>
            <w:t xml:space="preserve">Additional information is available upon request. Information has been obtained from sources believed to be reliable but JPMorgan Chase &amp; Co. or its affiliates and/or subsidiaries (collectively J.P. Morgan) do not warrant its completeness or accuracy except with respect to any disclosures relative to JPMS and/or its affiliates and the analyst's involvement with the issuer that is the subject of the research. All pricing is as of the close of market for the securities discussed, unless otherwise stated. Opinions and estimates constitute our judgment as of the date of this material and are subject to change without notice. Past performance is not indicative of future results. This material is not intended as an offer or solicitation for the purchase or sale of any financial instrument. The opinions and recommendations herein do not take into account individual client circumstances, objectives, or needs and are not intended as recommendations of particular securities, financial instruments or strategies to particular clients. The recipient of this report must make its own independent decisions regarding any securities or financial instruments mentioned herein. JPMS distributes in the U.S. research published by non-U.S. affiliates and accepts responsibility for its contents. Periodic updates may be provided on companies/industries based on company specific developments or announcements, market conditions or any other publicly available information. Clients should contact analysts and execute transactions through a J.P. Morgan subsidiary or affiliate in their home jurisdiction unless governing law permits otherwise. </w:t>
          </w:r>
        </w:p>
        <w:p w:rsidR="00991DB2" w:rsidRDefault="00991DB2">
          <w:pPr>
            <w:divId w:val="282540421"/>
            <w:rPr>
              <w:rFonts w:eastAsia="Times New Roman"/>
              <w:sz w:val="12"/>
              <w:szCs w:val="12"/>
            </w:rPr>
          </w:pPr>
        </w:p>
        <w:p w:rsidR="00991DB2" w:rsidRDefault="00991DB2" w:rsidP="00991DB2">
          <w:pPr>
            <w:divId w:val="1016464105"/>
            <w:rPr>
              <w:rFonts w:eastAsia="Times New Roman"/>
              <w:sz w:val="16"/>
              <w:szCs w:val="16"/>
            </w:rPr>
          </w:pPr>
          <w:r>
            <w:rPr>
              <w:rFonts w:eastAsia="Times New Roman"/>
              <w:sz w:val="16"/>
              <w:szCs w:val="16"/>
            </w:rPr>
            <w:t xml:space="preserve">"Other Disclosures" last revised June 21, 2014. </w:t>
          </w:r>
        </w:p>
        <w:p w:rsidR="00991DB2" w:rsidRDefault="00991DB2" w:rsidP="00991DB2">
          <w:pPr>
            <w:spacing w:line="100" w:lineRule="auto"/>
            <w:divId w:val="1016464105"/>
            <w:rPr>
              <w:rFonts w:eastAsia="Times New Roman"/>
              <w:sz w:val="16"/>
              <w:szCs w:val="16"/>
            </w:rPr>
          </w:pPr>
          <w:r>
            <w:rPr>
              <w:rFonts w:eastAsia="Times New Roman"/>
              <w:sz w:val="16"/>
              <w:szCs w:val="16"/>
            </w:rPr>
            <w:pict>
              <v:rect id="_x0000_i1033" style="width:0;height:.55pt" o:hralign="center" o:hrstd="t" o:hrnoshade="t" o:hr="t" fillcolor="black" stroked="f"/>
            </w:pict>
          </w:r>
        </w:p>
        <w:p w:rsidR="00991DB2" w:rsidRDefault="00991DB2" w:rsidP="00991DB2">
          <w:pPr>
            <w:divId w:val="1016464105"/>
            <w:rPr>
              <w:rFonts w:eastAsia="Times New Roman"/>
            </w:rPr>
          </w:pPr>
          <w:r>
            <w:rPr>
              <w:rFonts w:eastAsia="Times New Roman"/>
              <w:b/>
              <w:bCs/>
              <w:sz w:val="18"/>
              <w:szCs w:val="18"/>
            </w:rPr>
            <w:t xml:space="preserve">Copyright 2014 JPMorgan Chase &amp; Co. All rights reserved. This report or any portion hereof may not be reprinted, sold or redistributed without the written consent of J.P. Morgan. </w:t>
          </w:r>
          <w:r>
            <w:rPr>
              <w:rFonts w:eastAsia="Times New Roman"/>
              <w:color w:val="FFFFFF"/>
              <w:sz w:val="18"/>
              <w:szCs w:val="18"/>
            </w:rPr>
            <w:t>#$J&amp;098$#*P</w:t>
          </w:r>
          <w:r>
            <w:rPr>
              <w:rFonts w:eastAsia="Times New Roman"/>
              <w:b/>
              <w:bCs/>
              <w:sz w:val="18"/>
              <w:szCs w:val="18"/>
            </w:rPr>
            <w:t xml:space="preserve"> </w:t>
          </w:r>
        </w:p>
        <w:p w:rsidR="00096996" w:rsidRDefault="003B051F" w:rsidP="006835DA">
          <w:pPr>
            <w:pStyle w:val="Body"/>
          </w:pPr>
        </w:p>
      </w:sdtContent>
    </w:sdt>
    <w:p w:rsidR="00096996" w:rsidRDefault="00096996" w:rsidP="00096996">
      <w:pPr>
        <w:pStyle w:val="Body"/>
        <w:sectPr w:rsidR="00096996" w:rsidSect="00CD1E8A">
          <w:pgSz w:w="12240" w:h="15840" w:code="1"/>
          <w:pgMar w:top="2376" w:right="1138" w:bottom="936" w:left="1123" w:header="936" w:footer="576" w:gutter="0"/>
          <w:cols w:space="720"/>
          <w:docGrid w:linePitch="360"/>
        </w:sectPr>
      </w:pPr>
    </w:p>
    <w:bookmarkEnd w:id="422"/>
    <w:p w:rsidR="005327F6" w:rsidRDefault="005327F6" w:rsidP="005D2E8C">
      <w:pPr>
        <w:pStyle w:val="Body"/>
        <w:ind w:left="-3125"/>
      </w:pPr>
    </w:p>
    <w:sectPr w:rsidR="005327F6" w:rsidSect="00096996">
      <w:headerReference w:type="first" r:id="rId195"/>
      <w:footerReference w:type="first" r:id="rId196"/>
      <w:type w:val="continuous"/>
      <w:pgSz w:w="12240" w:h="15840" w:code="1"/>
      <w:pgMar w:top="2376" w:right="1138" w:bottom="936" w:left="4248" w:header="936" w:footer="578" w:gutter="0"/>
      <w:cols w:space="720"/>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1D60" w:rsidRDefault="00BC1D60" w:rsidP="00410841">
      <w:r>
        <w:separator/>
      </w:r>
    </w:p>
  </w:endnote>
  <w:endnote w:type="continuationSeparator" w:id="0">
    <w:p w:rsidR="00BC1D60" w:rsidRDefault="00BC1D60" w:rsidP="0041084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Bookdings">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PGothic">
    <w:panose1 w:val="020B0600070205080204"/>
    <w:charset w:val="80"/>
    <w:family w:val="swiss"/>
    <w:pitch w:val="variable"/>
    <w:sig w:usb0="E00002FF" w:usb1="6AC7FDFB" w:usb2="00000012" w:usb3="00000000" w:csb0="0002009F" w:csb1="00000000"/>
  </w:font>
  <w:font w:name="Arial Bold">
    <w:panose1 w:val="020B0704020202020204"/>
    <w:charset w:val="00"/>
    <w:family w:val="roman"/>
    <w:notTrueType/>
    <w:pitch w:val="default"/>
    <w:sig w:usb0="00000000" w:usb1="00000000" w:usb2="00000000" w:usb3="00000000" w:csb0="00000000" w:csb1="00000000"/>
  </w:font>
  <w:font w:name="Times">
    <w:panose1 w:val="02020603060405020304"/>
    <w:charset w:val="00"/>
    <w:family w:val="roman"/>
    <w:pitch w:val="variable"/>
    <w:sig w:usb0="20002A87" w:usb1="00000000" w:usb2="00000000"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6996" w:rsidRDefault="003B051F">
    <w:pPr>
      <w:framePr w:hSpace="180" w:wrap="around" w:vAnchor="text" w:hAnchor="page" w:x="1138" w:y="1"/>
      <w:rPr>
        <w:rStyle w:val="PageNumber"/>
      </w:rPr>
    </w:pPr>
    <w:r>
      <w:rPr>
        <w:rStyle w:val="PageNumber"/>
      </w:rPr>
      <w:fldChar w:fldCharType="begin"/>
    </w:r>
    <w:r w:rsidR="00096996">
      <w:rPr>
        <w:rStyle w:val="PageNumber"/>
      </w:rPr>
      <w:instrText xml:space="preserve"> PAGE </w:instrText>
    </w:r>
    <w:r>
      <w:rPr>
        <w:rStyle w:val="PageNumber"/>
      </w:rPr>
      <w:fldChar w:fldCharType="separate"/>
    </w:r>
    <w:r w:rsidR="00991DB2">
      <w:rPr>
        <w:rStyle w:val="PageNumber"/>
        <w:noProof/>
      </w:rPr>
      <w:t>70</w:t>
    </w:r>
    <w:r>
      <w:rPr>
        <w:rStyle w:val="PageNumber"/>
      </w:rPr>
      <w:fldChar w:fldCharType="end"/>
    </w:r>
  </w:p>
  <w:p w:rsidR="00096996" w:rsidRDefault="00096996">
    <w:pPr>
      <w:rPr>
        <w:rStyle w:val="PageNumber"/>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6996" w:rsidRDefault="003B051F">
    <w:pPr>
      <w:pStyle w:val="Footer"/>
      <w:jc w:val="right"/>
      <w:rPr>
        <w:rStyle w:val="PageNumber"/>
        <w:b w:val="0"/>
        <w:bCs/>
      </w:rPr>
    </w:pPr>
    <w:r>
      <w:rPr>
        <w:rStyle w:val="PageNumber"/>
        <w:b w:val="0"/>
        <w:bCs/>
      </w:rPr>
      <w:fldChar w:fldCharType="begin"/>
    </w:r>
    <w:r w:rsidR="00096996">
      <w:rPr>
        <w:rStyle w:val="PageNumber"/>
        <w:b w:val="0"/>
        <w:bCs/>
      </w:rPr>
      <w:instrText xml:space="preserve"> PAGE </w:instrText>
    </w:r>
    <w:r>
      <w:rPr>
        <w:rStyle w:val="PageNumber"/>
        <w:b w:val="0"/>
        <w:bCs/>
      </w:rPr>
      <w:fldChar w:fldCharType="separate"/>
    </w:r>
    <w:r w:rsidR="00991DB2">
      <w:rPr>
        <w:rStyle w:val="PageNumber"/>
        <w:b w:val="0"/>
        <w:bCs/>
        <w:noProof/>
      </w:rPr>
      <w:t>69</w:t>
    </w:r>
    <w:r>
      <w:rPr>
        <w:rStyle w:val="PageNumber"/>
        <w:b w:val="0"/>
        <w:bCs/>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FOOTER_FRONT_PAGE"/>
      <w:tag w:val="FOOTER_FRONT_PAGE"/>
      <w:id w:val="82014432"/>
      <w:lock w:val="sdtContentLocked"/>
      <w:placeholder>
        <w:docPart w:val="C84E10C73FF34A6682AE121C87D73360"/>
      </w:placeholder>
    </w:sdtPr>
    <w:sdtContent>
      <w:p w:rsidR="00991DB2" w:rsidRDefault="00991DB2" w:rsidP="00991DB2">
        <w:pPr>
          <w:pStyle w:val="FooterFrontPage"/>
          <w:framePr w:wrap="around"/>
        </w:pPr>
        <w:r>
          <w:t>* Registered/qualified as a research analyst under NYSE/FINRA rules.</w:t>
        </w:r>
      </w:p>
      <w:p w:rsidR="00991DB2" w:rsidRDefault="00991DB2" w:rsidP="00991DB2">
        <w:pPr>
          <w:pStyle w:val="FooterFrontPage"/>
          <w:framePr w:wrap="around"/>
        </w:pPr>
        <w:r>
          <w:t>See page 67 for analyst certification and important disclosures, including non-US analyst disclosures.</w:t>
        </w:r>
      </w:p>
      <w:p w:rsidR="00D14EE2" w:rsidRPr="0094269C" w:rsidRDefault="00991DB2" w:rsidP="00991DB2">
        <w:pPr>
          <w:pStyle w:val="FooterFrontPage"/>
          <w:framePr w:wrap="around"/>
        </w:pPr>
        <w:r>
          <w:t>J.P. Morgan does and seeks to do business with companies covered in its research reports. As a result, investors should be aware that the firm may have a conflict of interest that could affect the objectivity of this report. Investors should consider this report as only a single factor in making their investment decision.</w:t>
        </w:r>
      </w:p>
    </w:sdtContent>
  </w:sdt>
  <w:p w:rsidR="00096996" w:rsidRPr="00D14EE2" w:rsidRDefault="003B051F" w:rsidP="00D14EE2">
    <w:pPr>
      <w:pStyle w:val="Footer"/>
    </w:pPr>
    <w:r>
      <w:rPr>
        <w:noProof/>
      </w:rPr>
      <w:pict>
        <v:shapetype id="_x0000_t202" coordsize="21600,21600" o:spt="202" path="m,l,21600r21600,l21600,xe">
          <v:stroke joinstyle="miter"/>
          <v:path gradientshapeok="t" o:connecttype="rect"/>
        </v:shapetype>
        <v:shape id="_x0000_s4123" type="#_x0000_t202" style="position:absolute;margin-left:366.5pt;margin-top:764.6pt;width:145.45pt;height:13.6pt;z-index:-251648512;mso-position-vertical-relative:page" wrapcoords="0 0" filled="f" stroked="f">
          <v:textbox inset="5.85pt,.7pt,5.85pt,.7pt">
            <w:txbxContent>
              <w:p w:rsidR="00811ACB" w:rsidRPr="00D20423" w:rsidRDefault="003B051F" w:rsidP="00D20423">
                <w:pPr>
                  <w:pStyle w:val="MorganmarketURL"/>
                </w:pPr>
                <w:hyperlink r:id="rId1" w:history="1">
                  <w:r w:rsidR="00D20423" w:rsidRPr="00D20423">
                    <w:rPr>
                      <w:rStyle w:val="Hyperlink"/>
                      <w:color w:val="4E8ABE"/>
                      <w:u w:val="none"/>
                    </w:rPr>
                    <w:t>www.jpmorganmarkets.com</w:t>
                  </w:r>
                </w:hyperlink>
              </w:p>
            </w:txbxContent>
          </v:textbox>
          <w10:wrap type="tight" anchory="page"/>
          <w10:anchorlock/>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1D60" w:rsidRDefault="00BC1D60">
    <w:pPr>
      <w:pStyle w:val="Footer"/>
      <w:rPr>
        <w:sz w:val="24"/>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1D60" w:rsidRDefault="00BC1D60">
    <w:pPr>
      <w:pStyle w:val="Footer"/>
      <w:rPr>
        <w:sz w:val="24"/>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1D60" w:rsidRDefault="00BC1D60">
    <w:pPr>
      <w:pStyle w:val="Footer"/>
      <w:rPr>
        <w:sz w:val="24"/>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6996" w:rsidRDefault="00096996">
    <w:pPr>
      <w:pStyle w:val="Footer"/>
      <w:rPr>
        <w:sz w:val="24"/>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7BB0" w:rsidRDefault="00991DB2">
    <w:pPr>
      <w:pStyle w:val="Footer"/>
      <w:rPr>
        <w:b w:val="0"/>
        <w:bC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1D60" w:rsidRDefault="00BC1D60" w:rsidP="00410841">
      <w:r>
        <w:separator/>
      </w:r>
    </w:p>
  </w:footnote>
  <w:footnote w:type="continuationSeparator" w:id="0">
    <w:p w:rsidR="00BC1D60" w:rsidRDefault="00BC1D60" w:rsidP="0041084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6996" w:rsidRDefault="003B051F">
    <w:pPr>
      <w:pStyle w:val="Header"/>
      <w:spacing w:after="0"/>
    </w:pPr>
    <w:r>
      <w:pict>
        <v:shapetype id="_x0000_t202" coordsize="21600,21600" o:spt="202" path="m,l,21600r21600,l21600,xe">
          <v:stroke joinstyle="miter"/>
          <v:path gradientshapeok="t" o:connecttype="rect"/>
        </v:shapetype>
        <v:shape id="BannerEven" o:spid="_x0000_s4128" type="#_x0000_t202" style="position:absolute;margin-left:212.55pt;margin-top:16.2pt;width:368.7pt;height:24pt;z-index:251668992;mso-position-horizontal-relative:page;mso-position-vertical-relative:line" filled="f" stroked="f">
          <v:textbox style="mso-next-textbox:#BannerEven" inset="0,0,0,0">
            <w:txbxContent>
              <w:p w:rsidR="004234B3" w:rsidRPr="00EB6911" w:rsidRDefault="003B051F" w:rsidP="004234B3">
                <w:pPr>
                  <w:pStyle w:val="Header"/>
                </w:pPr>
                <w:sdt>
                  <w:sdtPr>
                    <w:alias w:val="BANNER_CLAUSE_EVEN"/>
                    <w:tag w:val="BANNER_CLAUSE_EVEN"/>
                    <w:id w:val="9728346"/>
                    <w:lock w:val="contentLocked"/>
                    <w:placeholder>
                      <w:docPart w:val="174F11EC2C614433BDA6596B8E6BCD19"/>
                    </w:placeholder>
                    <w:showingPlcHdr/>
                    <w:text/>
                  </w:sdtPr>
                  <w:sdtContent>
                    <w:r w:rsidR="004234B3" w:rsidRPr="00EB6911">
                      <w:rPr>
                        <w:rStyle w:val="PlaceholderText"/>
                        <w:color w:val="auto"/>
                      </w:rPr>
                      <w:t xml:space="preserve"> </w:t>
                    </w:r>
                  </w:sdtContent>
                </w:sdt>
              </w:p>
              <w:p w:rsidR="004234B3" w:rsidRDefault="004234B3"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JPMLogoEven" o:spid="_x0000_s4106" type="#_x0000_t75" style="position:absolute;margin-left:13018.85pt;margin-top:46.8pt;width:151.5pt;height:15pt;z-index:251710976;visibility:visible;mso-position-horizontal:right;mso-position-horizontal-relative:margin;mso-position-vertical-relative:page">
          <v:imagedata r:id="rId1" o:title="Logo2008_JPM_A_RGB%20for%20GPS%20JPM%20only"/>
          <w10:wrap type="square" anchorx="margin" anchory="page"/>
          <w10:anchorlock/>
        </v:shape>
      </w:pict>
    </w:r>
    <w:r>
      <w:pict>
        <v:shape id="JPMCazLogoEven" o:spid="_x0000_s4105" type="#_x0000_t75" style="position:absolute;margin-left:13018.85pt;margin-top:46.8pt;width:151.5pt;height:15pt;z-index:251683328;visibility:hidden;mso-position-horizontal:right;mso-position-horizontal-relative:margin;mso-position-vertical-relative:page">
          <v:imagedata r:id="rId2" o:title="Logo2010_JPM_Cazenove_A_RGB%20for%20GPS"/>
          <w10:wrap type="square" anchorx="margin" anchory="page"/>
          <w10:anchorlock/>
        </v:shape>
      </w:pict>
    </w:r>
    <w:r w:rsidRPr="003B051F">
      <w:rPr>
        <w:sz w:val="20"/>
      </w:rPr>
      <w:pict>
        <v:shape id="AnalystEven" o:spid="_x0000_s4110" type="#_x0000_t202" style="position:absolute;margin-left:56.9pt;margin-top:0;width:2in;height:1in;z-index:251662848;mso-position-horizontal-relative:page;mso-position-vertical:top;mso-position-vertical-relative:line" filled="f" stroked="f">
          <v:textbox style="mso-next-textbox:#AnalystEven" inset="0,0,0,0">
            <w:txbxContent>
              <w:p w:rsidR="00096996" w:rsidRDefault="003B051F">
                <w:pPr>
                  <w:pStyle w:val="Header"/>
                </w:pPr>
                <w:sdt>
                  <w:sdtPr>
                    <w:alias w:val="ANALYST_NAME_MAIN_EVEN"/>
                    <w:tag w:val="ANALYST_NAME_MAIN_EVEN"/>
                    <w:id w:val="27373893"/>
                    <w:lock w:val="sdtContentLocked"/>
                    <w:placeholder>
                      <w:docPart w:val="36C6C8C776144FFBA905F0FE7698B2DC"/>
                    </w:placeholder>
                    <w:text/>
                  </w:sdtPr>
                  <w:sdtContent>
                    <w:r w:rsidR="00F866FE">
                      <w:t>Eduardo Lecubarri</w:t>
                    </w:r>
                  </w:sdtContent>
                </w:sdt>
                <w:r w:rsidR="00096996">
                  <w:br/>
                </w:r>
                <w:sdt>
                  <w:sdtPr>
                    <w:alias w:val="ANALYST_PHONE_MAIN_EVEN"/>
                    <w:tag w:val="ANALYST_PHONE_MAIN_EVEN"/>
                    <w:id w:val="27373866"/>
                    <w:lock w:val="sdtContentLocked"/>
                    <w:placeholder>
                      <w:docPart w:val="AE28A5B6EEDC4370B2375673484A8912"/>
                    </w:placeholder>
                    <w:text/>
                  </w:sdtPr>
                  <w:sdtContent>
                    <w:r w:rsidR="00F866FE">
                      <w:t>(44-20) 7134-5916</w:t>
                    </w:r>
                  </w:sdtContent>
                </w:sdt>
                <w:r w:rsidR="00096996">
                  <w:br/>
                </w:r>
                <w:sdt>
                  <w:sdtPr>
                    <w:alias w:val="ANALYST_EMAIL_MAIN_EVEN"/>
                    <w:tag w:val="ANALYST_EMAIL_MAIN_EVEN"/>
                    <w:id w:val="27373838"/>
                    <w:lock w:val="sdtContentLocked"/>
                    <w:placeholder>
                      <w:docPart w:val="AD5D391FBCB446CC971B2D1D0317D9DB"/>
                    </w:placeholder>
                    <w:text/>
                  </w:sdtPr>
                  <w:sdtContent>
                    <w:r w:rsidR="00F866FE">
                      <w:t>eduardo.lecubarri@jpmorgan.com</w:t>
                    </w:r>
                  </w:sdtContent>
                </w:sdt>
              </w:p>
              <w:p w:rsidR="00096996" w:rsidRDefault="003B051F">
                <w:pPr>
                  <w:pStyle w:val="Header"/>
                </w:pPr>
                <w:sdt>
                  <w:sdtPr>
                    <w:alias w:val="ANALYST_NAME_EVEN"/>
                    <w:tag w:val="ANALYST_NAME_EVEN"/>
                    <w:id w:val="27373811"/>
                    <w:lock w:val="sdtContentLocked"/>
                    <w:placeholder>
                      <w:docPart w:val="79747C37D54E4127AB2E88BDA39FF406"/>
                    </w:placeholder>
                    <w:showingPlcHdr/>
                    <w:text/>
                  </w:sdtPr>
                  <w:sdtContent>
                    <w:r w:rsidR="00577713">
                      <w:t xml:space="preserve"> </w:t>
                    </w:r>
                  </w:sdtContent>
                </w:sdt>
                <w:r w:rsidR="00096996">
                  <w:br/>
                </w:r>
                <w:sdt>
                  <w:sdtPr>
                    <w:alias w:val="ANALYST_PHONE_EVEN"/>
                    <w:tag w:val="ANALYST_PHONE_EVEN"/>
                    <w:id w:val="27373784"/>
                    <w:lock w:val="sdtContentLocked"/>
                    <w:placeholder>
                      <w:docPart w:val="E6725D2AB4664F7AAC04EBAAACA11746"/>
                    </w:placeholder>
                    <w:showingPlcHdr/>
                    <w:text/>
                  </w:sdtPr>
                  <w:sdtContent>
                    <w:r w:rsidR="00577713">
                      <w:t xml:space="preserve"> </w:t>
                    </w:r>
                  </w:sdtContent>
                </w:sdt>
                <w:r w:rsidR="00096996">
                  <w:br/>
                </w:r>
                <w:sdt>
                  <w:sdtPr>
                    <w:alias w:val="ANALYST_EMAIL_EVEN"/>
                    <w:tag w:val="ANALYST_EMAIL_EVEN"/>
                    <w:id w:val="27373757"/>
                    <w:lock w:val="sdtContentLocked"/>
                    <w:placeholder>
                      <w:docPart w:val="D44B8B52F5D34750B047ABC3C0D5B083"/>
                    </w:placeholder>
                    <w:showingPlcHdr/>
                    <w:text/>
                  </w:sdtPr>
                  <w:sdtContent>
                    <w:r w:rsidR="00577713">
                      <w:t xml:space="preserve"> </w:t>
                    </w:r>
                  </w:sdtContent>
                </w:sdt>
              </w:p>
            </w:txbxContent>
          </v:textbox>
          <w10:wrap anchorx="page"/>
          <w10:anchorlock/>
        </v:shape>
      </w:pict>
    </w:r>
    <w:r w:rsidRPr="003B051F">
      <w:rPr>
        <w:sz w:val="20"/>
      </w:rPr>
      <w:pict>
        <v:shape id="DealDerivativeEven" o:spid="_x0000_s4111" type="#_x0000_t202" style="position:absolute;margin-left:212.4pt;margin-top:18.7pt;width:343.45pt;height:52.55pt;z-index:251663872;visibility:hidden;mso-position-horizontal-relative:page;mso-position-vertical-relative:line" stroked="f">
          <v:textbox style="mso-next-textbox:#DealDerivativeEven" inset="0,0,0,0">
            <w:txbxContent>
              <w:p w:rsidR="00096996" w:rsidRDefault="00096996">
                <w:pPr>
                  <w:pStyle w:val="IPOInsidePage"/>
                </w:pPr>
              </w:p>
              <w:p w:rsidR="00096996" w:rsidRDefault="00096996">
                <w:pPr>
                  <w:pStyle w:val="RegionGroupInvisible"/>
                </w:pPr>
              </w:p>
            </w:txbxContent>
          </v:textbox>
          <w10:wrap anchorx="page"/>
          <w10:anchorlock/>
        </v:shape>
      </w:pict>
    </w:r>
    <w:r w:rsidRPr="003B051F">
      <w:rPr>
        <w:sz w:val="20"/>
      </w:rPr>
      <w:pict>
        <v:shape id="RegionGroupEven" o:spid="_x0000_s4107" type="#_x0000_t202" style="position:absolute;margin-left:212.4pt;margin-top:0;width:196.35pt;height:15.85pt;z-index:251659776;mso-position-horizontal-relative:page;mso-position-vertical:top;mso-position-vertical-relative:line" filled="f" stroked="f">
          <v:textbox style="mso-next-textbox:#RegionGroupEven" inset="0,0,0,0">
            <w:txbxContent>
              <w:p w:rsidR="00096996" w:rsidRDefault="003B051F">
                <w:pPr>
                  <w:pStyle w:val="HeaderRegionGroup"/>
                  <w:suppressOverlap/>
                </w:pPr>
                <w:sdt>
                  <w:sdtPr>
                    <w:alias w:val="REGION_EVEN"/>
                    <w:tag w:val="REGION_EVEN"/>
                    <w:id w:val="27373728"/>
                    <w:lock w:val="sdtContentLocked"/>
                    <w:placeholder>
                      <w:docPart w:val="85404C5E2B3E4A91B154836B58292D8B"/>
                    </w:placeholder>
                    <w:text/>
                  </w:sdtPr>
                  <w:sdtContent>
                    <w:r w:rsidR="00991DB2">
                      <w:t xml:space="preserve">Global </w:t>
                    </w:r>
                  </w:sdtContent>
                </w:sdt>
                <w:sdt>
                  <w:sdtPr>
                    <w:alias w:val="BUSINESS_GROUP_EVEN"/>
                    <w:tag w:val="BUSINESS_GROUP_EVEN"/>
                    <w:id w:val="27373700"/>
                    <w:lock w:val="sdtContentLocked"/>
                    <w:placeholder>
                      <w:docPart w:val="0FACA56A6925496A8E1564B10849061C"/>
                    </w:placeholder>
                    <w:text/>
                  </w:sdtPr>
                  <w:sdtContent>
                    <w:r w:rsidR="00991DB2">
                      <w:t>Equity Research</w:t>
                    </w:r>
                  </w:sdtContent>
                </w:sdt>
              </w:p>
              <w:sdt>
                <w:sdtPr>
                  <w:alias w:val="PUBLICATION_DATE_EVEN"/>
                  <w:tag w:val="PUBLICATION_DATE_EVEN"/>
                  <w:id w:val="1330412"/>
                  <w:lock w:val="sdtContentLocked"/>
                  <w:placeholder>
                    <w:docPart w:val="8CF6E21A32104900BA482DD55DD9A17C"/>
                  </w:placeholder>
                  <w:text/>
                </w:sdtPr>
                <w:sdtContent>
                  <w:p w:rsidR="00096996" w:rsidRDefault="00991DB2">
                    <w:pPr>
                      <w:pStyle w:val="Header"/>
                    </w:pPr>
                    <w:r>
                      <w:t>04 July 2014</w:t>
                    </w:r>
                  </w:p>
                </w:sdtContent>
              </w:sdt>
              <w:p w:rsidR="00096996" w:rsidRDefault="00096996">
                <w:pPr>
                  <w:pStyle w:val="RegionGroupInvisible"/>
                </w:pPr>
              </w:p>
            </w:txbxContent>
          </v:textbox>
          <w10:wrap anchorx="page"/>
          <w10:anchorlock/>
        </v:shape>
      </w:pict>
    </w:r>
  </w:p>
  <w:p w:rsidR="00096996" w:rsidRDefault="00096996">
    <w:pPr>
      <w:pStyle w:val="Header"/>
      <w:spacing w:after="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6996" w:rsidRDefault="003B051F">
    <w:pPr>
      <w:pStyle w:val="Header"/>
      <w:spacing w:after="0"/>
    </w:pPr>
    <w:r>
      <w:pict>
        <v:shapetype id="_x0000_t202" coordsize="21600,21600" o:spt="202" path="m,l,21600r21600,l21600,xe">
          <v:stroke joinstyle="miter"/>
          <v:path gradientshapeok="t" o:connecttype="rect"/>
        </v:shapetype>
        <v:shape id="BannerOdd" o:spid="_x0000_s4129" type="#_x0000_t202" style="position:absolute;margin-left:212.35pt;margin-top:16.15pt;width:368.7pt;height:24pt;z-index:251670016;mso-position-horizontal-relative:page;mso-position-vertical-relative:line" filled="f" stroked="f">
          <v:textbox style="mso-next-textbox:#BannerOdd" inset="0,0,0,0">
            <w:txbxContent>
              <w:p w:rsidR="004234B3" w:rsidRPr="003D1683" w:rsidRDefault="003B051F" w:rsidP="004234B3">
                <w:pPr>
                  <w:pStyle w:val="Header"/>
                </w:pPr>
                <w:sdt>
                  <w:sdtPr>
                    <w:alias w:val="BANNER_CLAUSE_ODD"/>
                    <w:tag w:val="BANNER_CLAUSE_ODD"/>
                    <w:id w:val="17119566"/>
                    <w:lock w:val="contentLocked"/>
                    <w:placeholder>
                      <w:docPart w:val="3261C49529A54C17A43BA115A11E17A6"/>
                    </w:placeholder>
                    <w:showingPlcHdr/>
                    <w:text/>
                  </w:sdtPr>
                  <w:sdtContent>
                    <w:r w:rsidR="004234B3" w:rsidRPr="003D1683">
                      <w:t xml:space="preserve"> </w:t>
                    </w:r>
                  </w:sdtContent>
                </w:sdt>
              </w:p>
              <w:p w:rsidR="004234B3" w:rsidRDefault="004234B3"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JPMLogoPrimary" o:spid="_x0000_s4102" type="#_x0000_t75" style="position:absolute;margin-left:13018.85pt;margin-top:46.8pt;width:151.5pt;height:15pt;z-index:251709952;visibility:visible;mso-position-horizontal:right;mso-position-horizontal-relative:margin;mso-position-vertical-relative:page">
          <v:imagedata r:id="rId1" o:title="Logo2008_JPM_A_RGB%20for%20GPS%20JPM%20only"/>
          <w10:wrap type="square" anchorx="margin" anchory="page"/>
          <w10:anchorlock/>
        </v:shape>
      </w:pict>
    </w:r>
    <w:r>
      <w:pict>
        <v:shape id="JPMCazLogoPrimary" o:spid="_x0000_s4101" type="#_x0000_t75" style="position:absolute;margin-left:13018.85pt;margin-top:46.8pt;width:151.5pt;height:15pt;z-index:251682304;visibility:hidden;mso-position-horizontal:right;mso-position-horizontal-relative:margin;mso-position-vertical-relative:page">
          <v:imagedata r:id="rId2" o:title="Logo2010_JPM_Cazenove_A_RGB%20for%20GPS"/>
          <w10:wrap type="square" anchorx="margin" anchory="page"/>
          <w10:anchorlock/>
        </v:shape>
      </w:pict>
    </w:r>
    <w:r w:rsidRPr="003B051F">
      <w:rPr>
        <w:sz w:val="20"/>
      </w:rPr>
      <w:pict>
        <v:shape id="DealDerivativePrimary" o:spid="_x0000_s4112" type="#_x0000_t202" style="position:absolute;margin-left:212.4pt;margin-top:18.7pt;width:343.45pt;height:52.55pt;z-index:251664896;visibility:hidden;mso-position-horizontal-relative:page;mso-position-vertical-relative:line" stroked="f">
          <v:textbox style="mso-next-textbox:#DealDerivativePrimary" inset="0,0,0,0">
            <w:txbxContent>
              <w:p w:rsidR="00096996" w:rsidRDefault="00096996">
                <w:pPr>
                  <w:pStyle w:val="IPOInsidePage"/>
                </w:pPr>
              </w:p>
              <w:p w:rsidR="00096996" w:rsidRDefault="00096996">
                <w:pPr>
                  <w:pStyle w:val="RegionGroupInvisible"/>
                </w:pPr>
              </w:p>
            </w:txbxContent>
          </v:textbox>
          <w10:wrap anchorx="page"/>
          <w10:anchorlock/>
        </v:shape>
      </w:pict>
    </w:r>
    <w:r w:rsidRPr="003B051F">
      <w:rPr>
        <w:sz w:val="20"/>
      </w:rPr>
      <w:pict>
        <v:shape id="AnalystPrimary" o:spid="_x0000_s4109" type="#_x0000_t202" style="position:absolute;margin-left:56.9pt;margin-top:0;width:2in;height:1in;z-index:251661824;mso-wrap-edited:f;mso-position-horizontal-relative:page;mso-position-vertical:top;mso-position-vertical-relative:line" filled="f" stroked="f">
          <v:textbox style="mso-next-textbox:#AnalystPrimary" inset="0,0,0,0">
            <w:txbxContent>
              <w:p w:rsidR="00096996" w:rsidRDefault="003B051F">
                <w:pPr>
                  <w:pStyle w:val="Header"/>
                </w:pPr>
                <w:sdt>
                  <w:sdtPr>
                    <w:alias w:val="ANALYST_NAME_MAIN_ODD"/>
                    <w:tag w:val="ANALYST_NAME_MAIN_ODD"/>
                    <w:id w:val="31622201"/>
                    <w:lock w:val="sdtContentLocked"/>
                    <w:placeholder>
                      <w:docPart w:val="E482C26558BC459B92EB64738DA86EB1"/>
                    </w:placeholder>
                    <w:text/>
                  </w:sdtPr>
                  <w:sdtContent>
                    <w:r w:rsidR="00F866FE">
                      <w:t>Eduardo Lecubarri</w:t>
                    </w:r>
                  </w:sdtContent>
                </w:sdt>
                <w:r w:rsidR="00096996">
                  <w:br/>
                </w:r>
                <w:sdt>
                  <w:sdtPr>
                    <w:alias w:val="ANALYST_PHONE_MAIN_ODD"/>
                    <w:tag w:val="ANALYST_PHONE_MAIN_ODD"/>
                    <w:id w:val="31622174"/>
                    <w:lock w:val="sdtContentLocked"/>
                    <w:placeholder>
                      <w:docPart w:val="8E0E9F813C514F888A3EF141F848A354"/>
                    </w:placeholder>
                    <w:text/>
                  </w:sdtPr>
                  <w:sdtContent>
                    <w:r w:rsidR="00F866FE">
                      <w:t>(44-20) 7134-5916</w:t>
                    </w:r>
                  </w:sdtContent>
                </w:sdt>
                <w:r w:rsidR="00096996">
                  <w:br/>
                </w:r>
                <w:sdt>
                  <w:sdtPr>
                    <w:alias w:val="ANALYST_EMAIL_MAIN_ODD"/>
                    <w:tag w:val="ANALYST_EMAIL_MAIN_ODD"/>
                    <w:id w:val="31622147"/>
                    <w:lock w:val="sdtContentLocked"/>
                    <w:placeholder>
                      <w:docPart w:val="0979DA3905C54BF884BC57B78DC669EB"/>
                    </w:placeholder>
                    <w:text/>
                  </w:sdtPr>
                  <w:sdtContent>
                    <w:r w:rsidR="00F866FE">
                      <w:t>eduardo.lecubarri@jpmorgan.com</w:t>
                    </w:r>
                  </w:sdtContent>
                </w:sdt>
              </w:p>
              <w:p w:rsidR="00096996" w:rsidRDefault="003B051F">
                <w:pPr>
                  <w:pStyle w:val="Header"/>
                </w:pPr>
                <w:sdt>
                  <w:sdtPr>
                    <w:alias w:val="ANALYST_NAME_ODD"/>
                    <w:tag w:val="ANALYST_NAME_ODD"/>
                    <w:id w:val="31622120"/>
                    <w:lock w:val="sdtContentLocked"/>
                    <w:placeholder>
                      <w:docPart w:val="43F9101506584601B3D976DCC83DAB4B"/>
                    </w:placeholder>
                    <w:showingPlcHdr/>
                    <w:text/>
                  </w:sdtPr>
                  <w:sdtContent>
                    <w:r w:rsidR="00577713">
                      <w:t xml:space="preserve"> </w:t>
                    </w:r>
                  </w:sdtContent>
                </w:sdt>
                <w:r w:rsidR="00096996">
                  <w:br/>
                </w:r>
                <w:sdt>
                  <w:sdtPr>
                    <w:alias w:val="ANALYST_PHONE_ODD"/>
                    <w:tag w:val="ANALYST_PHONE_ODD"/>
                    <w:id w:val="31622093"/>
                    <w:lock w:val="sdtContentLocked"/>
                    <w:placeholder>
                      <w:docPart w:val="3FEAD7835E614D82B01755F4DE13F8F6"/>
                    </w:placeholder>
                    <w:showingPlcHdr/>
                    <w:text/>
                  </w:sdtPr>
                  <w:sdtContent>
                    <w:r w:rsidR="00577713">
                      <w:t xml:space="preserve"> </w:t>
                    </w:r>
                  </w:sdtContent>
                </w:sdt>
                <w:r w:rsidR="00096996">
                  <w:br/>
                </w:r>
                <w:sdt>
                  <w:sdtPr>
                    <w:alias w:val="ANALYST_EMAIL_ODD"/>
                    <w:tag w:val="ANALYST_EMAIL_ODD"/>
                    <w:id w:val="31622066"/>
                    <w:lock w:val="sdtContentLocked"/>
                    <w:placeholder>
                      <w:docPart w:val="A927F174F48C41D4B2354C4C3F5A7753"/>
                    </w:placeholder>
                    <w:showingPlcHdr/>
                    <w:text/>
                  </w:sdtPr>
                  <w:sdtContent>
                    <w:r w:rsidR="00577713">
                      <w:t xml:space="preserve"> </w:t>
                    </w:r>
                  </w:sdtContent>
                </w:sdt>
              </w:p>
            </w:txbxContent>
          </v:textbox>
          <w10:wrap anchorx="page"/>
          <w10:anchorlock/>
        </v:shape>
      </w:pict>
    </w:r>
    <w:r w:rsidRPr="003B051F">
      <w:rPr>
        <w:sz w:val="20"/>
      </w:rPr>
      <w:pict>
        <v:shape id="RegionGroupPrimary" o:spid="_x0000_s4108" type="#_x0000_t202" style="position:absolute;margin-left:212.4pt;margin-top:0;width:196.35pt;height:15.85pt;z-index:251660800;mso-position-horizontal-relative:page;mso-position-vertical:top;mso-position-vertical-relative:line" filled="f" stroked="f">
          <v:textbox style="mso-next-textbox:#RegionGroupPrimary" inset="0,0,0,0">
            <w:txbxContent>
              <w:p w:rsidR="00096996" w:rsidRDefault="003B051F">
                <w:pPr>
                  <w:pStyle w:val="HeaderRegionGroup"/>
                  <w:suppressOverlap/>
                </w:pPr>
                <w:sdt>
                  <w:sdtPr>
                    <w:alias w:val="REGION_ODD"/>
                    <w:tag w:val="REGION_ODD"/>
                    <w:id w:val="31622039"/>
                    <w:lock w:val="sdtContentLocked"/>
                    <w:placeholder>
                      <w:docPart w:val="AFE8D54307344956B9BE3CE4F382E791"/>
                    </w:placeholder>
                    <w:text/>
                  </w:sdtPr>
                  <w:sdtContent>
                    <w:r w:rsidR="00991DB2">
                      <w:t xml:space="preserve">Global </w:t>
                    </w:r>
                  </w:sdtContent>
                </w:sdt>
                <w:sdt>
                  <w:sdtPr>
                    <w:alias w:val="BUSINESS_GROUP_ODD"/>
                    <w:tag w:val="BUSINESS_GROUP_ODD"/>
                    <w:id w:val="31622012"/>
                    <w:lock w:val="sdtContentLocked"/>
                    <w:placeholder>
                      <w:docPart w:val="577D17037B0D41A88EBF9F5D50900851"/>
                    </w:placeholder>
                    <w:text/>
                  </w:sdtPr>
                  <w:sdtContent>
                    <w:r w:rsidR="00991DB2">
                      <w:t>Equity Research</w:t>
                    </w:r>
                  </w:sdtContent>
                </w:sdt>
              </w:p>
              <w:sdt>
                <w:sdtPr>
                  <w:alias w:val="PUBLICATION_DATE_ODD"/>
                  <w:tag w:val="PUBLICATION_DATE_ODD"/>
                  <w:id w:val="1330448"/>
                  <w:lock w:val="sdtContentLocked"/>
                  <w:placeholder>
                    <w:docPart w:val="0D150B4549C84338A26747C3CD889740"/>
                  </w:placeholder>
                  <w:text/>
                </w:sdtPr>
                <w:sdtContent>
                  <w:p w:rsidR="00096996" w:rsidRDefault="00991DB2">
                    <w:pPr>
                      <w:pStyle w:val="Header"/>
                    </w:pPr>
                    <w:r>
                      <w:t>04 July 2014</w:t>
                    </w:r>
                  </w:p>
                </w:sdtContent>
              </w:sdt>
            </w:txbxContent>
          </v:textbox>
          <w10:wrap anchorx="page"/>
          <w10:anchorlock/>
        </v:shape>
      </w:pict>
    </w:r>
  </w:p>
  <w:p w:rsidR="00096996" w:rsidRDefault="00096996">
    <w:pPr>
      <w:pStyle w:val="Header"/>
      <w:spacing w:after="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pPr w:leftFromText="180" w:rightFromText="180" w:vertAnchor="text" w:horzAnchor="page" w:tblpX="1" w:tblpY="-26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tblPr>
    <w:tblGrid>
      <w:gridCol w:w="1440"/>
    </w:tblGrid>
    <w:tr w:rsidR="00096996">
      <w:trPr>
        <w:trHeight w:val="15825"/>
      </w:trPr>
      <w:tc>
        <w:tcPr>
          <w:tcW w:w="1440" w:type="dxa"/>
          <w:shd w:val="clear" w:color="auto" w:fill="auto"/>
        </w:tcPr>
        <w:p w:rsidR="00096996" w:rsidRDefault="00096996" w:rsidP="00B750F2">
          <w:pPr>
            <w:tabs>
              <w:tab w:val="left" w:pos="6360"/>
            </w:tabs>
            <w:spacing w:after="120"/>
          </w:pPr>
        </w:p>
      </w:tc>
    </w:tr>
  </w:tbl>
  <w:p w:rsidR="00096996" w:rsidRDefault="003B051F" w:rsidP="001C3457">
    <w:pPr>
      <w:pStyle w:val="RegionGroup"/>
    </w:pPr>
    <w:sdt>
      <w:sdtPr>
        <w:alias w:val="REGION"/>
        <w:tag w:val="REGION"/>
        <w:id w:val="164905360"/>
        <w:lock w:val="sdtLocked"/>
        <w:placeholder>
          <w:docPart w:val="B65F5231F26049F29E262A5E94A37EDB"/>
        </w:placeholder>
        <w:comboBox>
          <w:listItem w:displayText="Asia Pacific" w:value="Asia Pacific"/>
          <w:listItem w:displayText="Japan" w:value="Japan"/>
          <w:listItem w:displayText="Global" w:value="Global"/>
          <w:listItem w:displayText="Europe" w:value="Europe"/>
        </w:comboBox>
      </w:sdtPr>
      <w:sdtContent>
        <w:r w:rsidR="00991DB2">
          <w:t xml:space="preserve">Global </w:t>
        </w:r>
      </w:sdtContent>
    </w:sdt>
    <w:sdt>
      <w:sdtPr>
        <w:alias w:val="BUSINESS_GROUP"/>
        <w:tag w:val="BUSINESS_GROUP"/>
        <w:id w:val="164905373"/>
        <w:lock w:val="sdtLocked"/>
        <w:placeholder>
          <w:docPart w:val="613CA552E72048A88BE2BDF65EAF903D"/>
        </w:placeholder>
        <w:comboBox>
          <w:listItem w:displayText="Equity Research" w:value="Equity Research"/>
          <w:listItem w:displayText="Corporate Research" w:value="Corporate Research"/>
        </w:comboBox>
      </w:sdtPr>
      <w:sdtContent>
        <w:r w:rsidR="00991DB2">
          <w:t>Equity Research</w:t>
        </w:r>
      </w:sdtContent>
    </w:sdt>
  </w:p>
  <w:p w:rsidR="00096996" w:rsidRPr="00491D29" w:rsidRDefault="003B051F" w:rsidP="00491D29">
    <w:pPr>
      <w:pStyle w:val="PublishDate"/>
    </w:pPr>
    <w:sdt>
      <w:sdtPr>
        <w:alias w:val="PUBLICATION_DATE"/>
        <w:tag w:val="PUBLICATION_DATE"/>
        <w:id w:val="1330385"/>
        <w:lock w:val="sdtContentLocked"/>
        <w:placeholder>
          <w:docPart w:val="8DAFC432E43A4A23BF678D5E902935BB"/>
        </w:placeholder>
        <w:text/>
      </w:sdtPr>
      <w:sdtContent>
        <w:r w:rsidR="00991DB2">
          <w:t>04 July 2014</w:t>
        </w:r>
      </w:sdtContent>
    </w:sdt>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JPMCazLogo_Cover" o:spid="_x0000_s4103" type="#_x0000_t75" style="position:absolute;left:0;text-align:left;margin-left:79.2pt;margin-top:17.3pt;width:259.5pt;height:36pt;z-index:251684352;visibility:hidden;mso-position-horizontal-relative:page;mso-position-vertical-relative:page">
          <v:imagedata r:id="rId1" o:title="JPMCaz-pp1"/>
          <w10:wrap type="square" anchorx="page" anchory="page"/>
          <w10:anchorlock/>
        </v:shape>
      </w:pict>
    </w:r>
    <w:r>
      <w:pict>
        <v:shape id="JPMLogo_Cover" o:spid="_x0000_s4104" type="#_x0000_t75" style="position:absolute;left:0;text-align:left;margin-left:79.2pt;margin-top:17.3pt;width:259.5pt;height:36pt;z-index:251712000;visibility:visible;mso-position-horizontal-relative:page;mso-position-vertical-relative:page">
          <v:imagedata r:id="rId2" o:title="JPM-pp1"/>
          <w10:wrap type="square" anchorx="page" anchory="page"/>
          <w10:anchorlock/>
        </v:shape>
      </w:pict>
    </w:r>
    <w:r>
      <w:pict>
        <v:shape id="JPMSpine" o:spid="_x0000_s4114" type="#_x0000_t75" style="position:absolute;left:0;text-align:left;margin-left:-93.5pt;margin-top:-39.15pt;width:65.25pt;height:793.8pt;z-index:251666944;mso-position-horizontal-relative:text;mso-position-vertical-relative:text">
          <v:imagedata r:id="rId3" o:title=""/>
          <w10:wrap type="square"/>
          <w10:anchorlock/>
        </v:shape>
      </w:pict>
    </w:r>
  </w:p>
  <w:tbl>
    <w:tblPr>
      <w:tblpPr w:leftFromText="187" w:rightFromText="187" w:bottomFromText="120" w:vertAnchor="text" w:tblpXSpec="right" w:tblpY="1"/>
      <w:tblW w:w="9979" w:type="dxa"/>
      <w:tblLayout w:type="fixed"/>
      <w:tblCellMar>
        <w:top w:w="29" w:type="dxa"/>
        <w:left w:w="29" w:type="dxa"/>
        <w:bottom w:w="29" w:type="dxa"/>
        <w:right w:w="29" w:type="dxa"/>
      </w:tblCellMar>
      <w:tblLook w:val="0000"/>
    </w:tblPr>
    <w:tblGrid>
      <w:gridCol w:w="6750"/>
      <w:gridCol w:w="344"/>
      <w:gridCol w:w="2885"/>
    </w:tblGrid>
    <w:tr w:rsidR="005B281F" w:rsidTr="00884A2A">
      <w:trPr>
        <w:cantSplit/>
        <w:trHeight w:hRule="exact" w:val="23"/>
      </w:trPr>
      <w:sdt>
        <w:sdtPr>
          <w:alias w:val="FRONT_PAGE_BANNER_RETRACT"/>
          <w:tag w:val="FRONT_PAGE_BANNER_RETRACT"/>
          <w:id w:val="465380612"/>
          <w:lock w:val="contentLocked"/>
          <w:placeholder>
            <w:docPart w:val="6F88587EBBA54743BFAF45CB9E37DAC6"/>
          </w:placeholder>
          <w:showingPlcHdr/>
          <w:text/>
        </w:sdtPr>
        <w:sdtContent>
          <w:tc>
            <w:tcPr>
              <w:tcW w:w="9979" w:type="dxa"/>
              <w:gridSpan w:val="3"/>
              <w:tcMar>
                <w:top w:w="29" w:type="dxa"/>
                <w:left w:w="29" w:type="dxa"/>
                <w:bottom w:w="29" w:type="dxa"/>
                <w:right w:w="432" w:type="dxa"/>
              </w:tcMar>
              <w:vAlign w:val="bottom"/>
            </w:tcPr>
            <w:p w:rsidR="005B281F" w:rsidRDefault="005B281F" w:rsidP="00884A2A">
              <w:pPr>
                <w:pStyle w:val="ReportType"/>
                <w:framePr w:hSpace="0" w:wrap="auto" w:vAnchor="margin" w:xAlign="left" w:yAlign="inline"/>
              </w:pPr>
              <w:r>
                <w:t xml:space="preserve"> </w:t>
              </w:r>
            </w:p>
          </w:tc>
        </w:sdtContent>
      </w:sdt>
    </w:tr>
    <w:tr w:rsidR="00096996" w:rsidTr="00577713">
      <w:trPr>
        <w:cantSplit/>
        <w:trHeight w:hRule="exact" w:val="23"/>
      </w:trPr>
      <w:sdt>
        <w:sdtPr>
          <w:alias w:val="FRONT_PAGE_BANNER"/>
          <w:tag w:val="FRONT_PAGE_BANNER"/>
          <w:id w:val="93880344"/>
          <w:lock w:val="sdtContentLocked"/>
          <w:placeholder>
            <w:docPart w:val="C462568603714FC8A8F080CA270D45C2"/>
          </w:placeholder>
          <w:showingPlcHdr/>
          <w:text/>
        </w:sdtPr>
        <w:sdtContent>
          <w:tc>
            <w:tcPr>
              <w:tcW w:w="9979" w:type="dxa"/>
              <w:gridSpan w:val="3"/>
              <w:tcMar>
                <w:top w:w="29" w:type="dxa"/>
                <w:left w:w="29" w:type="dxa"/>
                <w:bottom w:w="29" w:type="dxa"/>
                <w:right w:w="432" w:type="dxa"/>
              </w:tcMar>
              <w:vAlign w:val="bottom"/>
            </w:tcPr>
            <w:p w:rsidR="00096996" w:rsidRDefault="00577713" w:rsidP="006266DB">
              <w:pPr>
                <w:pStyle w:val="ReportType"/>
                <w:framePr w:hSpace="0" w:wrap="auto" w:vAnchor="margin" w:xAlign="left" w:yAlign="inline"/>
              </w:pPr>
              <w:r>
                <w:t xml:space="preserve"> </w:t>
              </w:r>
            </w:p>
          </w:tc>
        </w:sdtContent>
      </w:sdt>
    </w:tr>
    <w:tr w:rsidR="00096996" w:rsidTr="00577713">
      <w:trPr>
        <w:cantSplit/>
      </w:trPr>
      <w:tc>
        <w:tcPr>
          <w:tcW w:w="6750" w:type="dxa"/>
          <w:tcMar>
            <w:top w:w="29" w:type="dxa"/>
            <w:left w:w="29" w:type="dxa"/>
            <w:bottom w:w="29" w:type="dxa"/>
            <w:right w:w="432" w:type="dxa"/>
          </w:tcMar>
          <w:vAlign w:val="bottom"/>
        </w:tcPr>
        <w:p w:rsidR="00096996" w:rsidRDefault="003B051F" w:rsidP="00C27FE1">
          <w:pPr>
            <w:pStyle w:val="FPTitleCompany"/>
            <w:framePr w:hSpace="0" w:wrap="auto" w:vAnchor="margin" w:xAlign="left" w:yAlign="inline"/>
          </w:pPr>
          <w:sdt>
            <w:sdtPr>
              <w:alias w:val="TITLE"/>
              <w:tag w:val="TITLE"/>
              <w:id w:val="840452"/>
              <w:lock w:val="sdtContentLocked"/>
              <w:placeholder>
                <w:docPart w:val="6E903EEEF85B4002BC080ED4EF61CBDB"/>
              </w:placeholder>
              <w:text/>
            </w:sdtPr>
            <w:sdtContent>
              <w:r w:rsidR="00F866FE">
                <w:t>The Global SMid Radar</w:t>
              </w:r>
            </w:sdtContent>
          </w:sdt>
        </w:p>
      </w:tc>
      <w:tc>
        <w:tcPr>
          <w:tcW w:w="344" w:type="dxa"/>
        </w:tcPr>
        <w:p w:rsidR="00096996" w:rsidRPr="008C1005" w:rsidRDefault="00096996" w:rsidP="00D14EE2">
          <w:pPr>
            <w:pStyle w:val="RatingChangeArrow"/>
            <w:framePr w:hSpace="0" w:wrap="auto" w:vAnchor="margin" w:xAlign="left" w:yAlign="inline"/>
          </w:pPr>
        </w:p>
      </w:tc>
      <w:tc>
        <w:tcPr>
          <w:tcW w:w="2885" w:type="dxa"/>
          <w:vAlign w:val="bottom"/>
        </w:tcPr>
        <w:p w:rsidR="00096996" w:rsidRPr="00EF5DA4" w:rsidRDefault="00096996" w:rsidP="00A35CD6">
          <w:pPr>
            <w:pStyle w:val="ReportType"/>
            <w:framePr w:hSpace="0" w:wrap="auto" w:vAnchor="margin" w:xAlign="left" w:yAlign="inline"/>
          </w:pPr>
        </w:p>
      </w:tc>
    </w:tr>
    <w:tr w:rsidR="00096996" w:rsidTr="00577713">
      <w:trPr>
        <w:cantSplit/>
      </w:trPr>
      <w:tc>
        <w:tcPr>
          <w:tcW w:w="6750" w:type="dxa"/>
          <w:tcMar>
            <w:right w:w="432" w:type="dxa"/>
          </w:tcMar>
        </w:tcPr>
        <w:p w:rsidR="00096996" w:rsidRDefault="003B051F" w:rsidP="00D8401F">
          <w:pPr>
            <w:pStyle w:val="SubTitle"/>
          </w:pPr>
          <w:sdt>
            <w:sdtPr>
              <w:alias w:val="SUBTITLE"/>
              <w:tag w:val="SUBTITLE"/>
              <w:id w:val="840455"/>
              <w:lock w:val="sdtLocked"/>
              <w:placeholder>
                <w:docPart w:val="9A5A895754094948A68B1D82DBBDC337"/>
              </w:placeholder>
              <w:text/>
            </w:sdtPr>
            <w:sdtContent>
              <w:r w:rsidR="00F866FE">
                <w:t>Q3 2014 Update</w:t>
              </w:r>
            </w:sdtContent>
          </w:sdt>
        </w:p>
      </w:tc>
      <w:tc>
        <w:tcPr>
          <w:tcW w:w="344" w:type="dxa"/>
        </w:tcPr>
        <w:p w:rsidR="00096996" w:rsidRPr="00F22CA1" w:rsidRDefault="00096996" w:rsidP="00D14EE2">
          <w:pPr>
            <w:pStyle w:val="PTChangeArrow"/>
            <w:framePr w:hSpace="0" w:wrap="auto" w:vAnchor="margin" w:xAlign="left" w:yAlign="inline"/>
          </w:pPr>
        </w:p>
      </w:tc>
      <w:tc>
        <w:tcPr>
          <w:tcW w:w="2885" w:type="dxa"/>
        </w:tcPr>
        <w:p w:rsidR="00D14EE2" w:rsidRPr="00EF2AB4" w:rsidRDefault="00D14EE2" w:rsidP="00A35CD6">
          <w:pPr>
            <w:pStyle w:val="PriceDual"/>
            <w:framePr w:hSpace="0" w:wrap="auto" w:vAnchor="margin" w:xAlign="left" w:yAlign="inline"/>
          </w:pPr>
        </w:p>
      </w:tc>
    </w:tr>
  </w:tbl>
  <w:tbl>
    <w:tblPr>
      <w:tblpPr w:leftFromText="446" w:rightFromText="187" w:horzAnchor="margin" w:tblpXSpec="right" w:tblpY="1"/>
      <w:tblOverlap w:val="never"/>
      <w:tblW w:w="2880" w:type="dxa"/>
      <w:tblLayout w:type="fixed"/>
      <w:tblCellMar>
        <w:top w:w="29" w:type="dxa"/>
        <w:left w:w="29" w:type="dxa"/>
        <w:bottom w:w="29" w:type="dxa"/>
        <w:right w:w="29" w:type="dxa"/>
      </w:tblCellMar>
      <w:tblLook w:val="0000"/>
    </w:tblPr>
    <w:tblGrid>
      <w:gridCol w:w="2880"/>
    </w:tblGrid>
    <w:tr w:rsidR="00F1242D" w:rsidTr="007B0710">
      <w:trPr>
        <w:cantSplit/>
      </w:trPr>
      <w:tc>
        <w:tcPr>
          <w:tcW w:w="2880" w:type="dxa"/>
          <w:vAlign w:val="center"/>
        </w:tcPr>
        <w:p w:rsidR="00F1242D" w:rsidRPr="00D14EE2" w:rsidRDefault="003B051F" w:rsidP="00F866FE">
          <w:pPr>
            <w:pStyle w:val="GroupName"/>
          </w:pPr>
          <w:sdt>
            <w:sdtPr>
              <w:alias w:val="INDUSTRY"/>
              <w:tag w:val="INDUSTRY"/>
              <w:id w:val="840458"/>
              <w:lock w:val="sdtContentLocked"/>
              <w:placeholder>
                <w:docPart w:val="93D6837ECCF04D9AB7BDA3FAA45931F4"/>
              </w:placeholder>
              <w:text/>
            </w:sdtPr>
            <w:sdtContent>
              <w:r w:rsidR="00F866FE">
                <w:t>Global Small/Mid-Caps</w:t>
              </w:r>
            </w:sdtContent>
          </w:sdt>
        </w:p>
        <w:sdt>
          <w:sdtPr>
            <w:rPr>
              <w:b w:val="0"/>
              <w:sz w:val="14"/>
            </w:rPr>
            <w:alias w:val="ANALYST_DETAILS"/>
            <w:tag w:val="ANALYST_DETAILS"/>
            <w:id w:val="189518047"/>
            <w:lock w:val="sdtContentLocked"/>
            <w:placeholder>
              <w:docPart w:val="07E437D203734D9293D166D145E9C33B"/>
            </w:placeholder>
          </w:sdtPr>
          <w:sdtContent>
            <w:p w:rsidR="00F866FE" w:rsidRDefault="00F866FE" w:rsidP="00F866FE">
              <w:pPr>
                <w:pStyle w:val="Name"/>
                <w:rPr>
                  <w:rStyle w:val="ComplianceMark"/>
                </w:rPr>
              </w:pPr>
              <w:r>
                <w:t xml:space="preserve">Eduardo Lecubarri </w:t>
              </w:r>
              <w:r w:rsidRPr="00F866FE">
                <w:rPr>
                  <w:rStyle w:val="ComplianceMark"/>
                </w:rPr>
                <w:t>AC*</w:t>
              </w:r>
            </w:p>
            <w:p w:rsidR="00F866FE" w:rsidRDefault="00F866FE" w:rsidP="00F866FE">
              <w:pPr>
                <w:pStyle w:val="Phone"/>
              </w:pPr>
              <w:r>
                <w:t>(44-20) 7134-5916</w:t>
              </w:r>
            </w:p>
            <w:p w:rsidR="00F866FE" w:rsidRDefault="00F866FE" w:rsidP="00F866FE">
              <w:pPr>
                <w:pStyle w:val="EMail"/>
              </w:pPr>
              <w:r>
                <w:t>eduardo.lecubarri@jpmorgan.com</w:t>
              </w:r>
            </w:p>
            <w:p w:rsidR="00F866FE" w:rsidRDefault="00F866FE" w:rsidP="00F866FE">
              <w:pPr>
                <w:pStyle w:val="BBGValue"/>
              </w:pPr>
              <w:r w:rsidRPr="00F866FE">
                <w:rPr>
                  <w:b/>
                </w:rPr>
                <w:t>Bloomberg</w:t>
              </w:r>
              <w:r>
                <w:t xml:space="preserve"> JPMA LECUBARRI &lt;GO&gt;</w:t>
              </w:r>
            </w:p>
          </w:sdtContent>
        </w:sdt>
        <w:sdt>
          <w:sdtPr>
            <w:rPr>
              <w:b w:val="0"/>
              <w:color w:val="000000"/>
              <w:sz w:val="14"/>
              <w:szCs w:val="14"/>
            </w:rPr>
            <w:alias w:val="SECONDARY_ANALYST_CONTAINER"/>
            <w:tag w:val="SECONDARY_ANALYST_CONTAINER"/>
            <w:id w:val="187682738"/>
            <w:lock w:val="sdtContentLocked"/>
            <w:placeholder>
              <w:docPart w:val="920991F6FA284F349AD6EDCC60CA8E12"/>
            </w:placeholder>
          </w:sdtPr>
          <w:sdtContent>
            <w:p w:rsidR="00F866FE" w:rsidRDefault="00F866FE" w:rsidP="00F866FE">
              <w:pPr>
                <w:pStyle w:val="Name"/>
              </w:pPr>
              <w:r>
                <w:t>Patrick J Pitcaithly</w:t>
              </w:r>
            </w:p>
            <w:p w:rsidR="00F866FE" w:rsidRDefault="00F866FE" w:rsidP="00F866FE">
              <w:pPr>
                <w:pStyle w:val="Phone"/>
              </w:pPr>
              <w:r>
                <w:t>(44-20) 7134-8451</w:t>
              </w:r>
            </w:p>
            <w:p w:rsidR="00F866FE" w:rsidRDefault="00F866FE" w:rsidP="00F866FE">
              <w:pPr>
                <w:pStyle w:val="EMail"/>
              </w:pPr>
              <w:r>
                <w:t>patrick.j.pitcaithly@jpmorgan.com</w:t>
              </w:r>
            </w:p>
            <w:p w:rsidR="00F1242D" w:rsidRPr="00F866FE" w:rsidRDefault="00F866FE" w:rsidP="00F866FE">
              <w:pPr>
                <w:pStyle w:val="FPLegalEntityName"/>
              </w:pPr>
              <w:r>
                <w:t>J.P. Morgan Securities plc</w:t>
              </w:r>
            </w:p>
          </w:sdtContent>
        </w:sdt>
        <w:p w:rsidR="001A39BA" w:rsidRPr="001A39BA" w:rsidRDefault="001A39BA" w:rsidP="001A39BA">
          <w:pPr>
            <w:pStyle w:val="Phone"/>
          </w:pPr>
        </w:p>
      </w:tc>
    </w:tr>
  </w:tbl>
  <w:p w:rsidR="00096996" w:rsidRPr="00F534AB" w:rsidRDefault="00096996" w:rsidP="00F534AB">
    <w:pPr>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1D60" w:rsidRDefault="00BC1D60">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1D60" w:rsidRDefault="00BC1D60">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1D60" w:rsidRDefault="00BC1D60">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6996" w:rsidRDefault="00096996">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7BB0" w:rsidRDefault="003B051F">
    <w:pPr>
      <w:pStyle w:val="Header"/>
      <w:spacing w:after="0"/>
    </w:pPr>
    <w:r w:rsidRPr="003B051F">
      <w:rPr>
        <w:sz w:val="20"/>
      </w:rPr>
      <w:pict>
        <v:shapetype id="_x0000_t202" coordsize="21600,21600" o:spt="202" path="m,l,21600r21600,l21600,xe">
          <v:stroke joinstyle="miter"/>
          <v:path gradientshapeok="t" o:connecttype="rect"/>
        </v:shapetype>
        <v:shape id="DealDerivativeFirst" o:spid="_x0000_s4118" type="#_x0000_t202" style="position:absolute;margin-left:212.4pt;margin-top:18.7pt;width:343.45pt;height:52.55pt;z-index:251655680;visibility:hidden;mso-position-horizontal-relative:page;mso-position-vertical-relative:line" stroked="f">
          <v:textbox style="mso-next-textbox:#DealDerivativeFirst" inset="0,0,0,0">
            <w:txbxContent>
              <w:p w:rsidR="00D67BB0" w:rsidRDefault="00991DB2">
                <w:pPr>
                  <w:pStyle w:val="IPOInsidePage"/>
                </w:pPr>
              </w:p>
              <w:p w:rsidR="00D67BB0" w:rsidRDefault="00991DB2">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JPMLogoBack" o:spid="_x0000_s4119" type="#_x0000_t75" style="position:absolute;margin-left:3680pt;margin-top:0;width:1in;height:11.5pt;z-index:251657728;mso-position-horizontal:right;mso-position-horizontal-relative:margin;mso-position-vertical:top;mso-position-vertical-relative:line">
          <v:imagedata r:id="rId1" o:title="Logo2005_JPM_A_Blue300"/>
          <w10:wrap type="square" anchorx="margin"/>
          <w10:anchorlock/>
        </v:shape>
      </w:pict>
    </w:r>
    <w:r w:rsidRPr="003B051F">
      <w:rPr>
        <w:sz w:val="20"/>
      </w:rPr>
      <w:pict>
        <v:shape id="TrapezoidBackCover" o:spid="_x0000_s4117" style="position:absolute;margin-left:6807.75pt;margin-top:.2pt;width:94.7pt;height:53.95pt;z-index:-251662848;mso-wrap-edited:f;mso-position-horizontal:right;mso-position-horizontal-relative:page;mso-position-vertical:absolute;mso-position-vertical-relative:page" coordsize="17046,9711" wrapcoords="-135 0 9335 9576 17181 9576 17181 0 -135 0" path="m9594,r,l,,9551,9668r,43l17046,9711,17046,,9594,xe" fillcolor="#095aa5" stroked="f">
          <v:path arrowok="t"/>
          <w10:wrap anchorx="page" anchory="page"/>
          <w10:anchorlock/>
        </v:shape>
      </w:pict>
    </w:r>
    <w:r w:rsidRPr="003B051F">
      <w:rPr>
        <w:sz w:val="20"/>
      </w:rPr>
      <w:pict>
        <v:shape id="RegionGroupFirst" o:spid="_x0000_s4116" type="#_x0000_t202" style="position:absolute;margin-left:212.4pt;margin-top:0;width:156.25pt;height:16pt;z-index:251651584;mso-position-horizontal-relative:page;mso-position-vertical:top;mso-position-vertical-relative:line" stroked="f">
          <v:textbox style="mso-next-textbox:#RegionGroupFirst" inset="0,0,0,0">
            <w:txbxContent>
              <w:p w:rsidR="00D67BB0" w:rsidRDefault="00096996">
                <w:pPr>
                  <w:pStyle w:val="HeaderRegionGroup"/>
                  <w:suppressOverlap/>
                </w:pPr>
                <w:r>
                  <w:t>Region Group</w:t>
                </w:r>
              </w:p>
              <w:p w:rsidR="00D67BB0" w:rsidRDefault="00096996">
                <w:pPr>
                  <w:pStyle w:val="Header"/>
                </w:pPr>
                <w:r>
                  <w:t>Publish Date</w:t>
                </w:r>
              </w:p>
            </w:txbxContent>
          </v:textbox>
          <w10:wrap anchorx="page"/>
          <w10:anchorlock/>
        </v:shape>
      </w:pict>
    </w:r>
    <w:r w:rsidRPr="003B051F">
      <w:rPr>
        <w:sz w:val="20"/>
      </w:rPr>
      <w:pict>
        <v:shape id="AnalystFirst" o:spid="_x0000_s4115" type="#_x0000_t202" style="position:absolute;margin-left:56.9pt;margin-top:0;width:2in;height:1in;z-index:251649536;mso-position-horizontal-relative:page;mso-position-vertical:top;mso-position-vertical-relative:line" stroked="f">
          <v:textbox style="mso-next-textbox:#AnalystFirst" inset="0,0,0,0">
            <w:txbxContent>
              <w:p w:rsidR="00D67BB0" w:rsidRDefault="00096996">
                <w:pPr>
                  <w:pStyle w:val="Header"/>
                </w:pPr>
                <w:r>
                  <w:t>Analyst Name Main</w:t>
                </w:r>
                <w:r>
                  <w:br/>
                  <w:t>Analyst Phone Main</w:t>
                </w:r>
                <w:r>
                  <w:br/>
                  <w:t xml:space="preserve">Analyst Email </w:t>
                </w:r>
                <w:smartTag w:uri="urn:schemas-microsoft-com:office:smarttags" w:element="place">
                  <w:r>
                    <w:t>Main</w:t>
                  </w:r>
                </w:smartTag>
              </w:p>
              <w:p w:rsidR="00D67BB0" w:rsidRDefault="00096996">
                <w:pPr>
                  <w:pStyle w:val="Header"/>
                </w:pPr>
                <w:r>
                  <w:t>Analyst Name</w:t>
                </w:r>
                <w:r>
                  <w:br/>
                  <w:t>Analyst Phone</w:t>
                </w:r>
                <w:r>
                  <w:br/>
                  <w:t>Analyst Email</w:t>
                </w:r>
              </w:p>
            </w:txbxContent>
          </v:textbox>
          <w10:wrap anchorx="page"/>
          <w10:anchorlock/>
        </v:shape>
      </w:pict>
    </w:r>
  </w:p>
  <w:p w:rsidR="00D67BB0" w:rsidRDefault="00991DB2">
    <w:pPr>
      <w:pStyle w:val="Header"/>
      <w:spacing w:after="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2A02A8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7BCD8B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CFC04E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132266E2"/>
    <w:lvl w:ilvl="0">
      <w:start w:val="1"/>
      <w:numFmt w:val="decimal"/>
      <w:pStyle w:val="ListNumber2"/>
      <w:lvlText w:val="%1."/>
      <w:lvlJc w:val="left"/>
      <w:pPr>
        <w:tabs>
          <w:tab w:val="num" w:pos="720"/>
        </w:tabs>
        <w:ind w:left="720" w:hanging="360"/>
      </w:pPr>
    </w:lvl>
  </w:abstractNum>
  <w:abstractNum w:abstractNumId="4">
    <w:nsid w:val="FFFFFF80"/>
    <w:multiLevelType w:val="singleLevel"/>
    <w:tmpl w:val="D5A2623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380EDC3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4A4B94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3822EEE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0BDC404A"/>
    <w:lvl w:ilvl="0">
      <w:start w:val="1"/>
      <w:numFmt w:val="decimal"/>
      <w:pStyle w:val="ListNumber"/>
      <w:lvlText w:val="%1."/>
      <w:lvlJc w:val="left"/>
      <w:pPr>
        <w:tabs>
          <w:tab w:val="num" w:pos="360"/>
        </w:tabs>
        <w:ind w:left="360" w:hanging="360"/>
      </w:pPr>
    </w:lvl>
  </w:abstractNum>
  <w:abstractNum w:abstractNumId="9">
    <w:nsid w:val="FFFFFF89"/>
    <w:multiLevelType w:val="singleLevel"/>
    <w:tmpl w:val="F3582CA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98D26F1"/>
    <w:multiLevelType w:val="multilevel"/>
    <w:tmpl w:val="C5B8A49E"/>
    <w:lvl w:ilvl="0">
      <w:start w:val="1"/>
      <w:numFmt w:val="bullet"/>
      <w:pStyle w:val="Bullet"/>
      <w:lvlText w:val=""/>
      <w:lvlJc w:val="left"/>
      <w:pPr>
        <w:tabs>
          <w:tab w:val="num" w:pos="360"/>
        </w:tabs>
        <w:ind w:left="288" w:hanging="288"/>
      </w:pPr>
      <w:rPr>
        <w:rFonts w:ascii="Symbol" w:hAnsi="Symbol" w:hint="default"/>
        <w:b w:val="0"/>
        <w:i w:val="0"/>
        <w:color w:val="auto"/>
      </w:rPr>
    </w:lvl>
    <w:lvl w:ilvl="1">
      <w:start w:val="1"/>
      <w:numFmt w:val="bullet"/>
      <w:lvlRestart w:val="0"/>
      <w:suff w:val="space"/>
      <w:lvlText w:val=""/>
      <w:lvlJc w:val="left"/>
      <w:pPr>
        <w:ind w:left="312" w:hanging="142"/>
      </w:pPr>
      <w:rPr>
        <w:rFonts w:ascii="Symbol" w:hAnsi="Symbol" w:hint="default"/>
        <w:color w:val="AD1E35"/>
        <w:sz w:val="20"/>
      </w:rPr>
    </w:lvl>
    <w:lvl w:ilvl="2">
      <w:start w:val="1"/>
      <w:numFmt w:val="bullet"/>
      <w:lvlRestart w:val="0"/>
      <w:suff w:val="space"/>
      <w:lvlText w:val=""/>
      <w:lvlJc w:val="left"/>
      <w:pPr>
        <w:ind w:left="312" w:hanging="142"/>
      </w:pPr>
      <w:rPr>
        <w:rFonts w:ascii="Symbol" w:hAnsi="Symbol" w:hint="default"/>
        <w:color w:val="AD1E35"/>
        <w:sz w:val="20"/>
      </w:rPr>
    </w:lvl>
    <w:lvl w:ilvl="3">
      <w:start w:val="1"/>
      <w:numFmt w:val="bullet"/>
      <w:lvlRestart w:val="0"/>
      <w:suff w:val="space"/>
      <w:lvlText w:val=""/>
      <w:lvlJc w:val="left"/>
      <w:pPr>
        <w:ind w:left="312" w:hanging="142"/>
      </w:pPr>
      <w:rPr>
        <w:rFonts w:ascii="Symbol" w:hAnsi="Symbol" w:hint="default"/>
        <w:color w:val="AD1E35"/>
        <w:sz w:val="20"/>
      </w:rPr>
    </w:lvl>
    <w:lvl w:ilvl="4">
      <w:start w:val="1"/>
      <w:numFmt w:val="bullet"/>
      <w:lvlRestart w:val="0"/>
      <w:suff w:val="space"/>
      <w:lvlText w:val=""/>
      <w:lvlJc w:val="left"/>
      <w:pPr>
        <w:ind w:left="312" w:hanging="142"/>
      </w:pPr>
      <w:rPr>
        <w:rFonts w:ascii="Symbol" w:hAnsi="Symbol" w:hint="default"/>
        <w:color w:val="AD1E35"/>
        <w:sz w:val="20"/>
      </w:rPr>
    </w:lvl>
    <w:lvl w:ilvl="5">
      <w:start w:val="1"/>
      <w:numFmt w:val="bullet"/>
      <w:lvlRestart w:val="0"/>
      <w:suff w:val="space"/>
      <w:lvlText w:val=""/>
      <w:lvlJc w:val="left"/>
      <w:pPr>
        <w:ind w:left="312" w:hanging="142"/>
      </w:pPr>
      <w:rPr>
        <w:rFonts w:ascii="Symbol" w:hAnsi="Symbol" w:hint="default"/>
        <w:color w:val="AD1E35"/>
        <w:sz w:val="20"/>
      </w:rPr>
    </w:lvl>
    <w:lvl w:ilvl="6">
      <w:start w:val="1"/>
      <w:numFmt w:val="bullet"/>
      <w:lvlRestart w:val="0"/>
      <w:suff w:val="space"/>
      <w:lvlText w:val=""/>
      <w:lvlJc w:val="left"/>
      <w:pPr>
        <w:ind w:left="312" w:hanging="142"/>
      </w:pPr>
      <w:rPr>
        <w:rFonts w:ascii="Symbol" w:hAnsi="Symbol" w:hint="default"/>
        <w:color w:val="AD1E35"/>
        <w:sz w:val="20"/>
      </w:rPr>
    </w:lvl>
    <w:lvl w:ilvl="7">
      <w:start w:val="1"/>
      <w:numFmt w:val="bullet"/>
      <w:lvlRestart w:val="0"/>
      <w:suff w:val="space"/>
      <w:lvlText w:val=""/>
      <w:lvlJc w:val="left"/>
      <w:pPr>
        <w:ind w:left="312" w:hanging="142"/>
      </w:pPr>
      <w:rPr>
        <w:rFonts w:ascii="Symbol" w:hAnsi="Symbol" w:hint="default"/>
        <w:color w:val="AD1E35"/>
        <w:sz w:val="20"/>
      </w:rPr>
    </w:lvl>
    <w:lvl w:ilvl="8">
      <w:start w:val="1"/>
      <w:numFmt w:val="bullet"/>
      <w:lvlRestart w:val="0"/>
      <w:suff w:val="space"/>
      <w:lvlText w:val=""/>
      <w:lvlJc w:val="left"/>
      <w:pPr>
        <w:ind w:left="312" w:hanging="142"/>
      </w:pPr>
      <w:rPr>
        <w:rFonts w:ascii="Symbol" w:hAnsi="Symbol" w:hint="default"/>
        <w:color w:val="AD1E35"/>
        <w:sz w:val="20"/>
      </w:rPr>
    </w:lvl>
  </w:abstractNum>
  <w:abstractNum w:abstractNumId="11">
    <w:nsid w:val="0E1F66C5"/>
    <w:multiLevelType w:val="multilevel"/>
    <w:tmpl w:val="04090023"/>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suff w:val="nothing"/>
      <w:lvlText w:val=""/>
      <w:lvlJc w:val="left"/>
      <w:pPr>
        <w:ind w:left="2551" w:hanging="425"/>
      </w:pPr>
    </w:lvl>
    <w:lvl w:ilvl="6">
      <w:start w:val="1"/>
      <w:numFmt w:val="none"/>
      <w:suff w:val="nothing"/>
      <w:lvlText w:val=""/>
      <w:lvlJc w:val="left"/>
      <w:pPr>
        <w:ind w:left="2976" w:hanging="425"/>
      </w:pPr>
    </w:lvl>
    <w:lvl w:ilvl="7">
      <w:start w:val="1"/>
      <w:numFmt w:val="none"/>
      <w:suff w:val="nothing"/>
      <w:lvlText w:val=""/>
      <w:lvlJc w:val="left"/>
      <w:pPr>
        <w:ind w:left="3402" w:hanging="426"/>
      </w:pPr>
    </w:lvl>
    <w:lvl w:ilvl="8">
      <w:start w:val="1"/>
      <w:numFmt w:val="none"/>
      <w:suff w:val="nothing"/>
      <w:lvlText w:val=""/>
      <w:lvlJc w:val="right"/>
      <w:pPr>
        <w:ind w:left="3827" w:hanging="425"/>
      </w:pPr>
    </w:lvl>
  </w:abstractNum>
  <w:abstractNum w:abstractNumId="12">
    <w:nsid w:val="10BC214F"/>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nsid w:val="145F38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nsid w:val="174C6D63"/>
    <w:multiLevelType w:val="hybridMultilevel"/>
    <w:tmpl w:val="00FE8FDE"/>
    <w:lvl w:ilvl="0" w:tplc="BD96BFD0">
      <w:start w:val="1"/>
      <w:numFmt w:val="bullet"/>
      <w:pStyle w:val="Bullet-last"/>
      <w:lvlText w:val=""/>
      <w:lvlJc w:val="left"/>
      <w:pPr>
        <w:ind w:left="360" w:hanging="360"/>
      </w:pPr>
      <w:rPr>
        <w:rFonts w:ascii="Symbol" w:hAnsi="Symbol" w:hint="default"/>
        <w:color w:val="4E8ABE"/>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nsid w:val="1D627FEB"/>
    <w:multiLevelType w:val="hybridMultilevel"/>
    <w:tmpl w:val="D13EB26E"/>
    <w:lvl w:ilvl="0" w:tplc="9EEAEF24">
      <w:start w:val="1"/>
      <w:numFmt w:val="bullet"/>
      <w:pStyle w:val="Bullet-first"/>
      <w:lvlText w:val=""/>
      <w:lvlJc w:val="left"/>
      <w:pPr>
        <w:ind w:left="360" w:hanging="360"/>
      </w:pPr>
      <w:rPr>
        <w:rFonts w:ascii="Symbol" w:hAnsi="Symbol" w:hint="default"/>
        <w:color w:val="4E8ABE"/>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nsid w:val="21876A24"/>
    <w:multiLevelType w:val="multilevel"/>
    <w:tmpl w:val="D6C4AC06"/>
    <w:lvl w:ilvl="0">
      <w:start w:val="1"/>
      <w:numFmt w:val="bullet"/>
      <w:pStyle w:val="BulletAsia"/>
      <w:lvlText w:val=""/>
      <w:lvlJc w:val="left"/>
      <w:pPr>
        <w:tabs>
          <w:tab w:val="num" w:pos="360"/>
        </w:tabs>
        <w:ind w:left="170" w:hanging="170"/>
      </w:pPr>
      <w:rPr>
        <w:rFonts w:ascii="Symbol" w:hAnsi="Symbol" w:hint="default"/>
        <w:color w:val="auto"/>
      </w:rPr>
    </w:lvl>
    <w:lvl w:ilvl="1">
      <w:start w:val="1"/>
      <w:numFmt w:val="bullet"/>
      <w:suff w:val="space"/>
      <w:lvlText w:val=""/>
      <w:lvlJc w:val="left"/>
      <w:pPr>
        <w:ind w:left="471" w:hanging="301"/>
      </w:pPr>
      <w:rPr>
        <w:rFonts w:ascii="Wingdings 3" w:hAnsi="Wingdings 3" w:hint="default"/>
        <w:sz w:val="16"/>
      </w:rPr>
    </w:lvl>
    <w:lvl w:ilvl="2">
      <w:start w:val="1"/>
      <w:numFmt w:val="bullet"/>
      <w:suff w:val="nothing"/>
      <w:lvlText w:val=""/>
      <w:lvlJc w:val="left"/>
      <w:pPr>
        <w:ind w:left="312" w:hanging="199"/>
      </w:pPr>
      <w:rPr>
        <w:rFonts w:ascii="Bookdings" w:hAnsi="Bookdings" w:hint="default"/>
        <w:color w:val="auto"/>
      </w:rPr>
    </w:lvl>
    <w:lvl w:ilvl="3">
      <w:start w:val="1"/>
      <w:numFmt w:val="bullet"/>
      <w:lvlRestart w:val="0"/>
      <w:suff w:val="nothing"/>
      <w:lvlText w:val=""/>
      <w:lvlJc w:val="left"/>
      <w:pPr>
        <w:ind w:left="312" w:hanging="199"/>
      </w:pPr>
      <w:rPr>
        <w:rFonts w:ascii="Bookdings" w:hAnsi="Bookdings" w:hint="default"/>
        <w:color w:val="auto"/>
      </w:rPr>
    </w:lvl>
    <w:lvl w:ilvl="4">
      <w:start w:val="1"/>
      <w:numFmt w:val="lowerLetter"/>
      <w:lvlRestart w:val="0"/>
      <w:suff w:val="nothing"/>
      <w:lvlText w:val="(%5)"/>
      <w:lvlJc w:val="left"/>
      <w:pPr>
        <w:ind w:left="0" w:firstLine="0"/>
      </w:pPr>
      <w:rPr>
        <w:rFonts w:hint="default"/>
      </w:rPr>
    </w:lvl>
    <w:lvl w:ilvl="5">
      <w:start w:val="1"/>
      <w:numFmt w:val="lowerRoman"/>
      <w:lvlRestart w:val="0"/>
      <w:suff w:val="nothing"/>
      <w:lvlText w:val="(%6)"/>
      <w:lvlJc w:val="left"/>
      <w:pPr>
        <w:ind w:left="0" w:firstLine="0"/>
      </w:pPr>
      <w:rPr>
        <w:rFonts w:hint="default"/>
      </w:rPr>
    </w:lvl>
    <w:lvl w:ilvl="6">
      <w:start w:val="1"/>
      <w:numFmt w:val="decimal"/>
      <w:lvlRestart w:val="0"/>
      <w:suff w:val="nothing"/>
      <w:lvlText w:val="%7."/>
      <w:lvlJc w:val="left"/>
      <w:pPr>
        <w:ind w:left="0" w:firstLine="0"/>
      </w:pPr>
      <w:rPr>
        <w:rFonts w:hint="default"/>
      </w:rPr>
    </w:lvl>
    <w:lvl w:ilvl="7">
      <w:start w:val="1"/>
      <w:numFmt w:val="lowerLetter"/>
      <w:lvlRestart w:val="0"/>
      <w:suff w:val="nothing"/>
      <w:lvlText w:val="%8."/>
      <w:lvlJc w:val="left"/>
      <w:pPr>
        <w:ind w:left="0" w:firstLine="0"/>
      </w:pPr>
      <w:rPr>
        <w:rFonts w:hint="default"/>
      </w:rPr>
    </w:lvl>
    <w:lvl w:ilvl="8">
      <w:start w:val="1"/>
      <w:numFmt w:val="lowerRoman"/>
      <w:lvlRestart w:val="0"/>
      <w:suff w:val="nothing"/>
      <w:lvlText w:val="%9."/>
      <w:lvlJc w:val="left"/>
      <w:pPr>
        <w:ind w:left="0" w:firstLine="0"/>
      </w:pPr>
      <w:rPr>
        <w:rFonts w:hint="default"/>
      </w:rPr>
    </w:lvl>
  </w:abstractNum>
  <w:abstractNum w:abstractNumId="17">
    <w:nsid w:val="2919667F"/>
    <w:multiLevelType w:val="hybridMultilevel"/>
    <w:tmpl w:val="B6323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AD5669"/>
    <w:multiLevelType w:val="hybridMultilevel"/>
    <w:tmpl w:val="0A1ACF70"/>
    <w:lvl w:ilvl="0" w:tplc="94D6570E">
      <w:start w:val="1"/>
      <w:numFmt w:val="bullet"/>
      <w:pStyle w:val="FPBullet"/>
      <w:lvlText w:val=""/>
      <w:lvlJc w:val="left"/>
      <w:pPr>
        <w:tabs>
          <w:tab w:val="num" w:pos="0"/>
        </w:tabs>
        <w:ind w:left="340" w:hanging="340"/>
      </w:pPr>
      <w:rPr>
        <w:rFonts w:ascii="Symbol" w:hAnsi="Symbol" w:hint="default"/>
        <w:b w:val="0"/>
        <w:i w:val="0"/>
        <w:color w:val="4E8ABE"/>
      </w:rPr>
    </w:lvl>
    <w:lvl w:ilvl="1" w:tplc="336646C6" w:tentative="1">
      <w:start w:val="1"/>
      <w:numFmt w:val="bullet"/>
      <w:lvlText w:val="o"/>
      <w:lvlJc w:val="left"/>
      <w:pPr>
        <w:tabs>
          <w:tab w:val="num" w:pos="1440"/>
        </w:tabs>
        <w:ind w:left="1440" w:hanging="360"/>
      </w:pPr>
      <w:rPr>
        <w:rFonts w:ascii="Courier New" w:hAnsi="Courier New" w:hint="default"/>
      </w:rPr>
    </w:lvl>
    <w:lvl w:ilvl="2" w:tplc="9EBE45D4" w:tentative="1">
      <w:start w:val="1"/>
      <w:numFmt w:val="bullet"/>
      <w:lvlText w:val=""/>
      <w:lvlJc w:val="left"/>
      <w:pPr>
        <w:tabs>
          <w:tab w:val="num" w:pos="2160"/>
        </w:tabs>
        <w:ind w:left="2160" w:hanging="360"/>
      </w:pPr>
      <w:rPr>
        <w:rFonts w:ascii="Wingdings" w:hAnsi="Wingdings" w:hint="default"/>
      </w:rPr>
    </w:lvl>
    <w:lvl w:ilvl="3" w:tplc="6B32D5F0" w:tentative="1">
      <w:start w:val="1"/>
      <w:numFmt w:val="bullet"/>
      <w:lvlText w:val=""/>
      <w:lvlJc w:val="left"/>
      <w:pPr>
        <w:tabs>
          <w:tab w:val="num" w:pos="2880"/>
        </w:tabs>
        <w:ind w:left="2880" w:hanging="360"/>
      </w:pPr>
      <w:rPr>
        <w:rFonts w:ascii="Symbol" w:hAnsi="Symbol" w:hint="default"/>
      </w:rPr>
    </w:lvl>
    <w:lvl w:ilvl="4" w:tplc="0AF4755A" w:tentative="1">
      <w:start w:val="1"/>
      <w:numFmt w:val="bullet"/>
      <w:lvlText w:val="o"/>
      <w:lvlJc w:val="left"/>
      <w:pPr>
        <w:tabs>
          <w:tab w:val="num" w:pos="3600"/>
        </w:tabs>
        <w:ind w:left="3600" w:hanging="360"/>
      </w:pPr>
      <w:rPr>
        <w:rFonts w:ascii="Courier New" w:hAnsi="Courier New" w:hint="default"/>
      </w:rPr>
    </w:lvl>
    <w:lvl w:ilvl="5" w:tplc="937EDB36" w:tentative="1">
      <w:start w:val="1"/>
      <w:numFmt w:val="bullet"/>
      <w:lvlText w:val=""/>
      <w:lvlJc w:val="left"/>
      <w:pPr>
        <w:tabs>
          <w:tab w:val="num" w:pos="4320"/>
        </w:tabs>
        <w:ind w:left="4320" w:hanging="360"/>
      </w:pPr>
      <w:rPr>
        <w:rFonts w:ascii="Wingdings" w:hAnsi="Wingdings" w:hint="default"/>
      </w:rPr>
    </w:lvl>
    <w:lvl w:ilvl="6" w:tplc="25244180" w:tentative="1">
      <w:start w:val="1"/>
      <w:numFmt w:val="bullet"/>
      <w:lvlText w:val=""/>
      <w:lvlJc w:val="left"/>
      <w:pPr>
        <w:tabs>
          <w:tab w:val="num" w:pos="5040"/>
        </w:tabs>
        <w:ind w:left="5040" w:hanging="360"/>
      </w:pPr>
      <w:rPr>
        <w:rFonts w:ascii="Symbol" w:hAnsi="Symbol" w:hint="default"/>
      </w:rPr>
    </w:lvl>
    <w:lvl w:ilvl="7" w:tplc="19866BCC" w:tentative="1">
      <w:start w:val="1"/>
      <w:numFmt w:val="bullet"/>
      <w:lvlText w:val="o"/>
      <w:lvlJc w:val="left"/>
      <w:pPr>
        <w:tabs>
          <w:tab w:val="num" w:pos="5760"/>
        </w:tabs>
        <w:ind w:left="5760" w:hanging="360"/>
      </w:pPr>
      <w:rPr>
        <w:rFonts w:ascii="Courier New" w:hAnsi="Courier New" w:hint="default"/>
      </w:rPr>
    </w:lvl>
    <w:lvl w:ilvl="8" w:tplc="F19C78CC" w:tentative="1">
      <w:start w:val="1"/>
      <w:numFmt w:val="bullet"/>
      <w:lvlText w:val=""/>
      <w:lvlJc w:val="left"/>
      <w:pPr>
        <w:tabs>
          <w:tab w:val="num" w:pos="6480"/>
        </w:tabs>
        <w:ind w:left="6480" w:hanging="360"/>
      </w:pPr>
      <w:rPr>
        <w:rFonts w:ascii="Wingdings" w:hAnsi="Wingdings" w:hint="default"/>
      </w:rPr>
    </w:lvl>
  </w:abstractNum>
  <w:abstractNum w:abstractNumId="19">
    <w:nsid w:val="38A01AEA"/>
    <w:multiLevelType w:val="hybridMultilevel"/>
    <w:tmpl w:val="10781EA2"/>
    <w:lvl w:ilvl="0" w:tplc="30823378">
      <w:start w:val="1"/>
      <w:numFmt w:val="bullet"/>
      <w:pStyle w:val="Tradedetail"/>
      <w:lvlText w:val=""/>
      <w:lvlJc w:val="left"/>
      <w:pPr>
        <w:tabs>
          <w:tab w:val="num" w:pos="216"/>
        </w:tabs>
        <w:ind w:left="216" w:hanging="216"/>
      </w:pPr>
      <w:rPr>
        <w:rFonts w:ascii="Symbol" w:hAnsi="Symbol" w:hint="default"/>
        <w:color w:val="095AA5"/>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nsid w:val="3E741698"/>
    <w:multiLevelType w:val="multilevel"/>
    <w:tmpl w:val="C096DFFE"/>
    <w:lvl w:ilvl="0">
      <w:start w:val="1"/>
      <w:numFmt w:val="upperRoman"/>
      <w:pStyle w:val="Append"/>
      <w:suff w:val="space"/>
      <w:lvlText w:val="Appendix %1:"/>
      <w:lvlJc w:val="left"/>
      <w:pPr>
        <w:ind w:left="0" w:firstLine="0"/>
      </w:pPr>
      <w:rPr>
        <w:rFonts w:ascii="Arial" w:hAnsi="Arial" w:hint="default"/>
        <w:sz w:val="36"/>
      </w:rPr>
    </w:lvl>
    <w:lvl w:ilvl="1">
      <w:start w:val="1"/>
      <w:numFmt w:val="bullet"/>
      <w:lvlText w:val=""/>
      <w:lvlJc w:val="left"/>
      <w:pPr>
        <w:tabs>
          <w:tab w:val="num" w:pos="530"/>
        </w:tabs>
        <w:ind w:left="454" w:hanging="284"/>
      </w:pPr>
      <w:rPr>
        <w:rFonts w:ascii="Wingdings 3" w:hAnsi="Wingdings 3" w:hint="default"/>
        <w:sz w:val="16"/>
      </w:rPr>
    </w:lvl>
    <w:lvl w:ilvl="2">
      <w:start w:val="1"/>
      <w:numFmt w:val="bullet"/>
      <w:suff w:val="nothing"/>
      <w:lvlText w:val=""/>
      <w:lvlJc w:val="left"/>
      <w:pPr>
        <w:ind w:left="312" w:hanging="199"/>
      </w:pPr>
      <w:rPr>
        <w:rFonts w:ascii="Bookdings" w:hAnsi="Bookdings" w:hint="default"/>
        <w:color w:val="auto"/>
      </w:rPr>
    </w:lvl>
    <w:lvl w:ilvl="3">
      <w:start w:val="1"/>
      <w:numFmt w:val="bullet"/>
      <w:lvlRestart w:val="0"/>
      <w:suff w:val="nothing"/>
      <w:lvlText w:val=""/>
      <w:lvlJc w:val="left"/>
      <w:pPr>
        <w:ind w:left="312" w:hanging="199"/>
      </w:pPr>
      <w:rPr>
        <w:rFonts w:ascii="Bookdings" w:hAnsi="Bookdings" w:hint="default"/>
        <w:color w:val="auto"/>
      </w:rPr>
    </w:lvl>
    <w:lvl w:ilvl="4">
      <w:start w:val="1"/>
      <w:numFmt w:val="lowerLetter"/>
      <w:lvlRestart w:val="0"/>
      <w:suff w:val="nothing"/>
      <w:lvlText w:val="(%5)"/>
      <w:lvlJc w:val="left"/>
      <w:pPr>
        <w:ind w:left="0" w:firstLine="0"/>
      </w:pPr>
      <w:rPr>
        <w:rFonts w:hint="default"/>
      </w:rPr>
    </w:lvl>
    <w:lvl w:ilvl="5">
      <w:start w:val="1"/>
      <w:numFmt w:val="lowerRoman"/>
      <w:lvlRestart w:val="0"/>
      <w:suff w:val="nothing"/>
      <w:lvlText w:val="(%6)"/>
      <w:lvlJc w:val="left"/>
      <w:pPr>
        <w:ind w:left="0" w:firstLine="0"/>
      </w:pPr>
      <w:rPr>
        <w:rFonts w:hint="default"/>
      </w:rPr>
    </w:lvl>
    <w:lvl w:ilvl="6">
      <w:start w:val="1"/>
      <w:numFmt w:val="decimal"/>
      <w:lvlRestart w:val="0"/>
      <w:suff w:val="nothing"/>
      <w:lvlText w:val="%7."/>
      <w:lvlJc w:val="left"/>
      <w:pPr>
        <w:ind w:left="0" w:firstLine="0"/>
      </w:pPr>
      <w:rPr>
        <w:rFonts w:hint="default"/>
      </w:rPr>
    </w:lvl>
    <w:lvl w:ilvl="7">
      <w:start w:val="1"/>
      <w:numFmt w:val="lowerLetter"/>
      <w:lvlRestart w:val="0"/>
      <w:suff w:val="nothing"/>
      <w:lvlText w:val="%8."/>
      <w:lvlJc w:val="left"/>
      <w:pPr>
        <w:ind w:left="0" w:firstLine="0"/>
      </w:pPr>
      <w:rPr>
        <w:rFonts w:hint="default"/>
      </w:rPr>
    </w:lvl>
    <w:lvl w:ilvl="8">
      <w:start w:val="1"/>
      <w:numFmt w:val="lowerRoman"/>
      <w:lvlRestart w:val="0"/>
      <w:suff w:val="nothing"/>
      <w:lvlText w:val="%9."/>
      <w:lvlJc w:val="left"/>
      <w:pPr>
        <w:ind w:left="0" w:firstLine="0"/>
      </w:pPr>
      <w:rPr>
        <w:rFonts w:hint="default"/>
      </w:rPr>
    </w:lvl>
  </w:abstractNum>
  <w:abstractNum w:abstractNumId="21">
    <w:nsid w:val="40594F56"/>
    <w:multiLevelType w:val="hybridMultilevel"/>
    <w:tmpl w:val="CF906EE4"/>
    <w:lvl w:ilvl="0" w:tplc="0CD6C780">
      <w:start w:val="1"/>
      <w:numFmt w:val="bullet"/>
      <w:lvlText w:val=""/>
      <w:lvlJc w:val="left"/>
      <w:pPr>
        <w:ind w:left="720" w:hanging="360"/>
      </w:pPr>
      <w:rPr>
        <w:rFonts w:ascii="Symbol" w:hAnsi="Symbol" w:hint="default"/>
        <w:color w:val="365F91"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9317C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468C2207"/>
    <w:multiLevelType w:val="hybridMultilevel"/>
    <w:tmpl w:val="193A0744"/>
    <w:lvl w:ilvl="0" w:tplc="A4500CEC">
      <w:start w:val="1"/>
      <w:numFmt w:val="bullet"/>
      <w:pStyle w:val="Disclaimer"/>
      <w:lvlText w:val=""/>
      <w:lvlJc w:val="left"/>
      <w:pPr>
        <w:tabs>
          <w:tab w:val="num" w:pos="-2765"/>
        </w:tabs>
        <w:ind w:left="-2765" w:hanging="360"/>
      </w:pPr>
      <w:rPr>
        <w:rFonts w:ascii="Symbol" w:hAnsi="Symbol" w:hint="default"/>
        <w:sz w:val="18"/>
        <w:szCs w:val="18"/>
      </w:rPr>
    </w:lvl>
    <w:lvl w:ilvl="1" w:tplc="04090003" w:tentative="1">
      <w:start w:val="1"/>
      <w:numFmt w:val="bullet"/>
      <w:lvlText w:val="o"/>
      <w:lvlJc w:val="left"/>
      <w:pPr>
        <w:tabs>
          <w:tab w:val="num" w:pos="-1679"/>
        </w:tabs>
        <w:ind w:left="-1679" w:hanging="360"/>
      </w:pPr>
      <w:rPr>
        <w:rFonts w:ascii="Courier New" w:hAnsi="Courier New" w:hint="default"/>
      </w:rPr>
    </w:lvl>
    <w:lvl w:ilvl="2" w:tplc="04090005" w:tentative="1">
      <w:start w:val="1"/>
      <w:numFmt w:val="bullet"/>
      <w:lvlText w:val=""/>
      <w:lvlJc w:val="left"/>
      <w:pPr>
        <w:tabs>
          <w:tab w:val="num" w:pos="-959"/>
        </w:tabs>
        <w:ind w:left="-959" w:hanging="360"/>
      </w:pPr>
      <w:rPr>
        <w:rFonts w:ascii="Wingdings" w:hAnsi="Wingdings" w:hint="default"/>
      </w:rPr>
    </w:lvl>
    <w:lvl w:ilvl="3" w:tplc="04090001" w:tentative="1">
      <w:start w:val="1"/>
      <w:numFmt w:val="bullet"/>
      <w:lvlText w:val=""/>
      <w:lvlJc w:val="left"/>
      <w:pPr>
        <w:tabs>
          <w:tab w:val="num" w:pos="-239"/>
        </w:tabs>
        <w:ind w:left="-239" w:hanging="360"/>
      </w:pPr>
      <w:rPr>
        <w:rFonts w:ascii="Symbol" w:hAnsi="Symbol" w:hint="default"/>
      </w:rPr>
    </w:lvl>
    <w:lvl w:ilvl="4" w:tplc="04090003" w:tentative="1">
      <w:start w:val="1"/>
      <w:numFmt w:val="bullet"/>
      <w:lvlText w:val="o"/>
      <w:lvlJc w:val="left"/>
      <w:pPr>
        <w:tabs>
          <w:tab w:val="num" w:pos="481"/>
        </w:tabs>
        <w:ind w:left="481" w:hanging="360"/>
      </w:pPr>
      <w:rPr>
        <w:rFonts w:ascii="Courier New" w:hAnsi="Courier New" w:hint="default"/>
      </w:rPr>
    </w:lvl>
    <w:lvl w:ilvl="5" w:tplc="04090005" w:tentative="1">
      <w:start w:val="1"/>
      <w:numFmt w:val="bullet"/>
      <w:lvlText w:val=""/>
      <w:lvlJc w:val="left"/>
      <w:pPr>
        <w:tabs>
          <w:tab w:val="num" w:pos="1201"/>
        </w:tabs>
        <w:ind w:left="1201" w:hanging="360"/>
      </w:pPr>
      <w:rPr>
        <w:rFonts w:ascii="Wingdings" w:hAnsi="Wingdings" w:hint="default"/>
      </w:rPr>
    </w:lvl>
    <w:lvl w:ilvl="6" w:tplc="04090001" w:tentative="1">
      <w:start w:val="1"/>
      <w:numFmt w:val="bullet"/>
      <w:lvlText w:val=""/>
      <w:lvlJc w:val="left"/>
      <w:pPr>
        <w:tabs>
          <w:tab w:val="num" w:pos="1921"/>
        </w:tabs>
        <w:ind w:left="1921" w:hanging="360"/>
      </w:pPr>
      <w:rPr>
        <w:rFonts w:ascii="Symbol" w:hAnsi="Symbol" w:hint="default"/>
      </w:rPr>
    </w:lvl>
    <w:lvl w:ilvl="7" w:tplc="04090003" w:tentative="1">
      <w:start w:val="1"/>
      <w:numFmt w:val="bullet"/>
      <w:lvlText w:val="o"/>
      <w:lvlJc w:val="left"/>
      <w:pPr>
        <w:tabs>
          <w:tab w:val="num" w:pos="2641"/>
        </w:tabs>
        <w:ind w:left="2641" w:hanging="360"/>
      </w:pPr>
      <w:rPr>
        <w:rFonts w:ascii="Courier New" w:hAnsi="Courier New" w:hint="default"/>
      </w:rPr>
    </w:lvl>
    <w:lvl w:ilvl="8" w:tplc="04090005" w:tentative="1">
      <w:start w:val="1"/>
      <w:numFmt w:val="bullet"/>
      <w:lvlText w:val=""/>
      <w:lvlJc w:val="left"/>
      <w:pPr>
        <w:tabs>
          <w:tab w:val="num" w:pos="3361"/>
        </w:tabs>
        <w:ind w:left="3361" w:hanging="360"/>
      </w:pPr>
      <w:rPr>
        <w:rFonts w:ascii="Wingdings" w:hAnsi="Wingdings" w:hint="default"/>
      </w:rPr>
    </w:lvl>
  </w:abstractNum>
  <w:abstractNum w:abstractNumId="24">
    <w:nsid w:val="48E24BA3"/>
    <w:multiLevelType w:val="multilevel"/>
    <w:tmpl w:val="BE28B6A2"/>
    <w:lvl w:ilvl="0">
      <w:start w:val="1"/>
      <w:numFmt w:val="decimal"/>
      <w:pStyle w:val="52807BB80E4E409F9A162793A918D5C6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4F9C56DB"/>
    <w:multiLevelType w:val="multilevel"/>
    <w:tmpl w:val="D46E1E2E"/>
    <w:lvl w:ilvl="0">
      <w:start w:val="1"/>
      <w:numFmt w:val="bullet"/>
      <w:pStyle w:val="TradeBullet"/>
      <w:lvlText w:val=""/>
      <w:lvlJc w:val="left"/>
      <w:pPr>
        <w:tabs>
          <w:tab w:val="num" w:pos="360"/>
        </w:tabs>
        <w:ind w:left="357" w:hanging="357"/>
      </w:pPr>
      <w:rPr>
        <w:rFonts w:ascii="Symbol" w:hAnsi="Symbol" w:hint="default"/>
        <w:color w:val="4E8AB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54E05495"/>
    <w:multiLevelType w:val="hybridMultilevel"/>
    <w:tmpl w:val="8430A390"/>
    <w:lvl w:ilvl="0" w:tplc="15CEE810">
      <w:start w:val="1"/>
      <w:numFmt w:val="bullet"/>
      <w:lvlText w:val=""/>
      <w:lvlJc w:val="left"/>
      <w:pPr>
        <w:tabs>
          <w:tab w:val="num" w:pos="360"/>
        </w:tabs>
        <w:ind w:left="340" w:hanging="340"/>
      </w:pPr>
      <w:rPr>
        <w:rFonts w:ascii="Symbol" w:hAnsi="Symbol" w:hint="default"/>
        <w:b w:val="0"/>
        <w:i w:val="0"/>
        <w:color w:val="4E8ABE"/>
      </w:rPr>
    </w:lvl>
    <w:lvl w:ilvl="1" w:tplc="336646C6" w:tentative="1">
      <w:start w:val="1"/>
      <w:numFmt w:val="bullet"/>
      <w:lvlText w:val="o"/>
      <w:lvlJc w:val="left"/>
      <w:pPr>
        <w:tabs>
          <w:tab w:val="num" w:pos="1440"/>
        </w:tabs>
        <w:ind w:left="1440" w:hanging="360"/>
      </w:pPr>
      <w:rPr>
        <w:rFonts w:ascii="Courier New" w:hAnsi="Courier New" w:hint="default"/>
      </w:rPr>
    </w:lvl>
    <w:lvl w:ilvl="2" w:tplc="9EBE45D4" w:tentative="1">
      <w:start w:val="1"/>
      <w:numFmt w:val="bullet"/>
      <w:lvlText w:val=""/>
      <w:lvlJc w:val="left"/>
      <w:pPr>
        <w:tabs>
          <w:tab w:val="num" w:pos="2160"/>
        </w:tabs>
        <w:ind w:left="2160" w:hanging="360"/>
      </w:pPr>
      <w:rPr>
        <w:rFonts w:ascii="Wingdings" w:hAnsi="Wingdings" w:hint="default"/>
      </w:rPr>
    </w:lvl>
    <w:lvl w:ilvl="3" w:tplc="6B32D5F0" w:tentative="1">
      <w:start w:val="1"/>
      <w:numFmt w:val="bullet"/>
      <w:lvlText w:val=""/>
      <w:lvlJc w:val="left"/>
      <w:pPr>
        <w:tabs>
          <w:tab w:val="num" w:pos="2880"/>
        </w:tabs>
        <w:ind w:left="2880" w:hanging="360"/>
      </w:pPr>
      <w:rPr>
        <w:rFonts w:ascii="Symbol" w:hAnsi="Symbol" w:hint="default"/>
      </w:rPr>
    </w:lvl>
    <w:lvl w:ilvl="4" w:tplc="0AF4755A" w:tentative="1">
      <w:start w:val="1"/>
      <w:numFmt w:val="bullet"/>
      <w:lvlText w:val="o"/>
      <w:lvlJc w:val="left"/>
      <w:pPr>
        <w:tabs>
          <w:tab w:val="num" w:pos="3600"/>
        </w:tabs>
        <w:ind w:left="3600" w:hanging="360"/>
      </w:pPr>
      <w:rPr>
        <w:rFonts w:ascii="Courier New" w:hAnsi="Courier New" w:hint="default"/>
      </w:rPr>
    </w:lvl>
    <w:lvl w:ilvl="5" w:tplc="937EDB36" w:tentative="1">
      <w:start w:val="1"/>
      <w:numFmt w:val="bullet"/>
      <w:lvlText w:val=""/>
      <w:lvlJc w:val="left"/>
      <w:pPr>
        <w:tabs>
          <w:tab w:val="num" w:pos="4320"/>
        </w:tabs>
        <w:ind w:left="4320" w:hanging="360"/>
      </w:pPr>
      <w:rPr>
        <w:rFonts w:ascii="Wingdings" w:hAnsi="Wingdings" w:hint="default"/>
      </w:rPr>
    </w:lvl>
    <w:lvl w:ilvl="6" w:tplc="25244180" w:tentative="1">
      <w:start w:val="1"/>
      <w:numFmt w:val="bullet"/>
      <w:lvlText w:val=""/>
      <w:lvlJc w:val="left"/>
      <w:pPr>
        <w:tabs>
          <w:tab w:val="num" w:pos="5040"/>
        </w:tabs>
        <w:ind w:left="5040" w:hanging="360"/>
      </w:pPr>
      <w:rPr>
        <w:rFonts w:ascii="Symbol" w:hAnsi="Symbol" w:hint="default"/>
      </w:rPr>
    </w:lvl>
    <w:lvl w:ilvl="7" w:tplc="19866BCC" w:tentative="1">
      <w:start w:val="1"/>
      <w:numFmt w:val="bullet"/>
      <w:lvlText w:val="o"/>
      <w:lvlJc w:val="left"/>
      <w:pPr>
        <w:tabs>
          <w:tab w:val="num" w:pos="5760"/>
        </w:tabs>
        <w:ind w:left="5760" w:hanging="360"/>
      </w:pPr>
      <w:rPr>
        <w:rFonts w:ascii="Courier New" w:hAnsi="Courier New" w:hint="default"/>
      </w:rPr>
    </w:lvl>
    <w:lvl w:ilvl="8" w:tplc="F19C78CC" w:tentative="1">
      <w:start w:val="1"/>
      <w:numFmt w:val="bullet"/>
      <w:lvlText w:val=""/>
      <w:lvlJc w:val="left"/>
      <w:pPr>
        <w:tabs>
          <w:tab w:val="num" w:pos="6480"/>
        </w:tabs>
        <w:ind w:left="6480" w:hanging="360"/>
      </w:pPr>
      <w:rPr>
        <w:rFonts w:ascii="Wingdings" w:hAnsi="Wingdings" w:hint="default"/>
      </w:rPr>
    </w:lvl>
  </w:abstractNum>
  <w:abstractNum w:abstractNumId="27">
    <w:nsid w:val="55E276E9"/>
    <w:multiLevelType w:val="hybridMultilevel"/>
    <w:tmpl w:val="1DAA60B6"/>
    <w:lvl w:ilvl="0" w:tplc="0CD6C780">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9E78B6"/>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9215CB9"/>
    <w:multiLevelType w:val="hybridMultilevel"/>
    <w:tmpl w:val="F0FEC872"/>
    <w:lvl w:ilvl="0" w:tplc="2B0E1A9C">
      <w:start w:val="1"/>
      <w:numFmt w:val="decimal"/>
      <w:pStyle w:val="NumberBullet"/>
      <w:lvlText w:val="%1."/>
      <w:lvlJc w:val="left"/>
      <w:pPr>
        <w:tabs>
          <w:tab w:val="num" w:pos="360"/>
        </w:tabs>
        <w:ind w:left="284" w:hanging="284"/>
      </w:pPr>
      <w:rPr>
        <w:rFonts w:ascii="Times New Roman" w:hAnsi="Times New Roman" w:hint="default"/>
        <w:sz w:val="20"/>
      </w:rPr>
    </w:lvl>
    <w:lvl w:ilvl="1" w:tplc="42AADDBA" w:tentative="1">
      <w:start w:val="1"/>
      <w:numFmt w:val="lowerLetter"/>
      <w:lvlText w:val="%2."/>
      <w:lvlJc w:val="left"/>
      <w:pPr>
        <w:tabs>
          <w:tab w:val="num" w:pos="1440"/>
        </w:tabs>
        <w:ind w:left="1440" w:hanging="360"/>
      </w:pPr>
    </w:lvl>
    <w:lvl w:ilvl="2" w:tplc="C3FC498A" w:tentative="1">
      <w:start w:val="1"/>
      <w:numFmt w:val="lowerRoman"/>
      <w:lvlText w:val="%3."/>
      <w:lvlJc w:val="right"/>
      <w:pPr>
        <w:tabs>
          <w:tab w:val="num" w:pos="2160"/>
        </w:tabs>
        <w:ind w:left="2160" w:hanging="180"/>
      </w:pPr>
    </w:lvl>
    <w:lvl w:ilvl="3" w:tplc="8AB6C90A" w:tentative="1">
      <w:start w:val="1"/>
      <w:numFmt w:val="decimal"/>
      <w:lvlText w:val="%4."/>
      <w:lvlJc w:val="left"/>
      <w:pPr>
        <w:tabs>
          <w:tab w:val="num" w:pos="2880"/>
        </w:tabs>
        <w:ind w:left="2880" w:hanging="360"/>
      </w:pPr>
    </w:lvl>
    <w:lvl w:ilvl="4" w:tplc="11C659CA" w:tentative="1">
      <w:start w:val="1"/>
      <w:numFmt w:val="lowerLetter"/>
      <w:lvlText w:val="%5."/>
      <w:lvlJc w:val="left"/>
      <w:pPr>
        <w:tabs>
          <w:tab w:val="num" w:pos="3600"/>
        </w:tabs>
        <w:ind w:left="3600" w:hanging="360"/>
      </w:pPr>
    </w:lvl>
    <w:lvl w:ilvl="5" w:tplc="096E1FEC" w:tentative="1">
      <w:start w:val="1"/>
      <w:numFmt w:val="lowerRoman"/>
      <w:lvlText w:val="%6."/>
      <w:lvlJc w:val="right"/>
      <w:pPr>
        <w:tabs>
          <w:tab w:val="num" w:pos="4320"/>
        </w:tabs>
        <w:ind w:left="4320" w:hanging="180"/>
      </w:pPr>
    </w:lvl>
    <w:lvl w:ilvl="6" w:tplc="135AB080" w:tentative="1">
      <w:start w:val="1"/>
      <w:numFmt w:val="decimal"/>
      <w:lvlText w:val="%7."/>
      <w:lvlJc w:val="left"/>
      <w:pPr>
        <w:tabs>
          <w:tab w:val="num" w:pos="5040"/>
        </w:tabs>
        <w:ind w:left="5040" w:hanging="360"/>
      </w:pPr>
    </w:lvl>
    <w:lvl w:ilvl="7" w:tplc="AE26991C" w:tentative="1">
      <w:start w:val="1"/>
      <w:numFmt w:val="lowerLetter"/>
      <w:lvlText w:val="%8."/>
      <w:lvlJc w:val="left"/>
      <w:pPr>
        <w:tabs>
          <w:tab w:val="num" w:pos="5760"/>
        </w:tabs>
        <w:ind w:left="5760" w:hanging="360"/>
      </w:pPr>
    </w:lvl>
    <w:lvl w:ilvl="8" w:tplc="3F18E672" w:tentative="1">
      <w:start w:val="1"/>
      <w:numFmt w:val="lowerRoman"/>
      <w:lvlText w:val="%9."/>
      <w:lvlJc w:val="right"/>
      <w:pPr>
        <w:tabs>
          <w:tab w:val="num" w:pos="6480"/>
        </w:tabs>
        <w:ind w:left="6480" w:hanging="180"/>
      </w:pPr>
    </w:lvl>
  </w:abstractNum>
  <w:abstractNum w:abstractNumId="30">
    <w:nsid w:val="738B7E42"/>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77971BE7"/>
    <w:multiLevelType w:val="hybridMultilevel"/>
    <w:tmpl w:val="949CBDD0"/>
    <w:lvl w:ilvl="0" w:tplc="FFFFFFFF">
      <w:start w:val="1"/>
      <w:numFmt w:val="bullet"/>
      <w:lvlText w:val=""/>
      <w:lvlJc w:val="left"/>
      <w:pPr>
        <w:tabs>
          <w:tab w:val="num" w:pos="367"/>
        </w:tabs>
        <w:ind w:left="347" w:hanging="340"/>
      </w:pPr>
      <w:rPr>
        <w:rFonts w:ascii="Symbol" w:hAnsi="Symbol" w:hint="default"/>
        <w:b w:val="0"/>
        <w:i w:val="0"/>
        <w:color w:val="095AA5"/>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8"/>
  </w:num>
  <w:num w:numId="2">
    <w:abstractNumId w:val="30"/>
  </w:num>
  <w:num w:numId="3">
    <w:abstractNumId w:val="20"/>
  </w:num>
  <w:num w:numId="4">
    <w:abstractNumId w:val="12"/>
  </w:num>
  <w:num w:numId="5">
    <w:abstractNumId w:val="10"/>
  </w:num>
  <w:num w:numId="6">
    <w:abstractNumId w:val="16"/>
  </w:num>
  <w:num w:numId="7">
    <w:abstractNumId w:val="15"/>
  </w:num>
  <w:num w:numId="8">
    <w:abstractNumId w:val="14"/>
  </w:num>
  <w:num w:numId="9">
    <w:abstractNumId w:val="23"/>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9"/>
  </w:num>
  <w:num w:numId="2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29"/>
  </w:num>
  <w:num w:numId="24">
    <w:abstractNumId w:val="24"/>
  </w:num>
  <w:num w:numId="25">
    <w:abstractNumId w:val="25"/>
  </w:num>
  <w:num w:numId="26">
    <w:abstractNumId w:val="17"/>
  </w:num>
  <w:num w:numId="27">
    <w:abstractNumId w:val="18"/>
  </w:num>
  <w:num w:numId="28">
    <w:abstractNumId w:val="13"/>
  </w:num>
  <w:num w:numId="29">
    <w:abstractNumId w:val="22"/>
  </w:num>
  <w:num w:numId="30">
    <w:abstractNumId w:val="11"/>
  </w:num>
  <w:num w:numId="31">
    <w:abstractNumId w:val="31"/>
  </w:num>
  <w:num w:numId="32">
    <w:abstractNumId w:val="26"/>
  </w:num>
  <w:num w:numId="33">
    <w:abstractNumId w:val="27"/>
  </w:num>
  <w:num w:numId="34">
    <w:abstractNumId w:val="21"/>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5"/>
  <w:displayBackgroundShape/>
  <w:bordersDoNotSurroundHeader/>
  <w:bordersDoNotSurroundFooter/>
  <w:attachedTemplate r:id="rId1"/>
  <w:defaultTabStop w:val="720"/>
  <w:evenAndOddHeaders/>
  <w:drawingGridHorizontalSpacing w:val="172"/>
  <w:displayHorizontalDrawingGridEvery w:val="2"/>
  <w:displayVerticalDrawingGridEvery w:val="2"/>
  <w:characterSpacingControl w:val="doNotCompress"/>
  <w:hdrShapeDefaults>
    <o:shapedefaults v:ext="edit" spidmax="4134">
      <v:textbox inset="5.85pt,.7pt,5.85pt,.7pt"/>
    </o:shapedefaults>
    <o:shapelayout v:ext="edit">
      <o:idmap v:ext="edit" data="4"/>
    </o:shapelayout>
  </w:hdrShapeDefaults>
  <w:footnotePr>
    <w:footnote w:id="-1"/>
    <w:footnote w:id="0"/>
  </w:footnotePr>
  <w:endnotePr>
    <w:endnote w:id="-1"/>
    <w:endnote w:id="0"/>
  </w:endnotePr>
  <w:compat>
    <w:useFELayout/>
  </w:compat>
  <w:docVars>
    <w:docVar w:name="APWAFVersion" w:val="5.0"/>
    <w:docVar w:name="GPS" w:val="GPS"/>
    <w:docVar w:name="IsGPSTemplate" w:val="좴㊑펀௏⎰"/>
    <w:docVar w:name="ShapeAltTextReset" w:val="True"/>
  </w:docVars>
  <w:rsids>
    <w:rsidRoot w:val="00E64FE1"/>
    <w:rsid w:val="000169EC"/>
    <w:rsid w:val="00017296"/>
    <w:rsid w:val="00017CE0"/>
    <w:rsid w:val="00017DA5"/>
    <w:rsid w:val="00032890"/>
    <w:rsid w:val="00032F88"/>
    <w:rsid w:val="0005401A"/>
    <w:rsid w:val="00080584"/>
    <w:rsid w:val="00080A5D"/>
    <w:rsid w:val="00082263"/>
    <w:rsid w:val="0008441D"/>
    <w:rsid w:val="00084E96"/>
    <w:rsid w:val="00096996"/>
    <w:rsid w:val="000A0E66"/>
    <w:rsid w:val="000A76DC"/>
    <w:rsid w:val="000F0A7D"/>
    <w:rsid w:val="00107907"/>
    <w:rsid w:val="00110A06"/>
    <w:rsid w:val="00125B98"/>
    <w:rsid w:val="00127E47"/>
    <w:rsid w:val="0015071F"/>
    <w:rsid w:val="001509FE"/>
    <w:rsid w:val="001544F8"/>
    <w:rsid w:val="001702FE"/>
    <w:rsid w:val="00173256"/>
    <w:rsid w:val="00174A0D"/>
    <w:rsid w:val="00184BB7"/>
    <w:rsid w:val="001879EC"/>
    <w:rsid w:val="001944B8"/>
    <w:rsid w:val="001A39BA"/>
    <w:rsid w:val="001A4A3E"/>
    <w:rsid w:val="001A4EED"/>
    <w:rsid w:val="001C1776"/>
    <w:rsid w:val="001C2EEE"/>
    <w:rsid w:val="001C3457"/>
    <w:rsid w:val="001C509D"/>
    <w:rsid w:val="001E2147"/>
    <w:rsid w:val="001F0E2A"/>
    <w:rsid w:val="001F403E"/>
    <w:rsid w:val="002022ED"/>
    <w:rsid w:val="00207CF8"/>
    <w:rsid w:val="00226701"/>
    <w:rsid w:val="00231F67"/>
    <w:rsid w:val="002366FC"/>
    <w:rsid w:val="00242B02"/>
    <w:rsid w:val="00262504"/>
    <w:rsid w:val="002670B5"/>
    <w:rsid w:val="002705B4"/>
    <w:rsid w:val="0027343D"/>
    <w:rsid w:val="002A74BA"/>
    <w:rsid w:val="002D12DE"/>
    <w:rsid w:val="002D4C8B"/>
    <w:rsid w:val="002F3F59"/>
    <w:rsid w:val="002F743F"/>
    <w:rsid w:val="0030001F"/>
    <w:rsid w:val="00301D8E"/>
    <w:rsid w:val="00307EF1"/>
    <w:rsid w:val="00313D4E"/>
    <w:rsid w:val="00316AFF"/>
    <w:rsid w:val="00340C95"/>
    <w:rsid w:val="003411A7"/>
    <w:rsid w:val="003478D4"/>
    <w:rsid w:val="003553B4"/>
    <w:rsid w:val="0035639A"/>
    <w:rsid w:val="00357AA4"/>
    <w:rsid w:val="00370DBF"/>
    <w:rsid w:val="00376DEC"/>
    <w:rsid w:val="0038357F"/>
    <w:rsid w:val="00392812"/>
    <w:rsid w:val="003A1C33"/>
    <w:rsid w:val="003A4A06"/>
    <w:rsid w:val="003B051F"/>
    <w:rsid w:val="003B2FCC"/>
    <w:rsid w:val="003D3497"/>
    <w:rsid w:val="003E2CEF"/>
    <w:rsid w:val="003E2FFD"/>
    <w:rsid w:val="003E5BF5"/>
    <w:rsid w:val="00410841"/>
    <w:rsid w:val="00412830"/>
    <w:rsid w:val="0041347C"/>
    <w:rsid w:val="00413766"/>
    <w:rsid w:val="004234B3"/>
    <w:rsid w:val="004252A3"/>
    <w:rsid w:val="00430D82"/>
    <w:rsid w:val="004334B0"/>
    <w:rsid w:val="004472B9"/>
    <w:rsid w:val="00447B81"/>
    <w:rsid w:val="0046342A"/>
    <w:rsid w:val="004651B1"/>
    <w:rsid w:val="00475ACC"/>
    <w:rsid w:val="00480441"/>
    <w:rsid w:val="00491D29"/>
    <w:rsid w:val="004956EA"/>
    <w:rsid w:val="004A4CA4"/>
    <w:rsid w:val="004A6AAF"/>
    <w:rsid w:val="004E0CBE"/>
    <w:rsid w:val="004E44E5"/>
    <w:rsid w:val="004E7435"/>
    <w:rsid w:val="004F6086"/>
    <w:rsid w:val="00504FB3"/>
    <w:rsid w:val="005062C8"/>
    <w:rsid w:val="00507387"/>
    <w:rsid w:val="00523B59"/>
    <w:rsid w:val="00530B85"/>
    <w:rsid w:val="00530E34"/>
    <w:rsid w:val="005327F6"/>
    <w:rsid w:val="005560C7"/>
    <w:rsid w:val="00570A95"/>
    <w:rsid w:val="00577713"/>
    <w:rsid w:val="00585C54"/>
    <w:rsid w:val="005A1363"/>
    <w:rsid w:val="005A1ACE"/>
    <w:rsid w:val="005B281F"/>
    <w:rsid w:val="005B3FE7"/>
    <w:rsid w:val="005C163A"/>
    <w:rsid w:val="005C37FA"/>
    <w:rsid w:val="005C3C4B"/>
    <w:rsid w:val="005C3C51"/>
    <w:rsid w:val="005D1C67"/>
    <w:rsid w:val="005D2E8C"/>
    <w:rsid w:val="005E126D"/>
    <w:rsid w:val="005E2062"/>
    <w:rsid w:val="005F2683"/>
    <w:rsid w:val="005F3E16"/>
    <w:rsid w:val="006004F7"/>
    <w:rsid w:val="006250FD"/>
    <w:rsid w:val="00625AA6"/>
    <w:rsid w:val="00633A4C"/>
    <w:rsid w:val="006347E8"/>
    <w:rsid w:val="00636AE1"/>
    <w:rsid w:val="00641382"/>
    <w:rsid w:val="00642856"/>
    <w:rsid w:val="00661613"/>
    <w:rsid w:val="006630D5"/>
    <w:rsid w:val="0067246E"/>
    <w:rsid w:val="00674389"/>
    <w:rsid w:val="00676AFF"/>
    <w:rsid w:val="006835DA"/>
    <w:rsid w:val="00686996"/>
    <w:rsid w:val="006A7641"/>
    <w:rsid w:val="006C610B"/>
    <w:rsid w:val="006D2D34"/>
    <w:rsid w:val="006D3CD9"/>
    <w:rsid w:val="006E1D0B"/>
    <w:rsid w:val="006E7618"/>
    <w:rsid w:val="006F3A4E"/>
    <w:rsid w:val="007235DB"/>
    <w:rsid w:val="007235DF"/>
    <w:rsid w:val="00732D26"/>
    <w:rsid w:val="007344F1"/>
    <w:rsid w:val="00734627"/>
    <w:rsid w:val="007416E8"/>
    <w:rsid w:val="00754994"/>
    <w:rsid w:val="00775EED"/>
    <w:rsid w:val="00796713"/>
    <w:rsid w:val="007A088C"/>
    <w:rsid w:val="007D0F3C"/>
    <w:rsid w:val="007D22EF"/>
    <w:rsid w:val="007E1E43"/>
    <w:rsid w:val="007E3B95"/>
    <w:rsid w:val="007E4D4D"/>
    <w:rsid w:val="00807AB8"/>
    <w:rsid w:val="00811ACB"/>
    <w:rsid w:val="00827916"/>
    <w:rsid w:val="00831484"/>
    <w:rsid w:val="0083458C"/>
    <w:rsid w:val="00850957"/>
    <w:rsid w:val="0085671D"/>
    <w:rsid w:val="00871411"/>
    <w:rsid w:val="00876C3E"/>
    <w:rsid w:val="008815AC"/>
    <w:rsid w:val="0088594D"/>
    <w:rsid w:val="008874D0"/>
    <w:rsid w:val="00891B20"/>
    <w:rsid w:val="008A05EC"/>
    <w:rsid w:val="008A44F7"/>
    <w:rsid w:val="008A5E01"/>
    <w:rsid w:val="008C133A"/>
    <w:rsid w:val="008D757E"/>
    <w:rsid w:val="008E2C47"/>
    <w:rsid w:val="00904B4F"/>
    <w:rsid w:val="0092168B"/>
    <w:rsid w:val="0092551C"/>
    <w:rsid w:val="00943C05"/>
    <w:rsid w:val="00943E0D"/>
    <w:rsid w:val="00952E60"/>
    <w:rsid w:val="00956EC4"/>
    <w:rsid w:val="00972992"/>
    <w:rsid w:val="0098119F"/>
    <w:rsid w:val="00983264"/>
    <w:rsid w:val="00986EBC"/>
    <w:rsid w:val="00991DB2"/>
    <w:rsid w:val="009B2AD2"/>
    <w:rsid w:val="009B2F8F"/>
    <w:rsid w:val="009B30AE"/>
    <w:rsid w:val="009C0C93"/>
    <w:rsid w:val="009C7576"/>
    <w:rsid w:val="009C77DE"/>
    <w:rsid w:val="009D47AA"/>
    <w:rsid w:val="009D5DD1"/>
    <w:rsid w:val="009E0FA3"/>
    <w:rsid w:val="009F59FE"/>
    <w:rsid w:val="00A23BB6"/>
    <w:rsid w:val="00A31F59"/>
    <w:rsid w:val="00A35CD6"/>
    <w:rsid w:val="00A47FF7"/>
    <w:rsid w:val="00A809D4"/>
    <w:rsid w:val="00A841E9"/>
    <w:rsid w:val="00A916B7"/>
    <w:rsid w:val="00AB3C3C"/>
    <w:rsid w:val="00AB4D48"/>
    <w:rsid w:val="00AD447F"/>
    <w:rsid w:val="00AE0BFD"/>
    <w:rsid w:val="00AF1A5B"/>
    <w:rsid w:val="00AF6FEC"/>
    <w:rsid w:val="00B06ADA"/>
    <w:rsid w:val="00B11ED5"/>
    <w:rsid w:val="00B12975"/>
    <w:rsid w:val="00B31266"/>
    <w:rsid w:val="00B63AF7"/>
    <w:rsid w:val="00B74628"/>
    <w:rsid w:val="00B83C5D"/>
    <w:rsid w:val="00B86505"/>
    <w:rsid w:val="00B9119F"/>
    <w:rsid w:val="00B9760F"/>
    <w:rsid w:val="00BA2384"/>
    <w:rsid w:val="00BA5827"/>
    <w:rsid w:val="00BB66C3"/>
    <w:rsid w:val="00BC1D60"/>
    <w:rsid w:val="00BD66E7"/>
    <w:rsid w:val="00BE1373"/>
    <w:rsid w:val="00BE2738"/>
    <w:rsid w:val="00C05427"/>
    <w:rsid w:val="00C1029A"/>
    <w:rsid w:val="00C120EC"/>
    <w:rsid w:val="00C1442D"/>
    <w:rsid w:val="00C15552"/>
    <w:rsid w:val="00C2011E"/>
    <w:rsid w:val="00C21B1D"/>
    <w:rsid w:val="00C25C85"/>
    <w:rsid w:val="00C27FE1"/>
    <w:rsid w:val="00C35DE7"/>
    <w:rsid w:val="00C43C5F"/>
    <w:rsid w:val="00C64C03"/>
    <w:rsid w:val="00C80AD1"/>
    <w:rsid w:val="00C822B9"/>
    <w:rsid w:val="00C85825"/>
    <w:rsid w:val="00C85B88"/>
    <w:rsid w:val="00C9137F"/>
    <w:rsid w:val="00C935B6"/>
    <w:rsid w:val="00CD1E8A"/>
    <w:rsid w:val="00CE0DA9"/>
    <w:rsid w:val="00CE3739"/>
    <w:rsid w:val="00CE3EE1"/>
    <w:rsid w:val="00CE4DB7"/>
    <w:rsid w:val="00CE5F23"/>
    <w:rsid w:val="00CF2FBF"/>
    <w:rsid w:val="00CF3081"/>
    <w:rsid w:val="00D00CF8"/>
    <w:rsid w:val="00D14EE2"/>
    <w:rsid w:val="00D20423"/>
    <w:rsid w:val="00D33AA6"/>
    <w:rsid w:val="00D521C6"/>
    <w:rsid w:val="00D63410"/>
    <w:rsid w:val="00D7529E"/>
    <w:rsid w:val="00D755BE"/>
    <w:rsid w:val="00D8401F"/>
    <w:rsid w:val="00D86F51"/>
    <w:rsid w:val="00DA2100"/>
    <w:rsid w:val="00DB4CDA"/>
    <w:rsid w:val="00DC0C84"/>
    <w:rsid w:val="00DC16B7"/>
    <w:rsid w:val="00DC237C"/>
    <w:rsid w:val="00DC5165"/>
    <w:rsid w:val="00DC5D2B"/>
    <w:rsid w:val="00DE1EDE"/>
    <w:rsid w:val="00DE3463"/>
    <w:rsid w:val="00DE4A45"/>
    <w:rsid w:val="00DE60FE"/>
    <w:rsid w:val="00DF56B2"/>
    <w:rsid w:val="00E02214"/>
    <w:rsid w:val="00E0403B"/>
    <w:rsid w:val="00E058EF"/>
    <w:rsid w:val="00E05AE5"/>
    <w:rsid w:val="00E1025B"/>
    <w:rsid w:val="00E112F3"/>
    <w:rsid w:val="00E24914"/>
    <w:rsid w:val="00E27EEB"/>
    <w:rsid w:val="00E40095"/>
    <w:rsid w:val="00E4017A"/>
    <w:rsid w:val="00E47205"/>
    <w:rsid w:val="00E55E81"/>
    <w:rsid w:val="00E56B29"/>
    <w:rsid w:val="00E64FE1"/>
    <w:rsid w:val="00E81F6D"/>
    <w:rsid w:val="00E90CFE"/>
    <w:rsid w:val="00EB3811"/>
    <w:rsid w:val="00EB5FB9"/>
    <w:rsid w:val="00EC6A84"/>
    <w:rsid w:val="00ED2B23"/>
    <w:rsid w:val="00ED61D0"/>
    <w:rsid w:val="00EF2AB4"/>
    <w:rsid w:val="00EF5DA4"/>
    <w:rsid w:val="00EF7680"/>
    <w:rsid w:val="00F00F4C"/>
    <w:rsid w:val="00F06B2D"/>
    <w:rsid w:val="00F1242D"/>
    <w:rsid w:val="00F230E8"/>
    <w:rsid w:val="00F33780"/>
    <w:rsid w:val="00F60607"/>
    <w:rsid w:val="00F67C65"/>
    <w:rsid w:val="00F70C81"/>
    <w:rsid w:val="00F735D3"/>
    <w:rsid w:val="00F74780"/>
    <w:rsid w:val="00F81739"/>
    <w:rsid w:val="00F8656E"/>
    <w:rsid w:val="00F866FE"/>
    <w:rsid w:val="00F93E55"/>
    <w:rsid w:val="00F9697A"/>
    <w:rsid w:val="00FA4449"/>
    <w:rsid w:val="00FB1508"/>
    <w:rsid w:val="00FC026D"/>
    <w:rsid w:val="00FC6C27"/>
    <w:rsid w:val="00FF229B"/>
    <w:rsid w:val="00FF49BE"/>
    <w:rsid w:val="00FF5C9B"/>
    <w:rsid w:val="00FF5E1D"/>
    <w:rsid w:val="00FF7A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hapeDefaults>
    <o:shapedefaults v:ext="edit" spidmax="413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ja-JP" w:bidi="ar-SA"/>
      </w:rPr>
    </w:rPrDefault>
    <w:pPrDefault>
      <w:pPr>
        <w:spacing w:after="240" w:line="240" w:lineRule="atLeast"/>
      </w:pPr>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qFormat="1"/>
    <w:lsdException w:name="heading 3" w:qFormat="1"/>
    <w:lsdException w:name="Title" w:semiHidden="0" w:unhideWhenUsed="0"/>
    <w:lsdException w:name="Default Paragraph Font" w:uiPriority="1"/>
    <w:lsdException w:name="Subtitle" w:semiHidden="0" w:unhideWhenUsed="0"/>
    <w:lsdException w:name="Hyperlink" w:uiPriority="99"/>
    <w:lsdException w:name="Strong" w:semiHidden="0" w:unhideWhenUsed="0"/>
    <w:lsdException w:name="Emphasis" w:semiHidden="0" w:unhideWhenUsed="0"/>
    <w:lsdException w:name="HTML Top of Form" w:uiPriority="99"/>
    <w:lsdException w:name="HTML Bottom of Form" w:uiPriority="99"/>
    <w:lsdException w:name="Normal (Web)" w:uiPriority="99" w:qFormat="1"/>
    <w:lsdException w:name="Normal Table" w:uiPriority="99"/>
    <w:lsdException w:name="No Lis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991DB2"/>
    <w:pPr>
      <w:spacing w:after="0" w:line="240" w:lineRule="auto"/>
    </w:pPr>
    <w:rPr>
      <w:rFonts w:ascii="Times New Roman" w:eastAsia="MS Mincho" w:hAnsi="Times New Roman" w:cs="Times New Roman"/>
      <w:sz w:val="24"/>
      <w:szCs w:val="24"/>
      <w:lang w:val="en-US" w:eastAsia="en-US"/>
    </w:rPr>
  </w:style>
  <w:style w:type="paragraph" w:styleId="Heading1">
    <w:name w:val="heading 1"/>
    <w:basedOn w:val="Body"/>
    <w:next w:val="Body"/>
    <w:link w:val="Heading1Char"/>
    <w:qFormat/>
    <w:rsid w:val="00991DB2"/>
    <w:pPr>
      <w:keepNext/>
      <w:spacing w:before="360" w:line="420" w:lineRule="exact"/>
      <w:outlineLvl w:val="0"/>
    </w:pPr>
    <w:rPr>
      <w:rFonts w:ascii="Arial" w:hAnsi="Arial" w:cs="Arial"/>
      <w:bCs/>
      <w:color w:val="4E8ABE"/>
      <w:kern w:val="32"/>
      <w:sz w:val="36"/>
      <w:szCs w:val="36"/>
    </w:rPr>
  </w:style>
  <w:style w:type="paragraph" w:styleId="Heading2">
    <w:name w:val="heading 2"/>
    <w:aliases w:val="Publication Title,Text Heading 14pt,Paragraafkop,Subsection,Head B,5,3 bullet,2,left aligned"/>
    <w:basedOn w:val="Body"/>
    <w:next w:val="Body"/>
    <w:link w:val="Heading2Char"/>
    <w:qFormat/>
    <w:rsid w:val="00991DB2"/>
    <w:pPr>
      <w:keepNext/>
      <w:autoSpaceDE w:val="0"/>
      <w:autoSpaceDN w:val="0"/>
      <w:adjustRightInd w:val="0"/>
      <w:spacing w:after="90" w:line="280" w:lineRule="exact"/>
      <w:outlineLvl w:val="1"/>
    </w:pPr>
    <w:rPr>
      <w:rFonts w:ascii="Arial" w:hAnsi="Arial"/>
      <w:b/>
      <w:color w:val="4E8ABE"/>
      <w:sz w:val="24"/>
    </w:rPr>
  </w:style>
  <w:style w:type="paragraph" w:styleId="Heading3">
    <w:name w:val="heading 3"/>
    <w:aliases w:val="Heading 361,Heading 36,Heading 312,d,Heading 31,3,Heading 32,Subparagraafkop,Heading 33,Table 10pt1,Subparagraafkop1,Head C1,Reg#sNoBold1,d1,4 dash1,31,Heading 35,Table 10pt,Char1,Char,Heading 3 Char Char Char,Head C,4 dash,Reg#sNoBold,Char4,4"/>
    <w:basedOn w:val="Body"/>
    <w:next w:val="Body"/>
    <w:link w:val="Heading3Char"/>
    <w:qFormat/>
    <w:rsid w:val="00991DB2"/>
    <w:pPr>
      <w:keepNext/>
      <w:spacing w:after="40"/>
      <w:outlineLvl w:val="2"/>
    </w:pPr>
    <w:rPr>
      <w:rFonts w:cs="Arial"/>
      <w:b/>
      <w:bCs/>
      <w:szCs w:val="26"/>
    </w:rPr>
  </w:style>
  <w:style w:type="paragraph" w:styleId="Heading4">
    <w:name w:val="heading 4"/>
    <w:basedOn w:val="Body"/>
    <w:next w:val="Body"/>
    <w:link w:val="Heading4Char"/>
    <w:rsid w:val="00991DB2"/>
    <w:pPr>
      <w:keepNext/>
      <w:spacing w:after="0"/>
      <w:outlineLvl w:val="3"/>
    </w:pPr>
    <w:rPr>
      <w:bCs/>
      <w:i/>
      <w:szCs w:val="28"/>
    </w:rPr>
  </w:style>
  <w:style w:type="paragraph" w:styleId="Heading5">
    <w:name w:val="heading 5"/>
    <w:basedOn w:val="Heading4"/>
    <w:next w:val="Body"/>
    <w:link w:val="Heading5Char"/>
    <w:rsid w:val="00991DB2"/>
    <w:pPr>
      <w:spacing w:after="40"/>
      <w:outlineLvl w:val="4"/>
    </w:pPr>
    <w:rPr>
      <w:b/>
      <w:bCs w:val="0"/>
      <w:i w:val="0"/>
      <w:color w:val="000080"/>
      <w:sz w:val="144"/>
      <w:szCs w:val="144"/>
    </w:rPr>
  </w:style>
  <w:style w:type="paragraph" w:styleId="Heading6">
    <w:name w:val="heading 6"/>
    <w:basedOn w:val="Heading1"/>
    <w:next w:val="Normal"/>
    <w:link w:val="Heading6Char"/>
    <w:rsid w:val="00991DB2"/>
    <w:pPr>
      <w:pBdr>
        <w:bottom w:val="single" w:sz="6" w:space="1" w:color="auto"/>
      </w:pBdr>
      <w:spacing w:before="120" w:line="240" w:lineRule="auto"/>
      <w:outlineLvl w:val="5"/>
    </w:pPr>
    <w:rPr>
      <w:rFonts w:ascii="Times New Roman" w:hAnsi="Times New Roman" w:cs="Times New Roman"/>
      <w:bCs w:val="0"/>
      <w:smallCaps/>
      <w:color w:val="000080"/>
      <w:kern w:val="0"/>
      <w:sz w:val="144"/>
      <w:szCs w:val="144"/>
    </w:rPr>
  </w:style>
  <w:style w:type="paragraph" w:styleId="Heading7">
    <w:name w:val="heading 7"/>
    <w:basedOn w:val="Normal"/>
    <w:next w:val="Normal"/>
    <w:link w:val="Heading7Char"/>
    <w:rsid w:val="00991DB2"/>
    <w:pPr>
      <w:keepNext/>
      <w:keepLines/>
      <w:spacing w:after="100"/>
      <w:outlineLvl w:val="6"/>
    </w:pPr>
    <w:rPr>
      <w:color w:val="000080"/>
      <w:sz w:val="144"/>
      <w:szCs w:val="144"/>
    </w:rPr>
  </w:style>
  <w:style w:type="paragraph" w:styleId="Heading8">
    <w:name w:val="heading 8"/>
    <w:basedOn w:val="Normal"/>
    <w:next w:val="Normal"/>
    <w:link w:val="Heading8Char"/>
    <w:rsid w:val="00991DB2"/>
    <w:pPr>
      <w:spacing w:before="240" w:after="60"/>
      <w:outlineLvl w:val="7"/>
    </w:pPr>
    <w:rPr>
      <w:i/>
      <w:iCs/>
    </w:rPr>
  </w:style>
  <w:style w:type="paragraph" w:styleId="Heading9">
    <w:name w:val="heading 9"/>
    <w:basedOn w:val="Normal"/>
    <w:next w:val="Normal"/>
    <w:link w:val="Heading9Char"/>
    <w:rsid w:val="00991DB2"/>
    <w:pPr>
      <w:spacing w:before="240" w:after="60"/>
      <w:outlineLvl w:val="8"/>
    </w:pPr>
    <w:rPr>
      <w:rFonts w:ascii="Arial" w:hAnsi="Arial" w:cs="Arial"/>
      <w:szCs w:val="22"/>
    </w:rPr>
  </w:style>
  <w:style w:type="character" w:default="1" w:styleId="DefaultParagraphFont">
    <w:name w:val="Default Paragraph Font"/>
    <w:uiPriority w:val="1"/>
    <w:semiHidden/>
    <w:unhideWhenUsed/>
    <w:rsid w:val="00991DB2"/>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991DB2"/>
  </w:style>
  <w:style w:type="paragraph" w:styleId="Header">
    <w:name w:val="header"/>
    <w:basedOn w:val="Normal"/>
    <w:link w:val="HeaderChar"/>
    <w:rsid w:val="00991DB2"/>
    <w:pPr>
      <w:tabs>
        <w:tab w:val="center" w:pos="4320"/>
        <w:tab w:val="right" w:pos="8640"/>
      </w:tabs>
      <w:spacing w:after="120"/>
    </w:pPr>
    <w:rPr>
      <w:rFonts w:ascii="Arial" w:hAnsi="Arial"/>
      <w:noProof/>
      <w:kern w:val="20"/>
      <w:sz w:val="14"/>
    </w:rPr>
  </w:style>
  <w:style w:type="character" w:customStyle="1" w:styleId="HeaderChar">
    <w:name w:val="Header Char"/>
    <w:basedOn w:val="DefaultParagraphFont"/>
    <w:link w:val="Header"/>
    <w:rsid w:val="00991DB2"/>
    <w:rPr>
      <w:rFonts w:ascii="Arial" w:eastAsia="MS Mincho" w:hAnsi="Arial" w:cs="Times New Roman"/>
      <w:noProof/>
      <w:kern w:val="20"/>
      <w:sz w:val="14"/>
      <w:szCs w:val="24"/>
      <w:lang w:val="en-US" w:eastAsia="en-US"/>
    </w:rPr>
  </w:style>
  <w:style w:type="paragraph" w:styleId="Footer">
    <w:name w:val="footer"/>
    <w:basedOn w:val="Normal"/>
    <w:link w:val="FooterChar"/>
    <w:rsid w:val="00991DB2"/>
    <w:pPr>
      <w:tabs>
        <w:tab w:val="left" w:pos="6552"/>
      </w:tabs>
      <w:spacing w:before="240"/>
    </w:pPr>
    <w:rPr>
      <w:rFonts w:ascii="Arial" w:hAnsi="Arial"/>
      <w:b/>
      <w:sz w:val="14"/>
    </w:rPr>
  </w:style>
  <w:style w:type="character" w:customStyle="1" w:styleId="FooterChar">
    <w:name w:val="Footer Char"/>
    <w:basedOn w:val="DefaultParagraphFont"/>
    <w:link w:val="Footer"/>
    <w:rsid w:val="00991DB2"/>
    <w:rPr>
      <w:rFonts w:ascii="Arial" w:eastAsia="MS Mincho" w:hAnsi="Arial" w:cs="Times New Roman"/>
      <w:b/>
      <w:sz w:val="14"/>
      <w:szCs w:val="24"/>
      <w:lang w:val="en-US" w:eastAsia="en-US"/>
    </w:rPr>
  </w:style>
  <w:style w:type="paragraph" w:styleId="BalloonText">
    <w:name w:val="Balloon Text"/>
    <w:basedOn w:val="Normal"/>
    <w:link w:val="BalloonTextChar"/>
    <w:semiHidden/>
    <w:rsid w:val="00991DB2"/>
    <w:rPr>
      <w:rFonts w:ascii="Tahoma" w:hAnsi="Tahoma" w:cs="Tahoma"/>
      <w:sz w:val="16"/>
      <w:szCs w:val="16"/>
    </w:rPr>
  </w:style>
  <w:style w:type="character" w:customStyle="1" w:styleId="BalloonTextChar">
    <w:name w:val="Balloon Text Char"/>
    <w:basedOn w:val="DefaultParagraphFont"/>
    <w:link w:val="BalloonText"/>
    <w:semiHidden/>
    <w:rsid w:val="00991DB2"/>
    <w:rPr>
      <w:rFonts w:ascii="Tahoma" w:eastAsia="MS Mincho" w:hAnsi="Tahoma" w:cs="Tahoma"/>
      <w:sz w:val="16"/>
      <w:szCs w:val="16"/>
      <w:lang w:val="en-US" w:eastAsia="en-US"/>
    </w:rPr>
  </w:style>
  <w:style w:type="character" w:styleId="PlaceholderText">
    <w:name w:val="Placeholder Text"/>
    <w:basedOn w:val="DefaultParagraphFont"/>
    <w:uiPriority w:val="99"/>
    <w:semiHidden/>
    <w:rsid w:val="00991DB2"/>
    <w:rPr>
      <w:color w:val="808080"/>
    </w:rPr>
  </w:style>
  <w:style w:type="paragraph" w:customStyle="1" w:styleId="Body">
    <w:name w:val="Body"/>
    <w:aliases w:val="by,body + Black,Justified,After:  3 pt,Line spacing:  At least 9 pt + Bl...,Line spacing:  At least 9 pt...,body + 10 pt,Body Text + 10 pt,Bullet + Arial Narrow,(Latin) 9 pt,Before:  3 pt,Line spacin...,Body1,by + After:  8 pt,body,by1,body1,18 pt"/>
    <w:basedOn w:val="Normal"/>
    <w:link w:val="BodyChar"/>
    <w:qFormat/>
    <w:rsid w:val="00991DB2"/>
    <w:pPr>
      <w:spacing w:after="240"/>
    </w:pPr>
    <w:rPr>
      <w:sz w:val="20"/>
    </w:rPr>
  </w:style>
  <w:style w:type="paragraph" w:customStyle="1" w:styleId="FooterFrontPage">
    <w:name w:val="FooterFrontPage"/>
    <w:basedOn w:val="Normal"/>
    <w:rsid w:val="00991DB2"/>
    <w:pPr>
      <w:framePr w:wrap="around" w:hAnchor="text" w:yAlign="bottom"/>
      <w:spacing w:line="216" w:lineRule="atLeast"/>
      <w:jc w:val="both"/>
    </w:pPr>
    <w:rPr>
      <w:rFonts w:ascii="Arial Narrow" w:hAnsi="Arial Narrow"/>
      <w:bCs/>
      <w:iCs/>
      <w:noProof/>
      <w:spacing w:val="-2"/>
      <w:sz w:val="20"/>
      <w:szCs w:val="18"/>
    </w:rPr>
  </w:style>
  <w:style w:type="paragraph" w:customStyle="1" w:styleId="Industry">
    <w:name w:val="Industry"/>
    <w:basedOn w:val="Body"/>
    <w:next w:val="Body"/>
    <w:rsid w:val="00991DB2"/>
    <w:pPr>
      <w:pBdr>
        <w:top w:val="single" w:sz="2" w:space="4" w:color="auto"/>
      </w:pBdr>
      <w:spacing w:after="90"/>
    </w:pPr>
    <w:rPr>
      <w:rFonts w:ascii="Arial" w:hAnsi="Arial"/>
      <w:b/>
      <w:noProof/>
      <w:sz w:val="17"/>
      <w:szCs w:val="17"/>
    </w:rPr>
  </w:style>
  <w:style w:type="paragraph" w:customStyle="1" w:styleId="FPTitleCompany">
    <w:name w:val="FPTitleCompany"/>
    <w:basedOn w:val="DocTitle"/>
    <w:rsid w:val="00991DB2"/>
    <w:pPr>
      <w:framePr w:hSpace="187" w:wrap="around" w:vAnchor="text" w:hAnchor="text" w:xAlign="right" w:y="1"/>
      <w:spacing w:line="240" w:lineRule="auto"/>
    </w:pPr>
    <w:rPr>
      <w:color w:val="4E8ABE"/>
    </w:rPr>
  </w:style>
  <w:style w:type="paragraph" w:customStyle="1" w:styleId="HeaderRegionGroup">
    <w:name w:val="HeaderRegionGroup"/>
    <w:basedOn w:val="Header"/>
    <w:rsid w:val="00991DB2"/>
    <w:pPr>
      <w:spacing w:after="0"/>
    </w:pPr>
    <w:rPr>
      <w:b/>
      <w:color w:val="4E8ABE"/>
      <w:szCs w:val="14"/>
    </w:rPr>
  </w:style>
  <w:style w:type="paragraph" w:customStyle="1" w:styleId="IPOInsidePage">
    <w:name w:val="IPOInsidePage"/>
    <w:basedOn w:val="IPO"/>
    <w:rsid w:val="00991DB2"/>
    <w:pPr>
      <w:spacing w:before="120" w:after="50"/>
      <w:ind w:right="0"/>
    </w:pPr>
    <w:rPr>
      <w:sz w:val="18"/>
    </w:rPr>
  </w:style>
  <w:style w:type="character" w:styleId="PageNumber">
    <w:name w:val="page number"/>
    <w:basedOn w:val="DefaultParagraphFont"/>
    <w:rsid w:val="00991DB2"/>
    <w:rPr>
      <w:rFonts w:ascii="Arial" w:hAnsi="Arial"/>
      <w:sz w:val="14"/>
    </w:rPr>
  </w:style>
  <w:style w:type="paragraph" w:customStyle="1" w:styleId="PriceDual">
    <w:name w:val="PriceDual"/>
    <w:basedOn w:val="RatingDual"/>
    <w:next w:val="Body"/>
    <w:rsid w:val="00991DB2"/>
    <w:pPr>
      <w:framePr w:wrap="around"/>
    </w:pPr>
    <w:rPr>
      <w:b/>
    </w:rPr>
  </w:style>
  <w:style w:type="paragraph" w:customStyle="1" w:styleId="PTChangeArrow">
    <w:name w:val="PTChangeArrow"/>
    <w:basedOn w:val="FPTitleCompany"/>
    <w:rsid w:val="00991DB2"/>
    <w:pPr>
      <w:framePr w:wrap="auto"/>
      <w:spacing w:before="260" w:after="300"/>
    </w:pPr>
    <w:rPr>
      <w:color w:val="616265"/>
      <w:sz w:val="20"/>
      <w:szCs w:val="20"/>
    </w:rPr>
  </w:style>
  <w:style w:type="paragraph" w:customStyle="1" w:styleId="PublishDate">
    <w:name w:val="PublishDate"/>
    <w:basedOn w:val="Normal"/>
    <w:rsid w:val="00991DB2"/>
    <w:pPr>
      <w:spacing w:after="260" w:line="200" w:lineRule="atLeast"/>
      <w:ind w:left="7114"/>
    </w:pPr>
    <w:rPr>
      <w:rFonts w:ascii="Arial" w:hAnsi="Arial"/>
      <w:noProof/>
      <w:sz w:val="16"/>
    </w:rPr>
  </w:style>
  <w:style w:type="paragraph" w:customStyle="1" w:styleId="RatingChangeArrow">
    <w:name w:val="RatingChangeArrow"/>
    <w:basedOn w:val="FPTitleCompany"/>
    <w:rsid w:val="00991DB2"/>
    <w:pPr>
      <w:framePr w:wrap="auto"/>
      <w:spacing w:before="120" w:after="480"/>
    </w:pPr>
    <w:rPr>
      <w:color w:val="616265"/>
      <w:sz w:val="28"/>
      <w:szCs w:val="28"/>
    </w:rPr>
  </w:style>
  <w:style w:type="paragraph" w:customStyle="1" w:styleId="RegionGroup">
    <w:name w:val="RegionGroup"/>
    <w:basedOn w:val="Body"/>
    <w:next w:val="PublishDate"/>
    <w:rsid w:val="00991DB2"/>
    <w:pPr>
      <w:spacing w:after="0" w:line="200" w:lineRule="atLeast"/>
      <w:ind w:left="7114"/>
    </w:pPr>
    <w:rPr>
      <w:rFonts w:ascii="Arial" w:hAnsi="Arial"/>
      <w:b/>
      <w:noProof/>
      <w:color w:val="4E8ABE"/>
      <w:sz w:val="18"/>
      <w:szCs w:val="18"/>
    </w:rPr>
  </w:style>
  <w:style w:type="paragraph" w:customStyle="1" w:styleId="RegionGroupInvisible">
    <w:name w:val="RegionGroupInvisible"/>
    <w:basedOn w:val="Header"/>
    <w:rsid w:val="00991DB2"/>
    <w:pPr>
      <w:spacing w:before="1440"/>
    </w:pPr>
    <w:rPr>
      <w:color w:val="FFFFFF"/>
    </w:rPr>
  </w:style>
  <w:style w:type="paragraph" w:customStyle="1" w:styleId="ReportType">
    <w:name w:val="ReportType"/>
    <w:basedOn w:val="RatingDual"/>
    <w:rsid w:val="00991DB2"/>
    <w:pPr>
      <w:framePr w:wrap="around"/>
    </w:pPr>
    <w:rPr>
      <w:b/>
      <w:sz w:val="18"/>
    </w:rPr>
  </w:style>
  <w:style w:type="paragraph" w:customStyle="1" w:styleId="SubTitle">
    <w:name w:val="SubTitle"/>
    <w:basedOn w:val="Body"/>
    <w:next w:val="Body"/>
    <w:rsid w:val="00991DB2"/>
    <w:pPr>
      <w:spacing w:before="60" w:after="120"/>
    </w:pPr>
    <w:rPr>
      <w:rFonts w:ascii="Arial" w:hAnsi="Arial"/>
      <w:sz w:val="26"/>
    </w:rPr>
  </w:style>
  <w:style w:type="table" w:styleId="TableGrid">
    <w:name w:val="Table Grid"/>
    <w:basedOn w:val="TableNormal"/>
    <w:rsid w:val="00991DB2"/>
    <w:pPr>
      <w:spacing w:after="0" w:line="240" w:lineRule="auto"/>
    </w:pPr>
    <w:rPr>
      <w:rFonts w:ascii="Times New Roman" w:eastAsia="MS Mincho"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111111">
    <w:name w:val="Outline List 2"/>
    <w:basedOn w:val="NoList"/>
    <w:rsid w:val="00991DB2"/>
    <w:pPr>
      <w:numPr>
        <w:numId w:val="1"/>
      </w:numPr>
    </w:pPr>
  </w:style>
  <w:style w:type="numbering" w:styleId="1ai">
    <w:name w:val="Outline List 1"/>
    <w:basedOn w:val="NoList"/>
    <w:rsid w:val="00991DB2"/>
    <w:pPr>
      <w:numPr>
        <w:numId w:val="2"/>
      </w:numPr>
    </w:pPr>
  </w:style>
  <w:style w:type="paragraph" w:customStyle="1" w:styleId="AbstractRP">
    <w:name w:val="AbstractRP"/>
    <w:basedOn w:val="Body"/>
    <w:semiHidden/>
    <w:rsid w:val="00991DB2"/>
  </w:style>
  <w:style w:type="paragraph" w:styleId="CommentText">
    <w:name w:val="annotation text"/>
    <w:basedOn w:val="Normal"/>
    <w:link w:val="CommentTextChar"/>
    <w:semiHidden/>
    <w:rsid w:val="00991DB2"/>
    <w:rPr>
      <w:sz w:val="20"/>
    </w:rPr>
  </w:style>
  <w:style w:type="character" w:customStyle="1" w:styleId="CommentTextChar">
    <w:name w:val="Comment Text Char"/>
    <w:basedOn w:val="DefaultParagraphFont"/>
    <w:link w:val="CommentText"/>
    <w:semiHidden/>
    <w:rsid w:val="00991DB2"/>
    <w:rPr>
      <w:rFonts w:ascii="Times New Roman" w:eastAsia="MS Mincho" w:hAnsi="Times New Roman" w:cs="Times New Roman"/>
      <w:sz w:val="20"/>
      <w:szCs w:val="24"/>
      <w:lang w:val="en-US" w:eastAsia="en-US"/>
    </w:rPr>
  </w:style>
  <w:style w:type="paragraph" w:customStyle="1" w:styleId="AcrobatBookmark">
    <w:name w:val="Acrobat Bookmark"/>
    <w:basedOn w:val="CommentText"/>
    <w:rsid w:val="00991DB2"/>
    <w:rPr>
      <w:rFonts w:ascii="Arial" w:hAnsi="Arial"/>
      <w:i/>
      <w:sz w:val="16"/>
    </w:rPr>
  </w:style>
  <w:style w:type="paragraph" w:customStyle="1" w:styleId="AgencyRating">
    <w:name w:val="AgencyRating"/>
    <w:basedOn w:val="Body"/>
    <w:rsid w:val="00991DB2"/>
    <w:pPr>
      <w:spacing w:after="0"/>
    </w:pPr>
    <w:rPr>
      <w:rFonts w:ascii="Arial Narrow" w:hAnsi="Arial Narrow"/>
      <w:sz w:val="18"/>
      <w:szCs w:val="18"/>
    </w:rPr>
  </w:style>
  <w:style w:type="paragraph" w:styleId="BodyText">
    <w:name w:val="Body Text"/>
    <w:basedOn w:val="Normal"/>
    <w:link w:val="BodyTextChar"/>
    <w:rsid w:val="00991DB2"/>
    <w:pPr>
      <w:spacing w:after="120"/>
    </w:pPr>
  </w:style>
  <w:style w:type="character" w:customStyle="1" w:styleId="BodyTextChar">
    <w:name w:val="Body Text Char"/>
    <w:basedOn w:val="DefaultParagraphFont"/>
    <w:link w:val="BodyText"/>
    <w:rsid w:val="00991DB2"/>
    <w:rPr>
      <w:rFonts w:ascii="Times New Roman" w:eastAsia="MS Mincho" w:hAnsi="Times New Roman" w:cs="Times New Roman"/>
      <w:sz w:val="24"/>
      <w:szCs w:val="24"/>
      <w:lang w:val="en-US" w:eastAsia="en-US"/>
    </w:rPr>
  </w:style>
  <w:style w:type="paragraph" w:customStyle="1" w:styleId="AnalystCertification">
    <w:name w:val="AnalystCertification"/>
    <w:basedOn w:val="BodyText"/>
    <w:rsid w:val="00991DB2"/>
    <w:pPr>
      <w:ind w:left="-3125"/>
    </w:pPr>
    <w:rPr>
      <w:sz w:val="20"/>
    </w:rPr>
  </w:style>
  <w:style w:type="paragraph" w:customStyle="1" w:styleId="AnalystCertificationHead">
    <w:name w:val="AnalystCertificationHead"/>
    <w:basedOn w:val="Normal"/>
    <w:rsid w:val="00991DB2"/>
    <w:pPr>
      <w:keepNext/>
      <w:autoSpaceDE w:val="0"/>
      <w:autoSpaceDN w:val="0"/>
      <w:adjustRightInd w:val="0"/>
      <w:spacing w:line="240" w:lineRule="atLeast"/>
      <w:ind w:left="-3125"/>
    </w:pPr>
    <w:rPr>
      <w:b/>
      <w:bCs/>
      <w:color w:val="000000"/>
      <w:sz w:val="20"/>
      <w:szCs w:val="20"/>
    </w:rPr>
  </w:style>
  <w:style w:type="paragraph" w:customStyle="1" w:styleId="AnalystsnonJPMSI">
    <w:name w:val="AnalystsnonJPMSI"/>
    <w:basedOn w:val="Body"/>
    <w:rsid w:val="00991DB2"/>
    <w:pPr>
      <w:spacing w:after="40"/>
    </w:pPr>
    <w:rPr>
      <w:rFonts w:ascii="Arial Narrow" w:hAnsi="Arial Narrow"/>
      <w:sz w:val="18"/>
      <w:szCs w:val="18"/>
    </w:rPr>
  </w:style>
  <w:style w:type="paragraph" w:customStyle="1" w:styleId="AnchorLETable">
    <w:name w:val="AnchorLETable"/>
    <w:basedOn w:val="FooterFrontPage"/>
    <w:rsid w:val="00991DB2"/>
    <w:pPr>
      <w:framePr w:wrap="around"/>
    </w:pPr>
    <w:rPr>
      <w:rFonts w:ascii="Arial" w:hAnsi="Arial"/>
    </w:rPr>
  </w:style>
  <w:style w:type="paragraph" w:customStyle="1" w:styleId="AnchorPriceData">
    <w:name w:val="AnchorPriceData"/>
    <w:basedOn w:val="FooterFrontPage"/>
    <w:rsid w:val="00991DB2"/>
    <w:pPr>
      <w:framePr w:wrap="around"/>
    </w:pPr>
  </w:style>
  <w:style w:type="character" w:customStyle="1" w:styleId="Heading1Char">
    <w:name w:val="Heading 1 Char"/>
    <w:basedOn w:val="DefaultParagraphFont"/>
    <w:link w:val="Heading1"/>
    <w:rsid w:val="00991DB2"/>
    <w:rPr>
      <w:rFonts w:ascii="Arial" w:eastAsia="MS Mincho" w:hAnsi="Arial" w:cs="Arial"/>
      <w:bCs/>
      <w:color w:val="4E8ABE"/>
      <w:kern w:val="32"/>
      <w:sz w:val="36"/>
      <w:szCs w:val="36"/>
      <w:lang w:val="en-US" w:eastAsia="en-US"/>
    </w:rPr>
  </w:style>
  <w:style w:type="paragraph" w:customStyle="1" w:styleId="Append">
    <w:name w:val="Append"/>
    <w:basedOn w:val="Heading1"/>
    <w:next w:val="Body"/>
    <w:rsid w:val="00991DB2"/>
    <w:pPr>
      <w:numPr>
        <w:numId w:val="3"/>
      </w:numPr>
    </w:pPr>
  </w:style>
  <w:style w:type="character" w:customStyle="1" w:styleId="Heading2Char">
    <w:name w:val="Heading 2 Char"/>
    <w:aliases w:val="Publication Title Char,Text Heading 14pt Char,Paragraafkop Char,Subsection Char,Head B Char,5 Char,3 bullet Char,2 Char,left aligned Char"/>
    <w:basedOn w:val="DefaultParagraphFont"/>
    <w:link w:val="Heading2"/>
    <w:rsid w:val="00991DB2"/>
    <w:rPr>
      <w:rFonts w:ascii="Arial" w:eastAsia="MS Mincho" w:hAnsi="Arial" w:cs="Times New Roman"/>
      <w:b/>
      <w:color w:val="4E8ABE"/>
      <w:sz w:val="24"/>
      <w:szCs w:val="24"/>
      <w:lang w:val="en-US" w:eastAsia="en-US"/>
    </w:rPr>
  </w:style>
  <w:style w:type="paragraph" w:customStyle="1" w:styleId="Append2">
    <w:name w:val="Append2"/>
    <w:basedOn w:val="Heading2"/>
    <w:next w:val="Body"/>
    <w:rsid w:val="00991DB2"/>
  </w:style>
  <w:style w:type="character" w:customStyle="1" w:styleId="Heading3Char">
    <w:name w:val="Heading 3 Char"/>
    <w:aliases w:val="Heading 361 Char,Heading 36 Char,Heading 312 Char,d Char,Heading 31 Char,3 Char,Heading 32 Char,Subparagraafkop Char,Heading 33 Char,Table 10pt1 Char,Subparagraafkop1 Char,Head C1 Char,Reg#sNoBold1 Char,d1 Char,4 dash1 Char,31 Char,4 Char"/>
    <w:basedOn w:val="DefaultParagraphFont"/>
    <w:link w:val="Heading3"/>
    <w:rsid w:val="00991DB2"/>
    <w:rPr>
      <w:rFonts w:ascii="Times New Roman" w:eastAsia="MS Mincho" w:hAnsi="Times New Roman" w:cs="Arial"/>
      <w:b/>
      <w:bCs/>
      <w:sz w:val="20"/>
      <w:szCs w:val="26"/>
      <w:lang w:val="en-US" w:eastAsia="en-US"/>
    </w:rPr>
  </w:style>
  <w:style w:type="character" w:customStyle="1" w:styleId="Heading4Char">
    <w:name w:val="Heading 4 Char"/>
    <w:basedOn w:val="DefaultParagraphFont"/>
    <w:link w:val="Heading4"/>
    <w:rsid w:val="00991DB2"/>
    <w:rPr>
      <w:rFonts w:ascii="Times New Roman" w:eastAsia="MS Mincho" w:hAnsi="Times New Roman" w:cs="Times New Roman"/>
      <w:bCs/>
      <w:i/>
      <w:sz w:val="20"/>
      <w:szCs w:val="28"/>
      <w:lang w:val="en-US" w:eastAsia="en-US"/>
    </w:rPr>
  </w:style>
  <w:style w:type="character" w:customStyle="1" w:styleId="Heading5Char">
    <w:name w:val="Heading 5 Char"/>
    <w:basedOn w:val="DefaultParagraphFont"/>
    <w:link w:val="Heading5"/>
    <w:rsid w:val="00991DB2"/>
    <w:rPr>
      <w:rFonts w:ascii="Times New Roman" w:eastAsia="MS Mincho" w:hAnsi="Times New Roman" w:cs="Times New Roman"/>
      <w:b/>
      <w:color w:val="000080"/>
      <w:sz w:val="144"/>
      <w:szCs w:val="144"/>
      <w:lang w:val="en-US" w:eastAsia="en-US"/>
    </w:rPr>
  </w:style>
  <w:style w:type="character" w:customStyle="1" w:styleId="Heading6Char">
    <w:name w:val="Heading 6 Char"/>
    <w:basedOn w:val="DefaultParagraphFont"/>
    <w:link w:val="Heading6"/>
    <w:rsid w:val="00991DB2"/>
    <w:rPr>
      <w:rFonts w:ascii="Times New Roman" w:eastAsia="MS Mincho" w:hAnsi="Times New Roman" w:cs="Times New Roman"/>
      <w:smallCaps/>
      <w:color w:val="000080"/>
      <w:sz w:val="144"/>
      <w:szCs w:val="144"/>
      <w:lang w:val="en-US" w:eastAsia="en-US"/>
    </w:rPr>
  </w:style>
  <w:style w:type="character" w:customStyle="1" w:styleId="Heading7Char">
    <w:name w:val="Heading 7 Char"/>
    <w:basedOn w:val="DefaultParagraphFont"/>
    <w:link w:val="Heading7"/>
    <w:rsid w:val="00991DB2"/>
    <w:rPr>
      <w:rFonts w:ascii="Times New Roman" w:eastAsia="MS Mincho" w:hAnsi="Times New Roman" w:cs="Times New Roman"/>
      <w:color w:val="000080"/>
      <w:sz w:val="144"/>
      <w:szCs w:val="144"/>
      <w:lang w:val="en-US" w:eastAsia="en-US"/>
    </w:rPr>
  </w:style>
  <w:style w:type="character" w:customStyle="1" w:styleId="Heading8Char">
    <w:name w:val="Heading 8 Char"/>
    <w:basedOn w:val="DefaultParagraphFont"/>
    <w:link w:val="Heading8"/>
    <w:rsid w:val="00991DB2"/>
    <w:rPr>
      <w:rFonts w:ascii="Times New Roman" w:eastAsia="MS Mincho" w:hAnsi="Times New Roman" w:cs="Times New Roman"/>
      <w:i/>
      <w:iCs/>
      <w:sz w:val="24"/>
      <w:szCs w:val="24"/>
      <w:lang w:val="en-US" w:eastAsia="en-US"/>
    </w:rPr>
  </w:style>
  <w:style w:type="character" w:customStyle="1" w:styleId="Heading9Char">
    <w:name w:val="Heading 9 Char"/>
    <w:basedOn w:val="DefaultParagraphFont"/>
    <w:link w:val="Heading9"/>
    <w:rsid w:val="00991DB2"/>
    <w:rPr>
      <w:rFonts w:ascii="Arial" w:eastAsia="MS Mincho" w:hAnsi="Arial" w:cs="Arial"/>
      <w:sz w:val="24"/>
      <w:lang w:val="en-US" w:eastAsia="en-US"/>
    </w:rPr>
  </w:style>
  <w:style w:type="numbering" w:styleId="ArticleSection">
    <w:name w:val="Outline List 3"/>
    <w:basedOn w:val="NoList"/>
    <w:rsid w:val="00991DB2"/>
    <w:pPr>
      <w:numPr>
        <w:numId w:val="4"/>
      </w:numPr>
    </w:pPr>
  </w:style>
  <w:style w:type="paragraph" w:styleId="BlockText">
    <w:name w:val="Block Text"/>
    <w:basedOn w:val="Normal"/>
    <w:rsid w:val="00991DB2"/>
    <w:pPr>
      <w:spacing w:after="120"/>
      <w:ind w:left="1440" w:right="1440"/>
    </w:pPr>
  </w:style>
  <w:style w:type="paragraph" w:styleId="BodyText2">
    <w:name w:val="Body Text 2"/>
    <w:basedOn w:val="Normal"/>
    <w:link w:val="BodyText2Char"/>
    <w:rsid w:val="00991DB2"/>
    <w:pPr>
      <w:spacing w:after="120" w:line="480" w:lineRule="auto"/>
    </w:pPr>
  </w:style>
  <w:style w:type="character" w:customStyle="1" w:styleId="BodyText2Char">
    <w:name w:val="Body Text 2 Char"/>
    <w:basedOn w:val="DefaultParagraphFont"/>
    <w:link w:val="BodyText2"/>
    <w:rsid w:val="00991DB2"/>
    <w:rPr>
      <w:rFonts w:ascii="Times New Roman" w:eastAsia="MS Mincho" w:hAnsi="Times New Roman" w:cs="Times New Roman"/>
      <w:sz w:val="24"/>
      <w:szCs w:val="24"/>
      <w:lang w:val="en-US" w:eastAsia="en-US"/>
    </w:rPr>
  </w:style>
  <w:style w:type="paragraph" w:styleId="BodyText3">
    <w:name w:val="Body Text 3"/>
    <w:basedOn w:val="Normal"/>
    <w:link w:val="BodyText3Char"/>
    <w:rsid w:val="00991DB2"/>
    <w:pPr>
      <w:spacing w:after="120"/>
    </w:pPr>
    <w:rPr>
      <w:sz w:val="16"/>
      <w:szCs w:val="16"/>
    </w:rPr>
  </w:style>
  <w:style w:type="character" w:customStyle="1" w:styleId="BodyText3Char">
    <w:name w:val="Body Text 3 Char"/>
    <w:basedOn w:val="DefaultParagraphFont"/>
    <w:link w:val="BodyText3"/>
    <w:rsid w:val="00991DB2"/>
    <w:rPr>
      <w:rFonts w:ascii="Times New Roman" w:eastAsia="MS Mincho" w:hAnsi="Times New Roman" w:cs="Times New Roman"/>
      <w:sz w:val="16"/>
      <w:szCs w:val="16"/>
      <w:lang w:val="en-US" w:eastAsia="en-US"/>
    </w:rPr>
  </w:style>
  <w:style w:type="paragraph" w:styleId="BodyTextFirstIndent">
    <w:name w:val="Body Text First Indent"/>
    <w:basedOn w:val="BodyText"/>
    <w:link w:val="BodyTextFirstIndentChar"/>
    <w:rsid w:val="00991DB2"/>
    <w:pPr>
      <w:ind w:firstLine="210"/>
    </w:pPr>
  </w:style>
  <w:style w:type="character" w:customStyle="1" w:styleId="BodyTextFirstIndentChar">
    <w:name w:val="Body Text First Indent Char"/>
    <w:basedOn w:val="BodyTextChar"/>
    <w:link w:val="BodyTextFirstIndent"/>
    <w:rsid w:val="00991DB2"/>
  </w:style>
  <w:style w:type="paragraph" w:styleId="BodyTextIndent">
    <w:name w:val="Body Text Indent"/>
    <w:basedOn w:val="Normal"/>
    <w:link w:val="BodyTextIndentChar"/>
    <w:rsid w:val="00991DB2"/>
    <w:pPr>
      <w:spacing w:after="120"/>
      <w:ind w:left="360"/>
    </w:pPr>
  </w:style>
  <w:style w:type="character" w:customStyle="1" w:styleId="BodyTextIndentChar">
    <w:name w:val="Body Text Indent Char"/>
    <w:basedOn w:val="DefaultParagraphFont"/>
    <w:link w:val="BodyTextIndent"/>
    <w:rsid w:val="00991DB2"/>
    <w:rPr>
      <w:rFonts w:ascii="Times New Roman" w:eastAsia="MS Mincho" w:hAnsi="Times New Roman" w:cs="Times New Roman"/>
      <w:sz w:val="24"/>
      <w:szCs w:val="24"/>
      <w:lang w:val="en-US" w:eastAsia="en-US"/>
    </w:rPr>
  </w:style>
  <w:style w:type="paragraph" w:styleId="BodyTextFirstIndent2">
    <w:name w:val="Body Text First Indent 2"/>
    <w:basedOn w:val="BodyTextIndent"/>
    <w:link w:val="BodyTextFirstIndent2Char"/>
    <w:rsid w:val="00991DB2"/>
    <w:pPr>
      <w:ind w:firstLine="210"/>
    </w:pPr>
  </w:style>
  <w:style w:type="character" w:customStyle="1" w:styleId="BodyTextFirstIndent2Char">
    <w:name w:val="Body Text First Indent 2 Char"/>
    <w:basedOn w:val="BodyTextIndentChar"/>
    <w:link w:val="BodyTextFirstIndent2"/>
    <w:rsid w:val="00991DB2"/>
  </w:style>
  <w:style w:type="paragraph" w:styleId="BodyTextIndent2">
    <w:name w:val="Body Text Indent 2"/>
    <w:basedOn w:val="Normal"/>
    <w:link w:val="BodyTextIndent2Char"/>
    <w:rsid w:val="00991DB2"/>
    <w:pPr>
      <w:spacing w:after="120" w:line="480" w:lineRule="auto"/>
      <w:ind w:left="360"/>
    </w:pPr>
  </w:style>
  <w:style w:type="character" w:customStyle="1" w:styleId="BodyTextIndent2Char">
    <w:name w:val="Body Text Indent 2 Char"/>
    <w:basedOn w:val="DefaultParagraphFont"/>
    <w:link w:val="BodyTextIndent2"/>
    <w:rsid w:val="00991DB2"/>
    <w:rPr>
      <w:rFonts w:ascii="Times New Roman" w:eastAsia="MS Mincho" w:hAnsi="Times New Roman" w:cs="Times New Roman"/>
      <w:sz w:val="24"/>
      <w:szCs w:val="24"/>
      <w:lang w:val="en-US" w:eastAsia="en-US"/>
    </w:rPr>
  </w:style>
  <w:style w:type="paragraph" w:styleId="BodyTextIndent3">
    <w:name w:val="Body Text Indent 3"/>
    <w:basedOn w:val="Normal"/>
    <w:link w:val="BodyTextIndent3Char"/>
    <w:rsid w:val="00991DB2"/>
    <w:pPr>
      <w:spacing w:after="120"/>
      <w:ind w:left="360"/>
    </w:pPr>
    <w:rPr>
      <w:sz w:val="16"/>
      <w:szCs w:val="16"/>
    </w:rPr>
  </w:style>
  <w:style w:type="character" w:customStyle="1" w:styleId="BodyTextIndent3Char">
    <w:name w:val="Body Text Indent 3 Char"/>
    <w:basedOn w:val="DefaultParagraphFont"/>
    <w:link w:val="BodyTextIndent3"/>
    <w:rsid w:val="00991DB2"/>
    <w:rPr>
      <w:rFonts w:ascii="Times New Roman" w:eastAsia="MS Mincho" w:hAnsi="Times New Roman" w:cs="Times New Roman"/>
      <w:sz w:val="16"/>
      <w:szCs w:val="16"/>
      <w:lang w:val="en-US" w:eastAsia="en-US"/>
    </w:rPr>
  </w:style>
  <w:style w:type="paragraph" w:customStyle="1" w:styleId="BrokerDisclaimer">
    <w:name w:val="BrokerDisclaimer"/>
    <w:basedOn w:val="Normal"/>
    <w:semiHidden/>
    <w:rsid w:val="00991DB2"/>
    <w:pPr>
      <w:spacing w:after="120"/>
    </w:pPr>
    <w:rPr>
      <w:rFonts w:ascii="Arial Narrow" w:hAnsi="Arial Narrow"/>
      <w:noProof/>
      <w:sz w:val="18"/>
    </w:rPr>
  </w:style>
  <w:style w:type="paragraph" w:customStyle="1" w:styleId="Bullet">
    <w:name w:val="Bullet"/>
    <w:basedOn w:val="Body"/>
    <w:link w:val="BulletChar"/>
    <w:qFormat/>
    <w:rsid w:val="00991DB2"/>
    <w:pPr>
      <w:numPr>
        <w:numId w:val="5"/>
      </w:numPr>
      <w:tabs>
        <w:tab w:val="left" w:pos="288"/>
      </w:tabs>
      <w:spacing w:after="120"/>
    </w:pPr>
  </w:style>
  <w:style w:type="paragraph" w:customStyle="1" w:styleId="Bullettext">
    <w:name w:val="Bullet text"/>
    <w:basedOn w:val="Normal"/>
    <w:rsid w:val="00991DB2"/>
    <w:pPr>
      <w:spacing w:after="240" w:line="240" w:lineRule="exact"/>
    </w:pPr>
    <w:rPr>
      <w:color w:val="000000"/>
      <w:sz w:val="20"/>
      <w:szCs w:val="20"/>
    </w:rPr>
  </w:style>
  <w:style w:type="paragraph" w:customStyle="1" w:styleId="BulletAsia">
    <w:name w:val="BulletAsia"/>
    <w:basedOn w:val="Body"/>
    <w:rsid w:val="00991DB2"/>
    <w:pPr>
      <w:numPr>
        <w:numId w:val="6"/>
      </w:numPr>
      <w:tabs>
        <w:tab w:val="left" w:pos="170"/>
      </w:tabs>
      <w:spacing w:after="120"/>
    </w:pPr>
  </w:style>
  <w:style w:type="paragraph" w:customStyle="1" w:styleId="Bullet-first">
    <w:name w:val="Bullet-first"/>
    <w:basedOn w:val="Normal"/>
    <w:rsid w:val="00991DB2"/>
    <w:pPr>
      <w:numPr>
        <w:numId w:val="7"/>
      </w:numPr>
      <w:pBdr>
        <w:top w:val="single" w:sz="4" w:space="3" w:color="auto"/>
      </w:pBdr>
      <w:spacing w:before="420" w:after="120"/>
    </w:pPr>
    <w:rPr>
      <w:b/>
      <w:sz w:val="20"/>
    </w:rPr>
  </w:style>
  <w:style w:type="paragraph" w:customStyle="1" w:styleId="Bullet-middle">
    <w:name w:val="Bullet-middle"/>
    <w:basedOn w:val="Bullet-first"/>
    <w:rsid w:val="00991DB2"/>
    <w:pPr>
      <w:pBdr>
        <w:top w:val="none" w:sz="0" w:space="0" w:color="auto"/>
      </w:pBdr>
      <w:spacing w:before="0"/>
    </w:pPr>
  </w:style>
  <w:style w:type="paragraph" w:customStyle="1" w:styleId="Bullet-last">
    <w:name w:val="Bullet-last"/>
    <w:basedOn w:val="Normal"/>
    <w:rsid w:val="00991DB2"/>
    <w:pPr>
      <w:numPr>
        <w:numId w:val="8"/>
      </w:numPr>
      <w:pBdr>
        <w:bottom w:val="single" w:sz="4" w:space="1" w:color="auto"/>
      </w:pBdr>
      <w:spacing w:after="360"/>
    </w:pPr>
    <w:rPr>
      <w:b/>
      <w:sz w:val="20"/>
    </w:rPr>
  </w:style>
  <w:style w:type="paragraph" w:customStyle="1" w:styleId="BulletRP">
    <w:name w:val="BulletRP"/>
    <w:basedOn w:val="Normal"/>
    <w:rsid w:val="00991DB2"/>
    <w:pPr>
      <w:spacing w:after="180" w:line="240" w:lineRule="atLeast"/>
      <w:jc w:val="both"/>
    </w:pPr>
    <w:rPr>
      <w:sz w:val="22"/>
      <w:szCs w:val="22"/>
    </w:rPr>
  </w:style>
  <w:style w:type="paragraph" w:customStyle="1" w:styleId="TableTitle">
    <w:name w:val="Table Title"/>
    <w:basedOn w:val="Body"/>
    <w:next w:val="Normal"/>
    <w:rsid w:val="00991DB2"/>
    <w:pPr>
      <w:keepNext/>
      <w:keepLines/>
      <w:spacing w:after="100" w:line="200" w:lineRule="atLeast"/>
    </w:pPr>
    <w:rPr>
      <w:rFonts w:ascii="Arial Narrow" w:hAnsi="Arial Narrow"/>
      <w:b/>
      <w:color w:val="4E8ABE"/>
      <w:sz w:val="18"/>
      <w:szCs w:val="18"/>
    </w:rPr>
  </w:style>
  <w:style w:type="paragraph" w:styleId="Caption">
    <w:name w:val="caption"/>
    <w:aliases w:val="Caption.Appendix,Appendix,c,capt,caption"/>
    <w:basedOn w:val="TableTitle"/>
    <w:next w:val="Normal"/>
    <w:rsid w:val="00991DB2"/>
    <w:rPr>
      <w:bCs/>
    </w:rPr>
  </w:style>
  <w:style w:type="paragraph" w:customStyle="1" w:styleId="Chartsubtitle">
    <w:name w:val="Chart subtitle"/>
    <w:basedOn w:val="Normal"/>
    <w:rsid w:val="00991DB2"/>
    <w:rPr>
      <w:rFonts w:ascii="Arial Narrow" w:hAnsi="Arial Narrow"/>
      <w:sz w:val="16"/>
    </w:rPr>
  </w:style>
  <w:style w:type="paragraph" w:customStyle="1" w:styleId="Charttitle">
    <w:name w:val="Chart title"/>
    <w:basedOn w:val="Normal"/>
    <w:rsid w:val="00991DB2"/>
    <w:rPr>
      <w:rFonts w:ascii="Arial Narrow" w:hAnsi="Arial Narrow"/>
      <w:b/>
      <w:color w:val="4E8ABE"/>
      <w:sz w:val="18"/>
      <w:szCs w:val="18"/>
    </w:rPr>
  </w:style>
  <w:style w:type="paragraph" w:styleId="Closing">
    <w:name w:val="Closing"/>
    <w:basedOn w:val="Normal"/>
    <w:link w:val="ClosingChar"/>
    <w:rsid w:val="00991DB2"/>
    <w:pPr>
      <w:ind w:left="4320"/>
    </w:pPr>
  </w:style>
  <w:style w:type="character" w:customStyle="1" w:styleId="ClosingChar">
    <w:name w:val="Closing Char"/>
    <w:basedOn w:val="DefaultParagraphFont"/>
    <w:link w:val="Closing"/>
    <w:rsid w:val="00991DB2"/>
    <w:rPr>
      <w:rFonts w:ascii="Times New Roman" w:eastAsia="MS Mincho" w:hAnsi="Times New Roman" w:cs="Times New Roman"/>
      <w:sz w:val="24"/>
      <w:szCs w:val="24"/>
      <w:lang w:val="en-US" w:eastAsia="en-US"/>
    </w:rPr>
  </w:style>
  <w:style w:type="character" w:styleId="CommentReference">
    <w:name w:val="annotation reference"/>
    <w:basedOn w:val="DefaultParagraphFont"/>
    <w:semiHidden/>
    <w:rsid w:val="00991DB2"/>
    <w:rPr>
      <w:sz w:val="16"/>
      <w:szCs w:val="16"/>
    </w:rPr>
  </w:style>
  <w:style w:type="paragraph" w:styleId="CommentSubject">
    <w:name w:val="annotation subject"/>
    <w:basedOn w:val="CommentText"/>
    <w:next w:val="CommentText"/>
    <w:link w:val="CommentSubjectChar"/>
    <w:semiHidden/>
    <w:rsid w:val="00991DB2"/>
    <w:rPr>
      <w:b/>
      <w:bCs/>
      <w:szCs w:val="20"/>
    </w:rPr>
  </w:style>
  <w:style w:type="character" w:customStyle="1" w:styleId="CommentSubjectChar">
    <w:name w:val="Comment Subject Char"/>
    <w:basedOn w:val="CommentTextChar"/>
    <w:link w:val="CommentSubject"/>
    <w:semiHidden/>
    <w:rsid w:val="00991DB2"/>
    <w:rPr>
      <w:b/>
      <w:bCs/>
      <w:szCs w:val="20"/>
    </w:rPr>
  </w:style>
  <w:style w:type="paragraph" w:customStyle="1" w:styleId="CompanyDescription">
    <w:name w:val="CompanyDescription"/>
    <w:basedOn w:val="Body"/>
    <w:qFormat/>
    <w:rsid w:val="00991DB2"/>
    <w:pPr>
      <w:pBdr>
        <w:top w:val="single" w:sz="36" w:space="1" w:color="CCDDEC"/>
        <w:left w:val="single" w:sz="36" w:space="4" w:color="CCDDEC"/>
        <w:bottom w:val="single" w:sz="36" w:space="1" w:color="CCDDEC"/>
        <w:right w:val="single" w:sz="36" w:space="4" w:color="CCDDEC"/>
      </w:pBdr>
      <w:shd w:val="clear" w:color="auto" w:fill="CCDDEC"/>
    </w:pPr>
  </w:style>
  <w:style w:type="paragraph" w:customStyle="1" w:styleId="CompanyDescriptionHeader">
    <w:name w:val="CompanyDescriptionHeader"/>
    <w:basedOn w:val="Heading1"/>
    <w:qFormat/>
    <w:rsid w:val="00991DB2"/>
    <w:pPr>
      <w:pBdr>
        <w:top w:val="single" w:sz="36" w:space="1" w:color="CCDDEC"/>
        <w:left w:val="single" w:sz="36" w:space="4" w:color="CCDDEC"/>
        <w:bottom w:val="single" w:sz="36" w:space="1" w:color="CCDDEC"/>
        <w:right w:val="single" w:sz="36" w:space="4" w:color="CCDDEC"/>
      </w:pBdr>
      <w:shd w:val="clear" w:color="auto" w:fill="CCDDEC"/>
      <w:spacing w:before="0" w:after="60" w:line="240" w:lineRule="auto"/>
    </w:pPr>
    <w:rPr>
      <w:b/>
      <w:sz w:val="24"/>
      <w:szCs w:val="24"/>
    </w:rPr>
  </w:style>
  <w:style w:type="character" w:customStyle="1" w:styleId="ComplianceMark">
    <w:name w:val="ComplianceMark"/>
    <w:basedOn w:val="DefaultParagraphFont"/>
    <w:rsid w:val="00991DB2"/>
    <w:rPr>
      <w:rFonts w:ascii="Arial" w:hAnsi="Arial"/>
      <w:b/>
      <w:sz w:val="18"/>
      <w:szCs w:val="18"/>
      <w:vertAlign w:val="superscript"/>
    </w:rPr>
  </w:style>
  <w:style w:type="paragraph" w:customStyle="1" w:styleId="Country">
    <w:name w:val="Country"/>
    <w:basedOn w:val="Industry"/>
    <w:rsid w:val="00991DB2"/>
    <w:pPr>
      <w:spacing w:after="40"/>
    </w:pPr>
  </w:style>
  <w:style w:type="paragraph" w:customStyle="1" w:styleId="CoverContentsTitle">
    <w:name w:val="Cover Contents Title"/>
    <w:next w:val="Normal"/>
    <w:rsid w:val="00991DB2"/>
    <w:pPr>
      <w:pBdr>
        <w:bottom w:val="single" w:sz="4" w:space="1" w:color="auto"/>
      </w:pBdr>
      <w:tabs>
        <w:tab w:val="left" w:pos="2693"/>
      </w:tabs>
      <w:spacing w:after="0" w:line="200" w:lineRule="atLeast"/>
    </w:pPr>
    <w:rPr>
      <w:rFonts w:ascii="Arial" w:eastAsia="MS Mincho" w:hAnsi="Arial" w:cs="Arial"/>
      <w:b/>
      <w:color w:val="4E8ABE"/>
      <w:sz w:val="18"/>
      <w:szCs w:val="18"/>
      <w:lang w:val="en-US" w:eastAsia="en-US"/>
    </w:rPr>
  </w:style>
  <w:style w:type="paragraph" w:customStyle="1" w:styleId="CreditAnalystTicker">
    <w:name w:val="CreditAnalystTicker"/>
    <w:basedOn w:val="Body"/>
    <w:rsid w:val="00991DB2"/>
    <w:pPr>
      <w:spacing w:after="0"/>
    </w:pPr>
    <w:rPr>
      <w:rFonts w:ascii="Arial" w:hAnsi="Arial"/>
      <w:sz w:val="16"/>
      <w:szCs w:val="16"/>
    </w:rPr>
  </w:style>
  <w:style w:type="paragraph" w:customStyle="1" w:styleId="CreditAnalystTickerValue">
    <w:name w:val="CreditAnalystTickerValue"/>
    <w:basedOn w:val="Body"/>
    <w:rsid w:val="00991DB2"/>
    <w:pPr>
      <w:spacing w:after="0"/>
    </w:pPr>
    <w:rPr>
      <w:rFonts w:ascii="Arial" w:hAnsi="Arial"/>
      <w:b/>
      <w:sz w:val="22"/>
      <w:szCs w:val="22"/>
    </w:rPr>
  </w:style>
  <w:style w:type="paragraph" w:styleId="Date">
    <w:name w:val="Date"/>
    <w:basedOn w:val="Normal"/>
    <w:next w:val="Normal"/>
    <w:link w:val="DateChar"/>
    <w:rsid w:val="00991DB2"/>
  </w:style>
  <w:style w:type="character" w:customStyle="1" w:styleId="DateChar">
    <w:name w:val="Date Char"/>
    <w:basedOn w:val="DefaultParagraphFont"/>
    <w:link w:val="Date"/>
    <w:rsid w:val="00991DB2"/>
    <w:rPr>
      <w:rFonts w:ascii="Times New Roman" w:eastAsia="MS Mincho" w:hAnsi="Times New Roman" w:cs="Times New Roman"/>
      <w:sz w:val="24"/>
      <w:szCs w:val="24"/>
      <w:lang w:val="en-US" w:eastAsia="en-US"/>
    </w:rPr>
  </w:style>
  <w:style w:type="paragraph" w:customStyle="1" w:styleId="Disclosure">
    <w:name w:val="Disclosure"/>
    <w:basedOn w:val="Body"/>
    <w:rsid w:val="00991DB2"/>
    <w:pPr>
      <w:spacing w:after="50" w:line="175" w:lineRule="exact"/>
      <w:ind w:left="-3125"/>
    </w:pPr>
    <w:rPr>
      <w:bCs/>
      <w:noProof/>
      <w:sz w:val="16"/>
    </w:rPr>
  </w:style>
  <w:style w:type="paragraph" w:customStyle="1" w:styleId="DiscClause">
    <w:name w:val="DiscClause"/>
    <w:basedOn w:val="Disclosure"/>
    <w:rsid w:val="00991DB2"/>
    <w:rPr>
      <w:b/>
    </w:rPr>
  </w:style>
  <w:style w:type="paragraph" w:customStyle="1" w:styleId="Disclaimer">
    <w:name w:val="Disclaimer"/>
    <w:basedOn w:val="Normal"/>
    <w:rsid w:val="00991DB2"/>
    <w:pPr>
      <w:numPr>
        <w:numId w:val="9"/>
      </w:numPr>
    </w:pPr>
    <w:rPr>
      <w:snapToGrid w:val="0"/>
      <w:color w:val="000000"/>
      <w:sz w:val="18"/>
    </w:rPr>
  </w:style>
  <w:style w:type="paragraph" w:customStyle="1" w:styleId="DisclaimerBP">
    <w:name w:val="DisclaimerBP"/>
    <w:basedOn w:val="Normal"/>
    <w:rsid w:val="00991DB2"/>
    <w:pPr>
      <w:keepNext/>
      <w:spacing w:after="240"/>
      <w:ind w:left="-3125"/>
    </w:pPr>
    <w:rPr>
      <w:b/>
      <w:snapToGrid w:val="0"/>
      <w:color w:val="000000"/>
      <w:sz w:val="20"/>
    </w:rPr>
  </w:style>
  <w:style w:type="paragraph" w:customStyle="1" w:styleId="DisclaimerHeading">
    <w:name w:val="DisclaimerHeading"/>
    <w:basedOn w:val="Heading1"/>
    <w:rsid w:val="00991DB2"/>
    <w:pPr>
      <w:ind w:left="-3119"/>
    </w:pPr>
    <w:rPr>
      <w:sz w:val="16"/>
      <w:szCs w:val="16"/>
    </w:rPr>
  </w:style>
  <w:style w:type="paragraph" w:customStyle="1" w:styleId="DisclaimerText">
    <w:name w:val="DisclaimerText"/>
    <w:basedOn w:val="Normal"/>
    <w:rsid w:val="00991DB2"/>
    <w:pPr>
      <w:ind w:left="-3125"/>
    </w:pPr>
    <w:rPr>
      <w:snapToGrid w:val="0"/>
      <w:color w:val="000000"/>
      <w:sz w:val="16"/>
    </w:rPr>
  </w:style>
  <w:style w:type="paragraph" w:customStyle="1" w:styleId="DisclosureDistribution">
    <w:name w:val="DisclosureDistribution"/>
    <w:basedOn w:val="Disclosure"/>
    <w:rsid w:val="00991DB2"/>
    <w:pPr>
      <w:spacing w:after="0"/>
    </w:pPr>
    <w:rPr>
      <w:b/>
      <w:bCs w:val="0"/>
      <w:sz w:val="18"/>
    </w:rPr>
  </w:style>
  <w:style w:type="paragraph" w:customStyle="1" w:styleId="DisclosureFreeText">
    <w:name w:val="DisclosureFreeText"/>
    <w:basedOn w:val="FooterFrontPage"/>
    <w:rsid w:val="00991DB2"/>
    <w:pPr>
      <w:framePr w:wrap="around"/>
    </w:pPr>
    <w:rPr>
      <w:rFonts w:ascii="Times New Roman" w:hAnsi="Times New Roman"/>
      <w:b/>
    </w:rPr>
  </w:style>
  <w:style w:type="paragraph" w:customStyle="1" w:styleId="DisclosureHead">
    <w:name w:val="DisclosureHead"/>
    <w:basedOn w:val="Disclosure"/>
    <w:rsid w:val="00991DB2"/>
    <w:pPr>
      <w:keepNext/>
      <w:pBdr>
        <w:top w:val="single" w:sz="4" w:space="1" w:color="auto"/>
      </w:pBdr>
    </w:pPr>
    <w:rPr>
      <w:b/>
    </w:rPr>
  </w:style>
  <w:style w:type="paragraph" w:customStyle="1" w:styleId="DocTitle">
    <w:name w:val="DocTitle"/>
    <w:basedOn w:val="Body"/>
    <w:next w:val="Body"/>
    <w:rsid w:val="00991DB2"/>
    <w:pPr>
      <w:spacing w:after="0" w:line="480" w:lineRule="atLeast"/>
    </w:pPr>
    <w:rPr>
      <w:rFonts w:ascii="Arial" w:hAnsi="Arial"/>
      <w:b/>
      <w:sz w:val="40"/>
    </w:rPr>
  </w:style>
  <w:style w:type="paragraph" w:styleId="DocumentMap">
    <w:name w:val="Document Map"/>
    <w:basedOn w:val="Normal"/>
    <w:link w:val="DocumentMapChar"/>
    <w:semiHidden/>
    <w:rsid w:val="00991DB2"/>
    <w:pPr>
      <w:shd w:val="clear" w:color="auto" w:fill="000080"/>
    </w:pPr>
    <w:rPr>
      <w:rFonts w:ascii="Tahoma" w:hAnsi="Tahoma" w:cs="Tahoma"/>
    </w:rPr>
  </w:style>
  <w:style w:type="character" w:customStyle="1" w:styleId="DocumentMapChar">
    <w:name w:val="Document Map Char"/>
    <w:basedOn w:val="DefaultParagraphFont"/>
    <w:link w:val="DocumentMap"/>
    <w:semiHidden/>
    <w:rsid w:val="00991DB2"/>
    <w:rPr>
      <w:rFonts w:ascii="Tahoma" w:eastAsia="MS Mincho" w:hAnsi="Tahoma" w:cs="Tahoma"/>
      <w:sz w:val="24"/>
      <w:szCs w:val="24"/>
      <w:shd w:val="clear" w:color="auto" w:fill="000080"/>
      <w:lang w:val="en-US" w:eastAsia="en-US"/>
    </w:rPr>
  </w:style>
  <w:style w:type="paragraph" w:customStyle="1" w:styleId="DraftMark">
    <w:name w:val="DraftMark"/>
    <w:rsid w:val="00991DB2"/>
    <w:pPr>
      <w:widowControl w:val="0"/>
      <w:spacing w:after="0" w:line="0" w:lineRule="atLeast"/>
    </w:pPr>
    <w:rPr>
      <w:rFonts w:ascii="Times New Roman" w:eastAsia="MS Mincho" w:hAnsi="Times New Roman" w:cs="Times New Roman"/>
      <w:b/>
      <w:noProof/>
      <w:color w:val="C50000"/>
      <w:kern w:val="28"/>
      <w:sz w:val="36"/>
      <w:szCs w:val="36"/>
      <w:lang w:val="en-US" w:eastAsia="en-US"/>
    </w:rPr>
  </w:style>
  <w:style w:type="paragraph" w:customStyle="1" w:styleId="EarningsBody">
    <w:name w:val="EarningsBody"/>
    <w:basedOn w:val="Normal"/>
    <w:next w:val="Body"/>
    <w:semiHidden/>
    <w:rsid w:val="00991DB2"/>
    <w:pPr>
      <w:ind w:left="-3125"/>
    </w:pPr>
    <w:rPr>
      <w:sz w:val="20"/>
    </w:rPr>
  </w:style>
  <w:style w:type="paragraph" w:customStyle="1" w:styleId="EarningsCover">
    <w:name w:val="EarningsCover"/>
    <w:basedOn w:val="Footer"/>
    <w:next w:val="Normal"/>
    <w:semiHidden/>
    <w:rsid w:val="00991DB2"/>
    <w:pPr>
      <w:framePr w:wrap="around" w:hAnchor="text" w:yAlign="bottom"/>
      <w:spacing w:before="0"/>
    </w:pPr>
  </w:style>
  <w:style w:type="paragraph" w:customStyle="1" w:styleId="Phone">
    <w:name w:val="Phone"/>
    <w:basedOn w:val="Body"/>
    <w:next w:val="Normal"/>
    <w:rsid w:val="00991DB2"/>
    <w:pPr>
      <w:spacing w:after="40"/>
    </w:pPr>
    <w:rPr>
      <w:rFonts w:ascii="Arial" w:hAnsi="Arial"/>
      <w:noProof/>
      <w:sz w:val="14"/>
    </w:rPr>
  </w:style>
  <w:style w:type="paragraph" w:customStyle="1" w:styleId="EMail">
    <w:name w:val="EMail"/>
    <w:basedOn w:val="Phone"/>
    <w:next w:val="Normal"/>
    <w:rsid w:val="00991DB2"/>
    <w:pPr>
      <w:spacing w:after="60"/>
    </w:pPr>
  </w:style>
  <w:style w:type="paragraph" w:styleId="E-mailSignature">
    <w:name w:val="E-mail Signature"/>
    <w:basedOn w:val="Normal"/>
    <w:link w:val="E-mailSignatureChar"/>
    <w:rsid w:val="00991DB2"/>
  </w:style>
  <w:style w:type="character" w:customStyle="1" w:styleId="E-mailSignatureChar">
    <w:name w:val="E-mail Signature Char"/>
    <w:basedOn w:val="DefaultParagraphFont"/>
    <w:link w:val="E-mailSignature"/>
    <w:rsid w:val="00991DB2"/>
    <w:rPr>
      <w:rFonts w:ascii="Times New Roman" w:eastAsia="MS Mincho" w:hAnsi="Times New Roman" w:cs="Times New Roman"/>
      <w:sz w:val="24"/>
      <w:szCs w:val="24"/>
      <w:lang w:val="en-US" w:eastAsia="en-US"/>
    </w:rPr>
  </w:style>
  <w:style w:type="paragraph" w:customStyle="1" w:styleId="EmailSide">
    <w:name w:val="EmailSide"/>
    <w:basedOn w:val="EMail"/>
    <w:next w:val="Normal"/>
    <w:rsid w:val="00991DB2"/>
    <w:pPr>
      <w:framePr w:w="2520" w:hSpace="187" w:vSpace="187" w:wrap="around" w:vAnchor="text" w:hAnchor="margin" w:x="-3124" w:y="1"/>
    </w:pPr>
  </w:style>
  <w:style w:type="character" w:styleId="Emphasis">
    <w:name w:val="Emphasis"/>
    <w:basedOn w:val="DefaultParagraphFont"/>
    <w:rsid w:val="00991DB2"/>
    <w:rPr>
      <w:i/>
      <w:iCs/>
    </w:rPr>
  </w:style>
  <w:style w:type="character" w:styleId="EndnoteReference">
    <w:name w:val="endnote reference"/>
    <w:basedOn w:val="DefaultParagraphFont"/>
    <w:semiHidden/>
    <w:rsid w:val="00991DB2"/>
    <w:rPr>
      <w:vertAlign w:val="superscript"/>
    </w:rPr>
  </w:style>
  <w:style w:type="paragraph" w:styleId="EndnoteText">
    <w:name w:val="endnote text"/>
    <w:basedOn w:val="Normal"/>
    <w:link w:val="EndnoteTextChar"/>
    <w:semiHidden/>
    <w:rsid w:val="00991DB2"/>
    <w:rPr>
      <w:sz w:val="20"/>
    </w:rPr>
  </w:style>
  <w:style w:type="character" w:customStyle="1" w:styleId="EndnoteTextChar">
    <w:name w:val="Endnote Text Char"/>
    <w:basedOn w:val="DefaultParagraphFont"/>
    <w:link w:val="EndnoteText"/>
    <w:semiHidden/>
    <w:rsid w:val="00991DB2"/>
    <w:rPr>
      <w:rFonts w:ascii="Times New Roman" w:eastAsia="MS Mincho" w:hAnsi="Times New Roman" w:cs="Times New Roman"/>
      <w:sz w:val="20"/>
      <w:szCs w:val="24"/>
      <w:lang w:val="en-US" w:eastAsia="en-US"/>
    </w:rPr>
  </w:style>
  <w:style w:type="paragraph" w:styleId="EnvelopeAddress">
    <w:name w:val="envelope address"/>
    <w:basedOn w:val="Normal"/>
    <w:rsid w:val="00991DB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991DB2"/>
    <w:rPr>
      <w:rFonts w:ascii="Arial" w:hAnsi="Arial" w:cs="Arial"/>
      <w:sz w:val="20"/>
    </w:rPr>
  </w:style>
  <w:style w:type="paragraph" w:customStyle="1" w:styleId="ESTableCaption">
    <w:name w:val="ESTableCaption"/>
    <w:next w:val="Normal"/>
    <w:rsid w:val="00991DB2"/>
    <w:pPr>
      <w:spacing w:after="20" w:line="240" w:lineRule="auto"/>
    </w:pPr>
    <w:rPr>
      <w:rFonts w:ascii="Arial" w:eastAsia="MS Mincho" w:hAnsi="Arial" w:cs="Arial"/>
      <w:b/>
      <w:noProof/>
      <w:sz w:val="18"/>
      <w:szCs w:val="18"/>
      <w:lang w:val="en-US" w:eastAsia="en-US"/>
    </w:rPr>
  </w:style>
  <w:style w:type="paragraph" w:customStyle="1" w:styleId="ESTableRow">
    <w:name w:val="ESTableRow"/>
    <w:rsid w:val="00991DB2"/>
    <w:pPr>
      <w:spacing w:after="0" w:line="240" w:lineRule="auto"/>
    </w:pPr>
    <w:rPr>
      <w:rFonts w:ascii="Arial" w:eastAsia="MS Mincho" w:hAnsi="Arial" w:cs="Arial"/>
      <w:noProof/>
      <w:sz w:val="16"/>
      <w:szCs w:val="16"/>
      <w:lang w:val="en-US" w:eastAsia="en-US"/>
    </w:rPr>
  </w:style>
  <w:style w:type="paragraph" w:customStyle="1" w:styleId="ESTableFootnote">
    <w:name w:val="ESTableFootnote"/>
    <w:basedOn w:val="ESTableRow"/>
    <w:rsid w:val="00991DB2"/>
    <w:rPr>
      <w:sz w:val="14"/>
    </w:rPr>
  </w:style>
  <w:style w:type="character" w:customStyle="1" w:styleId="FASB123">
    <w:name w:val="FASB123"/>
    <w:basedOn w:val="DefaultParagraphFont"/>
    <w:rsid w:val="00991DB2"/>
    <w:rPr>
      <w:rFonts w:ascii="Arial Narrow" w:hAnsi="Arial Narrow"/>
      <w:b/>
      <w:dstrike w:val="0"/>
      <w:sz w:val="18"/>
      <w:szCs w:val="18"/>
      <w:vertAlign w:val="superscript"/>
    </w:rPr>
  </w:style>
  <w:style w:type="paragraph" w:customStyle="1" w:styleId="FigureTitle">
    <w:name w:val="FigureTitle"/>
    <w:basedOn w:val="Body"/>
    <w:next w:val="Body"/>
    <w:link w:val="FigureTitleChar"/>
    <w:rsid w:val="00991DB2"/>
    <w:pPr>
      <w:keepNext/>
      <w:keepLines/>
      <w:spacing w:after="0" w:line="200" w:lineRule="atLeast"/>
    </w:pPr>
    <w:rPr>
      <w:rFonts w:ascii="Arial Narrow" w:hAnsi="Arial Narrow"/>
      <w:b/>
      <w:color w:val="4E8ABE"/>
      <w:sz w:val="18"/>
      <w:szCs w:val="18"/>
    </w:rPr>
  </w:style>
  <w:style w:type="character" w:styleId="FollowedHyperlink">
    <w:name w:val="FollowedHyperlink"/>
    <w:basedOn w:val="DefaultParagraphFont"/>
    <w:rsid w:val="00991DB2"/>
    <w:rPr>
      <w:color w:val="800080"/>
      <w:u w:val="single"/>
    </w:rPr>
  </w:style>
  <w:style w:type="character" w:styleId="FootnoteReference">
    <w:name w:val="footnote reference"/>
    <w:basedOn w:val="DefaultParagraphFont"/>
    <w:semiHidden/>
    <w:rsid w:val="00991DB2"/>
    <w:rPr>
      <w:sz w:val="20"/>
      <w:vertAlign w:val="superscript"/>
    </w:rPr>
  </w:style>
  <w:style w:type="paragraph" w:styleId="FootnoteText">
    <w:name w:val="footnote text"/>
    <w:basedOn w:val="Normal"/>
    <w:link w:val="FootnoteTextChar"/>
    <w:semiHidden/>
    <w:rsid w:val="00991DB2"/>
    <w:rPr>
      <w:sz w:val="18"/>
    </w:rPr>
  </w:style>
  <w:style w:type="character" w:customStyle="1" w:styleId="FootnoteTextChar">
    <w:name w:val="Footnote Text Char"/>
    <w:basedOn w:val="DefaultParagraphFont"/>
    <w:link w:val="FootnoteText"/>
    <w:semiHidden/>
    <w:rsid w:val="00991DB2"/>
    <w:rPr>
      <w:rFonts w:ascii="Times New Roman" w:eastAsia="MS Mincho" w:hAnsi="Times New Roman" w:cs="Times New Roman"/>
      <w:sz w:val="18"/>
      <w:szCs w:val="24"/>
      <w:lang w:val="en-US" w:eastAsia="en-US"/>
    </w:rPr>
  </w:style>
  <w:style w:type="paragraph" w:customStyle="1" w:styleId="FootnoteEarningsTable">
    <w:name w:val="FootnoteEarningsTable"/>
    <w:basedOn w:val="Body"/>
    <w:rsid w:val="00991DB2"/>
    <w:pPr>
      <w:spacing w:before="20" w:after="0"/>
    </w:pPr>
    <w:rPr>
      <w:noProof/>
      <w:sz w:val="12"/>
    </w:rPr>
  </w:style>
  <w:style w:type="paragraph" w:customStyle="1" w:styleId="FPBody">
    <w:name w:val="FPBody"/>
    <w:basedOn w:val="Body"/>
    <w:link w:val="FPBodyChar"/>
    <w:rsid w:val="00991DB2"/>
    <w:pPr>
      <w:spacing w:after="180"/>
      <w:ind w:right="3272"/>
      <w:jc w:val="both"/>
    </w:pPr>
    <w:rPr>
      <w:sz w:val="22"/>
    </w:rPr>
  </w:style>
  <w:style w:type="paragraph" w:customStyle="1" w:styleId="FPBodyNala">
    <w:name w:val="FPBodyNala"/>
    <w:basedOn w:val="FPBody"/>
    <w:next w:val="Normal"/>
    <w:rsid w:val="00991DB2"/>
  </w:style>
  <w:style w:type="paragraph" w:customStyle="1" w:styleId="FPBulletBold">
    <w:name w:val="FPBulletBold"/>
    <w:basedOn w:val="Normal"/>
    <w:rsid w:val="00991DB2"/>
    <w:pPr>
      <w:spacing w:after="180" w:line="240" w:lineRule="atLeast"/>
      <w:ind w:left="187" w:hanging="187"/>
      <w:jc w:val="both"/>
    </w:pPr>
    <w:rPr>
      <w:b/>
      <w:sz w:val="20"/>
      <w:szCs w:val="22"/>
    </w:rPr>
  </w:style>
  <w:style w:type="paragraph" w:customStyle="1" w:styleId="FPLegalEntityName">
    <w:name w:val="FPLegalEntityName"/>
    <w:basedOn w:val="EMail"/>
    <w:rsid w:val="00991DB2"/>
    <w:pPr>
      <w:pBdr>
        <w:bottom w:val="single" w:sz="2" w:space="4" w:color="auto"/>
      </w:pBdr>
    </w:pPr>
    <w:rPr>
      <w:color w:val="000000"/>
      <w:szCs w:val="14"/>
    </w:rPr>
  </w:style>
  <w:style w:type="table" w:customStyle="1" w:styleId="GPSDisclosureTable">
    <w:name w:val="GPSDisclosureTable"/>
    <w:basedOn w:val="TableNormal"/>
    <w:rsid w:val="00991DB2"/>
    <w:pPr>
      <w:spacing w:after="0" w:line="240" w:lineRule="auto"/>
    </w:pPr>
    <w:rPr>
      <w:rFonts w:ascii="Times New Roman" w:eastAsia="MS Mincho" w:hAnsi="Times New Roman" w:cs="Times New Roman"/>
      <w:sz w:val="20"/>
      <w:szCs w:val="20"/>
      <w:lang w:val="en-US"/>
    </w:rPr>
    <w:tblPr>
      <w:tblInd w:w="0" w:type="dxa"/>
      <w:tblCellMar>
        <w:top w:w="0" w:type="dxa"/>
        <w:left w:w="108" w:type="dxa"/>
        <w:bottom w:w="0" w:type="dxa"/>
        <w:right w:w="108" w:type="dxa"/>
      </w:tblCellMar>
    </w:tblPr>
  </w:style>
  <w:style w:type="table" w:styleId="TableSimple1">
    <w:name w:val="Table Simple 1"/>
    <w:basedOn w:val="TableNormal"/>
    <w:rsid w:val="00991DB2"/>
    <w:pPr>
      <w:spacing w:after="0" w:line="240" w:lineRule="auto"/>
    </w:pPr>
    <w:rPr>
      <w:rFonts w:ascii="Times New Roman" w:eastAsia="MS Mincho" w:hAnsi="Times New Roman" w:cs="Times New Roman"/>
      <w:sz w:val="20"/>
      <w:szCs w:val="20"/>
      <w:lang w:val="en-US"/>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GPSTable">
    <w:name w:val="GPSTable"/>
    <w:basedOn w:val="TableSimple1"/>
    <w:rsid w:val="00991DB2"/>
    <w:pPr>
      <w:jc w:val="right"/>
    </w:pPr>
    <w:rPr>
      <w:rFonts w:ascii="Arial" w:hAnsi="Arial"/>
      <w:sz w:val="16"/>
    </w:rPr>
    <w:tblPr>
      <w:tblInd w:w="0" w:type="dxa"/>
      <w:tblBorders>
        <w:top w:val="single" w:sz="12" w:space="0" w:color="008000"/>
        <w:bottom w:val="single" w:sz="12" w:space="0" w:color="008000"/>
      </w:tblBorders>
      <w:tblCellMar>
        <w:top w:w="0" w:type="dxa"/>
        <w:left w:w="0" w:type="dxa"/>
        <w:bottom w:w="0" w:type="dxa"/>
        <w:right w:w="0" w:type="dxa"/>
      </w:tblCellMar>
    </w:tblPr>
    <w:tcPr>
      <w:shd w:val="clear" w:color="auto" w:fill="auto"/>
    </w:tcPr>
    <w:tblStylePr w:type="firstRow">
      <w:rPr>
        <w:rFonts w:ascii="Arial" w:hAnsi="Arial"/>
        <w:b/>
        <w:i w:val="0"/>
        <w:sz w:val="16"/>
        <w:szCs w:val="16"/>
      </w:rPr>
      <w:tblPr/>
      <w:tcPr>
        <w:tcBorders>
          <w:top w:val="single" w:sz="4" w:space="0" w:color="000000"/>
          <w:left w:val="nil"/>
          <w:bottom w:val="single" w:sz="4" w:space="0" w:color="000000"/>
          <w:right w:val="nil"/>
          <w:insideH w:val="nil"/>
          <w:insideV w:val="nil"/>
          <w:tl2br w:val="nil"/>
          <w:tr2bl w:val="nil"/>
        </w:tcBorders>
        <w:shd w:val="clear" w:color="auto" w:fill="auto"/>
      </w:tcPr>
    </w:tblStylePr>
    <w:tblStylePr w:type="lastRow">
      <w:tblPr/>
      <w:tcPr>
        <w:tcBorders>
          <w:top w:val="nil"/>
          <w:left w:val="nil"/>
          <w:bottom w:val="single" w:sz="4" w:space="0" w:color="000000"/>
          <w:right w:val="nil"/>
          <w:insideH w:val="nil"/>
          <w:insideV w:val="nil"/>
          <w:tl2br w:val="nil"/>
          <w:tr2bl w:val="nil"/>
        </w:tcBorders>
        <w:shd w:val="clear" w:color="auto" w:fill="auto"/>
      </w:tcPr>
    </w:tblStylePr>
    <w:tblStylePr w:type="firstCol">
      <w:pPr>
        <w:wordWrap/>
        <w:jc w:val="left"/>
      </w:pPr>
      <w:rPr>
        <w:b w:val="0"/>
        <w:i w:val="0"/>
      </w:rPr>
    </w:tblStylePr>
    <w:tblStylePr w:type="lastCol">
      <w:rPr>
        <w:b w:val="0"/>
      </w:rPr>
    </w:tblStylePr>
  </w:style>
  <w:style w:type="paragraph" w:customStyle="1" w:styleId="GroupName">
    <w:name w:val="GroupName"/>
    <w:basedOn w:val="Industry"/>
    <w:next w:val="Normal"/>
    <w:rsid w:val="00991DB2"/>
    <w:pPr>
      <w:spacing w:after="60"/>
    </w:pPr>
  </w:style>
  <w:style w:type="table" w:customStyle="1" w:styleId="HeaderDetailsTable">
    <w:name w:val="HeaderDetailsTable"/>
    <w:basedOn w:val="TableNormal"/>
    <w:rsid w:val="00991DB2"/>
    <w:pPr>
      <w:spacing w:after="0" w:line="240" w:lineRule="auto"/>
    </w:pPr>
    <w:rPr>
      <w:rFonts w:ascii="Arial" w:eastAsia="MS Mincho" w:hAnsi="Arial" w:cs="Times New Roman"/>
      <w:sz w:val="20"/>
      <w:szCs w:val="20"/>
      <w:lang w:val="en-US"/>
    </w:rPr>
    <w:tblPr>
      <w:tblInd w:w="7186" w:type="dxa"/>
      <w:tblCellMar>
        <w:top w:w="0" w:type="dxa"/>
        <w:left w:w="108" w:type="dxa"/>
        <w:bottom w:w="0" w:type="dxa"/>
        <w:right w:w="108" w:type="dxa"/>
      </w:tblCellMar>
    </w:tblPr>
    <w:tcPr>
      <w:shd w:val="clear" w:color="auto" w:fill="auto"/>
    </w:tcPr>
  </w:style>
  <w:style w:type="paragraph" w:customStyle="1" w:styleId="Heading1-NoTOC">
    <w:name w:val="Heading 1 -No TOC"/>
    <w:basedOn w:val="Heading1"/>
    <w:qFormat/>
    <w:rsid w:val="00991DB2"/>
  </w:style>
  <w:style w:type="paragraph" w:customStyle="1" w:styleId="Heading2-NoTOC">
    <w:name w:val="Heading 2 -No TOC"/>
    <w:basedOn w:val="Heading2"/>
    <w:qFormat/>
    <w:rsid w:val="00991DB2"/>
  </w:style>
  <w:style w:type="paragraph" w:customStyle="1" w:styleId="HeadingVR">
    <w:name w:val="Heading VR"/>
    <w:basedOn w:val="Heading2"/>
    <w:rsid w:val="00991DB2"/>
    <w:pPr>
      <w:spacing w:before="120" w:after="80" w:line="160" w:lineRule="atLeast"/>
    </w:pPr>
  </w:style>
  <w:style w:type="character" w:customStyle="1" w:styleId="HeadingVRRatingPT">
    <w:name w:val="Heading VR (Rating/PT)"/>
    <w:basedOn w:val="DefaultParagraphFont"/>
    <w:rsid w:val="00991DB2"/>
    <w:rPr>
      <w:rFonts w:ascii="Arial" w:hAnsi="Arial"/>
      <w:b/>
      <w:i/>
      <w:sz w:val="20"/>
      <w:szCs w:val="20"/>
    </w:rPr>
  </w:style>
  <w:style w:type="paragraph" w:customStyle="1" w:styleId="Heading1Abstract">
    <w:name w:val="Heading1Abstract"/>
    <w:basedOn w:val="Heading1"/>
    <w:semiHidden/>
    <w:rsid w:val="00991DB2"/>
    <w:pPr>
      <w:outlineLvl w:val="9"/>
    </w:pPr>
  </w:style>
  <w:style w:type="paragraph" w:customStyle="1" w:styleId="HeadlineRPText">
    <w:name w:val="HeadlineRPText"/>
    <w:basedOn w:val="Body"/>
    <w:semiHidden/>
    <w:rsid w:val="00991DB2"/>
    <w:pPr>
      <w:spacing w:after="0"/>
      <w:ind w:left="-3125"/>
    </w:pPr>
  </w:style>
  <w:style w:type="paragraph" w:customStyle="1" w:styleId="HeadlineRPHangingIndent">
    <w:name w:val="HeadlineRPHangingIndent"/>
    <w:basedOn w:val="HeadlineRPText"/>
    <w:semiHidden/>
    <w:rsid w:val="00991DB2"/>
    <w:pPr>
      <w:ind w:left="-1685" w:hanging="1440"/>
    </w:pPr>
  </w:style>
  <w:style w:type="paragraph" w:customStyle="1" w:styleId="HeadlineRPSubject">
    <w:name w:val="HeadlineRPSubject"/>
    <w:basedOn w:val="Heading2"/>
    <w:semiHidden/>
    <w:rsid w:val="00991DB2"/>
    <w:pPr>
      <w:outlineLvl w:val="9"/>
    </w:pPr>
  </w:style>
  <w:style w:type="character" w:customStyle="1" w:styleId="HiddenFieldRP">
    <w:name w:val="HiddenFieldRP"/>
    <w:basedOn w:val="DefaultParagraphFont"/>
    <w:semiHidden/>
    <w:rsid w:val="00991DB2"/>
    <w:rPr>
      <w:rFonts w:ascii="Arial" w:hAnsi="Arial"/>
      <w:vanish/>
      <w:color w:val="FFFFFF"/>
      <w:sz w:val="2"/>
    </w:rPr>
  </w:style>
  <w:style w:type="character" w:styleId="HTMLAcronym">
    <w:name w:val="HTML Acronym"/>
    <w:basedOn w:val="DefaultParagraphFont"/>
    <w:rsid w:val="00991DB2"/>
  </w:style>
  <w:style w:type="paragraph" w:styleId="HTMLAddress">
    <w:name w:val="HTML Address"/>
    <w:basedOn w:val="Normal"/>
    <w:link w:val="HTMLAddressChar"/>
    <w:rsid w:val="00991DB2"/>
    <w:rPr>
      <w:i/>
      <w:iCs/>
    </w:rPr>
  </w:style>
  <w:style w:type="character" w:customStyle="1" w:styleId="HTMLAddressChar">
    <w:name w:val="HTML Address Char"/>
    <w:basedOn w:val="DefaultParagraphFont"/>
    <w:link w:val="HTMLAddress"/>
    <w:rsid w:val="00991DB2"/>
    <w:rPr>
      <w:rFonts w:ascii="Times New Roman" w:eastAsia="MS Mincho" w:hAnsi="Times New Roman" w:cs="Times New Roman"/>
      <w:i/>
      <w:iCs/>
      <w:sz w:val="24"/>
      <w:szCs w:val="24"/>
      <w:lang w:val="en-US" w:eastAsia="en-US"/>
    </w:rPr>
  </w:style>
  <w:style w:type="character" w:styleId="HTMLCite">
    <w:name w:val="HTML Cite"/>
    <w:basedOn w:val="DefaultParagraphFont"/>
    <w:rsid w:val="00991DB2"/>
    <w:rPr>
      <w:i/>
      <w:iCs/>
    </w:rPr>
  </w:style>
  <w:style w:type="character" w:styleId="HTMLCode">
    <w:name w:val="HTML Code"/>
    <w:basedOn w:val="DefaultParagraphFont"/>
    <w:rsid w:val="00991DB2"/>
    <w:rPr>
      <w:rFonts w:ascii="Courier New" w:hAnsi="Courier New"/>
      <w:sz w:val="20"/>
      <w:szCs w:val="20"/>
    </w:rPr>
  </w:style>
  <w:style w:type="character" w:styleId="HTMLDefinition">
    <w:name w:val="HTML Definition"/>
    <w:basedOn w:val="DefaultParagraphFont"/>
    <w:rsid w:val="00991DB2"/>
    <w:rPr>
      <w:i/>
      <w:iCs/>
    </w:rPr>
  </w:style>
  <w:style w:type="character" w:styleId="HTMLKeyboard">
    <w:name w:val="HTML Keyboard"/>
    <w:basedOn w:val="DefaultParagraphFont"/>
    <w:rsid w:val="00991DB2"/>
    <w:rPr>
      <w:rFonts w:ascii="Courier New" w:hAnsi="Courier New"/>
      <w:sz w:val="20"/>
      <w:szCs w:val="20"/>
    </w:rPr>
  </w:style>
  <w:style w:type="paragraph" w:styleId="HTMLPreformatted">
    <w:name w:val="HTML Preformatted"/>
    <w:basedOn w:val="Normal"/>
    <w:link w:val="HTMLPreformattedChar"/>
    <w:rsid w:val="00991DB2"/>
    <w:rPr>
      <w:rFonts w:ascii="Courier New" w:hAnsi="Courier New" w:cs="Courier New"/>
      <w:sz w:val="20"/>
    </w:rPr>
  </w:style>
  <w:style w:type="character" w:customStyle="1" w:styleId="HTMLPreformattedChar">
    <w:name w:val="HTML Preformatted Char"/>
    <w:basedOn w:val="DefaultParagraphFont"/>
    <w:link w:val="HTMLPreformatted"/>
    <w:rsid w:val="00991DB2"/>
    <w:rPr>
      <w:rFonts w:ascii="Courier New" w:eastAsia="MS Mincho" w:hAnsi="Courier New" w:cs="Courier New"/>
      <w:sz w:val="20"/>
      <w:szCs w:val="24"/>
      <w:lang w:val="en-US" w:eastAsia="en-US"/>
    </w:rPr>
  </w:style>
  <w:style w:type="character" w:styleId="HTMLSample">
    <w:name w:val="HTML Sample"/>
    <w:basedOn w:val="DefaultParagraphFont"/>
    <w:rsid w:val="00991DB2"/>
    <w:rPr>
      <w:rFonts w:ascii="Courier New" w:hAnsi="Courier New"/>
    </w:rPr>
  </w:style>
  <w:style w:type="character" w:styleId="HTMLTypewriter">
    <w:name w:val="HTML Typewriter"/>
    <w:basedOn w:val="DefaultParagraphFont"/>
    <w:rsid w:val="00991DB2"/>
    <w:rPr>
      <w:rFonts w:ascii="Courier New" w:hAnsi="Courier New"/>
      <w:sz w:val="20"/>
      <w:szCs w:val="20"/>
    </w:rPr>
  </w:style>
  <w:style w:type="character" w:styleId="HTMLVariable">
    <w:name w:val="HTML Variable"/>
    <w:basedOn w:val="DefaultParagraphFont"/>
    <w:rsid w:val="00991DB2"/>
    <w:rPr>
      <w:i/>
      <w:iCs/>
    </w:rPr>
  </w:style>
  <w:style w:type="character" w:styleId="Hyperlink">
    <w:name w:val="Hyperlink"/>
    <w:basedOn w:val="DefaultParagraphFont"/>
    <w:uiPriority w:val="99"/>
    <w:rsid w:val="00991DB2"/>
    <w:rPr>
      <w:color w:val="0000FF"/>
      <w:u w:val="single"/>
    </w:rPr>
  </w:style>
  <w:style w:type="paragraph" w:styleId="Index1">
    <w:name w:val="index 1"/>
    <w:basedOn w:val="Normal"/>
    <w:next w:val="Normal"/>
    <w:autoRedefine/>
    <w:semiHidden/>
    <w:rsid w:val="00991DB2"/>
    <w:pPr>
      <w:ind w:left="240" w:hanging="240"/>
    </w:pPr>
  </w:style>
  <w:style w:type="paragraph" w:styleId="Index2">
    <w:name w:val="index 2"/>
    <w:basedOn w:val="Normal"/>
    <w:next w:val="Normal"/>
    <w:autoRedefine/>
    <w:semiHidden/>
    <w:rsid w:val="00991DB2"/>
    <w:pPr>
      <w:ind w:left="480" w:hanging="240"/>
    </w:pPr>
  </w:style>
  <w:style w:type="paragraph" w:styleId="Index3">
    <w:name w:val="index 3"/>
    <w:basedOn w:val="Normal"/>
    <w:next w:val="Normal"/>
    <w:autoRedefine/>
    <w:semiHidden/>
    <w:rsid w:val="00991DB2"/>
    <w:pPr>
      <w:ind w:left="720" w:hanging="240"/>
    </w:pPr>
  </w:style>
  <w:style w:type="paragraph" w:styleId="Index4">
    <w:name w:val="index 4"/>
    <w:basedOn w:val="Normal"/>
    <w:next w:val="Normal"/>
    <w:autoRedefine/>
    <w:semiHidden/>
    <w:rsid w:val="00991DB2"/>
    <w:pPr>
      <w:ind w:left="960" w:hanging="240"/>
    </w:pPr>
  </w:style>
  <w:style w:type="paragraph" w:styleId="Index5">
    <w:name w:val="index 5"/>
    <w:basedOn w:val="Normal"/>
    <w:next w:val="Normal"/>
    <w:autoRedefine/>
    <w:semiHidden/>
    <w:rsid w:val="00991DB2"/>
    <w:pPr>
      <w:ind w:left="1200" w:hanging="240"/>
    </w:pPr>
  </w:style>
  <w:style w:type="paragraph" w:styleId="Index6">
    <w:name w:val="index 6"/>
    <w:basedOn w:val="Normal"/>
    <w:next w:val="Normal"/>
    <w:autoRedefine/>
    <w:semiHidden/>
    <w:rsid w:val="00991DB2"/>
    <w:pPr>
      <w:ind w:left="1440" w:hanging="240"/>
    </w:pPr>
  </w:style>
  <w:style w:type="paragraph" w:styleId="Index7">
    <w:name w:val="index 7"/>
    <w:basedOn w:val="Normal"/>
    <w:next w:val="Normal"/>
    <w:autoRedefine/>
    <w:semiHidden/>
    <w:rsid w:val="00991DB2"/>
    <w:pPr>
      <w:ind w:left="1680" w:hanging="240"/>
    </w:pPr>
  </w:style>
  <w:style w:type="paragraph" w:styleId="Index8">
    <w:name w:val="index 8"/>
    <w:basedOn w:val="Normal"/>
    <w:next w:val="Normal"/>
    <w:autoRedefine/>
    <w:semiHidden/>
    <w:rsid w:val="00991DB2"/>
    <w:pPr>
      <w:ind w:left="1920" w:hanging="240"/>
    </w:pPr>
  </w:style>
  <w:style w:type="paragraph" w:styleId="Index9">
    <w:name w:val="index 9"/>
    <w:basedOn w:val="Normal"/>
    <w:next w:val="Normal"/>
    <w:autoRedefine/>
    <w:semiHidden/>
    <w:rsid w:val="00991DB2"/>
    <w:pPr>
      <w:ind w:left="2160" w:hanging="240"/>
    </w:pPr>
  </w:style>
  <w:style w:type="paragraph" w:styleId="IndexHeading">
    <w:name w:val="index heading"/>
    <w:basedOn w:val="Normal"/>
    <w:next w:val="Index1"/>
    <w:semiHidden/>
    <w:rsid w:val="00991DB2"/>
    <w:rPr>
      <w:rFonts w:ascii="Arial" w:hAnsi="Arial" w:cs="Arial"/>
      <w:b/>
      <w:bCs/>
    </w:rPr>
  </w:style>
  <w:style w:type="paragraph" w:customStyle="1" w:styleId="IPO">
    <w:name w:val="IPO"/>
    <w:basedOn w:val="DiscClause"/>
    <w:rsid w:val="00991DB2"/>
    <w:pPr>
      <w:pBdr>
        <w:top w:val="single" w:sz="2" w:space="1" w:color="auto"/>
        <w:bottom w:val="single" w:sz="2" w:space="0" w:color="auto"/>
      </w:pBdr>
      <w:spacing w:after="0" w:line="180" w:lineRule="exact"/>
      <w:ind w:left="0" w:right="-360"/>
    </w:pPr>
    <w:rPr>
      <w:rFonts w:ascii="Arial Narrow" w:hAnsi="Arial Narrow"/>
      <w:sz w:val="20"/>
    </w:rPr>
  </w:style>
  <w:style w:type="paragraph" w:customStyle="1" w:styleId="IPOBackCover">
    <w:name w:val="IPOBackCover"/>
    <w:basedOn w:val="IPOInsidePage"/>
    <w:rsid w:val="00991DB2"/>
    <w:pPr>
      <w:ind w:left="3125"/>
    </w:pPr>
  </w:style>
  <w:style w:type="paragraph" w:customStyle="1" w:styleId="ipubnormal">
    <w:name w:val="ipubnormal"/>
    <w:rsid w:val="00991DB2"/>
    <w:pPr>
      <w:spacing w:after="0" w:line="240" w:lineRule="auto"/>
    </w:pPr>
    <w:rPr>
      <w:rFonts w:ascii="Times New Roman" w:eastAsia="MS Mincho" w:hAnsi="Times New Roman" w:cs="Times New Roman"/>
      <w:sz w:val="20"/>
      <w:szCs w:val="20"/>
      <w:lang w:val="en-US" w:eastAsia="en-US"/>
    </w:rPr>
  </w:style>
  <w:style w:type="paragraph" w:customStyle="1" w:styleId="LegalData">
    <w:name w:val="Legal Data"/>
    <w:basedOn w:val="Body"/>
    <w:rsid w:val="00991DB2"/>
    <w:pPr>
      <w:spacing w:before="20" w:after="0" w:line="160" w:lineRule="atLeast"/>
    </w:pPr>
    <w:rPr>
      <w:rFonts w:ascii="Arial Narrow" w:hAnsi="Arial Narrow"/>
      <w:sz w:val="12"/>
    </w:rPr>
  </w:style>
  <w:style w:type="paragraph" w:customStyle="1" w:styleId="LegalEntityName">
    <w:name w:val="LegalEntityName"/>
    <w:basedOn w:val="FooterFrontPage"/>
    <w:rsid w:val="00991DB2"/>
    <w:pPr>
      <w:framePr w:wrap="around"/>
      <w:spacing w:line="240" w:lineRule="auto"/>
      <w:jc w:val="right"/>
    </w:pPr>
    <w:rPr>
      <w:rFonts w:ascii="Arial" w:hAnsi="Arial"/>
      <w:b/>
      <w:szCs w:val="20"/>
    </w:rPr>
  </w:style>
  <w:style w:type="table" w:customStyle="1" w:styleId="LegalEntityTable">
    <w:name w:val="LegalEntityTable"/>
    <w:basedOn w:val="TableNormal"/>
    <w:rsid w:val="00991DB2"/>
    <w:pPr>
      <w:spacing w:after="0" w:line="240" w:lineRule="auto"/>
    </w:pPr>
    <w:rPr>
      <w:rFonts w:ascii="Arial" w:eastAsia="MS Mincho" w:hAnsi="Arial" w:cs="Times New Roman"/>
      <w:sz w:val="20"/>
      <w:szCs w:val="20"/>
      <w:lang w:val="en-US"/>
    </w:rPr>
    <w:tblPr>
      <w:tblInd w:w="0" w:type="dxa"/>
      <w:tblCellMar>
        <w:top w:w="0" w:type="dxa"/>
        <w:left w:w="108" w:type="dxa"/>
        <w:bottom w:w="0" w:type="dxa"/>
        <w:right w:w="108" w:type="dxa"/>
      </w:tblCellMar>
    </w:tblPr>
    <w:tcPr>
      <w:shd w:val="clear" w:color="auto" w:fill="auto"/>
    </w:tcPr>
  </w:style>
  <w:style w:type="character" w:styleId="LineNumber">
    <w:name w:val="line number"/>
    <w:basedOn w:val="DefaultParagraphFont"/>
    <w:rsid w:val="00991DB2"/>
  </w:style>
  <w:style w:type="paragraph" w:styleId="List">
    <w:name w:val="List"/>
    <w:basedOn w:val="Normal"/>
    <w:rsid w:val="00991DB2"/>
    <w:pPr>
      <w:ind w:left="360" w:hanging="360"/>
    </w:pPr>
  </w:style>
  <w:style w:type="paragraph" w:styleId="List2">
    <w:name w:val="List 2"/>
    <w:basedOn w:val="Normal"/>
    <w:rsid w:val="00991DB2"/>
    <w:pPr>
      <w:ind w:left="720" w:hanging="360"/>
    </w:pPr>
  </w:style>
  <w:style w:type="paragraph" w:styleId="List3">
    <w:name w:val="List 3"/>
    <w:basedOn w:val="Normal"/>
    <w:rsid w:val="00991DB2"/>
    <w:pPr>
      <w:ind w:left="1080" w:hanging="360"/>
    </w:pPr>
  </w:style>
  <w:style w:type="paragraph" w:styleId="List4">
    <w:name w:val="List 4"/>
    <w:basedOn w:val="Normal"/>
    <w:rsid w:val="00991DB2"/>
    <w:pPr>
      <w:ind w:left="1440" w:hanging="360"/>
    </w:pPr>
  </w:style>
  <w:style w:type="paragraph" w:styleId="List5">
    <w:name w:val="List 5"/>
    <w:basedOn w:val="Normal"/>
    <w:rsid w:val="00991DB2"/>
    <w:pPr>
      <w:ind w:left="1800" w:hanging="360"/>
    </w:pPr>
  </w:style>
  <w:style w:type="paragraph" w:styleId="ListBullet">
    <w:name w:val="List Bullet"/>
    <w:basedOn w:val="Normal"/>
    <w:autoRedefine/>
    <w:rsid w:val="00991DB2"/>
    <w:pPr>
      <w:numPr>
        <w:numId w:val="10"/>
      </w:numPr>
    </w:pPr>
  </w:style>
  <w:style w:type="paragraph" w:styleId="ListBullet2">
    <w:name w:val="List Bullet 2"/>
    <w:basedOn w:val="Normal"/>
    <w:autoRedefine/>
    <w:rsid w:val="00991DB2"/>
    <w:pPr>
      <w:numPr>
        <w:numId w:val="11"/>
      </w:numPr>
    </w:pPr>
  </w:style>
  <w:style w:type="paragraph" w:styleId="ListBullet3">
    <w:name w:val="List Bullet 3"/>
    <w:basedOn w:val="Normal"/>
    <w:autoRedefine/>
    <w:rsid w:val="00991DB2"/>
    <w:pPr>
      <w:numPr>
        <w:numId w:val="12"/>
      </w:numPr>
    </w:pPr>
  </w:style>
  <w:style w:type="paragraph" w:styleId="ListBullet4">
    <w:name w:val="List Bullet 4"/>
    <w:basedOn w:val="Normal"/>
    <w:autoRedefine/>
    <w:rsid w:val="00991DB2"/>
    <w:pPr>
      <w:numPr>
        <w:numId w:val="13"/>
      </w:numPr>
    </w:pPr>
  </w:style>
  <w:style w:type="paragraph" w:styleId="ListBullet5">
    <w:name w:val="List Bullet 5"/>
    <w:basedOn w:val="Normal"/>
    <w:autoRedefine/>
    <w:rsid w:val="00991DB2"/>
    <w:pPr>
      <w:numPr>
        <w:numId w:val="14"/>
      </w:numPr>
    </w:pPr>
  </w:style>
  <w:style w:type="paragraph" w:styleId="ListContinue">
    <w:name w:val="List Continue"/>
    <w:basedOn w:val="Normal"/>
    <w:rsid w:val="00991DB2"/>
    <w:pPr>
      <w:spacing w:after="120"/>
      <w:ind w:left="360"/>
    </w:pPr>
  </w:style>
  <w:style w:type="paragraph" w:styleId="ListContinue2">
    <w:name w:val="List Continue 2"/>
    <w:basedOn w:val="Normal"/>
    <w:rsid w:val="00991DB2"/>
    <w:pPr>
      <w:spacing w:after="120"/>
      <w:ind w:left="720"/>
    </w:pPr>
  </w:style>
  <w:style w:type="paragraph" w:styleId="ListContinue3">
    <w:name w:val="List Continue 3"/>
    <w:basedOn w:val="Normal"/>
    <w:rsid w:val="00991DB2"/>
    <w:pPr>
      <w:spacing w:after="120"/>
      <w:ind w:left="1080"/>
    </w:pPr>
  </w:style>
  <w:style w:type="paragraph" w:styleId="ListContinue4">
    <w:name w:val="List Continue 4"/>
    <w:basedOn w:val="Normal"/>
    <w:rsid w:val="00991DB2"/>
    <w:pPr>
      <w:spacing w:after="120"/>
      <w:ind w:left="1440"/>
    </w:pPr>
  </w:style>
  <w:style w:type="paragraph" w:styleId="ListContinue5">
    <w:name w:val="List Continue 5"/>
    <w:basedOn w:val="Normal"/>
    <w:rsid w:val="00991DB2"/>
    <w:pPr>
      <w:spacing w:after="120"/>
      <w:ind w:left="1800"/>
    </w:pPr>
  </w:style>
  <w:style w:type="paragraph" w:styleId="ListNumber">
    <w:name w:val="List Number"/>
    <w:basedOn w:val="Normal"/>
    <w:rsid w:val="00991DB2"/>
    <w:pPr>
      <w:numPr>
        <w:numId w:val="15"/>
      </w:numPr>
    </w:pPr>
  </w:style>
  <w:style w:type="paragraph" w:styleId="ListNumber2">
    <w:name w:val="List Number 2"/>
    <w:basedOn w:val="Normal"/>
    <w:rsid w:val="00991DB2"/>
    <w:pPr>
      <w:numPr>
        <w:numId w:val="16"/>
      </w:numPr>
    </w:pPr>
  </w:style>
  <w:style w:type="paragraph" w:styleId="ListNumber3">
    <w:name w:val="List Number 3"/>
    <w:basedOn w:val="Normal"/>
    <w:rsid w:val="00991DB2"/>
    <w:pPr>
      <w:numPr>
        <w:numId w:val="17"/>
      </w:numPr>
    </w:pPr>
  </w:style>
  <w:style w:type="paragraph" w:styleId="ListNumber4">
    <w:name w:val="List Number 4"/>
    <w:basedOn w:val="Normal"/>
    <w:rsid w:val="00991DB2"/>
    <w:pPr>
      <w:numPr>
        <w:numId w:val="18"/>
      </w:numPr>
    </w:pPr>
  </w:style>
  <w:style w:type="paragraph" w:styleId="ListNumber5">
    <w:name w:val="List Number 5"/>
    <w:basedOn w:val="Normal"/>
    <w:rsid w:val="00991DB2"/>
    <w:pPr>
      <w:numPr>
        <w:numId w:val="19"/>
      </w:numPr>
    </w:pPr>
  </w:style>
  <w:style w:type="paragraph" w:styleId="MacroText">
    <w:name w:val="macro"/>
    <w:link w:val="MacroTextChar"/>
    <w:semiHidden/>
    <w:rsid w:val="00991DB2"/>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MS Mincho" w:hAnsi="Courier New" w:cs="Courier New"/>
      <w:sz w:val="20"/>
      <w:szCs w:val="20"/>
      <w:lang w:val="en-US" w:eastAsia="en-US"/>
    </w:rPr>
  </w:style>
  <w:style w:type="character" w:customStyle="1" w:styleId="MacroTextChar">
    <w:name w:val="Macro Text Char"/>
    <w:basedOn w:val="DefaultParagraphFont"/>
    <w:link w:val="MacroText"/>
    <w:semiHidden/>
    <w:rsid w:val="00991DB2"/>
    <w:rPr>
      <w:rFonts w:ascii="Courier New" w:eastAsia="MS Mincho" w:hAnsi="Courier New" w:cs="Courier New"/>
      <w:sz w:val="20"/>
      <w:szCs w:val="20"/>
      <w:lang w:val="en-US" w:eastAsia="en-US"/>
    </w:rPr>
  </w:style>
  <w:style w:type="paragraph" w:styleId="MessageHeader">
    <w:name w:val="Message Header"/>
    <w:basedOn w:val="Normal"/>
    <w:link w:val="MessageHeaderChar"/>
    <w:rsid w:val="00991DB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basedOn w:val="DefaultParagraphFont"/>
    <w:link w:val="MessageHeader"/>
    <w:rsid w:val="00991DB2"/>
    <w:rPr>
      <w:rFonts w:ascii="Arial" w:eastAsia="MS Mincho" w:hAnsi="Arial" w:cs="Arial"/>
      <w:sz w:val="24"/>
      <w:szCs w:val="24"/>
      <w:shd w:val="pct20" w:color="auto" w:fill="auto"/>
      <w:lang w:val="en-US" w:eastAsia="en-US"/>
    </w:rPr>
  </w:style>
  <w:style w:type="paragraph" w:customStyle="1" w:styleId="MorganmarketURL">
    <w:name w:val="MorganmarketURL"/>
    <w:basedOn w:val="FooterFrontPage"/>
    <w:rsid w:val="00991DB2"/>
    <w:pPr>
      <w:framePr w:wrap="around"/>
      <w:spacing w:line="240" w:lineRule="auto"/>
    </w:pPr>
    <w:rPr>
      <w:rFonts w:ascii="Arial" w:hAnsi="Arial"/>
      <w:b/>
      <w:color w:val="4E8ABE"/>
      <w:szCs w:val="20"/>
    </w:rPr>
  </w:style>
  <w:style w:type="paragraph" w:customStyle="1" w:styleId="Name">
    <w:name w:val="Name"/>
    <w:basedOn w:val="Body"/>
    <w:next w:val="Phone"/>
    <w:rsid w:val="00991DB2"/>
    <w:pPr>
      <w:spacing w:after="40"/>
    </w:pPr>
    <w:rPr>
      <w:rFonts w:ascii="Arial" w:hAnsi="Arial"/>
      <w:b/>
      <w:noProof/>
      <w:sz w:val="17"/>
    </w:rPr>
  </w:style>
  <w:style w:type="paragraph" w:customStyle="1" w:styleId="NameSide">
    <w:name w:val="NameSide"/>
    <w:basedOn w:val="Name"/>
    <w:next w:val="Normal"/>
    <w:rsid w:val="00991DB2"/>
    <w:pPr>
      <w:framePr w:w="2520" w:hSpace="187" w:vSpace="187" w:wrap="around" w:vAnchor="text" w:hAnchor="margin" w:x="-3124" w:y="1"/>
    </w:pPr>
  </w:style>
  <w:style w:type="character" w:customStyle="1" w:styleId="NCOComplianceMark">
    <w:name w:val="NCO_ComplianceMark"/>
    <w:basedOn w:val="DefaultParagraphFont"/>
    <w:rsid w:val="00991DB2"/>
    <w:rPr>
      <w:rFonts w:ascii="Arial" w:hAnsi="Arial"/>
      <w:b/>
      <w:dstrike w:val="0"/>
      <w:sz w:val="14"/>
      <w:szCs w:val="14"/>
      <w:vertAlign w:val="superscript"/>
    </w:rPr>
  </w:style>
  <w:style w:type="paragraph" w:customStyle="1" w:styleId="NCOEmail">
    <w:name w:val="NCO_Email"/>
    <w:basedOn w:val="EMail"/>
    <w:rsid w:val="00991DB2"/>
  </w:style>
  <w:style w:type="table" w:customStyle="1" w:styleId="NCOFrontPageFooterTable">
    <w:name w:val="NCO_FrontPageFooterTable"/>
    <w:basedOn w:val="TableNormal"/>
    <w:rsid w:val="00991DB2"/>
    <w:pPr>
      <w:spacing w:after="0" w:line="240" w:lineRule="auto"/>
    </w:pPr>
    <w:rPr>
      <w:rFonts w:ascii="Arial" w:eastAsia="MS Mincho" w:hAnsi="Arial" w:cs="Times New Roman"/>
      <w:sz w:val="20"/>
      <w:szCs w:val="20"/>
      <w:lang w:val="en-US"/>
    </w:rPr>
    <w:tblPr>
      <w:tblInd w:w="0" w:type="dxa"/>
      <w:tblCellMar>
        <w:top w:w="0" w:type="dxa"/>
        <w:left w:w="108" w:type="dxa"/>
        <w:bottom w:w="0" w:type="dxa"/>
        <w:right w:w="108" w:type="dxa"/>
      </w:tblCellMar>
    </w:tblPr>
    <w:tcPr>
      <w:shd w:val="clear" w:color="auto" w:fill="auto"/>
    </w:tcPr>
  </w:style>
  <w:style w:type="paragraph" w:customStyle="1" w:styleId="NCOLegalEntityName">
    <w:name w:val="NCO_LegalEntityName"/>
    <w:basedOn w:val="LegalEntityName"/>
    <w:rsid w:val="00991DB2"/>
    <w:pPr>
      <w:framePr w:wrap="around"/>
      <w:jc w:val="left"/>
    </w:pPr>
    <w:rPr>
      <w:sz w:val="14"/>
    </w:rPr>
  </w:style>
  <w:style w:type="paragraph" w:customStyle="1" w:styleId="NCOLocation">
    <w:name w:val="NCO_Location"/>
    <w:basedOn w:val="Body"/>
    <w:rsid w:val="00991DB2"/>
    <w:pPr>
      <w:spacing w:before="40" w:after="0" w:line="0" w:lineRule="atLeast"/>
    </w:pPr>
    <w:rPr>
      <w:rFonts w:ascii="Arial" w:hAnsi="Arial"/>
      <w:sz w:val="14"/>
    </w:rPr>
  </w:style>
  <w:style w:type="paragraph" w:customStyle="1" w:styleId="NCOName">
    <w:name w:val="NCO_Name"/>
    <w:basedOn w:val="Name"/>
    <w:rsid w:val="00991DB2"/>
    <w:rPr>
      <w:sz w:val="14"/>
    </w:rPr>
  </w:style>
  <w:style w:type="character" w:customStyle="1" w:styleId="NCOPhone">
    <w:name w:val="NCO_Phone"/>
    <w:basedOn w:val="DefaultParagraphFont"/>
    <w:rsid w:val="00991DB2"/>
    <w:rPr>
      <w:rFonts w:ascii="Arial" w:hAnsi="Arial"/>
      <w:noProof/>
      <w:sz w:val="14"/>
      <w:szCs w:val="14"/>
    </w:rPr>
  </w:style>
  <w:style w:type="paragraph" w:customStyle="1" w:styleId="NextToSource">
    <w:name w:val="NextToSource"/>
    <w:basedOn w:val="Normal"/>
    <w:next w:val="Body"/>
    <w:rsid w:val="00991DB2"/>
    <w:pPr>
      <w:keepLines/>
      <w:spacing w:line="180" w:lineRule="atLeast"/>
    </w:pPr>
    <w:rPr>
      <w:rFonts w:ascii="Arial Narrow" w:hAnsi="Arial Narrow"/>
      <w:sz w:val="14"/>
    </w:rPr>
  </w:style>
  <w:style w:type="paragraph" w:styleId="NormalWeb">
    <w:name w:val="Normal (Web)"/>
    <w:basedOn w:val="Normal"/>
    <w:uiPriority w:val="99"/>
    <w:qFormat/>
    <w:rsid w:val="00991DB2"/>
    <w:rPr>
      <w:sz w:val="20"/>
      <w:szCs w:val="20"/>
    </w:rPr>
  </w:style>
  <w:style w:type="paragraph" w:styleId="NormalIndent">
    <w:name w:val="Normal Indent"/>
    <w:basedOn w:val="Normal"/>
    <w:rsid w:val="00991DB2"/>
    <w:pPr>
      <w:ind w:left="720"/>
    </w:pPr>
  </w:style>
  <w:style w:type="paragraph" w:styleId="NoteHeading">
    <w:name w:val="Note Heading"/>
    <w:basedOn w:val="Normal"/>
    <w:next w:val="Normal"/>
    <w:link w:val="NoteHeadingChar"/>
    <w:rsid w:val="00991DB2"/>
  </w:style>
  <w:style w:type="character" w:customStyle="1" w:styleId="NoteHeadingChar">
    <w:name w:val="Note Heading Char"/>
    <w:basedOn w:val="DefaultParagraphFont"/>
    <w:link w:val="NoteHeading"/>
    <w:rsid w:val="00991DB2"/>
    <w:rPr>
      <w:rFonts w:ascii="Times New Roman" w:eastAsia="MS Mincho" w:hAnsi="Times New Roman" w:cs="Times New Roman"/>
      <w:sz w:val="24"/>
      <w:szCs w:val="24"/>
      <w:lang w:val="en-US" w:eastAsia="en-US"/>
    </w:rPr>
  </w:style>
  <w:style w:type="character" w:customStyle="1" w:styleId="NotSeries8687Qualified">
    <w:name w:val="NotSeries8687Qualified"/>
    <w:basedOn w:val="DefaultParagraphFont"/>
    <w:rsid w:val="00991DB2"/>
    <w:rPr>
      <w:rFonts w:ascii="Arial" w:hAnsi="Arial"/>
      <w:sz w:val="20"/>
      <w:szCs w:val="20"/>
      <w:vertAlign w:val="superscript"/>
    </w:rPr>
  </w:style>
  <w:style w:type="paragraph" w:customStyle="1" w:styleId="NotSeries8687QualifiedMessage">
    <w:name w:val="NotSeries8687QualifiedMessage"/>
    <w:basedOn w:val="FooterFrontPage"/>
    <w:rsid w:val="00991DB2"/>
    <w:pPr>
      <w:framePr w:wrap="around"/>
      <w:spacing w:line="226" w:lineRule="atLeast"/>
    </w:pPr>
  </w:style>
  <w:style w:type="paragraph" w:customStyle="1" w:styleId="NumberBullet">
    <w:name w:val="NumberBullet"/>
    <w:qFormat/>
    <w:rsid w:val="00991DB2"/>
    <w:pPr>
      <w:numPr>
        <w:numId w:val="23"/>
      </w:numPr>
      <w:spacing w:after="120"/>
    </w:pPr>
    <w:rPr>
      <w:rFonts w:ascii="Times New Roman" w:eastAsia="MS Mincho" w:hAnsi="Times New Roman" w:cs="Times New Roman"/>
      <w:sz w:val="20"/>
      <w:szCs w:val="20"/>
      <w:lang w:val="en-US" w:eastAsia="en-US"/>
    </w:rPr>
  </w:style>
  <w:style w:type="paragraph" w:customStyle="1" w:styleId="PerfSource">
    <w:name w:val="PerfSource"/>
    <w:basedOn w:val="Normal"/>
    <w:rsid w:val="00991DB2"/>
    <w:pPr>
      <w:keepLines/>
    </w:pPr>
    <w:rPr>
      <w:rFonts w:ascii="Arial Narrow" w:hAnsi="Arial Narrow"/>
      <w:noProof/>
      <w:sz w:val="14"/>
    </w:rPr>
  </w:style>
  <w:style w:type="paragraph" w:customStyle="1" w:styleId="PerfChart">
    <w:name w:val="PerfChart"/>
    <w:basedOn w:val="PerfSource"/>
    <w:rsid w:val="00991DB2"/>
  </w:style>
  <w:style w:type="paragraph" w:customStyle="1" w:styleId="PhoneSide">
    <w:name w:val="PhoneSide"/>
    <w:basedOn w:val="Phone"/>
    <w:next w:val="EmailSide"/>
    <w:rsid w:val="00991DB2"/>
    <w:pPr>
      <w:framePr w:w="2520" w:hSpace="187" w:vSpace="187" w:wrap="around" w:vAnchor="text" w:hAnchor="margin" w:x="-3124" w:y="1"/>
    </w:pPr>
  </w:style>
  <w:style w:type="paragraph" w:styleId="PlainText">
    <w:name w:val="Plain Text"/>
    <w:basedOn w:val="Normal"/>
    <w:link w:val="PlainTextChar"/>
    <w:rsid w:val="00991DB2"/>
    <w:rPr>
      <w:rFonts w:ascii="Courier New" w:hAnsi="Courier New" w:cs="Courier New"/>
      <w:sz w:val="20"/>
      <w:szCs w:val="20"/>
    </w:rPr>
  </w:style>
  <w:style w:type="character" w:customStyle="1" w:styleId="PlainTextChar">
    <w:name w:val="Plain Text Char"/>
    <w:basedOn w:val="DefaultParagraphFont"/>
    <w:link w:val="PlainText"/>
    <w:rsid w:val="00991DB2"/>
    <w:rPr>
      <w:rFonts w:ascii="Courier New" w:eastAsia="MS Mincho" w:hAnsi="Courier New" w:cs="Courier New"/>
      <w:sz w:val="20"/>
      <w:szCs w:val="20"/>
      <w:lang w:val="en-US" w:eastAsia="en-US"/>
    </w:rPr>
  </w:style>
  <w:style w:type="paragraph" w:customStyle="1" w:styleId="Price">
    <w:name w:val="Price"/>
    <w:basedOn w:val="Normal"/>
    <w:next w:val="Body"/>
    <w:rsid w:val="00991DB2"/>
    <w:pPr>
      <w:framePr w:hSpace="187" w:wrap="around" w:vAnchor="page" w:hAnchor="text" w:xAlign="right" w:y="2161"/>
    </w:pPr>
    <w:rPr>
      <w:rFonts w:ascii="Arial" w:hAnsi="Arial"/>
      <w:noProof/>
      <w:sz w:val="16"/>
    </w:rPr>
  </w:style>
  <w:style w:type="paragraph" w:customStyle="1" w:styleId="Target">
    <w:name w:val="Target"/>
    <w:basedOn w:val="Normal"/>
    <w:next w:val="Body"/>
    <w:rsid w:val="00991DB2"/>
    <w:pPr>
      <w:spacing w:line="200" w:lineRule="atLeast"/>
    </w:pPr>
    <w:rPr>
      <w:rFonts w:ascii="Arial" w:hAnsi="Arial"/>
      <w:sz w:val="16"/>
    </w:rPr>
  </w:style>
  <w:style w:type="paragraph" w:customStyle="1" w:styleId="PriceDate">
    <w:name w:val="PriceDate"/>
    <w:basedOn w:val="Target"/>
    <w:rsid w:val="00991DB2"/>
    <w:pPr>
      <w:framePr w:hSpace="187" w:wrap="around" w:vAnchor="page" w:hAnchor="text" w:xAlign="right" w:y="2161"/>
      <w:spacing w:before="120" w:line="240" w:lineRule="auto"/>
    </w:pPr>
    <w:rPr>
      <w:b/>
      <w:noProof/>
    </w:rPr>
  </w:style>
  <w:style w:type="paragraph" w:customStyle="1" w:styleId="PriceDateDual">
    <w:name w:val="PriceDateDual"/>
    <w:basedOn w:val="Target"/>
    <w:rsid w:val="00991DB2"/>
    <w:pPr>
      <w:framePr w:hSpace="187" w:wrap="around" w:vAnchor="page" w:hAnchor="text" w:xAlign="right" w:y="2161"/>
      <w:spacing w:before="120" w:line="160" w:lineRule="exact"/>
    </w:pPr>
    <w:rPr>
      <w:b/>
      <w:noProof/>
    </w:rPr>
  </w:style>
  <w:style w:type="paragraph" w:customStyle="1" w:styleId="RatingDual">
    <w:name w:val="RatingDual"/>
    <w:basedOn w:val="Body"/>
    <w:next w:val="Body"/>
    <w:rsid w:val="00991DB2"/>
    <w:pPr>
      <w:framePr w:hSpace="187" w:wrap="around" w:vAnchor="page" w:hAnchor="text" w:xAlign="right" w:y="2161"/>
      <w:spacing w:after="0" w:line="160" w:lineRule="exact"/>
    </w:pPr>
    <w:rPr>
      <w:rFonts w:ascii="Arial" w:hAnsi="Arial"/>
      <w:noProof/>
      <w:sz w:val="15"/>
    </w:rPr>
  </w:style>
  <w:style w:type="paragraph" w:customStyle="1" w:styleId="PriceTargetCurrent">
    <w:name w:val="PriceTargetCurrent"/>
    <w:basedOn w:val="PriceDate"/>
    <w:rsid w:val="00991DB2"/>
    <w:pPr>
      <w:framePr w:wrap="around"/>
    </w:pPr>
  </w:style>
  <w:style w:type="paragraph" w:customStyle="1" w:styleId="PriceTargetPrior">
    <w:name w:val="PriceTargetPrior"/>
    <w:basedOn w:val="PriceDate"/>
    <w:rsid w:val="00991DB2"/>
    <w:pPr>
      <w:framePr w:wrap="around"/>
      <w:spacing w:before="0"/>
    </w:pPr>
    <w:rPr>
      <w:b w:val="0"/>
    </w:rPr>
  </w:style>
  <w:style w:type="paragraph" w:customStyle="1" w:styleId="PriorRecommendation">
    <w:name w:val="Prior Recommendation"/>
    <w:basedOn w:val="Body"/>
    <w:rsid w:val="00991DB2"/>
    <w:pPr>
      <w:spacing w:after="0" w:line="200" w:lineRule="atLeast"/>
    </w:pPr>
    <w:rPr>
      <w:rFonts w:ascii="Arial" w:hAnsi="Arial"/>
      <w:noProof/>
      <w:sz w:val="16"/>
    </w:rPr>
  </w:style>
  <w:style w:type="paragraph" w:customStyle="1" w:styleId="ProductData1">
    <w:name w:val="ProductData1"/>
    <w:basedOn w:val="Body"/>
    <w:next w:val="Normal"/>
    <w:rsid w:val="00991DB2"/>
    <w:pPr>
      <w:spacing w:after="0" w:line="200" w:lineRule="atLeast"/>
    </w:pPr>
    <w:rPr>
      <w:rFonts w:ascii="Arial" w:hAnsi="Arial"/>
      <w:b/>
      <w:sz w:val="18"/>
      <w:szCs w:val="18"/>
    </w:rPr>
  </w:style>
  <w:style w:type="paragraph" w:customStyle="1" w:styleId="ProductData2">
    <w:name w:val="ProductData2"/>
    <w:basedOn w:val="Body"/>
    <w:next w:val="Normal"/>
    <w:rsid w:val="00991DB2"/>
    <w:pPr>
      <w:spacing w:after="0" w:line="200" w:lineRule="atLeast"/>
    </w:pPr>
    <w:rPr>
      <w:rFonts w:ascii="Arial" w:hAnsi="Arial"/>
      <w:b/>
      <w:sz w:val="14"/>
    </w:rPr>
  </w:style>
  <w:style w:type="paragraph" w:customStyle="1" w:styleId="ProductData3">
    <w:name w:val="ProductData3"/>
    <w:basedOn w:val="ProductData2"/>
    <w:rsid w:val="00991DB2"/>
  </w:style>
  <w:style w:type="paragraph" w:customStyle="1" w:styleId="ProductOfJPMSI">
    <w:name w:val="ProductOfJPMSI"/>
    <w:basedOn w:val="DisclaimerBP"/>
    <w:next w:val="Body"/>
    <w:rsid w:val="00991DB2"/>
  </w:style>
  <w:style w:type="paragraph" w:customStyle="1" w:styleId="Rating">
    <w:name w:val="Rating"/>
    <w:basedOn w:val="Body"/>
    <w:next w:val="Body"/>
    <w:rsid w:val="00991DB2"/>
    <w:pPr>
      <w:spacing w:after="0"/>
    </w:pPr>
    <w:rPr>
      <w:rFonts w:ascii="Arial" w:hAnsi="Arial"/>
      <w:b/>
      <w:noProof/>
      <w:sz w:val="28"/>
    </w:rPr>
  </w:style>
  <w:style w:type="paragraph" w:customStyle="1" w:styleId="RatingPrior">
    <w:name w:val="RatingPrior"/>
    <w:basedOn w:val="Body"/>
    <w:rsid w:val="00991DB2"/>
    <w:pPr>
      <w:spacing w:after="0"/>
    </w:pPr>
    <w:rPr>
      <w:rFonts w:ascii="Arial" w:hAnsi="Arial"/>
      <w:noProof/>
      <w:sz w:val="16"/>
    </w:rPr>
  </w:style>
  <w:style w:type="paragraph" w:customStyle="1" w:styleId="RatingPriorDual">
    <w:name w:val="RatingPriorDual"/>
    <w:basedOn w:val="Body"/>
    <w:rsid w:val="00991DB2"/>
    <w:pPr>
      <w:framePr w:hSpace="187" w:wrap="around" w:vAnchor="page" w:hAnchor="text" w:xAlign="right" w:y="2161"/>
      <w:spacing w:after="0"/>
    </w:pPr>
    <w:rPr>
      <w:rFonts w:ascii="Arial" w:hAnsi="Arial"/>
      <w:b/>
      <w:noProof/>
      <w:sz w:val="12"/>
    </w:rPr>
  </w:style>
  <w:style w:type="paragraph" w:customStyle="1" w:styleId="RatingPriorSide">
    <w:name w:val="RatingPriorSide"/>
    <w:basedOn w:val="RatingPriorDual"/>
    <w:next w:val="NameSide"/>
    <w:rsid w:val="00991DB2"/>
    <w:pPr>
      <w:framePr w:w="2520" w:vSpace="187" w:wrap="around" w:vAnchor="text" w:hAnchor="margin" w:x="-3124" w:y="1"/>
    </w:pPr>
    <w:rPr>
      <w:b w:val="0"/>
    </w:rPr>
  </w:style>
  <w:style w:type="paragraph" w:customStyle="1" w:styleId="RatingsDistributionTableHead">
    <w:name w:val="RatingsDistributionTableHead"/>
    <w:basedOn w:val="Normal"/>
    <w:rsid w:val="00991DB2"/>
    <w:pPr>
      <w:spacing w:before="100" w:beforeAutospacing="1" w:after="100" w:afterAutospacing="1"/>
    </w:pPr>
    <w:rPr>
      <w:b/>
      <w:bCs/>
      <w:sz w:val="16"/>
      <w:szCs w:val="16"/>
    </w:rPr>
  </w:style>
  <w:style w:type="paragraph" w:customStyle="1" w:styleId="RatingSide">
    <w:name w:val="RatingSide"/>
    <w:basedOn w:val="RatingDual"/>
    <w:next w:val="NameSide"/>
    <w:rsid w:val="00991DB2"/>
    <w:pPr>
      <w:framePr w:w="2520" w:vSpace="187" w:wrap="around" w:vAnchor="text" w:hAnchor="margin" w:x="-3124" w:y="1"/>
    </w:pPr>
    <w:rPr>
      <w:b/>
    </w:rPr>
  </w:style>
  <w:style w:type="paragraph" w:styleId="Salutation">
    <w:name w:val="Salutation"/>
    <w:basedOn w:val="Normal"/>
    <w:next w:val="Normal"/>
    <w:link w:val="SalutationChar"/>
    <w:rsid w:val="00991DB2"/>
  </w:style>
  <w:style w:type="character" w:customStyle="1" w:styleId="SalutationChar">
    <w:name w:val="Salutation Char"/>
    <w:basedOn w:val="DefaultParagraphFont"/>
    <w:link w:val="Salutation"/>
    <w:rsid w:val="00991DB2"/>
    <w:rPr>
      <w:rFonts w:ascii="Times New Roman" w:eastAsia="MS Mincho" w:hAnsi="Times New Roman" w:cs="Times New Roman"/>
      <w:sz w:val="24"/>
      <w:szCs w:val="24"/>
      <w:lang w:val="en-US" w:eastAsia="en-US"/>
    </w:rPr>
  </w:style>
  <w:style w:type="paragraph" w:customStyle="1" w:styleId="SCFigureTitle">
    <w:name w:val="SCFigureTitle"/>
    <w:basedOn w:val="Normal"/>
    <w:rsid w:val="00991DB2"/>
    <w:pPr>
      <w:framePr w:w="2954" w:vSpace="180" w:wrap="around" w:vAnchor="text" w:hAnchor="text" w:x="-3118" w:y="1" w:anchorLock="1"/>
      <w:spacing w:line="200" w:lineRule="atLeast"/>
    </w:pPr>
    <w:rPr>
      <w:rFonts w:ascii="Arial" w:hAnsi="Arial"/>
      <w:b/>
      <w:color w:val="4E8ABE"/>
      <w:spacing w:val="5"/>
      <w:sz w:val="18"/>
      <w:szCs w:val="18"/>
    </w:rPr>
  </w:style>
  <w:style w:type="paragraph" w:customStyle="1" w:styleId="SCSource">
    <w:name w:val="SCSource"/>
    <w:basedOn w:val="Normal"/>
    <w:rsid w:val="00991DB2"/>
    <w:pPr>
      <w:framePr w:w="2954" w:vSpace="180" w:wrap="around" w:vAnchor="text" w:hAnchor="text" w:x="-3118" w:y="1" w:anchorLock="1"/>
      <w:spacing w:line="200" w:lineRule="atLeast"/>
    </w:pPr>
    <w:rPr>
      <w:rFonts w:ascii="Arial Narrow" w:hAnsi="Arial Narrow"/>
      <w:sz w:val="14"/>
    </w:rPr>
  </w:style>
  <w:style w:type="paragraph" w:customStyle="1" w:styleId="SCTableUnit">
    <w:name w:val="SCTableUnit"/>
    <w:basedOn w:val="Normal"/>
    <w:rsid w:val="00991DB2"/>
    <w:pPr>
      <w:framePr w:w="2954" w:vSpace="180" w:wrap="around" w:vAnchor="text" w:hAnchor="text" w:x="-3118" w:y="1" w:anchorLock="1"/>
      <w:spacing w:line="200" w:lineRule="atLeast"/>
    </w:pPr>
    <w:rPr>
      <w:rFonts w:ascii="Arial Narrow" w:hAnsi="Arial Narrow"/>
      <w:spacing w:val="5"/>
      <w:sz w:val="16"/>
    </w:rPr>
  </w:style>
  <w:style w:type="paragraph" w:customStyle="1" w:styleId="SectionHeading">
    <w:name w:val="SectionHeading"/>
    <w:basedOn w:val="Body"/>
    <w:next w:val="Body"/>
    <w:rsid w:val="00991DB2"/>
    <w:pPr>
      <w:pBdr>
        <w:top w:val="single" w:sz="6" w:space="3" w:color="C0C0C0"/>
        <w:bottom w:val="single" w:sz="6" w:space="3" w:color="C0C0C0"/>
      </w:pBdr>
      <w:spacing w:before="180" w:after="80"/>
    </w:pPr>
    <w:rPr>
      <w:rFonts w:ascii="Arial" w:hAnsi="Arial"/>
      <w:b/>
      <w:color w:val="4E8ABE"/>
      <w:szCs w:val="20"/>
    </w:rPr>
  </w:style>
  <w:style w:type="paragraph" w:customStyle="1" w:styleId="Sector">
    <w:name w:val="Sector"/>
    <w:basedOn w:val="Body"/>
    <w:next w:val="Body"/>
    <w:rsid w:val="00991DB2"/>
    <w:pPr>
      <w:spacing w:after="0" w:line="220" w:lineRule="atLeast"/>
    </w:pPr>
    <w:rPr>
      <w:rFonts w:ascii="Arial" w:hAnsi="Arial"/>
      <w:b/>
      <w:sz w:val="18"/>
      <w:szCs w:val="18"/>
    </w:rPr>
  </w:style>
  <w:style w:type="paragraph" w:customStyle="1" w:styleId="Sidecomments">
    <w:name w:val="Sidecomments"/>
    <w:basedOn w:val="Body"/>
    <w:qFormat/>
    <w:rsid w:val="00991DB2"/>
    <w:pPr>
      <w:framePr w:w="2520" w:h="403" w:hSpace="187" w:wrap="around" w:vAnchor="text" w:hAnchor="text" w:x="-3124" w:y="1"/>
      <w:spacing w:after="120" w:line="200" w:lineRule="atLeast"/>
    </w:pPr>
    <w:rPr>
      <w:rFonts w:ascii="Arial" w:hAnsi="Arial"/>
      <w:b/>
      <w:sz w:val="16"/>
    </w:rPr>
  </w:style>
  <w:style w:type="paragraph" w:customStyle="1" w:styleId="SideCommentCompanyName">
    <w:name w:val="SideCommentCompanyName"/>
    <w:basedOn w:val="Sidecomments"/>
    <w:qFormat/>
    <w:rsid w:val="00991DB2"/>
    <w:pPr>
      <w:framePr w:wrap="around"/>
    </w:pPr>
    <w:rPr>
      <w:color w:val="4E8ABE"/>
      <w:sz w:val="24"/>
    </w:rPr>
  </w:style>
  <w:style w:type="paragraph" w:customStyle="1" w:styleId="SideCommentRating">
    <w:name w:val="SideCommentRating"/>
    <w:basedOn w:val="Sidecomments"/>
    <w:qFormat/>
    <w:rsid w:val="00991DB2"/>
    <w:pPr>
      <w:framePr w:wrap="around"/>
    </w:pPr>
    <w:rPr>
      <w:color w:val="4E8ABE"/>
      <w:sz w:val="18"/>
      <w:szCs w:val="18"/>
    </w:rPr>
  </w:style>
  <w:style w:type="paragraph" w:styleId="Signature">
    <w:name w:val="Signature"/>
    <w:basedOn w:val="Normal"/>
    <w:link w:val="SignatureChar"/>
    <w:rsid w:val="00991DB2"/>
    <w:pPr>
      <w:ind w:left="4320"/>
    </w:pPr>
  </w:style>
  <w:style w:type="character" w:customStyle="1" w:styleId="SignatureChar">
    <w:name w:val="Signature Char"/>
    <w:basedOn w:val="DefaultParagraphFont"/>
    <w:link w:val="Signature"/>
    <w:rsid w:val="00991DB2"/>
    <w:rPr>
      <w:rFonts w:ascii="Times New Roman" w:eastAsia="MS Mincho" w:hAnsi="Times New Roman" w:cs="Times New Roman"/>
      <w:sz w:val="24"/>
      <w:szCs w:val="24"/>
      <w:lang w:val="en-US" w:eastAsia="en-US"/>
    </w:rPr>
  </w:style>
  <w:style w:type="paragraph" w:customStyle="1" w:styleId="Source">
    <w:name w:val="Source"/>
    <w:basedOn w:val="Body"/>
    <w:next w:val="Body"/>
    <w:link w:val="SourceChar"/>
    <w:qFormat/>
    <w:rsid w:val="00991DB2"/>
    <w:pPr>
      <w:keepLines/>
      <w:spacing w:before="40" w:line="180" w:lineRule="atLeast"/>
    </w:pPr>
    <w:rPr>
      <w:rFonts w:ascii="Arial Narrow" w:hAnsi="Arial Narrow"/>
      <w:sz w:val="14"/>
    </w:rPr>
  </w:style>
  <w:style w:type="character" w:styleId="Strong">
    <w:name w:val="Strong"/>
    <w:basedOn w:val="DefaultParagraphFont"/>
    <w:rsid w:val="00991DB2"/>
    <w:rPr>
      <w:b/>
      <w:bCs/>
    </w:rPr>
  </w:style>
  <w:style w:type="paragraph" w:customStyle="1" w:styleId="StyleArial8ptBoldTopSinglesolidlineAuto05ptLin">
    <w:name w:val="Style Arial 8 pt Bold Top: (Single solid line Auto  0.5 pt Lin..."/>
    <w:basedOn w:val="ESTableRow"/>
    <w:next w:val="ESTableRow"/>
    <w:rsid w:val="00991DB2"/>
    <w:pPr>
      <w:pBdr>
        <w:top w:val="single" w:sz="4" w:space="0" w:color="auto"/>
        <w:bottom w:val="single" w:sz="4" w:space="0" w:color="auto"/>
      </w:pBdr>
    </w:pPr>
    <w:rPr>
      <w:b/>
      <w:bCs/>
      <w:szCs w:val="20"/>
    </w:rPr>
  </w:style>
  <w:style w:type="paragraph" w:styleId="Subtitle0">
    <w:name w:val="Subtitle"/>
    <w:basedOn w:val="Normal"/>
    <w:link w:val="SubtitleChar"/>
    <w:rsid w:val="00991DB2"/>
    <w:pPr>
      <w:spacing w:after="60"/>
      <w:jc w:val="center"/>
      <w:outlineLvl w:val="1"/>
    </w:pPr>
    <w:rPr>
      <w:rFonts w:ascii="Arial" w:hAnsi="Arial" w:cs="Arial"/>
    </w:rPr>
  </w:style>
  <w:style w:type="character" w:customStyle="1" w:styleId="SubtitleChar">
    <w:name w:val="Subtitle Char"/>
    <w:basedOn w:val="DefaultParagraphFont"/>
    <w:link w:val="Subtitle0"/>
    <w:rsid w:val="00991DB2"/>
    <w:rPr>
      <w:rFonts w:ascii="Arial" w:eastAsia="MS Mincho" w:hAnsi="Arial" w:cs="Arial"/>
      <w:sz w:val="24"/>
      <w:szCs w:val="24"/>
      <w:lang w:val="en-US" w:eastAsia="en-US"/>
    </w:rPr>
  </w:style>
  <w:style w:type="paragraph" w:customStyle="1" w:styleId="SubTitleRP">
    <w:name w:val="SubTitleRP"/>
    <w:basedOn w:val="SubTitle"/>
    <w:next w:val="Body"/>
    <w:rsid w:val="00991DB2"/>
    <w:pPr>
      <w:spacing w:after="0" w:line="0" w:lineRule="atLeast"/>
      <w:ind w:left="-3125"/>
    </w:pPr>
  </w:style>
  <w:style w:type="table" w:styleId="Table3Deffects1">
    <w:name w:val="Table 3D effects 1"/>
    <w:basedOn w:val="TableNormal"/>
    <w:rsid w:val="00991DB2"/>
    <w:pPr>
      <w:spacing w:after="0" w:line="240" w:lineRule="auto"/>
    </w:pPr>
    <w:rPr>
      <w:rFonts w:ascii="Times New Roman" w:eastAsia="MS Mincho" w:hAnsi="Times New Roman" w:cs="Times New Roman"/>
      <w:sz w:val="20"/>
      <w:szCs w:val="20"/>
      <w:lang w:val="en-US"/>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991DB2"/>
    <w:pPr>
      <w:spacing w:after="0" w:line="240" w:lineRule="auto"/>
    </w:pPr>
    <w:rPr>
      <w:rFonts w:ascii="Times New Roman" w:eastAsia="MS Mincho" w:hAnsi="Times New Roman" w:cs="Times New Roman"/>
      <w:sz w:val="20"/>
      <w:szCs w:val="20"/>
      <w:lang w:val="en-US"/>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991DB2"/>
    <w:pPr>
      <w:spacing w:after="0" w:line="240" w:lineRule="auto"/>
    </w:pPr>
    <w:rPr>
      <w:rFonts w:ascii="Times New Roman" w:eastAsia="MS Mincho" w:hAnsi="Times New Roman" w:cs="Times New Roman"/>
      <w:sz w:val="20"/>
      <w:szCs w:val="20"/>
      <w:lang w:val="en-US"/>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Body">
    <w:name w:val="Table Body"/>
    <w:basedOn w:val="Body"/>
    <w:rsid w:val="00991DB2"/>
    <w:pPr>
      <w:keepNext/>
      <w:keepLines/>
      <w:spacing w:after="7" w:line="200" w:lineRule="atLeast"/>
      <w:jc w:val="right"/>
    </w:pPr>
    <w:rPr>
      <w:rFonts w:ascii="Arial Narrow" w:hAnsi="Arial Narrow"/>
      <w:sz w:val="16"/>
    </w:rPr>
  </w:style>
  <w:style w:type="table" w:styleId="TableClassic1">
    <w:name w:val="Table Classic 1"/>
    <w:basedOn w:val="TableNormal"/>
    <w:rsid w:val="00991DB2"/>
    <w:pPr>
      <w:spacing w:after="0" w:line="240" w:lineRule="auto"/>
    </w:pPr>
    <w:rPr>
      <w:rFonts w:ascii="Times New Roman" w:eastAsia="MS Mincho" w:hAnsi="Times New Roman" w:cs="Times New Roman"/>
      <w:sz w:val="20"/>
      <w:szCs w:val="20"/>
      <w:lang w:val="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991DB2"/>
    <w:pPr>
      <w:spacing w:after="0" w:line="240" w:lineRule="auto"/>
    </w:pPr>
    <w:rPr>
      <w:rFonts w:ascii="Times New Roman" w:eastAsia="MS Mincho" w:hAnsi="Times New Roman" w:cs="Times New Roman"/>
      <w:sz w:val="20"/>
      <w:szCs w:val="20"/>
      <w:lang w:val="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991DB2"/>
    <w:pPr>
      <w:spacing w:after="0" w:line="240" w:lineRule="auto"/>
    </w:pPr>
    <w:rPr>
      <w:rFonts w:ascii="Times New Roman" w:eastAsia="MS Mincho" w:hAnsi="Times New Roman" w:cs="Times New Roman"/>
      <w:color w:val="000080"/>
      <w:sz w:val="20"/>
      <w:szCs w:val="20"/>
      <w:lang w:val="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991DB2"/>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991DB2"/>
    <w:pPr>
      <w:spacing w:after="0" w:line="240" w:lineRule="auto"/>
    </w:pPr>
    <w:rPr>
      <w:rFonts w:ascii="Times New Roman" w:eastAsia="MS Mincho" w:hAnsi="Times New Roman" w:cs="Times New Roman"/>
      <w:color w:val="FFFFFF"/>
      <w:sz w:val="20"/>
      <w:szCs w:val="20"/>
      <w:lang w:val="en-US"/>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991DB2"/>
    <w:pPr>
      <w:spacing w:after="0" w:line="240" w:lineRule="auto"/>
    </w:pPr>
    <w:rPr>
      <w:rFonts w:ascii="Times New Roman" w:eastAsia="MS Mincho" w:hAnsi="Times New Roman" w:cs="Times New Roman"/>
      <w:sz w:val="20"/>
      <w:szCs w:val="20"/>
      <w:lang w:val="en-US"/>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991DB2"/>
    <w:pPr>
      <w:spacing w:after="0" w:line="240" w:lineRule="auto"/>
    </w:pPr>
    <w:rPr>
      <w:rFonts w:ascii="Times New Roman" w:eastAsia="MS Mincho" w:hAnsi="Times New Roman" w:cs="Times New Roman"/>
      <w:sz w:val="20"/>
      <w:szCs w:val="20"/>
      <w:lang w:val="en-US"/>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991DB2"/>
    <w:pPr>
      <w:spacing w:after="0" w:line="240" w:lineRule="auto"/>
    </w:pPr>
    <w:rPr>
      <w:rFonts w:ascii="Times New Roman" w:eastAsia="MS Mincho" w:hAnsi="Times New Roman" w:cs="Times New Roman"/>
      <w:b/>
      <w:bCs/>
      <w:sz w:val="20"/>
      <w:szCs w:val="20"/>
      <w:lang w:val="en-U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991DB2"/>
    <w:pPr>
      <w:spacing w:after="0" w:line="240" w:lineRule="auto"/>
    </w:pPr>
    <w:rPr>
      <w:rFonts w:ascii="Times New Roman" w:eastAsia="MS Mincho" w:hAnsi="Times New Roman" w:cs="Times New Roman"/>
      <w:b/>
      <w:bCs/>
      <w:sz w:val="20"/>
      <w:szCs w:val="20"/>
      <w:lang w:val="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991DB2"/>
    <w:pPr>
      <w:spacing w:after="0" w:line="240" w:lineRule="auto"/>
    </w:pPr>
    <w:rPr>
      <w:rFonts w:ascii="Times New Roman" w:eastAsia="MS Mincho" w:hAnsi="Times New Roman" w:cs="Times New Roman"/>
      <w:b/>
      <w:bCs/>
      <w:sz w:val="20"/>
      <w:szCs w:val="20"/>
      <w:lang w:val="en-U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991DB2"/>
    <w:pPr>
      <w:spacing w:after="0" w:line="240" w:lineRule="auto"/>
    </w:pPr>
    <w:rPr>
      <w:rFonts w:ascii="Times New Roman" w:eastAsia="MS Mincho" w:hAnsi="Times New Roman" w:cs="Times New Roman"/>
      <w:sz w:val="20"/>
      <w:szCs w:val="20"/>
      <w:lang w:val="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991DB2"/>
    <w:pPr>
      <w:spacing w:after="0" w:line="240" w:lineRule="auto"/>
    </w:pPr>
    <w:rPr>
      <w:rFonts w:ascii="Times New Roman" w:eastAsia="MS Mincho" w:hAnsi="Times New Roman" w:cs="Times New Roman"/>
      <w:sz w:val="20"/>
      <w:szCs w:val="20"/>
      <w:lang w:val="en-US"/>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991DB2"/>
    <w:pPr>
      <w:spacing w:after="0" w:line="240" w:lineRule="auto"/>
    </w:pPr>
    <w:rPr>
      <w:rFonts w:ascii="Times New Roman" w:eastAsia="MS Mincho" w:hAnsi="Times New Roman" w:cs="Times New Roman"/>
      <w:sz w:val="20"/>
      <w:szCs w:val="20"/>
      <w:lang w:val="en-US"/>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991DB2"/>
    <w:pPr>
      <w:spacing w:after="0" w:line="240" w:lineRule="auto"/>
    </w:pPr>
    <w:rPr>
      <w:rFonts w:ascii="Times New Roman" w:eastAsia="MS Mincho" w:hAnsi="Times New Roman" w:cs="Times New Roman"/>
      <w:sz w:val="20"/>
      <w:szCs w:val="20"/>
      <w:lang w:val="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991DB2"/>
    <w:pPr>
      <w:spacing w:after="0" w:line="240" w:lineRule="auto"/>
    </w:pPr>
    <w:rPr>
      <w:rFonts w:ascii="Times New Roman" w:eastAsia="MS Mincho"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991DB2"/>
    <w:pPr>
      <w:spacing w:after="0" w:line="240" w:lineRule="auto"/>
    </w:pPr>
    <w:rPr>
      <w:rFonts w:ascii="Times New Roman" w:eastAsia="MS Mincho" w:hAnsi="Times New Roman" w:cs="Times New Roman"/>
      <w:sz w:val="20"/>
      <w:szCs w:val="20"/>
      <w:lang w:val="en-US"/>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991DB2"/>
    <w:pPr>
      <w:spacing w:after="0" w:line="240" w:lineRule="auto"/>
    </w:pPr>
    <w:rPr>
      <w:rFonts w:ascii="Times New Roman" w:eastAsia="MS Mincho" w:hAnsi="Times New Roman" w:cs="Times New Roman"/>
      <w:sz w:val="20"/>
      <w:szCs w:val="20"/>
      <w:lang w:val="en-US"/>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991DB2"/>
    <w:pPr>
      <w:spacing w:after="0" w:line="240" w:lineRule="auto"/>
    </w:pPr>
    <w:rPr>
      <w:rFonts w:ascii="Times New Roman" w:eastAsia="MS Mincho" w:hAnsi="Times New Roman" w:cs="Times New Roman"/>
      <w:sz w:val="20"/>
      <w:szCs w:val="20"/>
      <w:lang w:val="en-US"/>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991DB2"/>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991DB2"/>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991DB2"/>
    <w:pPr>
      <w:spacing w:after="0" w:line="240" w:lineRule="auto"/>
    </w:pPr>
    <w:rPr>
      <w:rFonts w:ascii="Times New Roman" w:eastAsia="MS Mincho" w:hAnsi="Times New Roman" w:cs="Times New Roman"/>
      <w:b/>
      <w:bCs/>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991DB2"/>
    <w:pPr>
      <w:spacing w:after="0" w:line="240" w:lineRule="auto"/>
    </w:pPr>
    <w:rPr>
      <w:rFonts w:ascii="Times New Roman" w:eastAsia="MS Mincho" w:hAnsi="Times New Roman" w:cs="Times New Roman"/>
      <w:sz w:val="20"/>
      <w:szCs w:val="20"/>
      <w:lang w:val="en-US"/>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Head">
    <w:name w:val="Table Head"/>
    <w:basedOn w:val="Normal"/>
    <w:rsid w:val="00991DB2"/>
    <w:pPr>
      <w:keepNext/>
      <w:keepLines/>
      <w:jc w:val="center"/>
    </w:pPr>
    <w:rPr>
      <w:b/>
      <w:sz w:val="16"/>
      <w:szCs w:val="20"/>
    </w:rPr>
  </w:style>
  <w:style w:type="paragraph" w:customStyle="1" w:styleId="TableHeadBorder">
    <w:name w:val="Table Head Border"/>
    <w:basedOn w:val="Normal"/>
    <w:rsid w:val="00991DB2"/>
    <w:pPr>
      <w:keepNext/>
      <w:keepLines/>
      <w:pBdr>
        <w:bottom w:val="single" w:sz="6" w:space="1" w:color="auto"/>
      </w:pBdr>
      <w:jc w:val="center"/>
    </w:pPr>
    <w:rPr>
      <w:rFonts w:ascii="Arial Narrow" w:hAnsi="Arial Narrow"/>
      <w:b/>
      <w:color w:val="000000"/>
      <w:sz w:val="16"/>
      <w:szCs w:val="20"/>
    </w:rPr>
  </w:style>
  <w:style w:type="paragraph" w:customStyle="1" w:styleId="TableHeading">
    <w:name w:val="Table Heading"/>
    <w:basedOn w:val="Body"/>
    <w:rsid w:val="00991DB2"/>
    <w:pPr>
      <w:keepNext/>
      <w:keepLines/>
      <w:spacing w:before="7" w:after="7" w:line="180" w:lineRule="atLeast"/>
      <w:jc w:val="center"/>
    </w:pPr>
    <w:rPr>
      <w:rFonts w:ascii="Arial Narrow" w:hAnsi="Arial Narrow"/>
      <w:b/>
      <w:sz w:val="16"/>
    </w:rPr>
  </w:style>
  <w:style w:type="table" w:styleId="TableList1">
    <w:name w:val="Table List 1"/>
    <w:basedOn w:val="TableNormal"/>
    <w:rsid w:val="00991DB2"/>
    <w:pPr>
      <w:spacing w:after="0" w:line="240" w:lineRule="auto"/>
    </w:pPr>
    <w:rPr>
      <w:rFonts w:ascii="Times New Roman" w:eastAsia="MS Mincho" w:hAnsi="Times New Roman" w:cs="Times New Roman"/>
      <w:sz w:val="20"/>
      <w:szCs w:val="20"/>
      <w:lang w:val="en-US"/>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991DB2"/>
    <w:pPr>
      <w:spacing w:after="0" w:line="240" w:lineRule="auto"/>
    </w:pPr>
    <w:rPr>
      <w:rFonts w:ascii="Times New Roman" w:eastAsia="MS Mincho" w:hAnsi="Times New Roman" w:cs="Times New Roman"/>
      <w:sz w:val="20"/>
      <w:szCs w:val="20"/>
      <w:lang w:val="en-US"/>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991DB2"/>
    <w:pPr>
      <w:spacing w:after="0" w:line="240" w:lineRule="auto"/>
    </w:pPr>
    <w:rPr>
      <w:rFonts w:ascii="Times New Roman" w:eastAsia="MS Mincho" w:hAnsi="Times New Roman" w:cs="Times New Roman"/>
      <w:sz w:val="20"/>
      <w:szCs w:val="20"/>
      <w:lang w:val="en-US"/>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991DB2"/>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991DB2"/>
    <w:pPr>
      <w:spacing w:after="0" w:line="240" w:lineRule="auto"/>
    </w:pPr>
    <w:rPr>
      <w:rFonts w:ascii="Times New Roman" w:eastAsia="MS Mincho"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991DB2"/>
    <w:pPr>
      <w:spacing w:after="0" w:line="240" w:lineRule="auto"/>
    </w:pPr>
    <w:rPr>
      <w:rFonts w:ascii="Times New Roman" w:eastAsia="MS Mincho" w:hAnsi="Times New Roman" w:cs="Times New Roman"/>
      <w:sz w:val="20"/>
      <w:szCs w:val="20"/>
      <w:lang w:val="en-US"/>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991DB2"/>
    <w:pPr>
      <w:spacing w:after="0" w:line="240" w:lineRule="auto"/>
    </w:pPr>
    <w:rPr>
      <w:rFonts w:ascii="Times New Roman" w:eastAsia="MS Mincho" w:hAnsi="Times New Roman" w:cs="Times New Roman"/>
      <w:sz w:val="20"/>
      <w:szCs w:val="20"/>
      <w:lang w:val="en-US"/>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991DB2"/>
    <w:pPr>
      <w:spacing w:after="0" w:line="240" w:lineRule="auto"/>
    </w:pPr>
    <w:rPr>
      <w:rFonts w:ascii="Times New Roman" w:eastAsia="MS Mincho" w:hAnsi="Times New Roman" w:cs="Times New Roman"/>
      <w:sz w:val="20"/>
      <w:szCs w:val="20"/>
      <w:lang w:val="en-US"/>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991DB2"/>
    <w:pPr>
      <w:ind w:left="240" w:hanging="240"/>
    </w:pPr>
  </w:style>
  <w:style w:type="paragraph" w:styleId="TableofFigures">
    <w:name w:val="table of figures"/>
    <w:basedOn w:val="Normal"/>
    <w:next w:val="Normal"/>
    <w:semiHidden/>
    <w:rsid w:val="00991DB2"/>
    <w:pPr>
      <w:ind w:left="480" w:hanging="480"/>
    </w:pPr>
  </w:style>
  <w:style w:type="table" w:styleId="TableProfessional">
    <w:name w:val="Table Professional"/>
    <w:basedOn w:val="TableNormal"/>
    <w:rsid w:val="00991DB2"/>
    <w:pPr>
      <w:spacing w:after="0" w:line="240" w:lineRule="auto"/>
    </w:pPr>
    <w:rPr>
      <w:rFonts w:ascii="Times New Roman" w:eastAsia="MS Mincho"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rsid w:val="00991DB2"/>
    <w:pPr>
      <w:spacing w:after="0" w:line="240" w:lineRule="auto"/>
    </w:pPr>
    <w:rPr>
      <w:rFonts w:ascii="Times New Roman" w:eastAsia="MS Mincho" w:hAnsi="Times New Roman" w:cs="Times New Roman"/>
      <w:sz w:val="20"/>
      <w:szCs w:val="20"/>
      <w:lang w:val="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991DB2"/>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991DB2"/>
    <w:pPr>
      <w:spacing w:after="0" w:line="240" w:lineRule="auto"/>
    </w:pPr>
    <w:rPr>
      <w:rFonts w:ascii="Times New Roman" w:eastAsia="MS Mincho" w:hAnsi="Times New Roman" w:cs="Times New Roman"/>
      <w:sz w:val="20"/>
      <w:szCs w:val="20"/>
      <w:lang w:val="en-US"/>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991DB2"/>
    <w:pPr>
      <w:spacing w:after="0" w:line="240" w:lineRule="auto"/>
    </w:pPr>
    <w:rPr>
      <w:rFonts w:ascii="Times New Roman" w:eastAsia="MS Mincho" w:hAnsi="Times New Roman" w:cs="Times New Roman"/>
      <w:sz w:val="20"/>
      <w:szCs w:val="20"/>
      <w:lang w:val="en-US"/>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991DB2"/>
    <w:pPr>
      <w:spacing w:after="0" w:line="240" w:lineRule="auto"/>
    </w:pPr>
    <w:rPr>
      <w:rFonts w:ascii="Times New Roman" w:eastAsia="MS Mincho"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991DB2"/>
    <w:pPr>
      <w:spacing w:after="0" w:line="240" w:lineRule="auto"/>
    </w:pPr>
    <w:rPr>
      <w:rFonts w:ascii="Times New Roman" w:eastAsia="MS Mincho" w:hAnsi="Times New Roman" w:cs="Times New Roman"/>
      <w:sz w:val="20"/>
      <w:szCs w:val="20"/>
      <w:lang w:val="en-US"/>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991DB2"/>
    <w:pPr>
      <w:spacing w:after="0" w:line="240" w:lineRule="auto"/>
    </w:pPr>
    <w:rPr>
      <w:rFonts w:ascii="Times New Roman" w:eastAsia="MS Mincho" w:hAnsi="Times New Roman" w:cs="Times New Roman"/>
      <w:sz w:val="20"/>
      <w:szCs w:val="20"/>
      <w:lang w:val="en-US"/>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991DB2"/>
    <w:pPr>
      <w:spacing w:after="0" w:line="240" w:lineRule="auto"/>
    </w:pPr>
    <w:rPr>
      <w:rFonts w:ascii="Times New Roman" w:eastAsia="MS Mincho" w:hAnsi="Times New Roman" w:cs="Times New Roman"/>
      <w:sz w:val="20"/>
      <w:szCs w:val="20"/>
      <w:lang w:val="en-US"/>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cker">
    <w:name w:val="Ticker"/>
    <w:basedOn w:val="RatingDual"/>
    <w:rsid w:val="00991DB2"/>
    <w:pPr>
      <w:framePr w:wrap="around"/>
      <w:spacing w:before="120"/>
    </w:pPr>
    <w:rPr>
      <w:b/>
      <w:sz w:val="16"/>
      <w:szCs w:val="16"/>
    </w:rPr>
  </w:style>
  <w:style w:type="paragraph" w:customStyle="1" w:styleId="Tiny">
    <w:name w:val="Tiny"/>
    <w:basedOn w:val="Body"/>
    <w:rsid w:val="00991DB2"/>
    <w:pPr>
      <w:spacing w:after="0" w:line="14" w:lineRule="exact"/>
    </w:pPr>
    <w:rPr>
      <w:sz w:val="2"/>
    </w:rPr>
  </w:style>
  <w:style w:type="paragraph" w:styleId="Title">
    <w:name w:val="Title"/>
    <w:basedOn w:val="Normal"/>
    <w:link w:val="TitleChar"/>
    <w:rsid w:val="00991DB2"/>
    <w:pPr>
      <w:spacing w:before="240" w:after="60"/>
      <w:jc w:val="center"/>
      <w:outlineLvl w:val="0"/>
    </w:pPr>
    <w:rPr>
      <w:rFonts w:ascii="Arial" w:hAnsi="Arial" w:cs="Arial"/>
      <w:b/>
      <w:bCs/>
      <w:noProof/>
      <w:kern w:val="28"/>
      <w:sz w:val="32"/>
      <w:szCs w:val="32"/>
    </w:rPr>
  </w:style>
  <w:style w:type="character" w:customStyle="1" w:styleId="TitleChar">
    <w:name w:val="Title Char"/>
    <w:basedOn w:val="DefaultParagraphFont"/>
    <w:link w:val="Title"/>
    <w:rsid w:val="00991DB2"/>
    <w:rPr>
      <w:rFonts w:ascii="Arial" w:eastAsia="MS Mincho" w:hAnsi="Arial" w:cs="Arial"/>
      <w:b/>
      <w:bCs/>
      <w:noProof/>
      <w:kern w:val="28"/>
      <w:sz w:val="32"/>
      <w:szCs w:val="32"/>
      <w:lang w:val="en-US" w:eastAsia="en-US"/>
    </w:rPr>
  </w:style>
  <w:style w:type="paragraph" w:customStyle="1" w:styleId="TitlesforContents">
    <w:name w:val="Titles for Contents"/>
    <w:basedOn w:val="Heading1"/>
    <w:next w:val="Normal"/>
    <w:rsid w:val="00991DB2"/>
    <w:pPr>
      <w:pBdr>
        <w:bottom w:val="single" w:sz="6" w:space="1" w:color="auto"/>
      </w:pBdr>
      <w:spacing w:before="120" w:after="120" w:line="240" w:lineRule="auto"/>
      <w:outlineLvl w:val="9"/>
    </w:pPr>
    <w:rPr>
      <w:rFonts w:ascii="Times New Roman" w:hAnsi="Times New Roman" w:cs="Times New Roman"/>
      <w:bCs w:val="0"/>
      <w:smallCaps/>
      <w:color w:val="000080"/>
      <w:kern w:val="0"/>
      <w:sz w:val="28"/>
      <w:szCs w:val="28"/>
    </w:rPr>
  </w:style>
  <w:style w:type="paragraph" w:customStyle="1" w:styleId="TitlesforContents0">
    <w:name w:val="TitlesforContents"/>
    <w:basedOn w:val="Normal"/>
    <w:next w:val="Heading1"/>
    <w:rsid w:val="00991DB2"/>
    <w:pPr>
      <w:spacing w:before="120" w:after="120"/>
    </w:pPr>
    <w:rPr>
      <w:rFonts w:ascii="Arial" w:hAnsi="Arial"/>
      <w:color w:val="4E8ABE"/>
      <w:sz w:val="36"/>
      <w:szCs w:val="36"/>
    </w:rPr>
  </w:style>
  <w:style w:type="paragraph" w:styleId="TOAHeading">
    <w:name w:val="toa heading"/>
    <w:basedOn w:val="Normal"/>
    <w:next w:val="Normal"/>
    <w:semiHidden/>
    <w:rsid w:val="00991DB2"/>
    <w:pPr>
      <w:spacing w:before="120"/>
    </w:pPr>
    <w:rPr>
      <w:rFonts w:ascii="Arial" w:hAnsi="Arial" w:cs="Arial"/>
      <w:b/>
      <w:bCs/>
    </w:rPr>
  </w:style>
  <w:style w:type="paragraph" w:styleId="TOC1">
    <w:name w:val="toc 1"/>
    <w:basedOn w:val="Heading2"/>
    <w:next w:val="Body"/>
    <w:autoRedefine/>
    <w:rsid w:val="00991DB2"/>
    <w:pPr>
      <w:tabs>
        <w:tab w:val="left" w:leader="dot" w:pos="0"/>
        <w:tab w:val="right" w:leader="dot" w:pos="6840"/>
      </w:tabs>
      <w:spacing w:line="240" w:lineRule="auto"/>
      <w:outlineLvl w:val="0"/>
    </w:pPr>
  </w:style>
  <w:style w:type="paragraph" w:styleId="TOC2">
    <w:name w:val="toc 2"/>
    <w:basedOn w:val="Body"/>
    <w:next w:val="Body"/>
    <w:autoRedefine/>
    <w:rsid w:val="00991DB2"/>
    <w:pPr>
      <w:tabs>
        <w:tab w:val="left" w:pos="0"/>
        <w:tab w:val="right" w:leader="dot" w:pos="6840"/>
      </w:tabs>
      <w:spacing w:after="40"/>
    </w:pPr>
  </w:style>
  <w:style w:type="paragraph" w:styleId="TOC3">
    <w:name w:val="toc 3"/>
    <w:basedOn w:val="Body"/>
    <w:next w:val="Body"/>
    <w:autoRedefine/>
    <w:rsid w:val="00991DB2"/>
    <w:pPr>
      <w:tabs>
        <w:tab w:val="left" w:pos="0"/>
      </w:tabs>
      <w:ind w:left="-340"/>
    </w:pPr>
  </w:style>
  <w:style w:type="paragraph" w:styleId="TOC4">
    <w:name w:val="toc 4"/>
    <w:basedOn w:val="Body"/>
    <w:next w:val="Body"/>
    <w:autoRedefine/>
    <w:rsid w:val="00991DB2"/>
    <w:pPr>
      <w:tabs>
        <w:tab w:val="left" w:pos="0"/>
      </w:tabs>
      <w:ind w:left="-340"/>
    </w:pPr>
  </w:style>
  <w:style w:type="paragraph" w:styleId="TOC5">
    <w:name w:val="toc 5"/>
    <w:basedOn w:val="Body"/>
    <w:next w:val="Body"/>
    <w:autoRedefine/>
    <w:rsid w:val="00991DB2"/>
    <w:pPr>
      <w:tabs>
        <w:tab w:val="left" w:pos="0"/>
      </w:tabs>
      <w:ind w:left="-340"/>
    </w:pPr>
  </w:style>
  <w:style w:type="paragraph" w:styleId="TOC6">
    <w:name w:val="toc 6"/>
    <w:basedOn w:val="TOC3"/>
    <w:next w:val="Normal"/>
    <w:autoRedefine/>
    <w:rsid w:val="00991DB2"/>
    <w:rPr>
      <w:b/>
    </w:rPr>
  </w:style>
  <w:style w:type="paragraph" w:styleId="TOC7">
    <w:name w:val="toc 7"/>
    <w:basedOn w:val="TOC1"/>
    <w:next w:val="Normal"/>
    <w:autoRedefine/>
    <w:rsid w:val="00991DB2"/>
    <w:pPr>
      <w:tabs>
        <w:tab w:val="clear" w:pos="0"/>
        <w:tab w:val="clear" w:pos="6840"/>
        <w:tab w:val="left" w:pos="2602"/>
      </w:tabs>
      <w:spacing w:after="0"/>
    </w:pPr>
    <w:rPr>
      <w:rFonts w:ascii="Arial Narrow" w:hAnsi="Arial Narrow"/>
      <w:b w:val="0"/>
      <w:color w:val="auto"/>
      <w:sz w:val="16"/>
      <w:szCs w:val="16"/>
    </w:rPr>
  </w:style>
  <w:style w:type="paragraph" w:styleId="TOC8">
    <w:name w:val="toc 8"/>
    <w:basedOn w:val="TOC1"/>
    <w:next w:val="Normal"/>
    <w:autoRedefine/>
    <w:rsid w:val="00991DB2"/>
    <w:pPr>
      <w:tabs>
        <w:tab w:val="clear" w:pos="0"/>
        <w:tab w:val="clear" w:pos="6840"/>
        <w:tab w:val="right" w:leader="dot" w:pos="6120"/>
      </w:tabs>
      <w:spacing w:after="0"/>
      <w:ind w:right="3269"/>
    </w:pPr>
    <w:rPr>
      <w:b w:val="0"/>
      <w:szCs w:val="20"/>
    </w:rPr>
  </w:style>
  <w:style w:type="paragraph" w:styleId="TOC9">
    <w:name w:val="toc 9"/>
    <w:basedOn w:val="TOC2"/>
    <w:next w:val="Normal"/>
    <w:autoRedefine/>
    <w:rsid w:val="00991DB2"/>
    <w:pPr>
      <w:tabs>
        <w:tab w:val="clear" w:pos="0"/>
        <w:tab w:val="clear" w:pos="6840"/>
        <w:tab w:val="right" w:leader="dot" w:pos="6120"/>
      </w:tabs>
      <w:spacing w:after="0"/>
      <w:ind w:right="3269"/>
    </w:pPr>
    <w:rPr>
      <w:szCs w:val="20"/>
    </w:rPr>
  </w:style>
  <w:style w:type="paragraph" w:customStyle="1" w:styleId="TOCHeading1">
    <w:name w:val="TOC Heading 1"/>
    <w:basedOn w:val="Heading1"/>
    <w:next w:val="Body"/>
    <w:rsid w:val="00991DB2"/>
    <w:rPr>
      <w:color w:val="auto"/>
    </w:rPr>
  </w:style>
  <w:style w:type="paragraph" w:customStyle="1" w:styleId="TOCHeading2">
    <w:name w:val="TOC Heading 2"/>
    <w:basedOn w:val="Heading2"/>
    <w:next w:val="Body"/>
    <w:rsid w:val="00991DB2"/>
    <w:pPr>
      <w:spacing w:before="120" w:line="260" w:lineRule="atLeast"/>
    </w:pPr>
  </w:style>
  <w:style w:type="paragraph" w:customStyle="1" w:styleId="TPR">
    <w:name w:val="TPR"/>
    <w:basedOn w:val="BodyTextIndent"/>
    <w:rsid w:val="00991DB2"/>
    <w:pPr>
      <w:ind w:left="-3125" w:right="-14"/>
    </w:pPr>
    <w:rPr>
      <w:bCs/>
      <w:sz w:val="20"/>
      <w:szCs w:val="16"/>
    </w:rPr>
  </w:style>
  <w:style w:type="paragraph" w:customStyle="1" w:styleId="TPRHead">
    <w:name w:val="TPRHead"/>
    <w:basedOn w:val="TPR"/>
    <w:rsid w:val="00991DB2"/>
    <w:pPr>
      <w:keepNext/>
      <w:spacing w:after="0"/>
    </w:pPr>
    <w:rPr>
      <w:b/>
    </w:rPr>
  </w:style>
  <w:style w:type="paragraph" w:customStyle="1" w:styleId="Tradedetail">
    <w:name w:val="Trade detail"/>
    <w:basedOn w:val="Bullettext"/>
    <w:rsid w:val="00991DB2"/>
    <w:pPr>
      <w:numPr>
        <w:numId w:val="20"/>
      </w:numPr>
      <w:spacing w:after="0"/>
    </w:pPr>
  </w:style>
  <w:style w:type="paragraph" w:customStyle="1" w:styleId="Tradeinnertext">
    <w:name w:val="Trade inner text"/>
    <w:basedOn w:val="CommentText"/>
    <w:rsid w:val="00991DB2"/>
    <w:pPr>
      <w:tabs>
        <w:tab w:val="left" w:pos="216"/>
      </w:tabs>
      <w:spacing w:line="240" w:lineRule="exact"/>
      <w:ind w:left="216"/>
    </w:pPr>
  </w:style>
  <w:style w:type="paragraph" w:customStyle="1" w:styleId="Underline">
    <w:name w:val="Underline"/>
    <w:basedOn w:val="Normal"/>
    <w:rsid w:val="00991DB2"/>
    <w:pPr>
      <w:keepNext/>
      <w:spacing w:before="20" w:after="60" w:line="60" w:lineRule="atLeast"/>
      <w:ind w:left="-3125"/>
    </w:pPr>
    <w:rPr>
      <w:sz w:val="16"/>
    </w:rPr>
  </w:style>
  <w:style w:type="paragraph" w:customStyle="1" w:styleId="Units">
    <w:name w:val="Units"/>
    <w:basedOn w:val="Body"/>
    <w:rsid w:val="00991DB2"/>
    <w:pPr>
      <w:keepNext/>
      <w:keepLines/>
      <w:spacing w:after="50" w:line="200" w:lineRule="atLeast"/>
    </w:pPr>
    <w:rPr>
      <w:rFonts w:ascii="Arial Narrow" w:hAnsi="Arial Narrow"/>
      <w:spacing w:val="5"/>
      <w:sz w:val="16"/>
    </w:rPr>
  </w:style>
  <w:style w:type="paragraph" w:customStyle="1" w:styleId="units0">
    <w:name w:val="units"/>
    <w:basedOn w:val="Normal"/>
    <w:rsid w:val="00991DB2"/>
    <w:pPr>
      <w:keepNext/>
      <w:keepLines/>
      <w:spacing w:after="50" w:line="200" w:lineRule="atLeast"/>
    </w:pPr>
    <w:rPr>
      <w:rFonts w:ascii="Arial Narrow" w:hAnsi="Arial Narrow"/>
      <w:noProof/>
      <w:spacing w:val="5"/>
      <w:sz w:val="16"/>
    </w:rPr>
  </w:style>
  <w:style w:type="paragraph" w:customStyle="1" w:styleId="WebURL">
    <w:name w:val="WebURL"/>
    <w:basedOn w:val="Body"/>
    <w:next w:val="Body"/>
    <w:rsid w:val="00991DB2"/>
    <w:pPr>
      <w:spacing w:after="0"/>
    </w:pPr>
    <w:rPr>
      <w:rFonts w:ascii="Arial Narrow" w:hAnsi="Arial Narrow"/>
      <w:b/>
      <w:color w:val="4E8ABE"/>
      <w:sz w:val="16"/>
      <w:szCs w:val="16"/>
    </w:rPr>
  </w:style>
  <w:style w:type="character" w:customStyle="1" w:styleId="SourceChar">
    <w:name w:val="Source Char"/>
    <w:basedOn w:val="DefaultParagraphFont"/>
    <w:link w:val="Source"/>
    <w:rsid w:val="00991DB2"/>
    <w:rPr>
      <w:rFonts w:ascii="Arial Narrow" w:eastAsia="MS Mincho" w:hAnsi="Arial Narrow" w:cs="Times New Roman"/>
      <w:sz w:val="14"/>
      <w:szCs w:val="24"/>
      <w:lang w:val="en-US" w:eastAsia="en-US"/>
    </w:rPr>
  </w:style>
  <w:style w:type="paragraph" w:customStyle="1" w:styleId="TableText">
    <w:name w:val="Table Text"/>
    <w:basedOn w:val="Normal"/>
    <w:rsid w:val="00991DB2"/>
    <w:pPr>
      <w:keepNext/>
      <w:keepLines/>
    </w:pPr>
    <w:rPr>
      <w:rFonts w:eastAsia="Times New Roman"/>
      <w:sz w:val="16"/>
      <w:szCs w:val="20"/>
    </w:rPr>
  </w:style>
  <w:style w:type="paragraph" w:customStyle="1" w:styleId="TableFootnotes">
    <w:name w:val="Table Footnotes"/>
    <w:basedOn w:val="Normal"/>
    <w:next w:val="Normal"/>
    <w:rsid w:val="00991DB2"/>
    <w:rPr>
      <w:rFonts w:eastAsia="Times New Roman"/>
      <w:sz w:val="16"/>
      <w:lang w:val="en-GB"/>
    </w:rPr>
  </w:style>
  <w:style w:type="paragraph" w:customStyle="1" w:styleId="FooterFrontPage1stLine">
    <w:name w:val="FooterFrontPage1stLine"/>
    <w:basedOn w:val="Normal"/>
    <w:rsid w:val="00991DB2"/>
    <w:pPr>
      <w:framePr w:wrap="around" w:hAnchor="text" w:yAlign="bottom"/>
      <w:spacing w:line="216" w:lineRule="atLeast"/>
    </w:pPr>
    <w:rPr>
      <w:rFonts w:ascii="Arial Narrow" w:hAnsi="Arial Narrow"/>
      <w:b/>
      <w:noProof/>
      <w:sz w:val="22"/>
    </w:rPr>
  </w:style>
  <w:style w:type="paragraph" w:customStyle="1" w:styleId="ShiftFPBullet">
    <w:name w:val="Shift FPBullet"/>
    <w:basedOn w:val="FPBullet"/>
    <w:qFormat/>
    <w:rsid w:val="00991DB2"/>
    <w:pPr>
      <w:tabs>
        <w:tab w:val="clear" w:pos="0"/>
      </w:tabs>
      <w:ind w:left="2707" w:right="518"/>
    </w:pPr>
  </w:style>
  <w:style w:type="paragraph" w:customStyle="1" w:styleId="ShiftFPBody">
    <w:name w:val="Shift FPBody"/>
    <w:basedOn w:val="FPBody"/>
    <w:rsid w:val="00991DB2"/>
    <w:pPr>
      <w:ind w:left="2520" w:right="518"/>
    </w:pPr>
  </w:style>
  <w:style w:type="paragraph" w:customStyle="1" w:styleId="Heading1-PBBefore">
    <w:name w:val="Heading 1 -PB Before"/>
    <w:basedOn w:val="Heading1"/>
    <w:qFormat/>
    <w:rsid w:val="00991DB2"/>
    <w:pPr>
      <w:pageBreakBefore/>
      <w:spacing w:before="0"/>
    </w:pPr>
  </w:style>
  <w:style w:type="paragraph" w:customStyle="1" w:styleId="FPBullet">
    <w:name w:val="FPBullet"/>
    <w:basedOn w:val="Body"/>
    <w:link w:val="FPBulletChar"/>
    <w:rsid w:val="00991DB2"/>
    <w:pPr>
      <w:numPr>
        <w:numId w:val="21"/>
      </w:numPr>
      <w:spacing w:after="180"/>
      <w:ind w:left="187" w:right="3269" w:hanging="187"/>
      <w:jc w:val="both"/>
    </w:pPr>
    <w:rPr>
      <w:sz w:val="22"/>
    </w:rPr>
  </w:style>
  <w:style w:type="paragraph" w:customStyle="1" w:styleId="52807BB80E4E409F9A162793A918D5C65">
    <w:name w:val="52807BB80E4E409F9A162793A918D5C65"/>
    <w:rsid w:val="00991DB2"/>
    <w:pPr>
      <w:numPr>
        <w:numId w:val="24"/>
      </w:numPr>
      <w:tabs>
        <w:tab w:val="num" w:pos="0"/>
      </w:tabs>
      <w:spacing w:after="180"/>
      <w:ind w:left="187" w:right="3272" w:hanging="187"/>
      <w:jc w:val="both"/>
    </w:pPr>
    <w:rPr>
      <w:rFonts w:ascii="Times New Roman" w:eastAsia="MS Mincho" w:hAnsi="Times New Roman" w:cs="Times New Roman"/>
      <w:lang w:val="en-US" w:eastAsia="en-US"/>
    </w:rPr>
  </w:style>
  <w:style w:type="paragraph" w:customStyle="1" w:styleId="TradeBullet">
    <w:name w:val="Trade Bullet"/>
    <w:next w:val="Tradeinner"/>
    <w:rsid w:val="00991DB2"/>
    <w:pPr>
      <w:numPr>
        <w:numId w:val="25"/>
      </w:numPr>
      <w:tabs>
        <w:tab w:val="clear" w:pos="360"/>
      </w:tabs>
      <w:spacing w:after="0" w:line="240" w:lineRule="auto"/>
      <w:ind w:left="216" w:hanging="216"/>
    </w:pPr>
    <w:rPr>
      <w:rFonts w:ascii="Times New Roman" w:eastAsia="MS Mincho" w:hAnsi="Times New Roman" w:cs="Times New Roman"/>
      <w:b/>
      <w:sz w:val="20"/>
      <w:szCs w:val="24"/>
      <w:lang w:val="en-US" w:eastAsia="en-US"/>
    </w:rPr>
  </w:style>
  <w:style w:type="paragraph" w:customStyle="1" w:styleId="Tradeinner">
    <w:name w:val="Trade inner"/>
    <w:basedOn w:val="TradeBullet"/>
    <w:rsid w:val="00991DB2"/>
    <w:pPr>
      <w:numPr>
        <w:numId w:val="0"/>
      </w:numPr>
      <w:ind w:left="181"/>
    </w:pPr>
    <w:rPr>
      <w:b w:val="0"/>
    </w:rPr>
  </w:style>
  <w:style w:type="paragraph" w:customStyle="1" w:styleId="Source-NoSpacingAfter">
    <w:name w:val="Source-NoSpacingAfter"/>
    <w:basedOn w:val="Source"/>
    <w:next w:val="Body"/>
    <w:link w:val="Source-NoSpacingAfterChar"/>
    <w:rsid w:val="00991DB2"/>
    <w:pPr>
      <w:spacing w:after="0"/>
    </w:pPr>
  </w:style>
  <w:style w:type="paragraph" w:customStyle="1" w:styleId="BBGText">
    <w:name w:val="BBGText"/>
    <w:next w:val="Normal"/>
    <w:link w:val="BBGTextChar"/>
    <w:rsid w:val="00991DB2"/>
    <w:pPr>
      <w:spacing w:before="40" w:after="0" w:line="240" w:lineRule="auto"/>
    </w:pPr>
    <w:rPr>
      <w:rFonts w:ascii="Arial" w:eastAsia="MS Mincho" w:hAnsi="Arial" w:cs="Times New Roman"/>
      <w:b/>
      <w:noProof/>
      <w:sz w:val="14"/>
      <w:szCs w:val="24"/>
      <w:lang w:val="en-US" w:eastAsia="en-US"/>
    </w:rPr>
  </w:style>
  <w:style w:type="paragraph" w:customStyle="1" w:styleId="BBGValue">
    <w:name w:val="BBGValue"/>
    <w:next w:val="Normal"/>
    <w:link w:val="BBGValueChar"/>
    <w:rsid w:val="00991DB2"/>
    <w:pPr>
      <w:spacing w:before="40" w:after="60" w:line="240" w:lineRule="auto"/>
    </w:pPr>
    <w:rPr>
      <w:rFonts w:ascii="Arial" w:eastAsia="MS Mincho" w:hAnsi="Arial" w:cs="Times New Roman"/>
      <w:noProof/>
      <w:sz w:val="14"/>
      <w:szCs w:val="24"/>
      <w:lang w:val="en-US" w:eastAsia="en-US"/>
    </w:rPr>
  </w:style>
  <w:style w:type="paragraph" w:customStyle="1" w:styleId="FPLegalEntityNamewithoutborder">
    <w:name w:val="FPLegalEntityName(without border)"/>
    <w:basedOn w:val="EMail"/>
    <w:next w:val="FPLegalEntityName"/>
    <w:rsid w:val="00991DB2"/>
    <w:pPr>
      <w:spacing w:after="90"/>
    </w:pPr>
    <w:rPr>
      <w:color w:val="000000" w:themeColor="text1"/>
    </w:rPr>
  </w:style>
  <w:style w:type="paragraph" w:customStyle="1" w:styleId="LastBullet">
    <w:name w:val="Last Bullet"/>
    <w:basedOn w:val="Bullet"/>
    <w:link w:val="LastBulletChar"/>
    <w:rsid w:val="00991DB2"/>
    <w:pPr>
      <w:spacing w:after="240"/>
    </w:pPr>
  </w:style>
  <w:style w:type="character" w:customStyle="1" w:styleId="BodyChar">
    <w:name w:val="Body Char"/>
    <w:aliases w:val="by Char,body + Bold Char,Body11 Char,body1 Char,body + Black1 Char,Justified1 Char,by1 Char,After:  3 pt1 Char,Line spacing:  At least 9 pt + Bl...1 Char,Line spacing:  At least 9 pt...1 Char,Body2 Char,by2 Char,Body1 Char,body + 10 pt Char"/>
    <w:basedOn w:val="DefaultParagraphFont"/>
    <w:link w:val="Body"/>
    <w:rsid w:val="00991DB2"/>
    <w:rPr>
      <w:rFonts w:ascii="Times New Roman" w:eastAsia="MS Mincho" w:hAnsi="Times New Roman" w:cs="Times New Roman"/>
      <w:sz w:val="20"/>
      <w:szCs w:val="24"/>
      <w:lang w:val="en-US" w:eastAsia="en-US"/>
    </w:rPr>
  </w:style>
  <w:style w:type="character" w:customStyle="1" w:styleId="FPBulletChar">
    <w:name w:val="FPBullet Char"/>
    <w:basedOn w:val="BodyChar"/>
    <w:link w:val="FPBullet"/>
    <w:rsid w:val="00991DB2"/>
  </w:style>
  <w:style w:type="character" w:customStyle="1" w:styleId="LastBulletChar">
    <w:name w:val="Last Bullet Char"/>
    <w:basedOn w:val="FPBulletChar"/>
    <w:link w:val="LastBullet"/>
    <w:rsid w:val="00991DB2"/>
    <w:rPr>
      <w:sz w:val="20"/>
    </w:rPr>
  </w:style>
  <w:style w:type="character" w:customStyle="1" w:styleId="FigureTitleChar">
    <w:name w:val="FigureTitle Char"/>
    <w:basedOn w:val="DefaultParagraphFont"/>
    <w:link w:val="FigureTitle"/>
    <w:rsid w:val="00BC1D60"/>
    <w:rPr>
      <w:rFonts w:ascii="Arial Narrow" w:eastAsia="MS Mincho" w:hAnsi="Arial Narrow" w:cs="Times New Roman"/>
      <w:b/>
      <w:color w:val="4E8ABE"/>
      <w:sz w:val="18"/>
      <w:szCs w:val="18"/>
      <w:lang w:val="en-US" w:eastAsia="en-US"/>
    </w:rPr>
  </w:style>
  <w:style w:type="paragraph" w:styleId="ListParagraph">
    <w:name w:val="List Paragraph"/>
    <w:basedOn w:val="Normal"/>
    <w:uiPriority w:val="34"/>
    <w:qFormat/>
    <w:rsid w:val="00BC1D60"/>
    <w:pPr>
      <w:ind w:left="720"/>
      <w:contextualSpacing/>
    </w:pPr>
  </w:style>
  <w:style w:type="paragraph" w:customStyle="1" w:styleId="ESTableCaptionEmpty">
    <w:name w:val="ESTableCaptionEmpty"/>
    <w:next w:val="Normal"/>
    <w:rsid w:val="00BC1D60"/>
    <w:pPr>
      <w:spacing w:after="20" w:line="240" w:lineRule="auto"/>
      <w:ind w:left="357" w:hanging="357"/>
    </w:pPr>
    <w:rPr>
      <w:rFonts w:ascii="Arial" w:eastAsia="MS PGothic" w:hAnsi="Arial" w:cs="Arial"/>
      <w:b/>
      <w:noProof/>
      <w:sz w:val="16"/>
      <w:szCs w:val="16"/>
      <w:lang w:val="en-US" w:eastAsia="en-US"/>
    </w:rPr>
  </w:style>
  <w:style w:type="paragraph" w:customStyle="1" w:styleId="Soure">
    <w:name w:val="Soure"/>
    <w:basedOn w:val="Body"/>
    <w:rsid w:val="00BC1D60"/>
    <w:rPr>
      <w:rFonts w:ascii="Arial Narrow"/>
    </w:rPr>
  </w:style>
  <w:style w:type="character" w:customStyle="1" w:styleId="sourcey1Char">
    <w:name w:val="sourcey1 Char"/>
    <w:aliases w:val="18 pt Char"/>
    <w:basedOn w:val="DefaultParagraphFont"/>
    <w:rsid w:val="00BC1D60"/>
    <w:rPr>
      <w:rFonts w:ascii="Times New Roman" w:eastAsia="MS Mincho" w:hAnsi="Times New Roman" w:cs="Times New Roman"/>
      <w:sz w:val="20"/>
      <w:szCs w:val="24"/>
      <w:lang w:val="en-US" w:eastAsia="en-US"/>
    </w:rPr>
  </w:style>
  <w:style w:type="character" w:customStyle="1" w:styleId="nrmltxt1">
    <w:name w:val="nrmltxt1"/>
    <w:basedOn w:val="DefaultParagraphFont"/>
    <w:rsid w:val="00BC1D60"/>
    <w:rPr>
      <w:rFonts w:ascii="Arial" w:hAnsi="Arial" w:cs="Arial" w:hint="default"/>
      <w:b w:val="0"/>
      <w:bCs w:val="0"/>
      <w:color w:val="666666"/>
      <w:sz w:val="21"/>
      <w:szCs w:val="21"/>
    </w:rPr>
  </w:style>
  <w:style w:type="character" w:customStyle="1" w:styleId="txtblackbld1">
    <w:name w:val="txtblackbld1"/>
    <w:basedOn w:val="DefaultParagraphFont"/>
    <w:rsid w:val="00BC1D60"/>
    <w:rPr>
      <w:rFonts w:ascii="Arial" w:hAnsi="Arial" w:cs="Arial" w:hint="default"/>
      <w:b/>
      <w:bCs/>
      <w:color w:val="666666"/>
      <w:sz w:val="21"/>
      <w:szCs w:val="21"/>
    </w:rPr>
  </w:style>
  <w:style w:type="character" w:customStyle="1" w:styleId="BulletChar">
    <w:name w:val="Bullet Char"/>
    <w:basedOn w:val="DefaultParagraphFont"/>
    <w:link w:val="Bullet"/>
    <w:locked/>
    <w:rsid w:val="00BC1D60"/>
    <w:rPr>
      <w:rFonts w:ascii="Times New Roman" w:eastAsia="MS Mincho" w:hAnsi="Times New Roman" w:cs="Times New Roman"/>
      <w:sz w:val="20"/>
      <w:szCs w:val="24"/>
      <w:lang w:val="en-US" w:eastAsia="en-US"/>
    </w:rPr>
  </w:style>
  <w:style w:type="paragraph" w:customStyle="1" w:styleId="EstripRating">
    <w:name w:val="EstripRating"/>
    <w:basedOn w:val="SideCommentRating"/>
    <w:rsid w:val="00BC1D60"/>
    <w:pPr>
      <w:framePr w:w="2880" w:wrap="around"/>
      <w:spacing w:after="0"/>
    </w:pPr>
    <w:rPr>
      <w:rFonts w:ascii="Arial Bold" w:hAnsi="Arial Bold"/>
      <w:color w:val="auto"/>
      <w:sz w:val="26"/>
      <w:lang w:eastAsia="ja-JP"/>
    </w:rPr>
  </w:style>
  <w:style w:type="paragraph" w:customStyle="1" w:styleId="DatasheetStart">
    <w:name w:val="DatasheetStart"/>
    <w:basedOn w:val="FootnoteEarningsTable"/>
    <w:rsid w:val="00BC1D60"/>
    <w:pPr>
      <w:pageBreakBefore/>
    </w:pPr>
  </w:style>
  <w:style w:type="character" w:customStyle="1" w:styleId="Source-NoSpacingAfterChar">
    <w:name w:val="Source-NoSpacingAfter Char"/>
    <w:basedOn w:val="SourceChar"/>
    <w:link w:val="Source-NoSpacingAfter"/>
    <w:rsid w:val="00BC1D60"/>
  </w:style>
  <w:style w:type="character" w:customStyle="1" w:styleId="BBGTextChar">
    <w:name w:val="BBGText Char"/>
    <w:basedOn w:val="DefaultParagraphFont"/>
    <w:link w:val="BBGText"/>
    <w:rsid w:val="00BC1D60"/>
    <w:rPr>
      <w:rFonts w:ascii="Arial" w:eastAsia="MS Mincho" w:hAnsi="Arial" w:cs="Times New Roman"/>
      <w:b/>
      <w:noProof/>
      <w:sz w:val="14"/>
      <w:szCs w:val="24"/>
      <w:lang w:val="en-US" w:eastAsia="en-US"/>
    </w:rPr>
  </w:style>
  <w:style w:type="character" w:customStyle="1" w:styleId="BBGValueChar">
    <w:name w:val="BBGValue Char"/>
    <w:basedOn w:val="DefaultParagraphFont"/>
    <w:link w:val="BBGValue"/>
    <w:rsid w:val="00BC1D60"/>
    <w:rPr>
      <w:rFonts w:ascii="Arial" w:eastAsia="MS Mincho" w:hAnsi="Arial" w:cs="Times New Roman"/>
      <w:noProof/>
      <w:sz w:val="14"/>
      <w:szCs w:val="24"/>
      <w:lang w:val="en-US" w:eastAsia="en-US"/>
    </w:rPr>
  </w:style>
  <w:style w:type="character" w:customStyle="1" w:styleId="FPBodyChar">
    <w:name w:val="FPBody Char"/>
    <w:basedOn w:val="BodyChar"/>
    <w:link w:val="FPBody"/>
    <w:rsid w:val="00BC1D60"/>
  </w:style>
</w:styles>
</file>

<file path=word/webSettings.xml><?xml version="1.0" encoding="utf-8"?>
<w:webSettings xmlns:r="http://schemas.openxmlformats.org/officeDocument/2006/relationships" xmlns:w="http://schemas.openxmlformats.org/wordprocessingml/2006/main">
  <w:divs>
    <w:div w:id="125314500">
      <w:bodyDiv w:val="1"/>
      <w:marLeft w:val="0"/>
      <w:marRight w:val="0"/>
      <w:marTop w:val="0"/>
      <w:marBottom w:val="0"/>
      <w:divBdr>
        <w:top w:val="none" w:sz="0" w:space="0" w:color="auto"/>
        <w:left w:val="none" w:sz="0" w:space="0" w:color="auto"/>
        <w:bottom w:val="none" w:sz="0" w:space="0" w:color="auto"/>
        <w:right w:val="none" w:sz="0" w:space="0" w:color="auto"/>
      </w:divBdr>
      <w:divsChild>
        <w:div w:id="2044014204">
          <w:marLeft w:val="0"/>
          <w:marRight w:val="0"/>
          <w:marTop w:val="0"/>
          <w:marBottom w:val="0"/>
          <w:divBdr>
            <w:top w:val="none" w:sz="0" w:space="0" w:color="auto"/>
            <w:left w:val="none" w:sz="0" w:space="0" w:color="auto"/>
            <w:bottom w:val="none" w:sz="0" w:space="0" w:color="auto"/>
            <w:right w:val="none" w:sz="0" w:space="0" w:color="auto"/>
          </w:divBdr>
        </w:div>
        <w:div w:id="1925021551">
          <w:marLeft w:val="0"/>
          <w:marRight w:val="0"/>
          <w:marTop w:val="0"/>
          <w:marBottom w:val="0"/>
          <w:divBdr>
            <w:top w:val="none" w:sz="0" w:space="0" w:color="auto"/>
            <w:left w:val="none" w:sz="0" w:space="0" w:color="auto"/>
            <w:bottom w:val="none" w:sz="0" w:space="0" w:color="auto"/>
            <w:right w:val="none" w:sz="0" w:space="0" w:color="auto"/>
          </w:divBdr>
        </w:div>
        <w:div w:id="2102603581">
          <w:marLeft w:val="0"/>
          <w:marRight w:val="0"/>
          <w:marTop w:val="0"/>
          <w:marBottom w:val="0"/>
          <w:divBdr>
            <w:top w:val="none" w:sz="0" w:space="0" w:color="auto"/>
            <w:left w:val="none" w:sz="0" w:space="0" w:color="auto"/>
            <w:bottom w:val="none" w:sz="0" w:space="0" w:color="auto"/>
            <w:right w:val="none" w:sz="0" w:space="0" w:color="auto"/>
          </w:divBdr>
        </w:div>
        <w:div w:id="1642152845">
          <w:marLeft w:val="0"/>
          <w:marRight w:val="0"/>
          <w:marTop w:val="0"/>
          <w:marBottom w:val="0"/>
          <w:divBdr>
            <w:top w:val="none" w:sz="0" w:space="0" w:color="auto"/>
            <w:left w:val="none" w:sz="0" w:space="0" w:color="auto"/>
            <w:bottom w:val="none" w:sz="0" w:space="0" w:color="auto"/>
            <w:right w:val="none" w:sz="0" w:space="0" w:color="auto"/>
          </w:divBdr>
        </w:div>
        <w:div w:id="405537328">
          <w:marLeft w:val="0"/>
          <w:marRight w:val="0"/>
          <w:marTop w:val="0"/>
          <w:marBottom w:val="0"/>
          <w:divBdr>
            <w:top w:val="none" w:sz="0" w:space="0" w:color="auto"/>
            <w:left w:val="none" w:sz="0" w:space="0" w:color="auto"/>
            <w:bottom w:val="none" w:sz="0" w:space="0" w:color="auto"/>
            <w:right w:val="none" w:sz="0" w:space="0" w:color="auto"/>
          </w:divBdr>
        </w:div>
        <w:div w:id="2045904615">
          <w:marLeft w:val="0"/>
          <w:marRight w:val="0"/>
          <w:marTop w:val="0"/>
          <w:marBottom w:val="0"/>
          <w:divBdr>
            <w:top w:val="none" w:sz="0" w:space="0" w:color="auto"/>
            <w:left w:val="none" w:sz="0" w:space="0" w:color="auto"/>
            <w:bottom w:val="none" w:sz="0" w:space="0" w:color="auto"/>
            <w:right w:val="none" w:sz="0" w:space="0" w:color="auto"/>
          </w:divBdr>
        </w:div>
        <w:div w:id="1561552130">
          <w:marLeft w:val="0"/>
          <w:marRight w:val="0"/>
          <w:marTop w:val="0"/>
          <w:marBottom w:val="0"/>
          <w:divBdr>
            <w:top w:val="none" w:sz="0" w:space="0" w:color="auto"/>
            <w:left w:val="none" w:sz="0" w:space="0" w:color="auto"/>
            <w:bottom w:val="none" w:sz="0" w:space="0" w:color="auto"/>
            <w:right w:val="none" w:sz="0" w:space="0" w:color="auto"/>
          </w:divBdr>
        </w:div>
        <w:div w:id="580991371">
          <w:marLeft w:val="0"/>
          <w:marRight w:val="0"/>
          <w:marTop w:val="0"/>
          <w:marBottom w:val="0"/>
          <w:divBdr>
            <w:top w:val="none" w:sz="0" w:space="0" w:color="auto"/>
            <w:left w:val="none" w:sz="0" w:space="0" w:color="auto"/>
            <w:bottom w:val="none" w:sz="0" w:space="0" w:color="auto"/>
            <w:right w:val="none" w:sz="0" w:space="0" w:color="auto"/>
          </w:divBdr>
        </w:div>
        <w:div w:id="795173877">
          <w:marLeft w:val="0"/>
          <w:marRight w:val="0"/>
          <w:marTop w:val="0"/>
          <w:marBottom w:val="0"/>
          <w:divBdr>
            <w:top w:val="none" w:sz="0" w:space="0" w:color="auto"/>
            <w:left w:val="none" w:sz="0" w:space="0" w:color="auto"/>
            <w:bottom w:val="none" w:sz="0" w:space="0" w:color="auto"/>
            <w:right w:val="none" w:sz="0" w:space="0" w:color="auto"/>
          </w:divBdr>
        </w:div>
        <w:div w:id="1649936553">
          <w:marLeft w:val="0"/>
          <w:marRight w:val="0"/>
          <w:marTop w:val="0"/>
          <w:marBottom w:val="0"/>
          <w:divBdr>
            <w:top w:val="none" w:sz="0" w:space="0" w:color="auto"/>
            <w:left w:val="none" w:sz="0" w:space="0" w:color="auto"/>
            <w:bottom w:val="none" w:sz="0" w:space="0" w:color="auto"/>
            <w:right w:val="none" w:sz="0" w:space="0" w:color="auto"/>
          </w:divBdr>
        </w:div>
        <w:div w:id="1235159603">
          <w:marLeft w:val="0"/>
          <w:marRight w:val="0"/>
          <w:marTop w:val="0"/>
          <w:marBottom w:val="0"/>
          <w:divBdr>
            <w:top w:val="none" w:sz="0" w:space="0" w:color="auto"/>
            <w:left w:val="none" w:sz="0" w:space="0" w:color="auto"/>
            <w:bottom w:val="none" w:sz="0" w:space="0" w:color="auto"/>
            <w:right w:val="none" w:sz="0" w:space="0" w:color="auto"/>
          </w:divBdr>
        </w:div>
        <w:div w:id="1346396789">
          <w:marLeft w:val="0"/>
          <w:marRight w:val="0"/>
          <w:marTop w:val="0"/>
          <w:marBottom w:val="0"/>
          <w:divBdr>
            <w:top w:val="none" w:sz="0" w:space="0" w:color="auto"/>
            <w:left w:val="none" w:sz="0" w:space="0" w:color="auto"/>
            <w:bottom w:val="none" w:sz="0" w:space="0" w:color="auto"/>
            <w:right w:val="none" w:sz="0" w:space="0" w:color="auto"/>
          </w:divBdr>
        </w:div>
        <w:div w:id="988484340">
          <w:marLeft w:val="0"/>
          <w:marRight w:val="0"/>
          <w:marTop w:val="0"/>
          <w:marBottom w:val="0"/>
          <w:divBdr>
            <w:top w:val="none" w:sz="0" w:space="0" w:color="auto"/>
            <w:left w:val="none" w:sz="0" w:space="0" w:color="auto"/>
            <w:bottom w:val="none" w:sz="0" w:space="0" w:color="auto"/>
            <w:right w:val="none" w:sz="0" w:space="0" w:color="auto"/>
          </w:divBdr>
        </w:div>
        <w:div w:id="621617782">
          <w:marLeft w:val="0"/>
          <w:marRight w:val="0"/>
          <w:marTop w:val="0"/>
          <w:marBottom w:val="0"/>
          <w:divBdr>
            <w:top w:val="none" w:sz="0" w:space="0" w:color="auto"/>
            <w:left w:val="none" w:sz="0" w:space="0" w:color="auto"/>
            <w:bottom w:val="none" w:sz="0" w:space="0" w:color="auto"/>
            <w:right w:val="none" w:sz="0" w:space="0" w:color="auto"/>
          </w:divBdr>
        </w:div>
        <w:div w:id="279142012">
          <w:marLeft w:val="0"/>
          <w:marRight w:val="0"/>
          <w:marTop w:val="0"/>
          <w:marBottom w:val="0"/>
          <w:divBdr>
            <w:top w:val="none" w:sz="0" w:space="0" w:color="auto"/>
            <w:left w:val="none" w:sz="0" w:space="0" w:color="auto"/>
            <w:bottom w:val="none" w:sz="0" w:space="0" w:color="auto"/>
            <w:right w:val="none" w:sz="0" w:space="0" w:color="auto"/>
          </w:divBdr>
        </w:div>
        <w:div w:id="1667053022">
          <w:marLeft w:val="0"/>
          <w:marRight w:val="0"/>
          <w:marTop w:val="0"/>
          <w:marBottom w:val="0"/>
          <w:divBdr>
            <w:top w:val="none" w:sz="0" w:space="0" w:color="auto"/>
            <w:left w:val="none" w:sz="0" w:space="0" w:color="auto"/>
            <w:bottom w:val="none" w:sz="0" w:space="0" w:color="auto"/>
            <w:right w:val="none" w:sz="0" w:space="0" w:color="auto"/>
          </w:divBdr>
        </w:div>
        <w:div w:id="575482739">
          <w:marLeft w:val="0"/>
          <w:marRight w:val="0"/>
          <w:marTop w:val="0"/>
          <w:marBottom w:val="0"/>
          <w:divBdr>
            <w:top w:val="none" w:sz="0" w:space="0" w:color="auto"/>
            <w:left w:val="none" w:sz="0" w:space="0" w:color="auto"/>
            <w:bottom w:val="none" w:sz="0" w:space="0" w:color="auto"/>
            <w:right w:val="none" w:sz="0" w:space="0" w:color="auto"/>
          </w:divBdr>
        </w:div>
        <w:div w:id="1948465653">
          <w:marLeft w:val="0"/>
          <w:marRight w:val="0"/>
          <w:marTop w:val="0"/>
          <w:marBottom w:val="0"/>
          <w:divBdr>
            <w:top w:val="none" w:sz="0" w:space="0" w:color="auto"/>
            <w:left w:val="none" w:sz="0" w:space="0" w:color="auto"/>
            <w:bottom w:val="none" w:sz="0" w:space="0" w:color="auto"/>
            <w:right w:val="none" w:sz="0" w:space="0" w:color="auto"/>
          </w:divBdr>
        </w:div>
      </w:divsChild>
    </w:div>
    <w:div w:id="308485211">
      <w:bodyDiv w:val="1"/>
      <w:marLeft w:val="0"/>
      <w:marRight w:val="0"/>
      <w:marTop w:val="0"/>
      <w:marBottom w:val="0"/>
      <w:divBdr>
        <w:top w:val="none" w:sz="0" w:space="0" w:color="auto"/>
        <w:left w:val="none" w:sz="0" w:space="0" w:color="auto"/>
        <w:bottom w:val="none" w:sz="0" w:space="0" w:color="auto"/>
        <w:right w:val="none" w:sz="0" w:space="0" w:color="auto"/>
      </w:divBdr>
      <w:divsChild>
        <w:div w:id="1996103026">
          <w:marLeft w:val="0"/>
          <w:marRight w:val="0"/>
          <w:marTop w:val="0"/>
          <w:marBottom w:val="0"/>
          <w:divBdr>
            <w:top w:val="none" w:sz="0" w:space="0" w:color="auto"/>
            <w:left w:val="none" w:sz="0" w:space="0" w:color="auto"/>
            <w:bottom w:val="none" w:sz="0" w:space="0" w:color="auto"/>
            <w:right w:val="none" w:sz="0" w:space="0" w:color="auto"/>
          </w:divBdr>
        </w:div>
        <w:div w:id="470244657">
          <w:marLeft w:val="0"/>
          <w:marRight w:val="0"/>
          <w:marTop w:val="0"/>
          <w:marBottom w:val="0"/>
          <w:divBdr>
            <w:top w:val="none" w:sz="0" w:space="0" w:color="auto"/>
            <w:left w:val="none" w:sz="0" w:space="0" w:color="auto"/>
            <w:bottom w:val="none" w:sz="0" w:space="0" w:color="auto"/>
            <w:right w:val="none" w:sz="0" w:space="0" w:color="auto"/>
          </w:divBdr>
        </w:div>
        <w:div w:id="1386176746">
          <w:marLeft w:val="0"/>
          <w:marRight w:val="0"/>
          <w:marTop w:val="0"/>
          <w:marBottom w:val="0"/>
          <w:divBdr>
            <w:top w:val="none" w:sz="0" w:space="0" w:color="auto"/>
            <w:left w:val="none" w:sz="0" w:space="0" w:color="auto"/>
            <w:bottom w:val="none" w:sz="0" w:space="0" w:color="auto"/>
            <w:right w:val="none" w:sz="0" w:space="0" w:color="auto"/>
          </w:divBdr>
        </w:div>
        <w:div w:id="409935891">
          <w:marLeft w:val="0"/>
          <w:marRight w:val="0"/>
          <w:marTop w:val="0"/>
          <w:marBottom w:val="0"/>
          <w:divBdr>
            <w:top w:val="none" w:sz="0" w:space="0" w:color="auto"/>
            <w:left w:val="none" w:sz="0" w:space="0" w:color="auto"/>
            <w:bottom w:val="none" w:sz="0" w:space="0" w:color="auto"/>
            <w:right w:val="none" w:sz="0" w:space="0" w:color="auto"/>
          </w:divBdr>
        </w:div>
        <w:div w:id="327443211">
          <w:marLeft w:val="0"/>
          <w:marRight w:val="0"/>
          <w:marTop w:val="0"/>
          <w:marBottom w:val="0"/>
          <w:divBdr>
            <w:top w:val="none" w:sz="0" w:space="0" w:color="auto"/>
            <w:left w:val="none" w:sz="0" w:space="0" w:color="auto"/>
            <w:bottom w:val="none" w:sz="0" w:space="0" w:color="auto"/>
            <w:right w:val="none" w:sz="0" w:space="0" w:color="auto"/>
          </w:divBdr>
        </w:div>
        <w:div w:id="810174115">
          <w:marLeft w:val="0"/>
          <w:marRight w:val="0"/>
          <w:marTop w:val="0"/>
          <w:marBottom w:val="0"/>
          <w:divBdr>
            <w:top w:val="none" w:sz="0" w:space="0" w:color="auto"/>
            <w:left w:val="none" w:sz="0" w:space="0" w:color="auto"/>
            <w:bottom w:val="none" w:sz="0" w:space="0" w:color="auto"/>
            <w:right w:val="none" w:sz="0" w:space="0" w:color="auto"/>
          </w:divBdr>
        </w:div>
        <w:div w:id="183058171">
          <w:marLeft w:val="0"/>
          <w:marRight w:val="0"/>
          <w:marTop w:val="0"/>
          <w:marBottom w:val="0"/>
          <w:divBdr>
            <w:top w:val="none" w:sz="0" w:space="0" w:color="auto"/>
            <w:left w:val="none" w:sz="0" w:space="0" w:color="auto"/>
            <w:bottom w:val="none" w:sz="0" w:space="0" w:color="auto"/>
            <w:right w:val="none" w:sz="0" w:space="0" w:color="auto"/>
          </w:divBdr>
        </w:div>
        <w:div w:id="1159923782">
          <w:marLeft w:val="0"/>
          <w:marRight w:val="0"/>
          <w:marTop w:val="0"/>
          <w:marBottom w:val="0"/>
          <w:divBdr>
            <w:top w:val="none" w:sz="0" w:space="0" w:color="auto"/>
            <w:left w:val="none" w:sz="0" w:space="0" w:color="auto"/>
            <w:bottom w:val="none" w:sz="0" w:space="0" w:color="auto"/>
            <w:right w:val="none" w:sz="0" w:space="0" w:color="auto"/>
          </w:divBdr>
        </w:div>
        <w:div w:id="1963421430">
          <w:marLeft w:val="0"/>
          <w:marRight w:val="0"/>
          <w:marTop w:val="0"/>
          <w:marBottom w:val="0"/>
          <w:divBdr>
            <w:top w:val="none" w:sz="0" w:space="0" w:color="auto"/>
            <w:left w:val="none" w:sz="0" w:space="0" w:color="auto"/>
            <w:bottom w:val="none" w:sz="0" w:space="0" w:color="auto"/>
            <w:right w:val="none" w:sz="0" w:space="0" w:color="auto"/>
          </w:divBdr>
        </w:div>
        <w:div w:id="1894460047">
          <w:marLeft w:val="0"/>
          <w:marRight w:val="0"/>
          <w:marTop w:val="0"/>
          <w:marBottom w:val="0"/>
          <w:divBdr>
            <w:top w:val="none" w:sz="0" w:space="0" w:color="auto"/>
            <w:left w:val="none" w:sz="0" w:space="0" w:color="auto"/>
            <w:bottom w:val="none" w:sz="0" w:space="0" w:color="auto"/>
            <w:right w:val="none" w:sz="0" w:space="0" w:color="auto"/>
          </w:divBdr>
        </w:div>
        <w:div w:id="1046174301">
          <w:marLeft w:val="0"/>
          <w:marRight w:val="0"/>
          <w:marTop w:val="0"/>
          <w:marBottom w:val="0"/>
          <w:divBdr>
            <w:top w:val="none" w:sz="0" w:space="0" w:color="auto"/>
            <w:left w:val="none" w:sz="0" w:space="0" w:color="auto"/>
            <w:bottom w:val="none" w:sz="0" w:space="0" w:color="auto"/>
            <w:right w:val="none" w:sz="0" w:space="0" w:color="auto"/>
          </w:divBdr>
        </w:div>
        <w:div w:id="1122580493">
          <w:marLeft w:val="0"/>
          <w:marRight w:val="0"/>
          <w:marTop w:val="0"/>
          <w:marBottom w:val="0"/>
          <w:divBdr>
            <w:top w:val="none" w:sz="0" w:space="0" w:color="auto"/>
            <w:left w:val="none" w:sz="0" w:space="0" w:color="auto"/>
            <w:bottom w:val="none" w:sz="0" w:space="0" w:color="auto"/>
            <w:right w:val="none" w:sz="0" w:space="0" w:color="auto"/>
          </w:divBdr>
        </w:div>
        <w:div w:id="1967815193">
          <w:marLeft w:val="0"/>
          <w:marRight w:val="0"/>
          <w:marTop w:val="0"/>
          <w:marBottom w:val="0"/>
          <w:divBdr>
            <w:top w:val="none" w:sz="0" w:space="0" w:color="auto"/>
            <w:left w:val="none" w:sz="0" w:space="0" w:color="auto"/>
            <w:bottom w:val="none" w:sz="0" w:space="0" w:color="auto"/>
            <w:right w:val="none" w:sz="0" w:space="0" w:color="auto"/>
          </w:divBdr>
        </w:div>
        <w:div w:id="1228028650">
          <w:marLeft w:val="0"/>
          <w:marRight w:val="0"/>
          <w:marTop w:val="0"/>
          <w:marBottom w:val="0"/>
          <w:divBdr>
            <w:top w:val="none" w:sz="0" w:space="0" w:color="auto"/>
            <w:left w:val="none" w:sz="0" w:space="0" w:color="auto"/>
            <w:bottom w:val="none" w:sz="0" w:space="0" w:color="auto"/>
            <w:right w:val="none" w:sz="0" w:space="0" w:color="auto"/>
          </w:divBdr>
        </w:div>
        <w:div w:id="1309359524">
          <w:marLeft w:val="0"/>
          <w:marRight w:val="0"/>
          <w:marTop w:val="0"/>
          <w:marBottom w:val="0"/>
          <w:divBdr>
            <w:top w:val="none" w:sz="0" w:space="0" w:color="auto"/>
            <w:left w:val="none" w:sz="0" w:space="0" w:color="auto"/>
            <w:bottom w:val="none" w:sz="0" w:space="0" w:color="auto"/>
            <w:right w:val="none" w:sz="0" w:space="0" w:color="auto"/>
          </w:divBdr>
        </w:div>
        <w:div w:id="1295523496">
          <w:marLeft w:val="0"/>
          <w:marRight w:val="0"/>
          <w:marTop w:val="0"/>
          <w:marBottom w:val="0"/>
          <w:divBdr>
            <w:top w:val="none" w:sz="0" w:space="0" w:color="auto"/>
            <w:left w:val="none" w:sz="0" w:space="0" w:color="auto"/>
            <w:bottom w:val="none" w:sz="0" w:space="0" w:color="auto"/>
            <w:right w:val="none" w:sz="0" w:space="0" w:color="auto"/>
          </w:divBdr>
        </w:div>
        <w:div w:id="801386566">
          <w:marLeft w:val="0"/>
          <w:marRight w:val="0"/>
          <w:marTop w:val="0"/>
          <w:marBottom w:val="0"/>
          <w:divBdr>
            <w:top w:val="none" w:sz="0" w:space="0" w:color="auto"/>
            <w:left w:val="none" w:sz="0" w:space="0" w:color="auto"/>
            <w:bottom w:val="none" w:sz="0" w:space="0" w:color="auto"/>
            <w:right w:val="none" w:sz="0" w:space="0" w:color="auto"/>
          </w:divBdr>
        </w:div>
      </w:divsChild>
    </w:div>
    <w:div w:id="323556788">
      <w:bodyDiv w:val="1"/>
      <w:marLeft w:val="0"/>
      <w:marRight w:val="0"/>
      <w:marTop w:val="0"/>
      <w:marBottom w:val="0"/>
      <w:divBdr>
        <w:top w:val="none" w:sz="0" w:space="0" w:color="auto"/>
        <w:left w:val="none" w:sz="0" w:space="0" w:color="auto"/>
        <w:bottom w:val="none" w:sz="0" w:space="0" w:color="auto"/>
        <w:right w:val="none" w:sz="0" w:space="0" w:color="auto"/>
      </w:divBdr>
      <w:divsChild>
        <w:div w:id="458840384">
          <w:marLeft w:val="0"/>
          <w:marRight w:val="0"/>
          <w:marTop w:val="0"/>
          <w:marBottom w:val="0"/>
          <w:divBdr>
            <w:top w:val="none" w:sz="0" w:space="0" w:color="auto"/>
            <w:left w:val="none" w:sz="0" w:space="0" w:color="auto"/>
            <w:bottom w:val="none" w:sz="0" w:space="0" w:color="auto"/>
            <w:right w:val="none" w:sz="0" w:space="0" w:color="auto"/>
          </w:divBdr>
        </w:div>
        <w:div w:id="400326280">
          <w:marLeft w:val="0"/>
          <w:marRight w:val="0"/>
          <w:marTop w:val="0"/>
          <w:marBottom w:val="0"/>
          <w:divBdr>
            <w:top w:val="none" w:sz="0" w:space="0" w:color="auto"/>
            <w:left w:val="none" w:sz="0" w:space="0" w:color="auto"/>
            <w:bottom w:val="none" w:sz="0" w:space="0" w:color="auto"/>
            <w:right w:val="none" w:sz="0" w:space="0" w:color="auto"/>
          </w:divBdr>
        </w:div>
        <w:div w:id="2134127482">
          <w:marLeft w:val="0"/>
          <w:marRight w:val="0"/>
          <w:marTop w:val="0"/>
          <w:marBottom w:val="0"/>
          <w:divBdr>
            <w:top w:val="none" w:sz="0" w:space="0" w:color="auto"/>
            <w:left w:val="none" w:sz="0" w:space="0" w:color="auto"/>
            <w:bottom w:val="none" w:sz="0" w:space="0" w:color="auto"/>
            <w:right w:val="none" w:sz="0" w:space="0" w:color="auto"/>
          </w:divBdr>
        </w:div>
        <w:div w:id="2031569128">
          <w:marLeft w:val="0"/>
          <w:marRight w:val="0"/>
          <w:marTop w:val="0"/>
          <w:marBottom w:val="0"/>
          <w:divBdr>
            <w:top w:val="none" w:sz="0" w:space="0" w:color="auto"/>
            <w:left w:val="none" w:sz="0" w:space="0" w:color="auto"/>
            <w:bottom w:val="none" w:sz="0" w:space="0" w:color="auto"/>
            <w:right w:val="none" w:sz="0" w:space="0" w:color="auto"/>
          </w:divBdr>
        </w:div>
        <w:div w:id="2039163727">
          <w:marLeft w:val="0"/>
          <w:marRight w:val="0"/>
          <w:marTop w:val="0"/>
          <w:marBottom w:val="0"/>
          <w:divBdr>
            <w:top w:val="none" w:sz="0" w:space="0" w:color="auto"/>
            <w:left w:val="none" w:sz="0" w:space="0" w:color="auto"/>
            <w:bottom w:val="none" w:sz="0" w:space="0" w:color="auto"/>
            <w:right w:val="none" w:sz="0" w:space="0" w:color="auto"/>
          </w:divBdr>
        </w:div>
        <w:div w:id="83234189">
          <w:marLeft w:val="0"/>
          <w:marRight w:val="0"/>
          <w:marTop w:val="0"/>
          <w:marBottom w:val="0"/>
          <w:divBdr>
            <w:top w:val="none" w:sz="0" w:space="0" w:color="auto"/>
            <w:left w:val="none" w:sz="0" w:space="0" w:color="auto"/>
            <w:bottom w:val="none" w:sz="0" w:space="0" w:color="auto"/>
            <w:right w:val="none" w:sz="0" w:space="0" w:color="auto"/>
          </w:divBdr>
        </w:div>
        <w:div w:id="1437284765">
          <w:marLeft w:val="0"/>
          <w:marRight w:val="0"/>
          <w:marTop w:val="0"/>
          <w:marBottom w:val="0"/>
          <w:divBdr>
            <w:top w:val="none" w:sz="0" w:space="0" w:color="auto"/>
            <w:left w:val="none" w:sz="0" w:space="0" w:color="auto"/>
            <w:bottom w:val="none" w:sz="0" w:space="0" w:color="auto"/>
            <w:right w:val="none" w:sz="0" w:space="0" w:color="auto"/>
          </w:divBdr>
        </w:div>
        <w:div w:id="1503738033">
          <w:marLeft w:val="0"/>
          <w:marRight w:val="0"/>
          <w:marTop w:val="0"/>
          <w:marBottom w:val="0"/>
          <w:divBdr>
            <w:top w:val="none" w:sz="0" w:space="0" w:color="auto"/>
            <w:left w:val="none" w:sz="0" w:space="0" w:color="auto"/>
            <w:bottom w:val="none" w:sz="0" w:space="0" w:color="auto"/>
            <w:right w:val="none" w:sz="0" w:space="0" w:color="auto"/>
          </w:divBdr>
        </w:div>
        <w:div w:id="1832141610">
          <w:marLeft w:val="0"/>
          <w:marRight w:val="0"/>
          <w:marTop w:val="0"/>
          <w:marBottom w:val="0"/>
          <w:divBdr>
            <w:top w:val="none" w:sz="0" w:space="0" w:color="auto"/>
            <w:left w:val="none" w:sz="0" w:space="0" w:color="auto"/>
            <w:bottom w:val="none" w:sz="0" w:space="0" w:color="auto"/>
            <w:right w:val="none" w:sz="0" w:space="0" w:color="auto"/>
          </w:divBdr>
        </w:div>
        <w:div w:id="796216750">
          <w:marLeft w:val="0"/>
          <w:marRight w:val="0"/>
          <w:marTop w:val="0"/>
          <w:marBottom w:val="0"/>
          <w:divBdr>
            <w:top w:val="none" w:sz="0" w:space="0" w:color="auto"/>
            <w:left w:val="none" w:sz="0" w:space="0" w:color="auto"/>
            <w:bottom w:val="none" w:sz="0" w:space="0" w:color="auto"/>
            <w:right w:val="none" w:sz="0" w:space="0" w:color="auto"/>
          </w:divBdr>
        </w:div>
        <w:div w:id="627736321">
          <w:marLeft w:val="0"/>
          <w:marRight w:val="0"/>
          <w:marTop w:val="0"/>
          <w:marBottom w:val="0"/>
          <w:divBdr>
            <w:top w:val="none" w:sz="0" w:space="0" w:color="auto"/>
            <w:left w:val="none" w:sz="0" w:space="0" w:color="auto"/>
            <w:bottom w:val="none" w:sz="0" w:space="0" w:color="auto"/>
            <w:right w:val="none" w:sz="0" w:space="0" w:color="auto"/>
          </w:divBdr>
        </w:div>
        <w:div w:id="1696692266">
          <w:marLeft w:val="0"/>
          <w:marRight w:val="0"/>
          <w:marTop w:val="0"/>
          <w:marBottom w:val="0"/>
          <w:divBdr>
            <w:top w:val="none" w:sz="0" w:space="0" w:color="auto"/>
            <w:left w:val="none" w:sz="0" w:space="0" w:color="auto"/>
            <w:bottom w:val="none" w:sz="0" w:space="0" w:color="auto"/>
            <w:right w:val="none" w:sz="0" w:space="0" w:color="auto"/>
          </w:divBdr>
        </w:div>
        <w:div w:id="384065177">
          <w:marLeft w:val="0"/>
          <w:marRight w:val="0"/>
          <w:marTop w:val="0"/>
          <w:marBottom w:val="0"/>
          <w:divBdr>
            <w:top w:val="none" w:sz="0" w:space="0" w:color="auto"/>
            <w:left w:val="none" w:sz="0" w:space="0" w:color="auto"/>
            <w:bottom w:val="none" w:sz="0" w:space="0" w:color="auto"/>
            <w:right w:val="none" w:sz="0" w:space="0" w:color="auto"/>
          </w:divBdr>
        </w:div>
        <w:div w:id="1006204298">
          <w:marLeft w:val="0"/>
          <w:marRight w:val="0"/>
          <w:marTop w:val="0"/>
          <w:marBottom w:val="0"/>
          <w:divBdr>
            <w:top w:val="none" w:sz="0" w:space="0" w:color="auto"/>
            <w:left w:val="none" w:sz="0" w:space="0" w:color="auto"/>
            <w:bottom w:val="none" w:sz="0" w:space="0" w:color="auto"/>
            <w:right w:val="none" w:sz="0" w:space="0" w:color="auto"/>
          </w:divBdr>
        </w:div>
        <w:div w:id="1403916452">
          <w:marLeft w:val="0"/>
          <w:marRight w:val="0"/>
          <w:marTop w:val="0"/>
          <w:marBottom w:val="0"/>
          <w:divBdr>
            <w:top w:val="none" w:sz="0" w:space="0" w:color="auto"/>
            <w:left w:val="none" w:sz="0" w:space="0" w:color="auto"/>
            <w:bottom w:val="none" w:sz="0" w:space="0" w:color="auto"/>
            <w:right w:val="none" w:sz="0" w:space="0" w:color="auto"/>
          </w:divBdr>
        </w:div>
        <w:div w:id="2074044016">
          <w:marLeft w:val="0"/>
          <w:marRight w:val="0"/>
          <w:marTop w:val="0"/>
          <w:marBottom w:val="0"/>
          <w:divBdr>
            <w:top w:val="none" w:sz="0" w:space="0" w:color="auto"/>
            <w:left w:val="none" w:sz="0" w:space="0" w:color="auto"/>
            <w:bottom w:val="none" w:sz="0" w:space="0" w:color="auto"/>
            <w:right w:val="none" w:sz="0" w:space="0" w:color="auto"/>
          </w:divBdr>
        </w:div>
        <w:div w:id="1899633052">
          <w:marLeft w:val="0"/>
          <w:marRight w:val="0"/>
          <w:marTop w:val="0"/>
          <w:marBottom w:val="0"/>
          <w:divBdr>
            <w:top w:val="none" w:sz="0" w:space="0" w:color="auto"/>
            <w:left w:val="none" w:sz="0" w:space="0" w:color="auto"/>
            <w:bottom w:val="none" w:sz="0" w:space="0" w:color="auto"/>
            <w:right w:val="none" w:sz="0" w:space="0" w:color="auto"/>
          </w:divBdr>
        </w:div>
      </w:divsChild>
    </w:div>
    <w:div w:id="821894555">
      <w:bodyDiv w:val="1"/>
      <w:marLeft w:val="0"/>
      <w:marRight w:val="0"/>
      <w:marTop w:val="0"/>
      <w:marBottom w:val="0"/>
      <w:divBdr>
        <w:top w:val="none" w:sz="0" w:space="0" w:color="auto"/>
        <w:left w:val="none" w:sz="0" w:space="0" w:color="auto"/>
        <w:bottom w:val="none" w:sz="0" w:space="0" w:color="auto"/>
        <w:right w:val="none" w:sz="0" w:space="0" w:color="auto"/>
      </w:divBdr>
      <w:divsChild>
        <w:div w:id="820275676">
          <w:marLeft w:val="0"/>
          <w:marRight w:val="0"/>
          <w:marTop w:val="0"/>
          <w:marBottom w:val="0"/>
          <w:divBdr>
            <w:top w:val="none" w:sz="0" w:space="0" w:color="auto"/>
            <w:left w:val="none" w:sz="0" w:space="0" w:color="auto"/>
            <w:bottom w:val="none" w:sz="0" w:space="0" w:color="auto"/>
            <w:right w:val="none" w:sz="0" w:space="0" w:color="auto"/>
          </w:divBdr>
        </w:div>
        <w:div w:id="1119101936">
          <w:marLeft w:val="0"/>
          <w:marRight w:val="0"/>
          <w:marTop w:val="0"/>
          <w:marBottom w:val="0"/>
          <w:divBdr>
            <w:top w:val="none" w:sz="0" w:space="0" w:color="auto"/>
            <w:left w:val="none" w:sz="0" w:space="0" w:color="auto"/>
            <w:bottom w:val="none" w:sz="0" w:space="0" w:color="auto"/>
            <w:right w:val="none" w:sz="0" w:space="0" w:color="auto"/>
          </w:divBdr>
        </w:div>
        <w:div w:id="1364864710">
          <w:marLeft w:val="0"/>
          <w:marRight w:val="0"/>
          <w:marTop w:val="0"/>
          <w:marBottom w:val="0"/>
          <w:divBdr>
            <w:top w:val="none" w:sz="0" w:space="0" w:color="auto"/>
            <w:left w:val="none" w:sz="0" w:space="0" w:color="auto"/>
            <w:bottom w:val="none" w:sz="0" w:space="0" w:color="auto"/>
            <w:right w:val="none" w:sz="0" w:space="0" w:color="auto"/>
          </w:divBdr>
        </w:div>
        <w:div w:id="1428842658">
          <w:marLeft w:val="0"/>
          <w:marRight w:val="0"/>
          <w:marTop w:val="0"/>
          <w:marBottom w:val="0"/>
          <w:divBdr>
            <w:top w:val="none" w:sz="0" w:space="0" w:color="auto"/>
            <w:left w:val="none" w:sz="0" w:space="0" w:color="auto"/>
            <w:bottom w:val="none" w:sz="0" w:space="0" w:color="auto"/>
            <w:right w:val="none" w:sz="0" w:space="0" w:color="auto"/>
          </w:divBdr>
        </w:div>
        <w:div w:id="1099524450">
          <w:marLeft w:val="0"/>
          <w:marRight w:val="0"/>
          <w:marTop w:val="0"/>
          <w:marBottom w:val="0"/>
          <w:divBdr>
            <w:top w:val="none" w:sz="0" w:space="0" w:color="auto"/>
            <w:left w:val="none" w:sz="0" w:space="0" w:color="auto"/>
            <w:bottom w:val="none" w:sz="0" w:space="0" w:color="auto"/>
            <w:right w:val="none" w:sz="0" w:space="0" w:color="auto"/>
          </w:divBdr>
        </w:div>
        <w:div w:id="1935092042">
          <w:marLeft w:val="0"/>
          <w:marRight w:val="0"/>
          <w:marTop w:val="0"/>
          <w:marBottom w:val="0"/>
          <w:divBdr>
            <w:top w:val="none" w:sz="0" w:space="0" w:color="auto"/>
            <w:left w:val="none" w:sz="0" w:space="0" w:color="auto"/>
            <w:bottom w:val="none" w:sz="0" w:space="0" w:color="auto"/>
            <w:right w:val="none" w:sz="0" w:space="0" w:color="auto"/>
          </w:divBdr>
        </w:div>
        <w:div w:id="304550719">
          <w:marLeft w:val="0"/>
          <w:marRight w:val="0"/>
          <w:marTop w:val="0"/>
          <w:marBottom w:val="0"/>
          <w:divBdr>
            <w:top w:val="none" w:sz="0" w:space="0" w:color="auto"/>
            <w:left w:val="none" w:sz="0" w:space="0" w:color="auto"/>
            <w:bottom w:val="none" w:sz="0" w:space="0" w:color="auto"/>
            <w:right w:val="none" w:sz="0" w:space="0" w:color="auto"/>
          </w:divBdr>
        </w:div>
        <w:div w:id="1439259344">
          <w:marLeft w:val="0"/>
          <w:marRight w:val="0"/>
          <w:marTop w:val="0"/>
          <w:marBottom w:val="0"/>
          <w:divBdr>
            <w:top w:val="none" w:sz="0" w:space="0" w:color="auto"/>
            <w:left w:val="none" w:sz="0" w:space="0" w:color="auto"/>
            <w:bottom w:val="none" w:sz="0" w:space="0" w:color="auto"/>
            <w:right w:val="none" w:sz="0" w:space="0" w:color="auto"/>
          </w:divBdr>
        </w:div>
        <w:div w:id="260987887">
          <w:marLeft w:val="0"/>
          <w:marRight w:val="0"/>
          <w:marTop w:val="0"/>
          <w:marBottom w:val="0"/>
          <w:divBdr>
            <w:top w:val="none" w:sz="0" w:space="0" w:color="auto"/>
            <w:left w:val="none" w:sz="0" w:space="0" w:color="auto"/>
            <w:bottom w:val="none" w:sz="0" w:space="0" w:color="auto"/>
            <w:right w:val="none" w:sz="0" w:space="0" w:color="auto"/>
          </w:divBdr>
        </w:div>
        <w:div w:id="2099475928">
          <w:marLeft w:val="0"/>
          <w:marRight w:val="0"/>
          <w:marTop w:val="0"/>
          <w:marBottom w:val="0"/>
          <w:divBdr>
            <w:top w:val="none" w:sz="0" w:space="0" w:color="auto"/>
            <w:left w:val="none" w:sz="0" w:space="0" w:color="auto"/>
            <w:bottom w:val="none" w:sz="0" w:space="0" w:color="auto"/>
            <w:right w:val="none" w:sz="0" w:space="0" w:color="auto"/>
          </w:divBdr>
        </w:div>
        <w:div w:id="45423448">
          <w:marLeft w:val="0"/>
          <w:marRight w:val="0"/>
          <w:marTop w:val="0"/>
          <w:marBottom w:val="0"/>
          <w:divBdr>
            <w:top w:val="none" w:sz="0" w:space="0" w:color="auto"/>
            <w:left w:val="none" w:sz="0" w:space="0" w:color="auto"/>
            <w:bottom w:val="none" w:sz="0" w:space="0" w:color="auto"/>
            <w:right w:val="none" w:sz="0" w:space="0" w:color="auto"/>
          </w:divBdr>
        </w:div>
        <w:div w:id="560755165">
          <w:marLeft w:val="0"/>
          <w:marRight w:val="0"/>
          <w:marTop w:val="0"/>
          <w:marBottom w:val="0"/>
          <w:divBdr>
            <w:top w:val="none" w:sz="0" w:space="0" w:color="auto"/>
            <w:left w:val="none" w:sz="0" w:space="0" w:color="auto"/>
            <w:bottom w:val="none" w:sz="0" w:space="0" w:color="auto"/>
            <w:right w:val="none" w:sz="0" w:space="0" w:color="auto"/>
          </w:divBdr>
        </w:div>
        <w:div w:id="1277174879">
          <w:marLeft w:val="0"/>
          <w:marRight w:val="0"/>
          <w:marTop w:val="0"/>
          <w:marBottom w:val="0"/>
          <w:divBdr>
            <w:top w:val="none" w:sz="0" w:space="0" w:color="auto"/>
            <w:left w:val="none" w:sz="0" w:space="0" w:color="auto"/>
            <w:bottom w:val="none" w:sz="0" w:space="0" w:color="auto"/>
            <w:right w:val="none" w:sz="0" w:space="0" w:color="auto"/>
          </w:divBdr>
        </w:div>
        <w:div w:id="1915313893">
          <w:marLeft w:val="0"/>
          <w:marRight w:val="0"/>
          <w:marTop w:val="0"/>
          <w:marBottom w:val="0"/>
          <w:divBdr>
            <w:top w:val="none" w:sz="0" w:space="0" w:color="auto"/>
            <w:left w:val="none" w:sz="0" w:space="0" w:color="auto"/>
            <w:bottom w:val="none" w:sz="0" w:space="0" w:color="auto"/>
            <w:right w:val="none" w:sz="0" w:space="0" w:color="auto"/>
          </w:divBdr>
        </w:div>
        <w:div w:id="402262325">
          <w:marLeft w:val="0"/>
          <w:marRight w:val="0"/>
          <w:marTop w:val="0"/>
          <w:marBottom w:val="0"/>
          <w:divBdr>
            <w:top w:val="none" w:sz="0" w:space="0" w:color="auto"/>
            <w:left w:val="none" w:sz="0" w:space="0" w:color="auto"/>
            <w:bottom w:val="none" w:sz="0" w:space="0" w:color="auto"/>
            <w:right w:val="none" w:sz="0" w:space="0" w:color="auto"/>
          </w:divBdr>
        </w:div>
        <w:div w:id="930892032">
          <w:marLeft w:val="0"/>
          <w:marRight w:val="0"/>
          <w:marTop w:val="0"/>
          <w:marBottom w:val="0"/>
          <w:divBdr>
            <w:top w:val="none" w:sz="0" w:space="0" w:color="auto"/>
            <w:left w:val="none" w:sz="0" w:space="0" w:color="auto"/>
            <w:bottom w:val="none" w:sz="0" w:space="0" w:color="auto"/>
            <w:right w:val="none" w:sz="0" w:space="0" w:color="auto"/>
          </w:divBdr>
        </w:div>
        <w:div w:id="278075011">
          <w:marLeft w:val="0"/>
          <w:marRight w:val="0"/>
          <w:marTop w:val="0"/>
          <w:marBottom w:val="0"/>
          <w:divBdr>
            <w:top w:val="none" w:sz="0" w:space="0" w:color="auto"/>
            <w:left w:val="none" w:sz="0" w:space="0" w:color="auto"/>
            <w:bottom w:val="none" w:sz="0" w:space="0" w:color="auto"/>
            <w:right w:val="none" w:sz="0" w:space="0" w:color="auto"/>
          </w:divBdr>
        </w:div>
        <w:div w:id="748305540">
          <w:marLeft w:val="0"/>
          <w:marRight w:val="0"/>
          <w:marTop w:val="0"/>
          <w:marBottom w:val="0"/>
          <w:divBdr>
            <w:top w:val="none" w:sz="0" w:space="0" w:color="auto"/>
            <w:left w:val="none" w:sz="0" w:space="0" w:color="auto"/>
            <w:bottom w:val="none" w:sz="0" w:space="0" w:color="auto"/>
            <w:right w:val="none" w:sz="0" w:space="0" w:color="auto"/>
          </w:divBdr>
        </w:div>
      </w:divsChild>
    </w:div>
    <w:div w:id="1016464105">
      <w:bodyDiv w:val="1"/>
      <w:marLeft w:val="0"/>
      <w:marRight w:val="0"/>
      <w:marTop w:val="0"/>
      <w:marBottom w:val="0"/>
      <w:divBdr>
        <w:top w:val="none" w:sz="0" w:space="0" w:color="auto"/>
        <w:left w:val="none" w:sz="0" w:space="0" w:color="auto"/>
        <w:bottom w:val="none" w:sz="0" w:space="0" w:color="auto"/>
        <w:right w:val="none" w:sz="0" w:space="0" w:color="auto"/>
      </w:divBdr>
      <w:divsChild>
        <w:div w:id="1499273663">
          <w:marLeft w:val="0"/>
          <w:marRight w:val="0"/>
          <w:marTop w:val="0"/>
          <w:marBottom w:val="0"/>
          <w:divBdr>
            <w:top w:val="none" w:sz="0" w:space="0" w:color="auto"/>
            <w:left w:val="none" w:sz="0" w:space="0" w:color="auto"/>
            <w:bottom w:val="none" w:sz="0" w:space="0" w:color="auto"/>
            <w:right w:val="none" w:sz="0" w:space="0" w:color="auto"/>
          </w:divBdr>
        </w:div>
        <w:div w:id="877856088">
          <w:marLeft w:val="0"/>
          <w:marRight w:val="0"/>
          <w:marTop w:val="0"/>
          <w:marBottom w:val="0"/>
          <w:divBdr>
            <w:top w:val="none" w:sz="0" w:space="0" w:color="auto"/>
            <w:left w:val="none" w:sz="0" w:space="0" w:color="auto"/>
            <w:bottom w:val="none" w:sz="0" w:space="0" w:color="auto"/>
            <w:right w:val="none" w:sz="0" w:space="0" w:color="auto"/>
          </w:divBdr>
        </w:div>
        <w:div w:id="148449984">
          <w:marLeft w:val="0"/>
          <w:marRight w:val="0"/>
          <w:marTop w:val="0"/>
          <w:marBottom w:val="0"/>
          <w:divBdr>
            <w:top w:val="none" w:sz="0" w:space="0" w:color="auto"/>
            <w:left w:val="none" w:sz="0" w:space="0" w:color="auto"/>
            <w:bottom w:val="none" w:sz="0" w:space="0" w:color="auto"/>
            <w:right w:val="none" w:sz="0" w:space="0" w:color="auto"/>
          </w:divBdr>
        </w:div>
        <w:div w:id="558593210">
          <w:marLeft w:val="0"/>
          <w:marRight w:val="0"/>
          <w:marTop w:val="0"/>
          <w:marBottom w:val="0"/>
          <w:divBdr>
            <w:top w:val="none" w:sz="0" w:space="0" w:color="auto"/>
            <w:left w:val="none" w:sz="0" w:space="0" w:color="auto"/>
            <w:bottom w:val="none" w:sz="0" w:space="0" w:color="auto"/>
            <w:right w:val="none" w:sz="0" w:space="0" w:color="auto"/>
          </w:divBdr>
        </w:div>
        <w:div w:id="533155862">
          <w:marLeft w:val="0"/>
          <w:marRight w:val="0"/>
          <w:marTop w:val="0"/>
          <w:marBottom w:val="0"/>
          <w:divBdr>
            <w:top w:val="none" w:sz="0" w:space="0" w:color="auto"/>
            <w:left w:val="none" w:sz="0" w:space="0" w:color="auto"/>
            <w:bottom w:val="none" w:sz="0" w:space="0" w:color="auto"/>
            <w:right w:val="none" w:sz="0" w:space="0" w:color="auto"/>
          </w:divBdr>
        </w:div>
        <w:div w:id="2023163877">
          <w:marLeft w:val="0"/>
          <w:marRight w:val="0"/>
          <w:marTop w:val="0"/>
          <w:marBottom w:val="0"/>
          <w:divBdr>
            <w:top w:val="none" w:sz="0" w:space="0" w:color="auto"/>
            <w:left w:val="none" w:sz="0" w:space="0" w:color="auto"/>
            <w:bottom w:val="none" w:sz="0" w:space="0" w:color="auto"/>
            <w:right w:val="none" w:sz="0" w:space="0" w:color="auto"/>
          </w:divBdr>
        </w:div>
        <w:div w:id="1778326182">
          <w:marLeft w:val="0"/>
          <w:marRight w:val="0"/>
          <w:marTop w:val="0"/>
          <w:marBottom w:val="0"/>
          <w:divBdr>
            <w:top w:val="none" w:sz="0" w:space="0" w:color="auto"/>
            <w:left w:val="none" w:sz="0" w:space="0" w:color="auto"/>
            <w:bottom w:val="none" w:sz="0" w:space="0" w:color="auto"/>
            <w:right w:val="none" w:sz="0" w:space="0" w:color="auto"/>
          </w:divBdr>
        </w:div>
        <w:div w:id="1413163641">
          <w:marLeft w:val="0"/>
          <w:marRight w:val="0"/>
          <w:marTop w:val="0"/>
          <w:marBottom w:val="0"/>
          <w:divBdr>
            <w:top w:val="none" w:sz="0" w:space="0" w:color="auto"/>
            <w:left w:val="none" w:sz="0" w:space="0" w:color="auto"/>
            <w:bottom w:val="none" w:sz="0" w:space="0" w:color="auto"/>
            <w:right w:val="none" w:sz="0" w:space="0" w:color="auto"/>
          </w:divBdr>
        </w:div>
        <w:div w:id="64232806">
          <w:marLeft w:val="0"/>
          <w:marRight w:val="0"/>
          <w:marTop w:val="0"/>
          <w:marBottom w:val="0"/>
          <w:divBdr>
            <w:top w:val="none" w:sz="0" w:space="0" w:color="auto"/>
            <w:left w:val="none" w:sz="0" w:space="0" w:color="auto"/>
            <w:bottom w:val="none" w:sz="0" w:space="0" w:color="auto"/>
            <w:right w:val="none" w:sz="0" w:space="0" w:color="auto"/>
          </w:divBdr>
        </w:div>
        <w:div w:id="1836914411">
          <w:marLeft w:val="0"/>
          <w:marRight w:val="0"/>
          <w:marTop w:val="0"/>
          <w:marBottom w:val="0"/>
          <w:divBdr>
            <w:top w:val="none" w:sz="0" w:space="0" w:color="auto"/>
            <w:left w:val="none" w:sz="0" w:space="0" w:color="auto"/>
            <w:bottom w:val="none" w:sz="0" w:space="0" w:color="auto"/>
            <w:right w:val="none" w:sz="0" w:space="0" w:color="auto"/>
          </w:divBdr>
        </w:div>
        <w:div w:id="988941024">
          <w:marLeft w:val="0"/>
          <w:marRight w:val="0"/>
          <w:marTop w:val="0"/>
          <w:marBottom w:val="0"/>
          <w:divBdr>
            <w:top w:val="none" w:sz="0" w:space="0" w:color="auto"/>
            <w:left w:val="none" w:sz="0" w:space="0" w:color="auto"/>
            <w:bottom w:val="none" w:sz="0" w:space="0" w:color="auto"/>
            <w:right w:val="none" w:sz="0" w:space="0" w:color="auto"/>
          </w:divBdr>
        </w:div>
        <w:div w:id="974260943">
          <w:marLeft w:val="0"/>
          <w:marRight w:val="0"/>
          <w:marTop w:val="0"/>
          <w:marBottom w:val="0"/>
          <w:divBdr>
            <w:top w:val="none" w:sz="0" w:space="0" w:color="auto"/>
            <w:left w:val="none" w:sz="0" w:space="0" w:color="auto"/>
            <w:bottom w:val="none" w:sz="0" w:space="0" w:color="auto"/>
            <w:right w:val="none" w:sz="0" w:space="0" w:color="auto"/>
          </w:divBdr>
        </w:div>
        <w:div w:id="1162965874">
          <w:marLeft w:val="0"/>
          <w:marRight w:val="0"/>
          <w:marTop w:val="0"/>
          <w:marBottom w:val="0"/>
          <w:divBdr>
            <w:top w:val="none" w:sz="0" w:space="0" w:color="auto"/>
            <w:left w:val="none" w:sz="0" w:space="0" w:color="auto"/>
            <w:bottom w:val="none" w:sz="0" w:space="0" w:color="auto"/>
            <w:right w:val="none" w:sz="0" w:space="0" w:color="auto"/>
          </w:divBdr>
        </w:div>
        <w:div w:id="2061049056">
          <w:marLeft w:val="0"/>
          <w:marRight w:val="0"/>
          <w:marTop w:val="0"/>
          <w:marBottom w:val="0"/>
          <w:divBdr>
            <w:top w:val="none" w:sz="0" w:space="0" w:color="auto"/>
            <w:left w:val="none" w:sz="0" w:space="0" w:color="auto"/>
            <w:bottom w:val="none" w:sz="0" w:space="0" w:color="auto"/>
            <w:right w:val="none" w:sz="0" w:space="0" w:color="auto"/>
          </w:divBdr>
        </w:div>
        <w:div w:id="1301378789">
          <w:marLeft w:val="0"/>
          <w:marRight w:val="0"/>
          <w:marTop w:val="0"/>
          <w:marBottom w:val="0"/>
          <w:divBdr>
            <w:top w:val="none" w:sz="0" w:space="0" w:color="auto"/>
            <w:left w:val="none" w:sz="0" w:space="0" w:color="auto"/>
            <w:bottom w:val="none" w:sz="0" w:space="0" w:color="auto"/>
            <w:right w:val="none" w:sz="0" w:space="0" w:color="auto"/>
          </w:divBdr>
        </w:div>
        <w:div w:id="1774934076">
          <w:marLeft w:val="0"/>
          <w:marRight w:val="0"/>
          <w:marTop w:val="0"/>
          <w:marBottom w:val="0"/>
          <w:divBdr>
            <w:top w:val="none" w:sz="0" w:space="0" w:color="auto"/>
            <w:left w:val="none" w:sz="0" w:space="0" w:color="auto"/>
            <w:bottom w:val="none" w:sz="0" w:space="0" w:color="auto"/>
            <w:right w:val="none" w:sz="0" w:space="0" w:color="auto"/>
          </w:divBdr>
        </w:div>
        <w:div w:id="443378839">
          <w:marLeft w:val="0"/>
          <w:marRight w:val="0"/>
          <w:marTop w:val="0"/>
          <w:marBottom w:val="0"/>
          <w:divBdr>
            <w:top w:val="none" w:sz="0" w:space="0" w:color="auto"/>
            <w:left w:val="none" w:sz="0" w:space="0" w:color="auto"/>
            <w:bottom w:val="none" w:sz="0" w:space="0" w:color="auto"/>
            <w:right w:val="none" w:sz="0" w:space="0" w:color="auto"/>
          </w:divBdr>
        </w:div>
        <w:div w:id="282540421">
          <w:marLeft w:val="0"/>
          <w:marRight w:val="0"/>
          <w:marTop w:val="0"/>
          <w:marBottom w:val="0"/>
          <w:divBdr>
            <w:top w:val="none" w:sz="0" w:space="0" w:color="auto"/>
            <w:left w:val="none" w:sz="0" w:space="0" w:color="auto"/>
            <w:bottom w:val="none" w:sz="0" w:space="0" w:color="auto"/>
            <w:right w:val="none" w:sz="0" w:space="0" w:color="auto"/>
          </w:divBdr>
        </w:div>
      </w:divsChild>
    </w:div>
    <w:div w:id="1284338046">
      <w:bodyDiv w:val="1"/>
      <w:marLeft w:val="0"/>
      <w:marRight w:val="0"/>
      <w:marTop w:val="0"/>
      <w:marBottom w:val="0"/>
      <w:divBdr>
        <w:top w:val="none" w:sz="0" w:space="0" w:color="auto"/>
        <w:left w:val="none" w:sz="0" w:space="0" w:color="auto"/>
        <w:bottom w:val="none" w:sz="0" w:space="0" w:color="auto"/>
        <w:right w:val="none" w:sz="0" w:space="0" w:color="auto"/>
      </w:divBdr>
      <w:divsChild>
        <w:div w:id="654837088">
          <w:marLeft w:val="0"/>
          <w:marRight w:val="0"/>
          <w:marTop w:val="0"/>
          <w:marBottom w:val="0"/>
          <w:divBdr>
            <w:top w:val="none" w:sz="0" w:space="0" w:color="auto"/>
            <w:left w:val="none" w:sz="0" w:space="0" w:color="auto"/>
            <w:bottom w:val="none" w:sz="0" w:space="0" w:color="auto"/>
            <w:right w:val="none" w:sz="0" w:space="0" w:color="auto"/>
          </w:divBdr>
        </w:div>
        <w:div w:id="1312828647">
          <w:marLeft w:val="0"/>
          <w:marRight w:val="0"/>
          <w:marTop w:val="0"/>
          <w:marBottom w:val="0"/>
          <w:divBdr>
            <w:top w:val="none" w:sz="0" w:space="0" w:color="auto"/>
            <w:left w:val="none" w:sz="0" w:space="0" w:color="auto"/>
            <w:bottom w:val="none" w:sz="0" w:space="0" w:color="auto"/>
            <w:right w:val="none" w:sz="0" w:space="0" w:color="auto"/>
          </w:divBdr>
        </w:div>
        <w:div w:id="527184865">
          <w:marLeft w:val="0"/>
          <w:marRight w:val="0"/>
          <w:marTop w:val="0"/>
          <w:marBottom w:val="0"/>
          <w:divBdr>
            <w:top w:val="none" w:sz="0" w:space="0" w:color="auto"/>
            <w:left w:val="none" w:sz="0" w:space="0" w:color="auto"/>
            <w:bottom w:val="none" w:sz="0" w:space="0" w:color="auto"/>
            <w:right w:val="none" w:sz="0" w:space="0" w:color="auto"/>
          </w:divBdr>
        </w:div>
        <w:div w:id="546987558">
          <w:marLeft w:val="0"/>
          <w:marRight w:val="0"/>
          <w:marTop w:val="0"/>
          <w:marBottom w:val="0"/>
          <w:divBdr>
            <w:top w:val="none" w:sz="0" w:space="0" w:color="auto"/>
            <w:left w:val="none" w:sz="0" w:space="0" w:color="auto"/>
            <w:bottom w:val="none" w:sz="0" w:space="0" w:color="auto"/>
            <w:right w:val="none" w:sz="0" w:space="0" w:color="auto"/>
          </w:divBdr>
        </w:div>
        <w:div w:id="70280402">
          <w:marLeft w:val="0"/>
          <w:marRight w:val="0"/>
          <w:marTop w:val="0"/>
          <w:marBottom w:val="0"/>
          <w:divBdr>
            <w:top w:val="none" w:sz="0" w:space="0" w:color="auto"/>
            <w:left w:val="none" w:sz="0" w:space="0" w:color="auto"/>
            <w:bottom w:val="none" w:sz="0" w:space="0" w:color="auto"/>
            <w:right w:val="none" w:sz="0" w:space="0" w:color="auto"/>
          </w:divBdr>
        </w:div>
        <w:div w:id="2127574483">
          <w:marLeft w:val="0"/>
          <w:marRight w:val="0"/>
          <w:marTop w:val="0"/>
          <w:marBottom w:val="0"/>
          <w:divBdr>
            <w:top w:val="none" w:sz="0" w:space="0" w:color="auto"/>
            <w:left w:val="none" w:sz="0" w:space="0" w:color="auto"/>
            <w:bottom w:val="none" w:sz="0" w:space="0" w:color="auto"/>
            <w:right w:val="none" w:sz="0" w:space="0" w:color="auto"/>
          </w:divBdr>
        </w:div>
        <w:div w:id="1979991365">
          <w:marLeft w:val="0"/>
          <w:marRight w:val="0"/>
          <w:marTop w:val="0"/>
          <w:marBottom w:val="0"/>
          <w:divBdr>
            <w:top w:val="none" w:sz="0" w:space="0" w:color="auto"/>
            <w:left w:val="none" w:sz="0" w:space="0" w:color="auto"/>
            <w:bottom w:val="none" w:sz="0" w:space="0" w:color="auto"/>
            <w:right w:val="none" w:sz="0" w:space="0" w:color="auto"/>
          </w:divBdr>
        </w:div>
        <w:div w:id="2053772877">
          <w:marLeft w:val="0"/>
          <w:marRight w:val="0"/>
          <w:marTop w:val="0"/>
          <w:marBottom w:val="0"/>
          <w:divBdr>
            <w:top w:val="none" w:sz="0" w:space="0" w:color="auto"/>
            <w:left w:val="none" w:sz="0" w:space="0" w:color="auto"/>
            <w:bottom w:val="none" w:sz="0" w:space="0" w:color="auto"/>
            <w:right w:val="none" w:sz="0" w:space="0" w:color="auto"/>
          </w:divBdr>
        </w:div>
        <w:div w:id="553928381">
          <w:marLeft w:val="0"/>
          <w:marRight w:val="0"/>
          <w:marTop w:val="0"/>
          <w:marBottom w:val="0"/>
          <w:divBdr>
            <w:top w:val="none" w:sz="0" w:space="0" w:color="auto"/>
            <w:left w:val="none" w:sz="0" w:space="0" w:color="auto"/>
            <w:bottom w:val="none" w:sz="0" w:space="0" w:color="auto"/>
            <w:right w:val="none" w:sz="0" w:space="0" w:color="auto"/>
          </w:divBdr>
        </w:div>
        <w:div w:id="1743915594">
          <w:marLeft w:val="0"/>
          <w:marRight w:val="0"/>
          <w:marTop w:val="0"/>
          <w:marBottom w:val="0"/>
          <w:divBdr>
            <w:top w:val="none" w:sz="0" w:space="0" w:color="auto"/>
            <w:left w:val="none" w:sz="0" w:space="0" w:color="auto"/>
            <w:bottom w:val="none" w:sz="0" w:space="0" w:color="auto"/>
            <w:right w:val="none" w:sz="0" w:space="0" w:color="auto"/>
          </w:divBdr>
        </w:div>
        <w:div w:id="862133731">
          <w:marLeft w:val="0"/>
          <w:marRight w:val="0"/>
          <w:marTop w:val="0"/>
          <w:marBottom w:val="0"/>
          <w:divBdr>
            <w:top w:val="none" w:sz="0" w:space="0" w:color="auto"/>
            <w:left w:val="none" w:sz="0" w:space="0" w:color="auto"/>
            <w:bottom w:val="none" w:sz="0" w:space="0" w:color="auto"/>
            <w:right w:val="none" w:sz="0" w:space="0" w:color="auto"/>
          </w:divBdr>
        </w:div>
        <w:div w:id="616643844">
          <w:marLeft w:val="0"/>
          <w:marRight w:val="0"/>
          <w:marTop w:val="0"/>
          <w:marBottom w:val="0"/>
          <w:divBdr>
            <w:top w:val="none" w:sz="0" w:space="0" w:color="auto"/>
            <w:left w:val="none" w:sz="0" w:space="0" w:color="auto"/>
            <w:bottom w:val="none" w:sz="0" w:space="0" w:color="auto"/>
            <w:right w:val="none" w:sz="0" w:space="0" w:color="auto"/>
          </w:divBdr>
        </w:div>
        <w:div w:id="1551502121">
          <w:marLeft w:val="0"/>
          <w:marRight w:val="0"/>
          <w:marTop w:val="0"/>
          <w:marBottom w:val="0"/>
          <w:divBdr>
            <w:top w:val="none" w:sz="0" w:space="0" w:color="auto"/>
            <w:left w:val="none" w:sz="0" w:space="0" w:color="auto"/>
            <w:bottom w:val="none" w:sz="0" w:space="0" w:color="auto"/>
            <w:right w:val="none" w:sz="0" w:space="0" w:color="auto"/>
          </w:divBdr>
        </w:div>
        <w:div w:id="643970497">
          <w:marLeft w:val="0"/>
          <w:marRight w:val="0"/>
          <w:marTop w:val="0"/>
          <w:marBottom w:val="0"/>
          <w:divBdr>
            <w:top w:val="none" w:sz="0" w:space="0" w:color="auto"/>
            <w:left w:val="none" w:sz="0" w:space="0" w:color="auto"/>
            <w:bottom w:val="none" w:sz="0" w:space="0" w:color="auto"/>
            <w:right w:val="none" w:sz="0" w:space="0" w:color="auto"/>
          </w:divBdr>
        </w:div>
        <w:div w:id="961106803">
          <w:marLeft w:val="0"/>
          <w:marRight w:val="0"/>
          <w:marTop w:val="0"/>
          <w:marBottom w:val="0"/>
          <w:divBdr>
            <w:top w:val="none" w:sz="0" w:space="0" w:color="auto"/>
            <w:left w:val="none" w:sz="0" w:space="0" w:color="auto"/>
            <w:bottom w:val="none" w:sz="0" w:space="0" w:color="auto"/>
            <w:right w:val="none" w:sz="0" w:space="0" w:color="auto"/>
          </w:divBdr>
        </w:div>
        <w:div w:id="14812968">
          <w:marLeft w:val="0"/>
          <w:marRight w:val="0"/>
          <w:marTop w:val="0"/>
          <w:marBottom w:val="0"/>
          <w:divBdr>
            <w:top w:val="none" w:sz="0" w:space="0" w:color="auto"/>
            <w:left w:val="none" w:sz="0" w:space="0" w:color="auto"/>
            <w:bottom w:val="none" w:sz="0" w:space="0" w:color="auto"/>
            <w:right w:val="none" w:sz="0" w:space="0" w:color="auto"/>
          </w:divBdr>
        </w:div>
        <w:div w:id="616572460">
          <w:marLeft w:val="0"/>
          <w:marRight w:val="0"/>
          <w:marTop w:val="0"/>
          <w:marBottom w:val="0"/>
          <w:divBdr>
            <w:top w:val="none" w:sz="0" w:space="0" w:color="auto"/>
            <w:left w:val="none" w:sz="0" w:space="0" w:color="auto"/>
            <w:bottom w:val="none" w:sz="0" w:space="0" w:color="auto"/>
            <w:right w:val="none" w:sz="0" w:space="0" w:color="auto"/>
          </w:divBdr>
        </w:div>
        <w:div w:id="1983775759">
          <w:marLeft w:val="0"/>
          <w:marRight w:val="0"/>
          <w:marTop w:val="0"/>
          <w:marBottom w:val="0"/>
          <w:divBdr>
            <w:top w:val="none" w:sz="0" w:space="0" w:color="auto"/>
            <w:left w:val="none" w:sz="0" w:space="0" w:color="auto"/>
            <w:bottom w:val="none" w:sz="0" w:space="0" w:color="auto"/>
            <w:right w:val="none" w:sz="0" w:space="0" w:color="auto"/>
          </w:divBdr>
        </w:div>
      </w:divsChild>
    </w:div>
    <w:div w:id="1415053353">
      <w:bodyDiv w:val="1"/>
      <w:marLeft w:val="0"/>
      <w:marRight w:val="0"/>
      <w:marTop w:val="0"/>
      <w:marBottom w:val="0"/>
      <w:divBdr>
        <w:top w:val="none" w:sz="0" w:space="0" w:color="auto"/>
        <w:left w:val="none" w:sz="0" w:space="0" w:color="auto"/>
        <w:bottom w:val="none" w:sz="0" w:space="0" w:color="auto"/>
        <w:right w:val="none" w:sz="0" w:space="0" w:color="auto"/>
      </w:divBdr>
      <w:divsChild>
        <w:div w:id="523708978">
          <w:marLeft w:val="0"/>
          <w:marRight w:val="0"/>
          <w:marTop w:val="0"/>
          <w:marBottom w:val="0"/>
          <w:divBdr>
            <w:top w:val="none" w:sz="0" w:space="0" w:color="auto"/>
            <w:left w:val="none" w:sz="0" w:space="0" w:color="auto"/>
            <w:bottom w:val="none" w:sz="0" w:space="0" w:color="auto"/>
            <w:right w:val="none" w:sz="0" w:space="0" w:color="auto"/>
          </w:divBdr>
        </w:div>
        <w:div w:id="1718237099">
          <w:marLeft w:val="0"/>
          <w:marRight w:val="0"/>
          <w:marTop w:val="0"/>
          <w:marBottom w:val="0"/>
          <w:divBdr>
            <w:top w:val="none" w:sz="0" w:space="0" w:color="auto"/>
            <w:left w:val="none" w:sz="0" w:space="0" w:color="auto"/>
            <w:bottom w:val="none" w:sz="0" w:space="0" w:color="auto"/>
            <w:right w:val="none" w:sz="0" w:space="0" w:color="auto"/>
          </w:divBdr>
        </w:div>
        <w:div w:id="1117799290">
          <w:marLeft w:val="0"/>
          <w:marRight w:val="0"/>
          <w:marTop w:val="0"/>
          <w:marBottom w:val="0"/>
          <w:divBdr>
            <w:top w:val="none" w:sz="0" w:space="0" w:color="auto"/>
            <w:left w:val="none" w:sz="0" w:space="0" w:color="auto"/>
            <w:bottom w:val="none" w:sz="0" w:space="0" w:color="auto"/>
            <w:right w:val="none" w:sz="0" w:space="0" w:color="auto"/>
          </w:divBdr>
        </w:div>
        <w:div w:id="473259217">
          <w:marLeft w:val="0"/>
          <w:marRight w:val="0"/>
          <w:marTop w:val="0"/>
          <w:marBottom w:val="0"/>
          <w:divBdr>
            <w:top w:val="none" w:sz="0" w:space="0" w:color="auto"/>
            <w:left w:val="none" w:sz="0" w:space="0" w:color="auto"/>
            <w:bottom w:val="none" w:sz="0" w:space="0" w:color="auto"/>
            <w:right w:val="none" w:sz="0" w:space="0" w:color="auto"/>
          </w:divBdr>
        </w:div>
        <w:div w:id="1356157912">
          <w:marLeft w:val="0"/>
          <w:marRight w:val="0"/>
          <w:marTop w:val="0"/>
          <w:marBottom w:val="0"/>
          <w:divBdr>
            <w:top w:val="none" w:sz="0" w:space="0" w:color="auto"/>
            <w:left w:val="none" w:sz="0" w:space="0" w:color="auto"/>
            <w:bottom w:val="none" w:sz="0" w:space="0" w:color="auto"/>
            <w:right w:val="none" w:sz="0" w:space="0" w:color="auto"/>
          </w:divBdr>
        </w:div>
        <w:div w:id="336463006">
          <w:marLeft w:val="0"/>
          <w:marRight w:val="0"/>
          <w:marTop w:val="0"/>
          <w:marBottom w:val="0"/>
          <w:divBdr>
            <w:top w:val="none" w:sz="0" w:space="0" w:color="auto"/>
            <w:left w:val="none" w:sz="0" w:space="0" w:color="auto"/>
            <w:bottom w:val="none" w:sz="0" w:space="0" w:color="auto"/>
            <w:right w:val="none" w:sz="0" w:space="0" w:color="auto"/>
          </w:divBdr>
        </w:div>
        <w:div w:id="742218088">
          <w:marLeft w:val="0"/>
          <w:marRight w:val="0"/>
          <w:marTop w:val="0"/>
          <w:marBottom w:val="0"/>
          <w:divBdr>
            <w:top w:val="none" w:sz="0" w:space="0" w:color="auto"/>
            <w:left w:val="none" w:sz="0" w:space="0" w:color="auto"/>
            <w:bottom w:val="none" w:sz="0" w:space="0" w:color="auto"/>
            <w:right w:val="none" w:sz="0" w:space="0" w:color="auto"/>
          </w:divBdr>
        </w:div>
        <w:div w:id="2090736329">
          <w:marLeft w:val="0"/>
          <w:marRight w:val="0"/>
          <w:marTop w:val="0"/>
          <w:marBottom w:val="0"/>
          <w:divBdr>
            <w:top w:val="none" w:sz="0" w:space="0" w:color="auto"/>
            <w:left w:val="none" w:sz="0" w:space="0" w:color="auto"/>
            <w:bottom w:val="none" w:sz="0" w:space="0" w:color="auto"/>
            <w:right w:val="none" w:sz="0" w:space="0" w:color="auto"/>
          </w:divBdr>
        </w:div>
        <w:div w:id="383066881">
          <w:marLeft w:val="0"/>
          <w:marRight w:val="0"/>
          <w:marTop w:val="0"/>
          <w:marBottom w:val="0"/>
          <w:divBdr>
            <w:top w:val="none" w:sz="0" w:space="0" w:color="auto"/>
            <w:left w:val="none" w:sz="0" w:space="0" w:color="auto"/>
            <w:bottom w:val="none" w:sz="0" w:space="0" w:color="auto"/>
            <w:right w:val="none" w:sz="0" w:space="0" w:color="auto"/>
          </w:divBdr>
        </w:div>
        <w:div w:id="1681548397">
          <w:marLeft w:val="0"/>
          <w:marRight w:val="0"/>
          <w:marTop w:val="0"/>
          <w:marBottom w:val="0"/>
          <w:divBdr>
            <w:top w:val="none" w:sz="0" w:space="0" w:color="auto"/>
            <w:left w:val="none" w:sz="0" w:space="0" w:color="auto"/>
            <w:bottom w:val="none" w:sz="0" w:space="0" w:color="auto"/>
            <w:right w:val="none" w:sz="0" w:space="0" w:color="auto"/>
          </w:divBdr>
        </w:div>
        <w:div w:id="1302031930">
          <w:marLeft w:val="0"/>
          <w:marRight w:val="0"/>
          <w:marTop w:val="0"/>
          <w:marBottom w:val="0"/>
          <w:divBdr>
            <w:top w:val="none" w:sz="0" w:space="0" w:color="auto"/>
            <w:left w:val="none" w:sz="0" w:space="0" w:color="auto"/>
            <w:bottom w:val="none" w:sz="0" w:space="0" w:color="auto"/>
            <w:right w:val="none" w:sz="0" w:space="0" w:color="auto"/>
          </w:divBdr>
        </w:div>
        <w:div w:id="1091199621">
          <w:marLeft w:val="0"/>
          <w:marRight w:val="0"/>
          <w:marTop w:val="0"/>
          <w:marBottom w:val="0"/>
          <w:divBdr>
            <w:top w:val="none" w:sz="0" w:space="0" w:color="auto"/>
            <w:left w:val="none" w:sz="0" w:space="0" w:color="auto"/>
            <w:bottom w:val="none" w:sz="0" w:space="0" w:color="auto"/>
            <w:right w:val="none" w:sz="0" w:space="0" w:color="auto"/>
          </w:divBdr>
        </w:div>
        <w:div w:id="616914002">
          <w:marLeft w:val="0"/>
          <w:marRight w:val="0"/>
          <w:marTop w:val="0"/>
          <w:marBottom w:val="0"/>
          <w:divBdr>
            <w:top w:val="none" w:sz="0" w:space="0" w:color="auto"/>
            <w:left w:val="none" w:sz="0" w:space="0" w:color="auto"/>
            <w:bottom w:val="none" w:sz="0" w:space="0" w:color="auto"/>
            <w:right w:val="none" w:sz="0" w:space="0" w:color="auto"/>
          </w:divBdr>
        </w:div>
        <w:div w:id="1722554951">
          <w:marLeft w:val="0"/>
          <w:marRight w:val="0"/>
          <w:marTop w:val="0"/>
          <w:marBottom w:val="0"/>
          <w:divBdr>
            <w:top w:val="none" w:sz="0" w:space="0" w:color="auto"/>
            <w:left w:val="none" w:sz="0" w:space="0" w:color="auto"/>
            <w:bottom w:val="none" w:sz="0" w:space="0" w:color="auto"/>
            <w:right w:val="none" w:sz="0" w:space="0" w:color="auto"/>
          </w:divBdr>
        </w:div>
        <w:div w:id="322047456">
          <w:marLeft w:val="0"/>
          <w:marRight w:val="0"/>
          <w:marTop w:val="0"/>
          <w:marBottom w:val="0"/>
          <w:divBdr>
            <w:top w:val="none" w:sz="0" w:space="0" w:color="auto"/>
            <w:left w:val="none" w:sz="0" w:space="0" w:color="auto"/>
            <w:bottom w:val="none" w:sz="0" w:space="0" w:color="auto"/>
            <w:right w:val="none" w:sz="0" w:space="0" w:color="auto"/>
          </w:divBdr>
        </w:div>
        <w:div w:id="1172453682">
          <w:marLeft w:val="0"/>
          <w:marRight w:val="0"/>
          <w:marTop w:val="0"/>
          <w:marBottom w:val="0"/>
          <w:divBdr>
            <w:top w:val="none" w:sz="0" w:space="0" w:color="auto"/>
            <w:left w:val="none" w:sz="0" w:space="0" w:color="auto"/>
            <w:bottom w:val="none" w:sz="0" w:space="0" w:color="auto"/>
            <w:right w:val="none" w:sz="0" w:space="0" w:color="auto"/>
          </w:divBdr>
        </w:div>
        <w:div w:id="1012029297">
          <w:marLeft w:val="0"/>
          <w:marRight w:val="0"/>
          <w:marTop w:val="0"/>
          <w:marBottom w:val="0"/>
          <w:divBdr>
            <w:top w:val="none" w:sz="0" w:space="0" w:color="auto"/>
            <w:left w:val="none" w:sz="0" w:space="0" w:color="auto"/>
            <w:bottom w:val="none" w:sz="0" w:space="0" w:color="auto"/>
            <w:right w:val="none" w:sz="0" w:space="0" w:color="auto"/>
          </w:divBdr>
        </w:div>
        <w:div w:id="6453990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84.emf" Id="rId117" /><Relationship Type="http://schemas.openxmlformats.org/officeDocument/2006/relationships/image" Target="media/image8.emf" Id="rId21" /><Relationship Type="http://schemas.openxmlformats.org/officeDocument/2006/relationships/hyperlink" Target="mailto:sterling.auty@jpmorgan.com" TargetMode="External" Id="rId42" /><Relationship Type="http://schemas.openxmlformats.org/officeDocument/2006/relationships/image" Target="media/image40.emf" Id="rId63" /><Relationship Type="http://schemas.openxmlformats.org/officeDocument/2006/relationships/image" Target="media/image57.emf" Id="rId84" /><Relationship Type="http://schemas.openxmlformats.org/officeDocument/2006/relationships/image" Target="media/image102.emf" Id="rId138" /><Relationship Type="http://schemas.openxmlformats.org/officeDocument/2006/relationships/image" Target="media/image119.emf" Id="rId159" /><Relationship Type="http://schemas.openxmlformats.org/officeDocument/2006/relationships/image" Target="media/image128.emf" Id="rId170" /><Relationship Type="http://schemas.openxmlformats.org/officeDocument/2006/relationships/hyperlink" Target="http://www.jpmorganmarkets.com" TargetMode="External" Id="rId191" /><Relationship Type="http://schemas.openxmlformats.org/officeDocument/2006/relationships/footer" Target="footer8.xml" Id="rId196" /><Relationship Type="http://schemas.openxmlformats.org/officeDocument/2006/relationships/footer" Target="footer2.xml" Id="rId16" /><Relationship Type="http://schemas.openxmlformats.org/officeDocument/2006/relationships/hyperlink" Target="mailto:edward.morris@jpmorgan.com" TargetMode="External" Id="rId107" /><Relationship Type="http://schemas.openxmlformats.org/officeDocument/2006/relationships/footnotes" Target="footnotes.xml" Id="rId11" /><Relationship Type="http://schemas.openxmlformats.org/officeDocument/2006/relationships/image" Target="media/image14.emf" Id="rId32" /><Relationship Type="http://schemas.openxmlformats.org/officeDocument/2006/relationships/image" Target="media/image18.emf" Id="rId37" /><Relationship Type="http://schemas.openxmlformats.org/officeDocument/2006/relationships/hyperlink" Target="mailto:alexander.c.mees@jpmorgan.com" TargetMode="External" Id="rId53" /><Relationship Type="http://schemas.openxmlformats.org/officeDocument/2006/relationships/image" Target="media/image36.jpeg" Id="rId58" /><Relationship Type="http://schemas.openxmlformats.org/officeDocument/2006/relationships/image" Target="media/image49.emf" Id="rId74" /><Relationship Type="http://schemas.openxmlformats.org/officeDocument/2006/relationships/image" Target="media/image53.emf" Id="rId79" /><Relationship Type="http://schemas.openxmlformats.org/officeDocument/2006/relationships/image" Target="media/image72.emf" Id="rId102" /><Relationship Type="http://schemas.openxmlformats.org/officeDocument/2006/relationships/image" Target="media/image89.emf" Id="rId123" /><Relationship Type="http://schemas.openxmlformats.org/officeDocument/2006/relationships/image" Target="media/image94.emf" Id="rId128" /><Relationship Type="http://schemas.openxmlformats.org/officeDocument/2006/relationships/image" Target="media/image107.emf" Id="rId144" /><Relationship Type="http://schemas.openxmlformats.org/officeDocument/2006/relationships/image" Target="media/image111.emf" Id="rId149" /><Relationship Type="http://schemas.openxmlformats.org/officeDocument/2006/relationships/image" Target="media/image62.emf" Id="rId90" /><Relationship Type="http://schemas.openxmlformats.org/officeDocument/2006/relationships/hyperlink" Target="mailto:roger.m.bell@jpmorgan.com" TargetMode="External" Id="rId95" /><Relationship Type="http://schemas.openxmlformats.org/officeDocument/2006/relationships/image" Target="media/image120.emf" Id="rId160" /><Relationship Type="http://schemas.openxmlformats.org/officeDocument/2006/relationships/image" Target="media/image124.emf" Id="rId165" /><Relationship Type="http://schemas.openxmlformats.org/officeDocument/2006/relationships/hyperlink" Target="mailto:anthony.g.passede.silva@jpmorgan.com" TargetMode="External" Id="rId181" /><Relationship Type="http://schemas.openxmlformats.org/officeDocument/2006/relationships/header" Target="header7.xml" Id="rId186" /><Relationship Type="http://schemas.openxmlformats.org/officeDocument/2006/relationships/header" Target="header4.xml" Id="rId22" /><Relationship Type="http://schemas.openxmlformats.org/officeDocument/2006/relationships/image" Target="media/image10.emf" Id="rId27" /><Relationship Type="http://schemas.openxmlformats.org/officeDocument/2006/relationships/image" Target="media/image23.emf" Id="rId43" /><Relationship Type="http://schemas.openxmlformats.org/officeDocument/2006/relationships/image" Target="media/image27.emf" Id="rId48" /><Relationship Type="http://schemas.openxmlformats.org/officeDocument/2006/relationships/image" Target="media/image41.jpeg" Id="rId64" /><Relationship Type="http://schemas.openxmlformats.org/officeDocument/2006/relationships/image" Target="media/image45.emf" Id="rId69" /><Relationship Type="http://schemas.openxmlformats.org/officeDocument/2006/relationships/image" Target="media/image81.emf" Id="rId113" /><Relationship Type="http://schemas.openxmlformats.org/officeDocument/2006/relationships/image" Target="media/image85.emf" Id="rId118" /><Relationship Type="http://schemas.openxmlformats.org/officeDocument/2006/relationships/image" Target="media/image99.emf" Id="rId134" /><Relationship Type="http://schemas.openxmlformats.org/officeDocument/2006/relationships/image" Target="media/image103.emf" Id="rId139" /><Relationship Type="http://schemas.openxmlformats.org/officeDocument/2006/relationships/image" Target="media/image54.emf" Id="rId80" /><Relationship Type="http://schemas.openxmlformats.org/officeDocument/2006/relationships/image" Target="media/image58.emf" Id="rId85" /><Relationship Type="http://schemas.openxmlformats.org/officeDocument/2006/relationships/image" Target="media/image112.jpeg" Id="rId150" /><Relationship Type="http://schemas.openxmlformats.org/officeDocument/2006/relationships/image" Target="media/image116.emf" Id="rId155" /><Relationship Type="http://schemas.openxmlformats.org/officeDocument/2006/relationships/image" Target="media/image129.emf" Id="rId171" /><Relationship Type="http://schemas.openxmlformats.org/officeDocument/2006/relationships/image" Target="media/image133.emf" Id="rId176" /><Relationship Type="http://schemas.openxmlformats.org/officeDocument/2006/relationships/hyperlink" Target="mailto:research.disclosure.inquiries@jpmorgan.com" TargetMode="External" Id="rId192" /><Relationship Type="http://schemas.openxmlformats.org/officeDocument/2006/relationships/fontTable" Target="fontTable.xml" Id="rId197" /><Relationship Type="http://schemas.openxmlformats.org/officeDocument/2006/relationships/endnotes" Target="endnotes.xml" Id="rId12" /><Relationship Type="http://schemas.openxmlformats.org/officeDocument/2006/relationships/header" Target="header3.xml" Id="rId17" /><Relationship Type="http://schemas.openxmlformats.org/officeDocument/2006/relationships/image" Target="media/image15.emf" Id="rId33" /><Relationship Type="http://schemas.openxmlformats.org/officeDocument/2006/relationships/image" Target="media/image19.emf" Id="rId38" /><Relationship Type="http://schemas.openxmlformats.org/officeDocument/2006/relationships/hyperlink" Target="mailto:james.a.thompson1@jpmorgan.com" TargetMode="External" Id="rId59" /><Relationship Type="http://schemas.openxmlformats.org/officeDocument/2006/relationships/image" Target="media/image73.emf" Id="rId103" /><Relationship Type="http://schemas.openxmlformats.org/officeDocument/2006/relationships/image" Target="media/image77.emf" Id="rId108" /><Relationship Type="http://schemas.openxmlformats.org/officeDocument/2006/relationships/image" Target="media/image90.emf" Id="rId124" /><Relationship Type="http://schemas.openxmlformats.org/officeDocument/2006/relationships/image" Target="media/image95.emf" Id="rId129" /><Relationship Type="http://schemas.openxmlformats.org/officeDocument/2006/relationships/image" Target="media/image32.emf" Id="rId54" /><Relationship Type="http://schemas.openxmlformats.org/officeDocument/2006/relationships/image" Target="media/image46.jpeg" Id="rId70" /><Relationship Type="http://schemas.openxmlformats.org/officeDocument/2006/relationships/image" Target="media/image50.emf" Id="rId75" /><Relationship Type="http://schemas.openxmlformats.org/officeDocument/2006/relationships/image" Target="media/image63.emf" Id="rId91" /><Relationship Type="http://schemas.openxmlformats.org/officeDocument/2006/relationships/image" Target="media/image67.emf" Id="rId96" /><Relationship Type="http://schemas.openxmlformats.org/officeDocument/2006/relationships/image" Target="media/image104.emf" Id="rId140" /><Relationship Type="http://schemas.openxmlformats.org/officeDocument/2006/relationships/image" Target="media/image108.emf" Id="rId145" /><Relationship Type="http://schemas.openxmlformats.org/officeDocument/2006/relationships/image" Target="media/image121.emf" Id="rId161" /><Relationship Type="http://schemas.openxmlformats.org/officeDocument/2006/relationships/image" Target="media/image125.emf" Id="rId166" /><Relationship Type="http://schemas.openxmlformats.org/officeDocument/2006/relationships/image" Target="media/image138.emf" Id="rId182" /><Relationship Type="http://schemas.openxmlformats.org/officeDocument/2006/relationships/footer" Target="footer7.xml" Id="rId187" /><Relationship Type="http://schemas.openxmlformats.org/officeDocument/2006/relationships/customXml" Target="../customXml/item6.xml" Id="rId6" /><Relationship Type="http://schemas.openxmlformats.org/officeDocument/2006/relationships/footer" Target="footer4.xml" Id="rId23" /><Relationship Type="http://schemas.openxmlformats.org/officeDocument/2006/relationships/image" Target="media/image11.emf" Id="rId28" /><Relationship Type="http://schemas.openxmlformats.org/officeDocument/2006/relationships/image" Target="media/image28.emf" Id="rId49" /><Relationship Type="http://schemas.openxmlformats.org/officeDocument/2006/relationships/image" Target="media/image82.emf" Id="rId114" /><Relationship Type="http://schemas.openxmlformats.org/officeDocument/2006/relationships/image" Target="media/image86.emf" Id="rId119" /><Relationship Type="http://schemas.openxmlformats.org/officeDocument/2006/relationships/image" Target="media/image24.emf" Id="rId44" /><Relationship Type="http://schemas.openxmlformats.org/officeDocument/2006/relationships/image" Target="media/image37.emf" Id="rId60" /><Relationship Type="http://schemas.openxmlformats.org/officeDocument/2006/relationships/hyperlink" Target="mailto:christopher.g.combe@jpmorgan.com" TargetMode="External" Id="rId65" /><Relationship Type="http://schemas.openxmlformats.org/officeDocument/2006/relationships/image" Target="media/image55.emf" Id="rId81" /><Relationship Type="http://schemas.openxmlformats.org/officeDocument/2006/relationships/image" Target="media/image59.emf" Id="rId86" /><Relationship Type="http://schemas.openxmlformats.org/officeDocument/2006/relationships/image" Target="media/image96.jpeg" Id="rId130" /><Relationship Type="http://schemas.openxmlformats.org/officeDocument/2006/relationships/image" Target="media/image100.emf" Id="rId135" /><Relationship Type="http://schemas.openxmlformats.org/officeDocument/2006/relationships/hyperlink" Target="mailto:douglas.anmuth@jpmorgan.com" TargetMode="External" Id="rId151" /><Relationship Type="http://schemas.openxmlformats.org/officeDocument/2006/relationships/image" Target="media/image117.jpeg" Id="rId156" /><Relationship Type="http://schemas.openxmlformats.org/officeDocument/2006/relationships/image" Target="media/image134.emf" Id="rId177" /><Relationship Type="http://schemas.openxmlformats.org/officeDocument/2006/relationships/glossaryDocument" Target="glossary/document.xml" Id="rId198" /><Relationship Type="http://schemas.openxmlformats.org/officeDocument/2006/relationships/image" Target="media/image130.emf" Id="rId172" /><Relationship Type="http://schemas.openxmlformats.org/officeDocument/2006/relationships/hyperlink" Target="http://www.optionsclearing.com/publications/risks/riskstoc.pdf" TargetMode="External" Id="rId193" /><Relationship Type="http://schemas.openxmlformats.org/officeDocument/2006/relationships/header" Target="header1.xml" Id="rId13" /><Relationship Type="http://schemas.openxmlformats.org/officeDocument/2006/relationships/footer" Target="footer3.xml" Id="rId18" /><Relationship Type="http://schemas.openxmlformats.org/officeDocument/2006/relationships/image" Target="media/image20.emf" Id="rId39" /><Relationship Type="http://schemas.openxmlformats.org/officeDocument/2006/relationships/image" Target="media/image78.emf" Id="rId109" /><Relationship Type="http://schemas.openxmlformats.org/officeDocument/2006/relationships/image" Target="media/image16.emf" Id="rId34" /><Relationship Type="http://schemas.openxmlformats.org/officeDocument/2006/relationships/image" Target="media/image29.emf" Id="rId50" /><Relationship Type="http://schemas.openxmlformats.org/officeDocument/2006/relationships/image" Target="media/image33.emf" Id="rId55" /><Relationship Type="http://schemas.openxmlformats.org/officeDocument/2006/relationships/image" Target="media/image51.jpeg" Id="rId76" /><Relationship Type="http://schemas.openxmlformats.org/officeDocument/2006/relationships/image" Target="media/image68.emf" Id="rId97" /><Relationship Type="http://schemas.openxmlformats.org/officeDocument/2006/relationships/image" Target="media/image74.emf" Id="rId104" /><Relationship Type="http://schemas.openxmlformats.org/officeDocument/2006/relationships/image" Target="media/image87.emf" Id="rId120" /><Relationship Type="http://schemas.openxmlformats.org/officeDocument/2006/relationships/image" Target="media/image91.emf" Id="rId125" /><Relationship Type="http://schemas.openxmlformats.org/officeDocument/2006/relationships/image" Target="media/image105.emf" Id="rId141" /><Relationship Type="http://schemas.openxmlformats.org/officeDocument/2006/relationships/image" Target="media/image109.emf" Id="rId146" /><Relationship Type="http://schemas.openxmlformats.org/officeDocument/2006/relationships/image" Target="media/image126.emf" Id="rId167" /><Relationship Type="http://schemas.openxmlformats.org/officeDocument/2006/relationships/hyperlink" Target="https://jpmm.com/research/disclosures" TargetMode="External" Id="rId188" /><Relationship Type="http://schemas.openxmlformats.org/officeDocument/2006/relationships/numbering" Target="numbering.xml" Id="rId7" /><Relationship Type="http://schemas.openxmlformats.org/officeDocument/2006/relationships/hyperlink" Target="mailto:james.a.thompson1@jpmorgan.com" TargetMode="External" Id="rId71" /><Relationship Type="http://schemas.openxmlformats.org/officeDocument/2006/relationships/image" Target="media/image64.emf" Id="rId92" /><Relationship Type="http://schemas.openxmlformats.org/officeDocument/2006/relationships/image" Target="media/image122.jpeg" Id="rId162" /><Relationship Type="http://schemas.openxmlformats.org/officeDocument/2006/relationships/image" Target="media/image139.emf" Id="rId183" /><Relationship Type="http://schemas.openxmlformats.org/officeDocument/2006/relationships/image" Target="media/image12.jpeg" Id="rId29" /><Relationship Type="http://schemas.openxmlformats.org/officeDocument/2006/relationships/image" Target="media/image9.emf" Id="rId24" /><Relationship Type="http://schemas.openxmlformats.org/officeDocument/2006/relationships/image" Target="media/image21.emf" Id="rId40" /><Relationship Type="http://schemas.openxmlformats.org/officeDocument/2006/relationships/image" Target="media/image25.emf" Id="rId45" /><Relationship Type="http://schemas.openxmlformats.org/officeDocument/2006/relationships/image" Target="media/image42.emf" Id="rId66" /><Relationship Type="http://schemas.openxmlformats.org/officeDocument/2006/relationships/image" Target="media/image60.emf" Id="rId87" /><Relationship Type="http://schemas.openxmlformats.org/officeDocument/2006/relationships/image" Target="media/image79.emf" Id="rId110" /><Relationship Type="http://schemas.openxmlformats.org/officeDocument/2006/relationships/hyperlink" Target="mailto:filippo.p.lofranco@jpmorgan.com" TargetMode="External" Id="rId115" /><Relationship Type="http://schemas.openxmlformats.org/officeDocument/2006/relationships/hyperlink" Target="mailto:masayuki.x.onozuka@jpmorgan.com" TargetMode="External" Id="rId131" /><Relationship Type="http://schemas.openxmlformats.org/officeDocument/2006/relationships/image" Target="media/image101.jpeg" Id="rId136" /><Relationship Type="http://schemas.openxmlformats.org/officeDocument/2006/relationships/hyperlink" Target="mailto:timothy.leckie@jpmorgan.com" TargetMode="External" Id="rId157" /><Relationship Type="http://schemas.openxmlformats.org/officeDocument/2006/relationships/image" Target="media/image135.emf" Id="rId178" /><Relationship Type="http://schemas.openxmlformats.org/officeDocument/2006/relationships/image" Target="media/image38.emf" Id="rId61" /><Relationship Type="http://schemas.openxmlformats.org/officeDocument/2006/relationships/image" Target="media/image56.jpeg" Id="rId82" /><Relationship Type="http://schemas.openxmlformats.org/officeDocument/2006/relationships/image" Target="media/image113.emf" Id="rId152" /><Relationship Type="http://schemas.openxmlformats.org/officeDocument/2006/relationships/image" Target="media/image131.emf" Id="rId173" /><Relationship Type="http://schemas.openxmlformats.org/officeDocument/2006/relationships/hyperlink" Target="http://www.jpmipl.com" TargetMode="External" Id="rId194" /><Relationship Type="http://schemas.openxmlformats.org/officeDocument/2006/relationships/theme" Target="theme/theme1.xml" Id="rId199" /><Relationship Type="http://schemas.openxmlformats.org/officeDocument/2006/relationships/image" Target="media/image6.emf" Id="rId19" /><Relationship Type="http://schemas.openxmlformats.org/officeDocument/2006/relationships/header" Target="header2.xml" Id="rId14" /><Relationship Type="http://schemas.openxmlformats.org/officeDocument/2006/relationships/hyperlink" Target="mailto:karen.yy.li@jpmorgan.com" TargetMode="External" Id="rId30" /><Relationship Type="http://schemas.openxmlformats.org/officeDocument/2006/relationships/image" Target="media/image17.jpeg" Id="rId35" /><Relationship Type="http://schemas.openxmlformats.org/officeDocument/2006/relationships/image" Target="media/image34.emf" Id="rId56" /><Relationship Type="http://schemas.openxmlformats.org/officeDocument/2006/relationships/hyperlink" Target="mailto:marcelo.g.motta@jpmorgan.com" TargetMode="External" Id="rId77" /><Relationship Type="http://schemas.openxmlformats.org/officeDocument/2006/relationships/image" Target="media/image71.jpeg" Id="rId100" /><Relationship Type="http://schemas.openxmlformats.org/officeDocument/2006/relationships/image" Target="media/image75.emf" Id="rId105" /><Relationship Type="http://schemas.openxmlformats.org/officeDocument/2006/relationships/image" Target="media/image92.emf" Id="rId126" /><Relationship Type="http://schemas.openxmlformats.org/officeDocument/2006/relationships/hyperlink" Target="mailto:ranjan.x.sharma@jpmorgan.com" TargetMode="External" Id="rId147" /><Relationship Type="http://schemas.openxmlformats.org/officeDocument/2006/relationships/image" Target="media/image127.jpeg" Id="rId168" /><Relationship Type="http://schemas.openxmlformats.org/officeDocument/2006/relationships/styles" Target="styles.xml" Id="rId8" /><Relationship Type="http://schemas.openxmlformats.org/officeDocument/2006/relationships/image" Target="media/image30.emf" Id="rId51" /><Relationship Type="http://schemas.openxmlformats.org/officeDocument/2006/relationships/image" Target="media/image47.emf" Id="rId72" /><Relationship Type="http://schemas.openxmlformats.org/officeDocument/2006/relationships/image" Target="media/image65.emf" Id="rId93" /><Relationship Type="http://schemas.openxmlformats.org/officeDocument/2006/relationships/image" Target="media/image69.emf" Id="rId98" /><Relationship Type="http://schemas.openxmlformats.org/officeDocument/2006/relationships/image" Target="media/image88.jpeg" Id="rId121" /><Relationship Type="http://schemas.openxmlformats.org/officeDocument/2006/relationships/hyperlink" Target="mailto:ranjan.x.sharma@jpmorgan.com" TargetMode="External" Id="rId142" /><Relationship Type="http://schemas.openxmlformats.org/officeDocument/2006/relationships/hyperlink" Target="mailto:alessandro.abate@jpmorgan.com" TargetMode="External" Id="rId163" /><Relationship Type="http://schemas.openxmlformats.org/officeDocument/2006/relationships/header" Target="header6.xml" Id="rId184" /><Relationship Type="http://schemas.openxmlformats.org/officeDocument/2006/relationships/hyperlink" Target="mailto:research.disclosure.inquiries@jpmorgan.com" TargetMode="External" Id="rId189" /><Relationship Type="http://schemas.openxmlformats.org/officeDocument/2006/relationships/customXml" Target="../customXml/item3.xml" Id="rId3" /><Relationship Type="http://schemas.openxmlformats.org/officeDocument/2006/relationships/header" Target="header5.xml" Id="rId25" /><Relationship Type="http://schemas.openxmlformats.org/officeDocument/2006/relationships/image" Target="media/image26.emf" Id="rId46" /><Relationship Type="http://schemas.openxmlformats.org/officeDocument/2006/relationships/image" Target="media/image43.emf" Id="rId67" /><Relationship Type="http://schemas.openxmlformats.org/officeDocument/2006/relationships/image" Target="media/image83.emf" Id="rId116" /><Relationship Type="http://schemas.openxmlformats.org/officeDocument/2006/relationships/hyperlink" Target="mailto:narci.h.chang@jpmorgan.com" TargetMode="External" Id="rId137" /><Relationship Type="http://schemas.openxmlformats.org/officeDocument/2006/relationships/image" Target="media/image118.emf" Id="rId158" /><Relationship Type="http://schemas.openxmlformats.org/officeDocument/2006/relationships/image" Target="media/image7.emf" Id="rId20" /><Relationship Type="http://schemas.openxmlformats.org/officeDocument/2006/relationships/image" Target="media/image22.jpeg" Id="rId41" /><Relationship Type="http://schemas.openxmlformats.org/officeDocument/2006/relationships/image" Target="media/image39.emf" Id="rId62" /><Relationship Type="http://schemas.openxmlformats.org/officeDocument/2006/relationships/hyperlink" Target="mailto:ranjan.x.sharma@jpmorgan.com" TargetMode="External" Id="rId83" /><Relationship Type="http://schemas.openxmlformats.org/officeDocument/2006/relationships/image" Target="media/image61.jpeg" Id="rId88" /><Relationship Type="http://schemas.openxmlformats.org/officeDocument/2006/relationships/image" Target="media/image80.emf" Id="rId111" /><Relationship Type="http://schemas.openxmlformats.org/officeDocument/2006/relationships/image" Target="media/image97.emf" Id="rId132" /><Relationship Type="http://schemas.openxmlformats.org/officeDocument/2006/relationships/image" Target="media/image114.emf" Id="rId153" /><Relationship Type="http://schemas.openxmlformats.org/officeDocument/2006/relationships/image" Target="media/image132.jpeg" Id="rId174" /><Relationship Type="http://schemas.openxmlformats.org/officeDocument/2006/relationships/image" Target="media/image136.emf" Id="rId179" /><Relationship Type="http://schemas.openxmlformats.org/officeDocument/2006/relationships/header" Target="header8.xml" Id="rId195" /><Relationship Type="http://schemas.openxmlformats.org/officeDocument/2006/relationships/hyperlink" Target="mailto:research.disclosure.inquiries@jpmorgan.com" TargetMode="External" Id="rId190" /><Relationship Type="http://schemas.openxmlformats.org/officeDocument/2006/relationships/footer" Target="footer1.xml" Id="rId15" /><Relationship Type="http://schemas.openxmlformats.org/officeDocument/2006/relationships/hyperlink" Target="mailto:emily.biddulph@jpmorgan.com" TargetMode="External" Id="rId36" /><Relationship Type="http://schemas.openxmlformats.org/officeDocument/2006/relationships/image" Target="media/image35.emf" Id="rId57" /><Relationship Type="http://schemas.openxmlformats.org/officeDocument/2006/relationships/image" Target="media/image76.jpeg" Id="rId106" /><Relationship Type="http://schemas.openxmlformats.org/officeDocument/2006/relationships/image" Target="media/image93.emf" Id="rId127" /><Relationship Type="http://schemas.openxmlformats.org/officeDocument/2006/relationships/webSettings" Target="webSettings.xml" Id="rId10" /><Relationship Type="http://schemas.openxmlformats.org/officeDocument/2006/relationships/image" Target="media/image13.emf" Id="rId31" /><Relationship Type="http://schemas.openxmlformats.org/officeDocument/2006/relationships/image" Target="media/image31.jpeg" Id="rId52" /><Relationship Type="http://schemas.openxmlformats.org/officeDocument/2006/relationships/image" Target="media/image48.emf" Id="rId73" /><Relationship Type="http://schemas.openxmlformats.org/officeDocument/2006/relationships/image" Target="media/image52.emf" Id="rId78" /><Relationship Type="http://schemas.openxmlformats.org/officeDocument/2006/relationships/image" Target="media/image66.jpeg" Id="rId94" /><Relationship Type="http://schemas.openxmlformats.org/officeDocument/2006/relationships/image" Target="media/image70.emf" Id="rId99" /><Relationship Type="http://schemas.openxmlformats.org/officeDocument/2006/relationships/hyperlink" Target="mailto:filippo.p.lofranco@jpmorgan.com" TargetMode="External" Id="rId101" /><Relationship Type="http://schemas.openxmlformats.org/officeDocument/2006/relationships/hyperlink" Target="mailto:simone.x.yeoh@jpmorgan.com" TargetMode="External" Id="rId122" /><Relationship Type="http://schemas.openxmlformats.org/officeDocument/2006/relationships/image" Target="media/image106.emf" Id="rId143" /><Relationship Type="http://schemas.openxmlformats.org/officeDocument/2006/relationships/image" Target="media/image110.emf" Id="rId148" /><Relationship Type="http://schemas.openxmlformats.org/officeDocument/2006/relationships/image" Target="media/image123.emf" Id="rId164" /><Relationship Type="http://schemas.openxmlformats.org/officeDocument/2006/relationships/hyperlink" Target="mailto:paul.coster@jpmorgan.com" TargetMode="External" Id="rId169" /><Relationship Type="http://schemas.openxmlformats.org/officeDocument/2006/relationships/footer" Target="footer6.xml" Id="rId185" /><Relationship Type="http://schemas.openxmlformats.org/officeDocument/2006/relationships/settings" Target="settings.xml" Id="rId9" /><Relationship Type="http://schemas.openxmlformats.org/officeDocument/2006/relationships/image" Target="media/image137.jpeg" Id="rId180" /><Relationship Type="http://schemas.openxmlformats.org/officeDocument/2006/relationships/footer" Target="footer5.xml" Id="rId26" /><Relationship Type="http://schemas.openxmlformats.org/officeDocument/2006/relationships/hyperlink" Target="mailto:rahul.bhat@jpmorgan.com" TargetMode="External" Id="rId47" /><Relationship Type="http://schemas.openxmlformats.org/officeDocument/2006/relationships/image" Target="media/image44.emf" Id="rId68" /><Relationship Type="http://schemas.openxmlformats.org/officeDocument/2006/relationships/hyperlink" Target="mailto:nicolas.j.dubourg@jpmorgan.com" TargetMode="External" Id="rId89" /><Relationship Type="http://schemas.openxmlformats.org/officeDocument/2006/relationships/hyperlink" Target="mailto:alexander.c.mees@jpmorgan.com" TargetMode="External" Id="rId112" /><Relationship Type="http://schemas.openxmlformats.org/officeDocument/2006/relationships/image" Target="media/image98.emf" Id="rId133" /><Relationship Type="http://schemas.openxmlformats.org/officeDocument/2006/relationships/image" Target="media/image115.emf" Id="rId154" /><Relationship Type="http://schemas.openxmlformats.org/officeDocument/2006/relationships/hyperlink" Target="mailto:leon.hk.chik@jpmorgan.com" TargetMode="External" Id="rId175" /><Relationship Type="http://schemas.openxmlformats.org/officeDocument/2006/relationships/customXml" Target="/customXML/item7.xml" Id="Rc1df202cdc7645ca" /><Relationship Type="http://schemas.openxmlformats.org/officeDocument/2006/relationships/customXml" Target="/customXML/item8.xml" Id="Rf7add83f3b60449c" /><Relationship Type="http://schemas.openxmlformats.org/officeDocument/2006/relationships/customXml" Target="/customXML/item9.xml" Id="R5c935682b8fe4791" /><Relationship Type="http://schemas.openxmlformats.org/officeDocument/2006/relationships/customXml" Target="/customXML/itema.xml" Id="R085025b370304d16" /><Relationship Type="http://schemas.openxmlformats.org/officeDocument/2006/relationships/package" Target="/word/embeddings/package.bin" Id="TextFile" /></Relationships>
</file>

<file path=word/_rels/footer3.xml.rels><?xml version="1.0" encoding="UTF-8" standalone="yes"?>
<Relationships xmlns="http://schemas.openxmlformats.org/package/2006/relationships"><Relationship Id="rId1" Type="http://schemas.openxmlformats.org/officeDocument/2006/relationships/hyperlink" Target="http://www.jpmorganmarket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jpeg"/><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1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261554\AppData\Local\Temp\NonCompanyNot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1AA52EE8A6C40EEABBB49C86BADB28F"/>
        <w:category>
          <w:name w:val="General"/>
          <w:gallery w:val="placeholder"/>
        </w:category>
        <w:types>
          <w:type w:val="bbPlcHdr"/>
        </w:types>
        <w:behaviors>
          <w:behavior w:val="content"/>
        </w:behaviors>
        <w:guid w:val="{4785BCA1-48B9-43EF-B199-A5D202F0E057}"/>
      </w:docPartPr>
      <w:docPartBody>
        <w:p w:rsidR="00537416" w:rsidRDefault="00537416"/>
      </w:docPartBody>
    </w:docPart>
    <w:docPart>
      <w:docPartPr>
        <w:name w:val="B65F5231F26049F29E262A5E94A37EDB"/>
        <w:category>
          <w:name w:val="General"/>
          <w:gallery w:val="placeholder"/>
        </w:category>
        <w:types>
          <w:type w:val="bbPlcHdr"/>
        </w:types>
        <w:behaviors>
          <w:behavior w:val="content"/>
        </w:behaviors>
        <w:guid w:val="{1C895F1A-8AC4-4FE9-BCF5-55E9C4285F4F}"/>
      </w:docPartPr>
      <w:docPartBody>
        <w:p w:rsidR="00537416" w:rsidRDefault="001B1304">
          <w:pPr>
            <w:pStyle w:val="B65F5231F26049F29E262A5E94A37EDB"/>
          </w:pPr>
          <w:r w:rsidRPr="00491D29">
            <w:t>Region</w:t>
          </w:r>
        </w:p>
      </w:docPartBody>
    </w:docPart>
    <w:docPart>
      <w:docPartPr>
        <w:name w:val="613CA552E72048A88BE2BDF65EAF903D"/>
        <w:category>
          <w:name w:val="General"/>
          <w:gallery w:val="placeholder"/>
        </w:category>
        <w:types>
          <w:type w:val="bbPlcHdr"/>
        </w:types>
        <w:behaviors>
          <w:behavior w:val="content"/>
        </w:behaviors>
        <w:guid w:val="{81E0849F-E777-40FA-A051-66BF06248574}"/>
      </w:docPartPr>
      <w:docPartBody>
        <w:p w:rsidR="00537416" w:rsidRDefault="001B1304">
          <w:pPr>
            <w:pStyle w:val="613CA552E72048A88BE2BDF65EAF903D"/>
          </w:pPr>
          <w:r w:rsidRPr="00491D29">
            <w:t>Business Group</w:t>
          </w:r>
        </w:p>
      </w:docPartBody>
    </w:docPart>
    <w:docPart>
      <w:docPartPr>
        <w:name w:val="8DAFC432E43A4A23BF678D5E902935BB"/>
        <w:category>
          <w:name w:val="General"/>
          <w:gallery w:val="placeholder"/>
        </w:category>
        <w:types>
          <w:type w:val="bbPlcHdr"/>
        </w:types>
        <w:behaviors>
          <w:behavior w:val="content"/>
        </w:behaviors>
        <w:guid w:val="{F1BAC736-02C6-4996-A514-6D0BB0AEA156}"/>
      </w:docPartPr>
      <w:docPartBody>
        <w:p w:rsidR="00537416" w:rsidRDefault="001B1304">
          <w:pPr>
            <w:pStyle w:val="8DAFC432E43A4A23BF678D5E902935BB"/>
          </w:pPr>
          <w:r w:rsidRPr="00A300ED">
            <w:rPr>
              <w:rStyle w:val="PlaceholderText"/>
            </w:rPr>
            <w:t>.</w:t>
          </w:r>
        </w:p>
      </w:docPartBody>
    </w:docPart>
    <w:docPart>
      <w:docPartPr>
        <w:name w:val="6F88587EBBA54743BFAF45CB9E37DAC6"/>
        <w:category>
          <w:name w:val="General"/>
          <w:gallery w:val="placeholder"/>
        </w:category>
        <w:types>
          <w:type w:val="bbPlcHdr"/>
        </w:types>
        <w:behaviors>
          <w:behavior w:val="content"/>
        </w:behaviors>
        <w:guid w:val="{FFF016D5-3477-4A45-ACEA-C98308086955}"/>
      </w:docPartPr>
      <w:docPartBody>
        <w:p w:rsidR="00537416" w:rsidRDefault="001B1304">
          <w:pPr>
            <w:pStyle w:val="6F88587EBBA54743BFAF45CB9E37DAC6"/>
          </w:pPr>
          <w:r>
            <w:t xml:space="preserve"> </w:t>
          </w:r>
        </w:p>
      </w:docPartBody>
    </w:docPart>
    <w:docPart>
      <w:docPartPr>
        <w:name w:val="C462568603714FC8A8F080CA270D45C2"/>
        <w:category>
          <w:name w:val="General"/>
          <w:gallery w:val="placeholder"/>
        </w:category>
        <w:types>
          <w:type w:val="bbPlcHdr"/>
        </w:types>
        <w:behaviors>
          <w:behavior w:val="content"/>
        </w:behaviors>
        <w:guid w:val="{06BE0F1E-A303-4986-BAEB-E837E83932ED}"/>
      </w:docPartPr>
      <w:docPartBody>
        <w:p w:rsidR="00537416" w:rsidRDefault="001B1304">
          <w:pPr>
            <w:pStyle w:val="C462568603714FC8A8F080CA270D45C2"/>
          </w:pPr>
          <w:r>
            <w:t xml:space="preserve"> </w:t>
          </w:r>
        </w:p>
      </w:docPartBody>
    </w:docPart>
    <w:docPart>
      <w:docPartPr>
        <w:name w:val="6E903EEEF85B4002BC080ED4EF61CBDB"/>
        <w:category>
          <w:name w:val="General"/>
          <w:gallery w:val="placeholder"/>
        </w:category>
        <w:types>
          <w:type w:val="bbPlcHdr"/>
        </w:types>
        <w:behaviors>
          <w:behavior w:val="content"/>
        </w:behaviors>
        <w:guid w:val="{8C62FF08-8674-4322-BCD6-F1E93B5F120A}"/>
      </w:docPartPr>
      <w:docPartBody>
        <w:p w:rsidR="00537416" w:rsidRDefault="001B1304">
          <w:pPr>
            <w:pStyle w:val="6E903EEEF85B4002BC080ED4EF61CBDB"/>
          </w:pPr>
          <w:r>
            <w:t xml:space="preserve"> </w:t>
          </w:r>
        </w:p>
      </w:docPartBody>
    </w:docPart>
    <w:docPart>
      <w:docPartPr>
        <w:name w:val="9A5A895754094948A68B1D82DBBDC337"/>
        <w:category>
          <w:name w:val="General"/>
          <w:gallery w:val="placeholder"/>
        </w:category>
        <w:types>
          <w:type w:val="bbPlcHdr"/>
        </w:types>
        <w:behaviors>
          <w:behavior w:val="content"/>
        </w:behaviors>
        <w:guid w:val="{4D9A8728-E443-4EAE-8138-25D1199FEFDE}"/>
      </w:docPartPr>
      <w:docPartBody>
        <w:p w:rsidR="00537416" w:rsidRDefault="001B1304">
          <w:pPr>
            <w:pStyle w:val="9A5A895754094948A68B1D82DBBDC337"/>
          </w:pPr>
          <w:r>
            <w:t xml:space="preserve"> </w:t>
          </w:r>
        </w:p>
      </w:docPartBody>
    </w:docPart>
    <w:docPart>
      <w:docPartPr>
        <w:name w:val="174F11EC2C614433BDA6596B8E6BCD19"/>
        <w:category>
          <w:name w:val="General"/>
          <w:gallery w:val="placeholder"/>
        </w:category>
        <w:types>
          <w:type w:val="bbPlcHdr"/>
        </w:types>
        <w:behaviors>
          <w:behavior w:val="content"/>
        </w:behaviors>
        <w:guid w:val="{7ADBE375-8F88-4581-B7A7-EF5C0A18BCCC}"/>
      </w:docPartPr>
      <w:docPartBody>
        <w:p w:rsidR="00537416" w:rsidRDefault="001B1304">
          <w:pPr>
            <w:pStyle w:val="174F11EC2C614433BDA6596B8E6BCD19"/>
          </w:pPr>
          <w:r w:rsidRPr="00EB6911">
            <w:rPr>
              <w:rStyle w:val="PlaceholderText"/>
            </w:rPr>
            <w:t xml:space="preserve"> </w:t>
          </w:r>
        </w:p>
      </w:docPartBody>
    </w:docPart>
    <w:docPart>
      <w:docPartPr>
        <w:name w:val="36C6C8C776144FFBA905F0FE7698B2DC"/>
        <w:category>
          <w:name w:val="General"/>
          <w:gallery w:val="placeholder"/>
        </w:category>
        <w:types>
          <w:type w:val="bbPlcHdr"/>
        </w:types>
        <w:behaviors>
          <w:behavior w:val="content"/>
        </w:behaviors>
        <w:guid w:val="{72F94025-E3B1-446F-B92E-044590223B3C}"/>
      </w:docPartPr>
      <w:docPartBody>
        <w:p w:rsidR="00537416" w:rsidRDefault="001B1304">
          <w:pPr>
            <w:pStyle w:val="36C6C8C776144FFBA905F0FE7698B2DC"/>
          </w:pPr>
          <w:r>
            <w:t xml:space="preserve"> </w:t>
          </w:r>
        </w:p>
      </w:docPartBody>
    </w:docPart>
    <w:docPart>
      <w:docPartPr>
        <w:name w:val="AE28A5B6EEDC4370B2375673484A8912"/>
        <w:category>
          <w:name w:val="General"/>
          <w:gallery w:val="placeholder"/>
        </w:category>
        <w:types>
          <w:type w:val="bbPlcHdr"/>
        </w:types>
        <w:behaviors>
          <w:behavior w:val="content"/>
        </w:behaviors>
        <w:guid w:val="{8023EDD1-AEE5-45CA-A412-CA5398EB0601}"/>
      </w:docPartPr>
      <w:docPartBody>
        <w:p w:rsidR="00537416" w:rsidRDefault="001B1304">
          <w:pPr>
            <w:pStyle w:val="AE28A5B6EEDC4370B2375673484A8912"/>
          </w:pPr>
          <w:r>
            <w:t xml:space="preserve"> </w:t>
          </w:r>
        </w:p>
      </w:docPartBody>
    </w:docPart>
    <w:docPart>
      <w:docPartPr>
        <w:name w:val="AD5D391FBCB446CC971B2D1D0317D9DB"/>
        <w:category>
          <w:name w:val="General"/>
          <w:gallery w:val="placeholder"/>
        </w:category>
        <w:types>
          <w:type w:val="bbPlcHdr"/>
        </w:types>
        <w:behaviors>
          <w:behavior w:val="content"/>
        </w:behaviors>
        <w:guid w:val="{9E820DAD-FA57-400B-8220-694E3E4A12BB}"/>
      </w:docPartPr>
      <w:docPartBody>
        <w:p w:rsidR="00537416" w:rsidRDefault="001B1304">
          <w:pPr>
            <w:pStyle w:val="AD5D391FBCB446CC971B2D1D0317D9DB"/>
          </w:pPr>
          <w:r>
            <w:t xml:space="preserve"> </w:t>
          </w:r>
        </w:p>
      </w:docPartBody>
    </w:docPart>
    <w:docPart>
      <w:docPartPr>
        <w:name w:val="79747C37D54E4127AB2E88BDA39FF406"/>
        <w:category>
          <w:name w:val="General"/>
          <w:gallery w:val="placeholder"/>
        </w:category>
        <w:types>
          <w:type w:val="bbPlcHdr"/>
        </w:types>
        <w:behaviors>
          <w:behavior w:val="content"/>
        </w:behaviors>
        <w:guid w:val="{19E0E50F-FCC5-4939-BD0D-3DBB24471FE1}"/>
      </w:docPartPr>
      <w:docPartBody>
        <w:p w:rsidR="00537416" w:rsidRDefault="001B1304">
          <w:pPr>
            <w:pStyle w:val="79747C37D54E4127AB2E88BDA39FF406"/>
          </w:pPr>
          <w:r>
            <w:t xml:space="preserve"> </w:t>
          </w:r>
        </w:p>
      </w:docPartBody>
    </w:docPart>
    <w:docPart>
      <w:docPartPr>
        <w:name w:val="E6725D2AB4664F7AAC04EBAAACA11746"/>
        <w:category>
          <w:name w:val="General"/>
          <w:gallery w:val="placeholder"/>
        </w:category>
        <w:types>
          <w:type w:val="bbPlcHdr"/>
        </w:types>
        <w:behaviors>
          <w:behavior w:val="content"/>
        </w:behaviors>
        <w:guid w:val="{6B408BEC-8D86-4C87-B669-7DAADEC67D0C}"/>
      </w:docPartPr>
      <w:docPartBody>
        <w:p w:rsidR="00537416" w:rsidRDefault="001B1304">
          <w:pPr>
            <w:pStyle w:val="E6725D2AB4664F7AAC04EBAAACA11746"/>
          </w:pPr>
          <w:r>
            <w:t xml:space="preserve"> </w:t>
          </w:r>
        </w:p>
      </w:docPartBody>
    </w:docPart>
    <w:docPart>
      <w:docPartPr>
        <w:name w:val="D44B8B52F5D34750B047ABC3C0D5B083"/>
        <w:category>
          <w:name w:val="General"/>
          <w:gallery w:val="placeholder"/>
        </w:category>
        <w:types>
          <w:type w:val="bbPlcHdr"/>
        </w:types>
        <w:behaviors>
          <w:behavior w:val="content"/>
        </w:behaviors>
        <w:guid w:val="{CA4345DA-0C81-4914-889F-CE82807A4400}"/>
      </w:docPartPr>
      <w:docPartBody>
        <w:p w:rsidR="00537416" w:rsidRDefault="001B1304">
          <w:pPr>
            <w:pStyle w:val="D44B8B52F5D34750B047ABC3C0D5B083"/>
          </w:pPr>
          <w:r>
            <w:t xml:space="preserve"> </w:t>
          </w:r>
        </w:p>
      </w:docPartBody>
    </w:docPart>
    <w:docPart>
      <w:docPartPr>
        <w:name w:val="85404C5E2B3E4A91B154836B58292D8B"/>
        <w:category>
          <w:name w:val="General"/>
          <w:gallery w:val="placeholder"/>
        </w:category>
        <w:types>
          <w:type w:val="bbPlcHdr"/>
        </w:types>
        <w:behaviors>
          <w:behavior w:val="content"/>
        </w:behaviors>
        <w:guid w:val="{1014F116-611E-4793-95BB-3776B2E1A922}"/>
      </w:docPartPr>
      <w:docPartBody>
        <w:p w:rsidR="00537416" w:rsidRDefault="001B1304">
          <w:pPr>
            <w:pStyle w:val="85404C5E2B3E4A91B154836B58292D8B"/>
          </w:pPr>
          <w:r>
            <w:t xml:space="preserve"> </w:t>
          </w:r>
        </w:p>
      </w:docPartBody>
    </w:docPart>
    <w:docPart>
      <w:docPartPr>
        <w:name w:val="0FACA56A6925496A8E1564B10849061C"/>
        <w:category>
          <w:name w:val="General"/>
          <w:gallery w:val="placeholder"/>
        </w:category>
        <w:types>
          <w:type w:val="bbPlcHdr"/>
        </w:types>
        <w:behaviors>
          <w:behavior w:val="content"/>
        </w:behaviors>
        <w:guid w:val="{15A5A11E-6DFC-466B-A17D-664146FAAB96}"/>
      </w:docPartPr>
      <w:docPartBody>
        <w:p w:rsidR="00537416" w:rsidRDefault="001B1304">
          <w:pPr>
            <w:pStyle w:val="0FACA56A6925496A8E1564B10849061C"/>
          </w:pPr>
          <w:r>
            <w:t xml:space="preserve"> </w:t>
          </w:r>
        </w:p>
      </w:docPartBody>
    </w:docPart>
    <w:docPart>
      <w:docPartPr>
        <w:name w:val="8CF6E21A32104900BA482DD55DD9A17C"/>
        <w:category>
          <w:name w:val="General"/>
          <w:gallery w:val="placeholder"/>
        </w:category>
        <w:types>
          <w:type w:val="bbPlcHdr"/>
        </w:types>
        <w:behaviors>
          <w:behavior w:val="content"/>
        </w:behaviors>
        <w:guid w:val="{1A2291FF-137E-42DC-8318-A4F49EDC9147}"/>
      </w:docPartPr>
      <w:docPartBody>
        <w:p w:rsidR="00537416" w:rsidRDefault="001B1304">
          <w:pPr>
            <w:pStyle w:val="8CF6E21A32104900BA482DD55DD9A17C"/>
          </w:pPr>
          <w:r w:rsidRPr="00A300ED">
            <w:rPr>
              <w:rStyle w:val="PlaceholderText"/>
            </w:rPr>
            <w:t>.</w:t>
          </w:r>
        </w:p>
      </w:docPartBody>
    </w:docPart>
    <w:docPart>
      <w:docPartPr>
        <w:name w:val="3261C49529A54C17A43BA115A11E17A6"/>
        <w:category>
          <w:name w:val="General"/>
          <w:gallery w:val="placeholder"/>
        </w:category>
        <w:types>
          <w:type w:val="bbPlcHdr"/>
        </w:types>
        <w:behaviors>
          <w:behavior w:val="content"/>
        </w:behaviors>
        <w:guid w:val="{025FE30B-DFA5-4A01-8AD4-94018CD0423F}"/>
      </w:docPartPr>
      <w:docPartBody>
        <w:p w:rsidR="00537416" w:rsidRDefault="001B1304">
          <w:pPr>
            <w:pStyle w:val="3261C49529A54C17A43BA115A11E17A6"/>
          </w:pPr>
          <w:r w:rsidRPr="003D1683">
            <w:t xml:space="preserve"> </w:t>
          </w:r>
        </w:p>
      </w:docPartBody>
    </w:docPart>
    <w:docPart>
      <w:docPartPr>
        <w:name w:val="E482C26558BC459B92EB64738DA86EB1"/>
        <w:category>
          <w:name w:val="General"/>
          <w:gallery w:val="placeholder"/>
        </w:category>
        <w:types>
          <w:type w:val="bbPlcHdr"/>
        </w:types>
        <w:behaviors>
          <w:behavior w:val="content"/>
        </w:behaviors>
        <w:guid w:val="{09C5816F-5D53-4533-B1C7-56B2DAD7D554}"/>
      </w:docPartPr>
      <w:docPartBody>
        <w:p w:rsidR="00537416" w:rsidRDefault="001B1304">
          <w:pPr>
            <w:pStyle w:val="E482C26558BC459B92EB64738DA86EB1"/>
          </w:pPr>
          <w:r>
            <w:t xml:space="preserve"> </w:t>
          </w:r>
        </w:p>
      </w:docPartBody>
    </w:docPart>
    <w:docPart>
      <w:docPartPr>
        <w:name w:val="8E0E9F813C514F888A3EF141F848A354"/>
        <w:category>
          <w:name w:val="General"/>
          <w:gallery w:val="placeholder"/>
        </w:category>
        <w:types>
          <w:type w:val="bbPlcHdr"/>
        </w:types>
        <w:behaviors>
          <w:behavior w:val="content"/>
        </w:behaviors>
        <w:guid w:val="{86FBC7C4-5617-4094-BF02-B6D7C8A7E332}"/>
      </w:docPartPr>
      <w:docPartBody>
        <w:p w:rsidR="00537416" w:rsidRDefault="001B1304">
          <w:pPr>
            <w:pStyle w:val="8E0E9F813C514F888A3EF141F848A354"/>
          </w:pPr>
          <w:r>
            <w:t xml:space="preserve"> </w:t>
          </w:r>
        </w:p>
      </w:docPartBody>
    </w:docPart>
    <w:docPart>
      <w:docPartPr>
        <w:name w:val="0979DA3905C54BF884BC57B78DC669EB"/>
        <w:category>
          <w:name w:val="General"/>
          <w:gallery w:val="placeholder"/>
        </w:category>
        <w:types>
          <w:type w:val="bbPlcHdr"/>
        </w:types>
        <w:behaviors>
          <w:behavior w:val="content"/>
        </w:behaviors>
        <w:guid w:val="{264E4F4B-BEFF-49FD-8D48-AA0A93341B09}"/>
      </w:docPartPr>
      <w:docPartBody>
        <w:p w:rsidR="00537416" w:rsidRDefault="001B1304">
          <w:pPr>
            <w:pStyle w:val="0979DA3905C54BF884BC57B78DC669EB"/>
          </w:pPr>
          <w:r>
            <w:t xml:space="preserve"> </w:t>
          </w:r>
        </w:p>
      </w:docPartBody>
    </w:docPart>
    <w:docPart>
      <w:docPartPr>
        <w:name w:val="43F9101506584601B3D976DCC83DAB4B"/>
        <w:category>
          <w:name w:val="General"/>
          <w:gallery w:val="placeholder"/>
        </w:category>
        <w:types>
          <w:type w:val="bbPlcHdr"/>
        </w:types>
        <w:behaviors>
          <w:behavior w:val="content"/>
        </w:behaviors>
        <w:guid w:val="{6DFF3E0B-9FAD-49D0-A4C6-6003612CE485}"/>
      </w:docPartPr>
      <w:docPartBody>
        <w:p w:rsidR="00537416" w:rsidRDefault="001B1304">
          <w:pPr>
            <w:pStyle w:val="43F9101506584601B3D976DCC83DAB4B"/>
          </w:pPr>
          <w:r>
            <w:t xml:space="preserve"> </w:t>
          </w:r>
        </w:p>
      </w:docPartBody>
    </w:docPart>
    <w:docPart>
      <w:docPartPr>
        <w:name w:val="3FEAD7835E614D82B01755F4DE13F8F6"/>
        <w:category>
          <w:name w:val="General"/>
          <w:gallery w:val="placeholder"/>
        </w:category>
        <w:types>
          <w:type w:val="bbPlcHdr"/>
        </w:types>
        <w:behaviors>
          <w:behavior w:val="content"/>
        </w:behaviors>
        <w:guid w:val="{4C1952C8-242B-438E-A5D1-BD3EC1E6E5B9}"/>
      </w:docPartPr>
      <w:docPartBody>
        <w:p w:rsidR="00537416" w:rsidRDefault="001B1304">
          <w:pPr>
            <w:pStyle w:val="3FEAD7835E614D82B01755F4DE13F8F6"/>
          </w:pPr>
          <w:r>
            <w:t xml:space="preserve"> </w:t>
          </w:r>
        </w:p>
      </w:docPartBody>
    </w:docPart>
    <w:docPart>
      <w:docPartPr>
        <w:name w:val="A927F174F48C41D4B2354C4C3F5A7753"/>
        <w:category>
          <w:name w:val="General"/>
          <w:gallery w:val="placeholder"/>
        </w:category>
        <w:types>
          <w:type w:val="bbPlcHdr"/>
        </w:types>
        <w:behaviors>
          <w:behavior w:val="content"/>
        </w:behaviors>
        <w:guid w:val="{FDD848B9-775F-408A-915C-F9AEF36F003D}"/>
      </w:docPartPr>
      <w:docPartBody>
        <w:p w:rsidR="00537416" w:rsidRDefault="001B1304">
          <w:pPr>
            <w:pStyle w:val="A927F174F48C41D4B2354C4C3F5A7753"/>
          </w:pPr>
          <w:r>
            <w:t xml:space="preserve"> </w:t>
          </w:r>
        </w:p>
      </w:docPartBody>
    </w:docPart>
    <w:docPart>
      <w:docPartPr>
        <w:name w:val="AFE8D54307344956B9BE3CE4F382E791"/>
        <w:category>
          <w:name w:val="General"/>
          <w:gallery w:val="placeholder"/>
        </w:category>
        <w:types>
          <w:type w:val="bbPlcHdr"/>
        </w:types>
        <w:behaviors>
          <w:behavior w:val="content"/>
        </w:behaviors>
        <w:guid w:val="{F841B001-0EF6-4C05-988C-CBDD25FF67E1}"/>
      </w:docPartPr>
      <w:docPartBody>
        <w:p w:rsidR="00537416" w:rsidRDefault="001B1304">
          <w:pPr>
            <w:pStyle w:val="AFE8D54307344956B9BE3CE4F382E791"/>
          </w:pPr>
          <w:r>
            <w:t xml:space="preserve"> </w:t>
          </w:r>
        </w:p>
      </w:docPartBody>
    </w:docPart>
    <w:docPart>
      <w:docPartPr>
        <w:name w:val="577D17037B0D41A88EBF9F5D50900851"/>
        <w:category>
          <w:name w:val="General"/>
          <w:gallery w:val="placeholder"/>
        </w:category>
        <w:types>
          <w:type w:val="bbPlcHdr"/>
        </w:types>
        <w:behaviors>
          <w:behavior w:val="content"/>
        </w:behaviors>
        <w:guid w:val="{DC80CC0A-3279-4C93-A985-AD621745CD04}"/>
      </w:docPartPr>
      <w:docPartBody>
        <w:p w:rsidR="00537416" w:rsidRDefault="001B1304">
          <w:pPr>
            <w:pStyle w:val="577D17037B0D41A88EBF9F5D50900851"/>
          </w:pPr>
          <w:r>
            <w:t xml:space="preserve"> </w:t>
          </w:r>
        </w:p>
      </w:docPartBody>
    </w:docPart>
    <w:docPart>
      <w:docPartPr>
        <w:name w:val="0D150B4549C84338A26747C3CD889740"/>
        <w:category>
          <w:name w:val="General"/>
          <w:gallery w:val="placeholder"/>
        </w:category>
        <w:types>
          <w:type w:val="bbPlcHdr"/>
        </w:types>
        <w:behaviors>
          <w:behavior w:val="content"/>
        </w:behaviors>
        <w:guid w:val="{F7627136-5A41-40C1-92F0-C1AE4D57A97C}"/>
      </w:docPartPr>
      <w:docPartBody>
        <w:p w:rsidR="00537416" w:rsidRDefault="001B1304">
          <w:pPr>
            <w:pStyle w:val="0D150B4549C84338A26747C3CD889740"/>
          </w:pPr>
          <w:r w:rsidRPr="00A300ED">
            <w:rPr>
              <w:rStyle w:val="PlaceholderText"/>
            </w:rPr>
            <w:t>.</w:t>
          </w:r>
        </w:p>
      </w:docPartBody>
    </w:docPart>
    <w:docPart>
      <w:docPartPr>
        <w:name w:val="93D6837ECCF04D9AB7BDA3FAA45931F4"/>
        <w:category>
          <w:name w:val="General"/>
          <w:gallery w:val="placeholder"/>
        </w:category>
        <w:types>
          <w:type w:val="bbPlcHdr"/>
        </w:types>
        <w:behaviors>
          <w:behavior w:val="content"/>
        </w:behaviors>
        <w:guid w:val="{4686FF55-6ADF-4D0A-8A9C-6FD51A68B2AD}"/>
      </w:docPartPr>
      <w:docPartBody>
        <w:p w:rsidR="009C1490" w:rsidRDefault="00537416">
          <w:r w:rsidRPr="00307805">
            <w:rPr>
              <w:rStyle w:val="PlaceholderText"/>
            </w:rPr>
            <w:t xml:space="preserve"> </w:t>
          </w:r>
        </w:p>
      </w:docPartBody>
    </w:docPart>
    <w:docPart>
      <w:docPartPr>
        <w:name w:val="07E437D203734D9293D166D145E9C33B"/>
        <w:category>
          <w:name w:val="General"/>
          <w:gallery w:val="placeholder"/>
        </w:category>
        <w:types>
          <w:type w:val="bbPlcHdr"/>
        </w:types>
        <w:behaviors>
          <w:behavior w:val="content"/>
        </w:behaviors>
        <w:guid w:val="{67D5407A-FEB3-40FB-BBA3-9B2DCE72533C}"/>
      </w:docPartPr>
      <w:docPartBody>
        <w:p w:rsidR="009C1490" w:rsidRDefault="00537416">
          <w:r w:rsidRPr="00307805">
            <w:rPr>
              <w:rStyle w:val="PlaceholderText"/>
            </w:rPr>
            <w:t xml:space="preserve"> </w:t>
          </w:r>
        </w:p>
      </w:docPartBody>
    </w:docPart>
    <w:docPart>
      <w:docPartPr>
        <w:name w:val="920991F6FA284F349AD6EDCC60CA8E12"/>
        <w:category>
          <w:name w:val="General"/>
          <w:gallery w:val="placeholder"/>
        </w:category>
        <w:types>
          <w:type w:val="bbPlcHdr"/>
        </w:types>
        <w:behaviors>
          <w:behavior w:val="content"/>
        </w:behaviors>
        <w:guid w:val="{A9C454FC-F746-435D-AAFD-B638310A3601}"/>
      </w:docPartPr>
      <w:docPartBody>
        <w:p w:rsidR="009C1490" w:rsidRDefault="00537416">
          <w:r w:rsidRPr="00307805">
            <w:rPr>
              <w:rStyle w:val="PlaceholderText"/>
            </w:rPr>
            <w:t xml:space="preserve"> </w:t>
          </w:r>
        </w:p>
      </w:docPartBody>
    </w:docPart>
    <w:docPart>
      <w:docPartPr>
        <w:name w:val="C84E10C73FF34A6682AE121C87D73360"/>
        <w:category>
          <w:name w:val="General"/>
          <w:gallery w:val="placeholder"/>
        </w:category>
        <w:types>
          <w:type w:val="bbPlcHdr"/>
        </w:types>
        <w:behaviors>
          <w:behavior w:val="content"/>
        </w:behaviors>
        <w:guid w:val="{0E6EE677-5D71-444A-AB97-005100FB7DCE}"/>
      </w:docPartPr>
      <w:docPartBody>
        <w:p w:rsidR="00000000" w:rsidRDefault="00160D6D">
          <w:r w:rsidRPr="00F5683C">
            <w:rPr>
              <w:rStyle w:val="PlaceholderText"/>
            </w:rPr>
            <w:t xml:space="preserve"> </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Bookdings">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PGothic">
    <w:panose1 w:val="020B0600070205080204"/>
    <w:charset w:val="80"/>
    <w:family w:val="swiss"/>
    <w:pitch w:val="variable"/>
    <w:sig w:usb0="E00002FF" w:usb1="6AC7FDFB" w:usb2="00000012" w:usb3="00000000" w:csb0="0002009F" w:csb1="00000000"/>
  </w:font>
  <w:font w:name="Arial Bold">
    <w:panose1 w:val="020B0704020202020204"/>
    <w:charset w:val="00"/>
    <w:family w:val="roman"/>
    <w:notTrueType/>
    <w:pitch w:val="default"/>
    <w:sig w:usb0="00000000" w:usb1="00000000" w:usb2="00000000" w:usb3="00000000" w:csb0="00000000" w:csb1="00000000"/>
  </w:font>
  <w:font w:name="Times">
    <w:panose1 w:val="02020603060405020304"/>
    <w:charset w:val="00"/>
    <w:family w:val="roman"/>
    <w:pitch w:val="variable"/>
    <w:sig w:usb0="20002A87" w:usb1="00000000" w:usb2="00000000"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B1304"/>
    <w:rsid w:val="00160D6D"/>
    <w:rsid w:val="001B1304"/>
    <w:rsid w:val="00537416"/>
    <w:rsid w:val="00924F29"/>
    <w:rsid w:val="009C14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741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5F5231F26049F29E262A5E94A37EDB">
    <w:name w:val="B65F5231F26049F29E262A5E94A37EDB"/>
    <w:rsid w:val="00537416"/>
  </w:style>
  <w:style w:type="paragraph" w:customStyle="1" w:styleId="613CA552E72048A88BE2BDF65EAF903D">
    <w:name w:val="613CA552E72048A88BE2BDF65EAF903D"/>
    <w:rsid w:val="00537416"/>
  </w:style>
  <w:style w:type="character" w:styleId="PlaceholderText">
    <w:name w:val="Placeholder Text"/>
    <w:basedOn w:val="DefaultParagraphFont"/>
    <w:uiPriority w:val="99"/>
    <w:semiHidden/>
    <w:rsid w:val="00160D6D"/>
    <w:rPr>
      <w:color w:val="808080"/>
    </w:rPr>
  </w:style>
  <w:style w:type="paragraph" w:customStyle="1" w:styleId="8DAFC432E43A4A23BF678D5E902935BB">
    <w:name w:val="8DAFC432E43A4A23BF678D5E902935BB"/>
    <w:rsid w:val="00537416"/>
  </w:style>
  <w:style w:type="paragraph" w:customStyle="1" w:styleId="6F88587EBBA54743BFAF45CB9E37DAC6">
    <w:name w:val="6F88587EBBA54743BFAF45CB9E37DAC6"/>
    <w:rsid w:val="00537416"/>
  </w:style>
  <w:style w:type="paragraph" w:customStyle="1" w:styleId="C462568603714FC8A8F080CA270D45C2">
    <w:name w:val="C462568603714FC8A8F080CA270D45C2"/>
    <w:rsid w:val="00537416"/>
  </w:style>
  <w:style w:type="paragraph" w:customStyle="1" w:styleId="6E903EEEF85B4002BC080ED4EF61CBDB">
    <w:name w:val="6E903EEEF85B4002BC080ED4EF61CBDB"/>
    <w:rsid w:val="00537416"/>
  </w:style>
  <w:style w:type="paragraph" w:customStyle="1" w:styleId="9A5A895754094948A68B1D82DBBDC337">
    <w:name w:val="9A5A895754094948A68B1D82DBBDC337"/>
    <w:rsid w:val="00537416"/>
  </w:style>
  <w:style w:type="paragraph" w:customStyle="1" w:styleId="57ED2E507D4C47DF9D466D28A9C00E35">
    <w:name w:val="57ED2E507D4C47DF9D466D28A9C00E35"/>
    <w:rsid w:val="00537416"/>
  </w:style>
  <w:style w:type="paragraph" w:customStyle="1" w:styleId="F3DAE0B93CF74A1D9D04EB3DB3DDDC0D">
    <w:name w:val="F3DAE0B93CF74A1D9D04EB3DB3DDDC0D"/>
    <w:rsid w:val="00537416"/>
  </w:style>
  <w:style w:type="paragraph" w:customStyle="1" w:styleId="416DE2BF4DBD465C8AB84FA091B68215">
    <w:name w:val="416DE2BF4DBD465C8AB84FA091B68215"/>
    <w:rsid w:val="00537416"/>
  </w:style>
  <w:style w:type="paragraph" w:customStyle="1" w:styleId="F16F5BB5BB9640D3897876109BE34250">
    <w:name w:val="F16F5BB5BB9640D3897876109BE34250"/>
    <w:rsid w:val="00537416"/>
  </w:style>
  <w:style w:type="paragraph" w:customStyle="1" w:styleId="174F11EC2C614433BDA6596B8E6BCD19">
    <w:name w:val="174F11EC2C614433BDA6596B8E6BCD19"/>
    <w:rsid w:val="00537416"/>
  </w:style>
  <w:style w:type="paragraph" w:customStyle="1" w:styleId="36C6C8C776144FFBA905F0FE7698B2DC">
    <w:name w:val="36C6C8C776144FFBA905F0FE7698B2DC"/>
    <w:rsid w:val="00537416"/>
  </w:style>
  <w:style w:type="paragraph" w:customStyle="1" w:styleId="AE28A5B6EEDC4370B2375673484A8912">
    <w:name w:val="AE28A5B6EEDC4370B2375673484A8912"/>
    <w:rsid w:val="00537416"/>
  </w:style>
  <w:style w:type="paragraph" w:customStyle="1" w:styleId="AD5D391FBCB446CC971B2D1D0317D9DB">
    <w:name w:val="AD5D391FBCB446CC971B2D1D0317D9DB"/>
    <w:rsid w:val="00537416"/>
  </w:style>
  <w:style w:type="paragraph" w:customStyle="1" w:styleId="79747C37D54E4127AB2E88BDA39FF406">
    <w:name w:val="79747C37D54E4127AB2E88BDA39FF406"/>
    <w:rsid w:val="00537416"/>
  </w:style>
  <w:style w:type="paragraph" w:customStyle="1" w:styleId="E6725D2AB4664F7AAC04EBAAACA11746">
    <w:name w:val="E6725D2AB4664F7AAC04EBAAACA11746"/>
    <w:rsid w:val="00537416"/>
  </w:style>
  <w:style w:type="paragraph" w:customStyle="1" w:styleId="D44B8B52F5D34750B047ABC3C0D5B083">
    <w:name w:val="D44B8B52F5D34750B047ABC3C0D5B083"/>
    <w:rsid w:val="00537416"/>
  </w:style>
  <w:style w:type="paragraph" w:customStyle="1" w:styleId="85404C5E2B3E4A91B154836B58292D8B">
    <w:name w:val="85404C5E2B3E4A91B154836B58292D8B"/>
    <w:rsid w:val="00537416"/>
  </w:style>
  <w:style w:type="paragraph" w:customStyle="1" w:styleId="0FACA56A6925496A8E1564B10849061C">
    <w:name w:val="0FACA56A6925496A8E1564B10849061C"/>
    <w:rsid w:val="00537416"/>
  </w:style>
  <w:style w:type="paragraph" w:customStyle="1" w:styleId="8CF6E21A32104900BA482DD55DD9A17C">
    <w:name w:val="8CF6E21A32104900BA482DD55DD9A17C"/>
    <w:rsid w:val="00537416"/>
  </w:style>
  <w:style w:type="paragraph" w:customStyle="1" w:styleId="3261C49529A54C17A43BA115A11E17A6">
    <w:name w:val="3261C49529A54C17A43BA115A11E17A6"/>
    <w:rsid w:val="00537416"/>
  </w:style>
  <w:style w:type="paragraph" w:customStyle="1" w:styleId="E482C26558BC459B92EB64738DA86EB1">
    <w:name w:val="E482C26558BC459B92EB64738DA86EB1"/>
    <w:rsid w:val="00537416"/>
  </w:style>
  <w:style w:type="paragraph" w:customStyle="1" w:styleId="8E0E9F813C514F888A3EF141F848A354">
    <w:name w:val="8E0E9F813C514F888A3EF141F848A354"/>
    <w:rsid w:val="00537416"/>
  </w:style>
  <w:style w:type="paragraph" w:customStyle="1" w:styleId="0979DA3905C54BF884BC57B78DC669EB">
    <w:name w:val="0979DA3905C54BF884BC57B78DC669EB"/>
    <w:rsid w:val="00537416"/>
  </w:style>
  <w:style w:type="paragraph" w:customStyle="1" w:styleId="43F9101506584601B3D976DCC83DAB4B">
    <w:name w:val="43F9101506584601B3D976DCC83DAB4B"/>
    <w:rsid w:val="00537416"/>
  </w:style>
  <w:style w:type="paragraph" w:customStyle="1" w:styleId="3FEAD7835E614D82B01755F4DE13F8F6">
    <w:name w:val="3FEAD7835E614D82B01755F4DE13F8F6"/>
    <w:rsid w:val="00537416"/>
  </w:style>
  <w:style w:type="paragraph" w:customStyle="1" w:styleId="A927F174F48C41D4B2354C4C3F5A7753">
    <w:name w:val="A927F174F48C41D4B2354C4C3F5A7753"/>
    <w:rsid w:val="00537416"/>
  </w:style>
  <w:style w:type="paragraph" w:customStyle="1" w:styleId="AFE8D54307344956B9BE3CE4F382E791">
    <w:name w:val="AFE8D54307344956B9BE3CE4F382E791"/>
    <w:rsid w:val="00537416"/>
  </w:style>
  <w:style w:type="paragraph" w:customStyle="1" w:styleId="577D17037B0D41A88EBF9F5D50900851">
    <w:name w:val="577D17037B0D41A88EBF9F5D50900851"/>
    <w:rsid w:val="00537416"/>
  </w:style>
  <w:style w:type="paragraph" w:customStyle="1" w:styleId="0D150B4549C84338A26747C3CD889740">
    <w:name w:val="0D150B4549C84338A26747C3CD889740"/>
    <w:rsid w:val="00537416"/>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item7.xml><?xml version="1.0" encoding="utf-8"?>
<DocumentState xmlns="http://www.w3.org/2001/XMLSchema-instance">
  <Application>MS Word</Application>
  <SourceSubmissionTool/>
  <ApprovedAttachment>False</ApprovedAttachment>
  <NonApprovedAttachment>False</NonApprovedAttachment>
  <BlastVoiceMail>False</BlastVoiceMail>
  <PrintResearch>False</PrintResearch>
  <ContentType>Note</ContentType>
  <TemplateType>EquityStrategyNote</TemplateType>
  <PublicNote>False</PublicNote>
  <InsertAllFinancialsFired>False</InsertAllFinancialsFired>
  <DocumentId>1433084</DocumentId>
  <DocumentVersion>4</DocumentVersion>
  <SendEmail>False</SendEmail>
  <EmailRequiresApproval>False</EmailRequiresApproval>
  <EmailDistributionOnly>False</EmailDistributionOnly>
  <GPSDistributable>True</GPSDistributable>
  <InternalOnly>False</InternalOnly>
  <Language>1-0</Language>
  <NumberOfPages>70</NumberOfPages>
  <ReleaseDate>2014-07-03T23:15:00+00:00</ReleaseDate>
  <OriginalCreateDatetime>2014-07-04T11:19:21+00:00</OriginalCreateDatetime>
  <OriginalAuthor>1002737-1</OriginalAuthor>
  <RetractionDate/>
  <ApproveRelease>false</ApproveRelease>
  <SendToCompliance>false</SendToCompliance>
  <WorkflowState>0</WorkflowState>
  <SAApprove>false</SAApprove>
  <SAReviewed>false</SAReviewed>
  <SubmissionTool>GPS Author</SubmissionTool>
  <SubmittingUser>1002519-1</SubmittingUser>
  <FirstSubmittingUser>1002737-1</FirstSubmittingUser>
  <Title>The Global SMid Radar</Title>
  <SubTitle>Q3 2014 Update</SubTitle>
  <Abstract>Our Global SMid Radar is a vehicle through which we consistently bring you our top ideas within the global universe of Small/Mid-Caps (mkt caps &lt; $5 Bill).  This long/short global model portfolio mixes our top-down strategic analysis with our bottom up stock selection. This quarter we are adding 4 new “Investment Opportunities” (see bullets below) and closing 4 (see Pg 4 for perf details) — Austal, Commercial Bank of Qatar, Multiplus and Yanbu Cement.
In order to align our incentives with those of our clients (and as we’ve been doing for the last 6 yrs in our European SMid Radar, launched in Feb 2008), we run this model portfolio in as realistic a way as possible, following a pre-defined methodology with regards to portfolio composition, risk mgmt, &amp; perf. analysis (please see Pg 2 for a detailed description of our investment methodology).  
4 additions to the “Investment Opportunities” section of our Global Radar:
</Abstract>
  <Filename>Global_Radar_-_3Q14_Update[1][1][1].docx</Filename>
  <Branding>JPMorgan</Branding>
  <Focus>16-0</Focus>
  <Periodicity/>
  <Publication/>
  <BusinessGroupDocument>8-0</BusinessGroupDocument>
  <BusinessGroupAlias/>
  <WorkflowRegion>1-0</WorkflowRegion>
  <AnalystRegion>9-0</AnalystRegion>
  <GPSDraftMark>
    <GPSDraftMarkType>None</GPSDraftMarkType>
    <WaterMark/>
    <Dirty>False</Dirty>
  </GPSDraftMark>
  <AnalystDisplayMode>Group</AnalystDisplayMode>
  <ShowAnalystSelected>True</ShowAnalystSelected>
  <DocumentTitleReadOnly>False</DocumentTitleReadOnly>
  <SummaryStripInserted>False</SummaryStripInserted>
  <SummaryStripRemovedBySA>False</SummaryStripRemovedBySA>
  <SummaryStripMarketCapUnits>Millions</SummaryStripMarketCapUnits>
  <ShowSummaryStripOnSecondPage>False</ShowSummaryStripOnSecondPage>
  <ShowSummaryStrip>True</ShowSummaryStrip>
  <SummaryStripNeedsUpdating>False</SummaryStripNeedsUpdating>
  <SummaryStrip>
    <WordMLSummaryStrip/>
    <FootNote/>
    <ShowPriceInfo>True</ShowPriceInfo>
  </SummaryStrip>
  <FinancialLayoutType>NotApplicable</FinancialLayoutType>
  <VAndRLayoutType>NotApplicable</VAndRLayoutType>
  <CompanyPageFixedLayoutType>NotApplicable</CompanyPageFixedLayoutType>
  <GroupNameRenderOnInsideCPLs>False</GroupNameRenderOnInsideCPLs>
  <Companies>
    <Company>
      <Key>503088-4</Key>
      <Cover>nonsubject</Cover>
      <Tagging>Dynamic</Tagging>
      <Tpr>503088-4</Tpr>
      <StockPrice>5.29</StockPrice>
      <PriceDate>2014-07-04 00:00</PriceDate>
      <EquityRating>38-0</EquityRating>
      <TprPriceFormat>#,###,##0.00</TprPriceFormat>
      <TprPriceSymbol>HK$</TprPriceSymbol>
      <TprPriceTarget>8.30</TprPriceTarget>
      <TprPriorRating>38-0</TprPriorRating>
      <TprPricePrefix>True</TprPricePrefix>
      <TprPriceTargetAction/>
      <TprRatingChangeAction/>
      <TprPriorPriceTarget>8.30</TprPriorPriceTarget>
      <TprMarketCap>22,910</TprMarketCap>
      <TprPriceTargetEndDate>2014-12-31 00:00</TprPriceTargetEndDate>
      <TprPriorPriceTargetEndDate>2014-12-31 00:00</TprPriorPriceTargetEndDate>
      <TprFlag>True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1000751-1</Key>
      <Cover>nonsubject</Cover>
      <Tagging>Dynamic</Tagging>
      <Tpr>1000751-1</Tpr>
      <StockPrice>287</StockPrice>
      <PriceDate>2014-07-03 00:00</PriceDate>
      <EquityRating>38-0</EquityRating>
      <TprPriceFormat>#,###,##0</TprPriceFormat>
      <TprPriceSymbol>p</TprPriceSymbol>
      <TprPriceTarget>311</TprPriceTarget>
      <TprPriorRating>38-0</TprPriorRating>
      <TprPricePrefix>False</TprPricePrefix>
      <TprPriceTargetAction>Decrease</TprPriceTargetAction>
      <TprRatingChangeAction/>
      <TprPriorPriceTarget>340</TprPriorPriceTarget>
      <TprMarketCap>762.80</TprMarketCap>
      <TprPriceTargetEndDate>2015-12-31 00:00</TprPriceTargetEndDate>
      <TprPriorPriceTargetEndDate>2015-03-31 00:00</TprPriorPriceTargetEndDate>
      <TprFlag>True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150729-2</Key>
      <Cover>nonsubject</Cover>
      <Tagging>Dynamic</Tagging>
      <Tpr>150729-2</Tpr>
      <StockPrice>17.56</StockPrice>
      <PriceDate>2014-07-03 00:00</PriceDate>
      <EquityRating>38-0</EquityRating>
      <TprPriceFormat>#,###,##0.00</TprPriceFormat>
      <TprPriceSymbol>$</TprPriceSymbol>
      <TprPriceTarget>18.00</TprPriceTarget>
      <TprPriorRating>38-0</TprPriorRating>
      <TprPricePrefix>True</TprPricePrefix>
      <TprPriceTargetAction/>
      <TprRatingChangeAction/>
      <TprPriorPriceTarget>18.00</TprPriorPriceTarget>
      <TprMarketCap>5,286.16</TprMarketCap>
      <TprPriceTargetEndDate>2014-12-31 00:00</TprPriceTargetEndDate>
      <TprPriorPriceTargetEndDate>2014-12-31 00:00</TprPriorPriceTargetEndDate>
      <TprFlag>True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1003584-1</Key>
      <Cover>nonsubject</Cover>
      <Tagging>Dynamic</Tagging>
      <Tpr>1003584-1</Tpr>
      <StockPrice>297</StockPrice>
      <PriceDate>2014-07-03 00:00</PriceDate>
      <EquityRating>38-0</EquityRating>
      <TprPriceFormat>#,###,##0</TprPriceFormat>
      <TprPriceSymbol>p</TprPriceSymbol>
      <TprPriceTarget>350</TprPriceTarget>
      <TprPriorRating>38-0</TprPriorRating>
      <TprPricePrefix>False</TprPricePrefix>
      <TprPriceTargetAction/>
      <TprRatingChangeAction/>
      <TprPriorPriceTarget>350</TprPriorPriceTarget>
      <TprMarketCap>0.36</TprMarketCap>
      <TprPriceTargetEndDate>2015-06-30 00:00</TprPriceTargetEndDate>
      <TprPriorPriceTargetEndDate>2015-06-30 00:00</TprPriorPriceTargetEndDate>
      <TprFlag>True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1001786-1</Key>
      <Cover>nonsubject</Cover>
      <Tagging>Dynamic</Tagging>
      <Tpr>1001786-1</Tpr>
      <StockPrice>346</StockPrice>
      <PriceDate>2014-07-03 00:00</PriceDate>
      <EquityRating>38-0</EquityRating>
      <TprPriceFormat>#,###,##0</TprPriceFormat>
      <TprPriceSymbol>p</TprPriceSymbol>
      <TprPriceTarget>400</TprPriceTarget>
      <TprPriorRating>38-0</TprPriorRating>
      <TprPricePrefix>False</TprPricePrefix>
      <TprPriceTargetAction/>
      <TprRatingChangeAction/>
      <TprPriorPriceTarget>400</TprPriorPriceTarget>
      <TprMarketCap>911.85</TprMarketCap>
      <TprPriceTargetEndDate>2015-12-31 00:00</TprPriceTargetEndDate>
      <TprPriorPriceTargetEndDate>2015-12-31 00:00</TprPriorPriceTargetEndDate>
      <TprFlag>True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1007647-4</Key>
      <Cover>nonsubject</Cover>
      <Tagging>Dynamic</Tagging>
      <Tpr>1007647-4</Tpr>
      <StockPrice>1.00</StockPrice>
      <PriceDate>2014-07-04 00:00</PriceDate>
      <EquityRating>38-0</EquityRating>
      <TprPriceFormat>#,###,##0.00</TprPriceFormat>
      <TprPriceSymbol>A$</TprPriceSymbol>
      <TprPriceTarget>1.17</TprPriceTarget>
      <TprPriorRating>38-0</TprPriorRating>
      <TprPricePrefix>True</TprPricePrefix>
      <TprPriceTargetAction/>
      <TprRatingChangeAction/>
      <TprPriorPriceTarget>1.17</TprPriorPriceTarget>
      <TprMarketCap>278.16</TprMarketCap>
      <TprPriceTargetEndDate>2015-06-30 00:00</TprPriceTargetEndDate>
      <TprPriorPriceTargetEndDate>2015-06-30 00:00</TprPriorPriceTargetEndDate>
      <TprFlag>True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1003090-1</Key>
      <Cover>nonsubject</Cover>
      <Tagging>Dynamic</Tagging>
      <Tpr>1003090-1</Tpr>
      <StockPrice>136</StockPrice>
      <PriceDate>2014-07-03 00:00</PriceDate>
      <EquityRating>38-0</EquityRating>
      <TprPriceFormat>#,###,##0</TprPriceFormat>
      <TprPriceSymbol>p</TprPriceSymbol>
      <TprPriceTarget>181</TprPriceTarget>
      <TprPriorRating>38-0</TprPriorRating>
      <TprPricePrefix>False</TprPricePrefix>
      <TprPriceTargetAction>Decrease</TprPriceTargetAction>
      <TprRatingChangeAction/>
      <TprPriorPriceTarget>185</TprPriorPriceTarget>
      <TprMarketCap>1.08</TprMarketCap>
      <TprPriceTargetEndDate>2015-06-30 00:00</TprPriceTargetEndDate>
      <TprPriorPriceTargetEndDate>2014-12-31 00:00</TprPriorPriceTargetEndDate>
      <TprFlag>True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1007846-2</Key>
      <Cover>nonsubject</Cover>
      <Tagging>Dynamic</Tagging>
      <Tpr>1007846-2</Tpr>
      <StockPrice>6.52</StockPrice>
      <PriceDate>2014-07-03 00:00</PriceDate>
      <EquityRating>38-0</EquityRating>
      <TprPriceFormat>#,###,##0.00</TprPriceFormat>
      <TprPriceSymbol>R$</TprPriceSymbol>
      <TprPriceTarget>10.00</TprPriceTarget>
      <TprPriorRating>38-0</TprPriorRating>
      <TprPricePrefix>True</TprPricePrefix>
      <TprPriceTargetAction/>
      <TprRatingChangeAction/>
      <TprPriorPriceTarget>10.00</TprPriorPriceTarget>
      <TprMarketCap>1,521.07</TprMarketCap>
      <TprPriceTargetEndDate>2014-12-31 00:00</TprPriceTargetEndDate>
      <TprPriorPriceTargetEndDate>2014-12-31 00:00</TprPriorPriceTargetEndDate>
      <TprFlag>True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486-1</Key>
      <Cover>nonsubject</Cover>
      <Tagging>Dynamic</Tagging>
      <Tpr>486-1</Tpr>
      <StockPrice>6.12</StockPrice>
      <PriceDate>2014-07-03 00:00</PriceDate>
      <EquityRating>39-0</EquityRating>
      <TprPriceFormat>#,###,##0.00</TprPriceFormat>
      <TprPriceSymbol>€</TprPriceSymbol>
      <TprPriceTarget>6.70</TprPriceTarget>
      <TprPriorRating>39-0</TprPriorRating>
      <TprPricePrefix>True</TprPricePrefix>
      <TprPriceTargetAction/>
      <TprRatingChangeAction/>
      <TprPriorPriceTarget>6.70</TprPriorPriceTarget>
      <TprMarketCap>2.32</TprMarketCap>
      <TprPriceTargetEndDate>2015-06-30 00:00</TprPriceTargetEndDate>
      <TprPriorPriceTargetEndDate>2015-06-30 00:00</TprPriorPriceTargetEndDate>
      <TprFlag>True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1001782-1</Key>
      <Cover>nonsubject</Cover>
      <Tagging>Dynamic</Tagging>
      <Tpr>1001782-1</Tpr>
      <StockPrice>169</StockPrice>
      <PriceDate>2014-07-03 00:00</PriceDate>
      <EquityRating>38-0</EquityRating>
      <TprPriceFormat>#,###,##0</TprPriceFormat>
      <TprPriceSymbol>p</TprPriceSymbol>
      <TprPriceTarget>200</TprPriceTarget>
      <TprPriorRating>38-0</TprPriorRating>
      <TprPricePrefix>False</TprPricePrefix>
      <TprPriceTargetAction/>
      <TprRatingChangeAction/>
      <TprPriorPriceTarget>200</TprPriorPriceTarget>
      <TprMarketCap>233.17</TprMarketCap>
      <TprPriceTargetEndDate>2014-12-31 00:00</TprPriceTargetEndDate>
      <TprPriorPriceTargetEndDate>2014-12-31 00:00</TprPriorPriceTargetEndDate>
      <TprFlag>True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1003213-1</Key>
      <Cover>nonsubject</Cover>
      <Tagging>Dynamic</Tagging>
      <Tpr>1003213-1</Tpr>
      <StockPrice>412</StockPrice>
      <PriceDate>2014-07-03 00:00</PriceDate>
      <EquityRating>38-0</EquityRating>
      <TprPriceFormat>#,###,##0</TprPriceFormat>
      <TprPriceSymbol>p</TprPriceSymbol>
      <TprPriceTarget>474</TprPriceTarget>
      <TprPriorRating>38-0</TprPriorRating>
      <TprPricePrefix>False</TprPricePrefix>
      <TprPriceTargetAction/>
      <TprRatingChangeAction/>
      <TprPriorPriceTarget>474</TprPriorPriceTarget>
      <TprMarketCap>1.89</TprMarketCap>
      <TprPriceTargetEndDate>2014-12-31 00:00</TprPriceTargetEndDate>
      <TprPriorPriceTargetEndDate>2014-12-31 00:00</TprPriorPriceTargetEndDate>
      <TprFlag>True</TprFlag>
      <Important>Equity</Important>
      <Chart>False</Chart>
      <Disclosure>True</Disclosure>
      <IsSubject>False</IsSubject>
      <AVRSelected>False</AVRSelected>
      <Restricted>False</Restricted>
      <RestrictedLite>False</RestrictedLite>
      <Intraday>False</Intraday>
      <AflList>True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1000142-1</Key>
      <Cover>nonsubject</Cover>
      <Tagging>Dynamic</Tagging>
      <Tpr>1000142-1</Tpr>
      <StockPrice>14.94</StockPrice>
      <PriceDate>2014-07-03 00:00</PriceDate>
      <EquityRating>38-0</EquityRating>
      <TprPriceFormat>#,###,##0.00</TprPriceFormat>
      <TprPriceSymbol>€</TprPriceSymbol>
      <TprPriceTarget>21.40</TprPriceTarget>
      <TprPriorRating>38-0</TprPriorRating>
      <TprPricePrefix>True</TprPricePrefix>
      <TprPriceTargetAction/>
      <TprRatingChangeAction/>
      <TprPriorPriceTarget>21.40</TprPriorPriceTarget>
      <TprMarketCap>1.89</TprMarketCap>
      <TprPriceTargetEndDate>2014-12-31 00:00</TprPriceTargetEndDate>
      <TprPriorPriceTargetEndDate>2014-12-31 00:00</TprPriorPriceTargetEndDate>
      <TprFlag>True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503724-4</Key>
      <Cover>nonsubject</Cover>
      <Tagging>Dynamic</Tagging>
      <Tpr>503724-4</Tpr>
      <StockPrice>166.00</StockPrice>
      <PriceDate>2014-02-27 00:00</PriceDate>
      <EquityRating>5-0</EquityRating>
      <TprPriceFormat>#,###,##0.00</TprPriceFormat>
      <TprPriceSymbol>NT$</TprPriceSymbol>
      <TprPriceTarget>—</TprPriceTarget>
      <TprPriorRating>5-0</TprPriorRating>
      <TprPricePrefix>True</TprPricePrefix>
      <TprPriceTargetAction/>
      <TprRatingChangeAction/>
      <TprPriorPriceTarget>—</TprPriorPriceTarget>
      <TprMarketCap>28,022</TprMarketCap>
      <TprPriceTargetEndDate>0001-01-01 00:00</TprPriceTargetEndDate>
      <TprPriorPriceTargetEndDate>0001-01-01 00:00</TprPriorPriceTargetEndDate>
      <TprFlag>False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504385-4</Key>
      <Cover>nonsubject</Cover>
      <Tagging>Dynamic</Tagging>
      <Tpr>504385-4</Tpr>
      <StockPrice>2.48</StockPrice>
      <PriceDate>2014-07-04 00:00</PriceDate>
      <EquityRating>38-0</EquityRating>
      <TprPriceFormat>#,###,##0.00</TprPriceFormat>
      <TprPriceSymbol>M$</TprPriceSymbol>
      <TprPriceTarget>2.80</TprPriceTarget>
      <TprPriorRating>38-0</TprPriorRating>
      <TprPricePrefix>True</TprPricePrefix>
      <TprPriceTargetAction/>
      <TprRatingChangeAction/>
      <TprPriorPriceTarget>2.80</TprPriorPriceTarget>
      <TprMarketCap>2,690</TprMarketCap>
      <TprPriceTargetEndDate>2014-12-30 00:00</TprPriceTargetEndDate>
      <TprPriorPriceTargetEndDate>2014-12-30 00:00</TprPriorPriceTargetEndDate>
      <TprFlag>True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1000612-1</Key>
      <Cover>nonsubject</Cover>
      <Tagging>Dynamic</Tagging>
      <Tpr>1000612-1</Tpr>
      <StockPrice>3.20</StockPrice>
      <PriceDate>2012-06-27 00:00</PriceDate>
      <EquityRating>5-0</EquityRating>
      <TprPriceFormat>#,###,##0.00;(#,###,##0.00)</TprPriceFormat>
      <TprPriceSymbol>€</TprPriceSymbol>
      <TprPriceTarget>—</TprPriceTarget>
      <TprPriorRating>5-0</TprPriorRating>
      <TprPricePrefix>True</TprPricePrefix>
      <TprPriceTargetAction/>
      <TprRatingChangeAction/>
      <TprPriorPriceTarget>—</TprPriorPriceTarget>
      <TprMarketCap/>
      <TprPriceTargetEndDate>0001-01-01 00:00</TprPriceTargetEndDate>
      <TprPriorPriceTargetEndDate>2012-06-27 00:00</TprPriorPriceTargetEndDate>
      <TprFlag>False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503764-4</Key>
      <Cover>nonsubject</Cover>
      <Tagging>Dynamic</Tagging>
      <Tpr>503764-4</Tpr>
      <StockPrice>5230</StockPrice>
      <PriceDate>2014-07-04 00:00</PriceDate>
      <EquityRating>38-0</EquityRating>
      <TprPriceFormat>#,###,##0</TprPriceFormat>
      <TprPriceSymbol>¥</TprPriceSymbol>
      <TprPriceTarget>6,000</TprPriceTarget>
      <TprPriorRating>38-0</TprPriorRating>
      <TprPricePrefix>True</TprPricePrefix>
      <TprPriceTargetAction/>
      <TprRatingChangeAction/>
      <TprPriorPriceTarget>6,000</TprPriorPriceTarget>
      <TprMarketCap>229.77</TprMarketCap>
      <TprPriceTargetEndDate>2014-12-30 00:00</TprPriceTargetEndDate>
      <TprPriorPriceTargetEndDate>2014-12-30 00:00</TprPriorPriceTargetEndDate>
      <TprFlag>True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503235-4</Key>
      <Cover>nonsubject</Cover>
      <Tagging>Dynamic</Tagging>
      <Tpr>503235-4</Tpr>
      <StockPrice>148.0</StockPrice>
      <PriceDate>2014-07-04 00:00</PriceDate>
      <EquityRating>38-0</EquityRating>
      <TprPriceFormat>##0.0</TprPriceFormat>
      <TprPriceSymbol>NT$</TprPriceSymbol>
      <TprPriceTarget>180.0</TprPriceTarget>
      <TprPriorRating>38-0</TprPriorRating>
      <TprPricePrefix>True</TprPricePrefix>
      <TprPriceTargetAction/>
      <TprRatingChangeAction/>
      <TprPriorPriceTarget>180.0</TprPriorPriceTarget>
      <TprMarketCap>90,008</TprMarketCap>
      <TprPriceTargetEndDate>2014-12-31 00:00</TprPriceTargetEndDate>
      <TprPriorPriceTargetEndDate>2014-12-31 00:00</TprPriorPriceTargetEndDate>
      <TprFlag>True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1002642-1</Key>
      <Cover>nonsubject</Cover>
      <Tagging>Dynamic</Tagging>
      <Tpr>1002642-1</Tpr>
      <StockPrice>1.65</StockPrice>
      <PriceDate>2014-07-03 00:00</PriceDate>
      <EquityRating>38-0</EquityRating>
      <TprPriceFormat>#,###,##0.00</TprPriceFormat>
      <TprPriceSymbol>RO</TprPriceSymbol>
      <TprPriceTarget>1.77</TprPriceTarget>
      <TprPriorRating>38-0</TprPriorRating>
      <TprPricePrefix>True</TprPricePrefix>
      <TprPriceTargetAction/>
      <TprRatingChangeAction/>
      <TprPriorPriceTarget>1.77</TprPriorPriceTarget>
      <TprMarketCap>1.24</TprMarketCap>
      <TprPriceTargetEndDate>2014-12-31 00:00</TprPriceTargetEndDate>
      <TprPriorPriceTargetEndDate>2014-12-31 00:00</TprPriorPriceTargetEndDate>
      <TprFlag>True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1006771-1</Key>
      <Cover>nonsubject</Cover>
      <Tagging>Dynamic</Tagging>
      <Tpr>1006771-1</Tpr>
      <StockPrice>12.20</StockPrice>
      <PriceDate>2014-07-03 00:00</PriceDate>
      <EquityRating>38-0</EquityRating>
      <TprPriceFormat>#,###,##0.00</TprPriceFormat>
      <TprPriceSymbol>€</TprPriceSymbol>
      <TprPriceTarget>13.50</TprPriceTarget>
      <TprPriorRating>38-0</TprPriorRating>
      <TprPricePrefix>True</TprPricePrefix>
      <TprPriceTargetAction/>
      <TprRatingChangeAction/>
      <TprPriorPriceTarget>13.50</TprPriorPriceTarget>
      <TprMarketCap>5.80</TprMarketCap>
      <TprPriceTargetEndDate>2014-12-31 00:00</TprPriceTargetEndDate>
      <TprPriorPriceTargetEndDate>2014-12-31 00:00</TprPriorPriceTargetEndDate>
      <TprFlag>True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1000881-1</Key>
      <Cover>nonsubject</Cover>
      <Tagging>Dynamic</Tagging>
      <Tpr>1000881-1</Tpr>
      <StockPrice>5.38</StockPrice>
      <PriceDate>2014-07-03 00:00</PriceDate>
      <EquityRating>39-0</EquityRating>
      <TprPriceFormat>#,###,##0.00</TprPriceFormat>
      <TprPriceSymbol>€</TprPriceSymbol>
      <TprPriceTarget>4.31</TprPriceTarget>
      <TprPriorRating>39-0</TprPriorRating>
      <TprPricePrefix>True</TprPricePrefix>
      <TprPriceTargetAction/>
      <TprRatingChangeAction/>
      <TprPriorPriceTarget>4.31</TprPriorPriceTarget>
      <TprMarketCap>3,088.12</TprMarketCap>
      <TprPriceTargetEndDate>2014-12-31 00:00</TprPriceTargetEndDate>
      <TprPriorPriceTargetEndDate>2014-12-31 00:00</TprPriorPriceTargetEndDate>
      <TprFlag>True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1000699-1</Key>
      <Cover>nonsubject</Cover>
      <Tagging>Dynamic</Tagging>
      <Tpr>1000699-1</Tpr>
      <StockPrice>89</StockPrice>
      <PriceDate>2014-07-03 00:00</PriceDate>
      <EquityRating>38-0</EquityRating>
      <TprPriceFormat>#,###,##0</TprPriceFormat>
      <TprPriceSymbol>p</TprPriceSymbol>
      <TprPriceTarget>130</TprPriceTarget>
      <TprPriorRating>38-0</TprPriorRating>
      <TprPricePrefix>False</TprPricePrefix>
      <TprPriceTargetAction/>
      <TprRatingChangeAction/>
      <TprPriorPriceTarget>130</TprPriorPriceTarget>
      <TprMarketCap>0.46</TprMarketCap>
      <TprPriceTargetEndDate>2015-01-31 00:00</TprPriceTargetEndDate>
      <TprPriorPriceTargetEndDate>2015-01-31 00:00</TprPriorPriceTargetEndDate>
      <TprFlag>True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1002217-2</Key>
      <Cover>nonsubject</Cover>
      <Tagging>Dynamic</Tagging>
      <Tpr>1002217-2</Tpr>
      <StockPrice>92.68</StockPrice>
      <PriceDate>2014-07-03 00:00</PriceDate>
      <EquityRating>38-0</EquityRating>
      <TprPriceFormat>#,###,##0.00</TprPriceFormat>
      <TprPriceSymbol>$</TprPriceSymbol>
      <TprPriceTarget>98.00</TprPriceTarget>
      <TprPriorRating>38-0</TprPriorRating>
      <TprPricePrefix>True</TprPricePrefix>
      <TprPriceTargetAction/>
      <TprRatingChangeAction/>
      <TprPriorPriceTarget>98.00</TprPriorPriceTarget>
      <TprMarketCap>3,307.29</TprMarketCap>
      <TprPriceTargetEndDate>2014-12-31 00:00</TprPriceTargetEndDate>
      <TprPriorPriceTargetEndDate>2014-12-31 00:00</TprPriorPriceTargetEndDate>
      <TprFlag>True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503172-4</Key>
      <Cover>nonsubject</Cover>
      <Tagging>Dynamic</Tagging>
      <Tpr>503172-4</Tpr>
      <StockPrice>24.80</StockPrice>
      <PriceDate>2014-07-04 00:00</PriceDate>
      <EquityRating>38-0</EquityRating>
      <TprPriceFormat>#,###,##0.00</TprPriceFormat>
      <TprPriceSymbol>HK$</TprPriceSymbol>
      <TprPriceTarget>36.00</TprPriceTarget>
      <TprPriorRating>38-0</TprPriorRating>
      <TprPricePrefix>True</TprPricePrefix>
      <TprPriceTargetAction/>
      <TprRatingChangeAction/>
      <TprPriorPriceTarget>36.00</TprPriorPriceTarget>
      <TprMarketCap>43,905</TprMarketCap>
      <TprPriceTargetEndDate>2014-12-31 00:00</TprPriceTargetEndDate>
      <TprPriorPriceTargetEndDate>2014-12-31 00:00</TprPriorPriceTargetEndDate>
      <TprFlag>True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503325-4</Key>
      <Cover>nonsubject</Cover>
      <Tagging>Dynamic</Tagging>
      <Tpr>503325-4</Tpr>
      <StockPrice>18.93</StockPrice>
      <PriceDate>2014-07-04 00:00</PriceDate>
      <EquityRating>38-0</EquityRating>
      <TprPriceFormat>#,###,##0.00</TprPriceFormat>
      <TprPriceSymbol>A$</TprPriceSymbol>
      <TprPriceTarget>18.56</TprPriceTarget>
      <TprPriorRating>38-0</TprPriorRating>
      <TprPricePrefix>True</TprPricePrefix>
      <TprPriceTargetAction/>
      <TprRatingChangeAction/>
      <TprPriorPriceTarget>18.56</TprPriorPriceTarget>
      <TprMarketCap>4,695.21</TprMarketCap>
      <TprPriceTargetEndDate>2015-06-30 00:00</TprPriceTargetEndDate>
      <TprPriorPriceTargetEndDate>2015-06-30 00:00</TprPriorPriceTargetEndDate>
      <TprFlag>True</TprFlag>
      <Important>Equity</Important>
      <Chart>False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ies>
  <Analysts>
    <Analyst>
      <Key>1001798-1</Key>
      <Lead>lead</Lead>
      <Tagging>Static</Tagging>
      <BusinessGroup>8-0</BusinessGroup>
      <AC>CoverAutomatic</AC>
      <BBGPageCode>
        <Status>AutomaticON</Status>
        <IsRendered>True</IsRendered>
        <Value>JPMA LECUBARRI &lt;GO&gt;</Value>
      </BBGPageCode>
      <EquityCoverage>True</EquityCoverage>
      <LegalEntity>JPMSL</LegalEntity>
      <AnalystGroupKey>3-1</AnalystGroupKey>
      <AnalystGroupName>Global Small/Mid-Caps</AnalystGroupName>
    </Analyst>
    <Analyst>
      <Key>1002737-1</Key>
      <Lead>secondary</Lead>
      <Tagging>Static</Tagging>
      <BusinessGroup>8-0</BusinessGroup>
      <AC>None</AC>
      <BBGPageCode>
        <Status>AutomaticOFF</Status>
        <IsRendered>False</IsRendered>
        <Value>JPMA PITCAITHLY &lt;GO&gt;</Value>
      </BBGPageCode>
      <EquityCoverage>False</EquityCoverage>
      <LegalEntity>JPMSL</LegalEntity>
      <AnalystGroupKey>3-1</AnalystGroupKey>
      <AnalystGroupName>Global Small/Mid-Caps</AnalystGroupName>
    </Analyst>
  </Analysts>
  <TaggedAnalysts/>
  <Regions>
    <Region>
      <Key>1-0</Key>
      <Tagging>Static</Tagging>
    </Region>
  </Regions>
  <Countries>
    <Country>
      <Key>17-0</Key>
      <Tagging>Dynamic</Tagging>
      <IsSubject>False</IsSubject>
    </Country>
    <Country>
      <Key>31-0</Key>
      <Tagging>Dynamic</Tagging>
      <IsSubject>False</IsSubject>
    </Country>
    <Country>
      <Key>85-0</Key>
      <Tagging>Dynamic</Tagging>
      <IsSubject>False</IsSubject>
    </Country>
    <Country>
      <Key>5-0</Key>
      <Tagging>Dynamic</Tagging>
      <IsSubject>False</IsSubject>
    </Country>
    <Country>
      <Key>10-0</Key>
      <Tagging>Dynamic</Tagging>
      <IsSubject>False</IsSubject>
    </Country>
    <Country>
      <Key>30-0</Key>
      <Tagging>Dynamic</Tagging>
      <IsSubject>False</IsSubject>
    </Country>
    <Country>
      <Key>82-0</Key>
      <Tagging>Dynamic</Tagging>
      <IsSubject>False</IsSubject>
    </Country>
    <Country>
      <Key>58-0</Key>
      <Tagging>Dynamic</Tagging>
      <IsSubject>False</IsSubject>
    </Country>
    <Country>
      <Key>42-0</Key>
      <Tagging>Dynamic</Tagging>
      <IsSubject>False</IsSubject>
    </Country>
    <Country>
      <Key>46-0</Key>
      <Tagging>Dynamic</Tagging>
      <IsSubject>False</IsSubject>
    </Country>
    <Country>
      <Key>65-0</Key>
      <Tagging>Dynamic</Tagging>
      <IsSubject>False</IsSubject>
    </Country>
    <Country>
      <Key>27-0</Key>
      <Tagging>Dynamic</Tagging>
      <IsSubject>False</IsSubject>
    </Country>
  </Countries>
  <AssetClasses>
    <AssetClass>
      <Key>1-0</Key>
      <Tagging>Dynamic</Tagging>
    </AssetClass>
  </AssetClasses>
  <AssetTypes>
    <AssetType>
      <Key>1-0</Key>
      <Tagging>Dynamic</Tagging>
    </AssetType>
  </AssetTypes>
  <DistributionTargets>
    <DistributionTarget>
      <Key>7-0</Key>
    </DistributionTarget>
    <DistributionTarget>
      <Key>27-0</Key>
    </DistributionTarget>
    <DistributionTarget>
      <Key>25-0</Key>
    </DistributionTarget>
    <DistributionTarget>
      <Key>18-0</Key>
    </DistributionTarget>
    <DistributionTarget>
      <Key>42-0</Key>
    </DistributionTarget>
    <DistributionTarget>
      <Key>16-0</Key>
    </DistributionTarget>
    <DistributionTarget>
      <Key>28-0</Key>
    </DistributionTarget>
    <DistributionTarget>
      <Key>15-0</Key>
    </DistributionTarget>
    <DistributionTarget>
      <Key>39-0</Key>
    </DistributionTarget>
    <DistributionTarget>
      <Key>43-0</Key>
    </DistributionTarget>
    <DistributionTarget>
      <Key>50-0</Key>
    </DistributionTarget>
    <DistributionTarget>
      <Key>46-0</Key>
    </DistributionTarget>
    <DistributionTarget>
      <Key>41-0</Key>
    </DistributionTarget>
  </DistributionTargets>
  <AudienceEntitlements>
    <AudienceEntitlement>
      <Key>3-0</Key>
    </AudienceEntitlement>
    <AudienceEntitlement>
      <Key>2-0</Key>
    </AudienceEntitlement>
    <AudienceEntitlement>
      <Key>4-0</Key>
    </AudienceEntitlement>
    <AudienceEntitlement>
      <Key>5-0</Key>
    </AudienceEntitlement>
    <AudienceEntitlement>
      <Key>1-0</Key>
    </AudienceEntitlement>
  </AudienceEntitlements>
  <Contains144ASecurityContent>False</Contains144ASecurityContent>
  <Industries/>
  <Keywords/>
  <MarketStrategies>
    <MarketStrategy>
      <Key>17-0</Key>
      <Tagging>Static</Tagging>
      <IsSubject>True</IsSubject>
    </MarketStrategy>
  </MarketStrategies>
  <Subjects/>
  <Email>
    <EmailSubject>The Global SMid Radar : Q3 2014 Update</EmailSubject>
    <ReplyAddress/>
    <ReplyAddressDisplay/>
    <FromAddress>eduardo.lecubarri@jpmorgan.com</FromAddress>
    <FromAddressDisplay>Eduardo Lecubarri &lt;eduardo.lecubarri@jpmorgan.com&gt;</FromAddressDisplay>
    <IntroductionText/>
    <Personalization>None</Personalization>
    <EmailStyle>JPMorgan</EmailStyle>
    <DeliveryDate>2014-07-04T11:54:12+00:00</DeliveryDate>
    <PasswordProtect>False</PasswordProtect>
    <HasSubjectChanged>False</HasSubjectChanged>
    <HasFromAddressDisplayChanged>False</HasFromAddressDisplayChanged>
    <EmailLists/>
  </Email>
  <Comments>
    <Public/>
    <Private/>
    <LockedDisclosures>False</LockedDisclosures>
    <LockedDisclosureDate>2014-07-04T13:35:20+01:00</LockedDisclosureDate>
    <LockedDisclosureSA/>
    <UpdateDisclosures>True</UpdateDisclosures>
    <EmailContact>False</EmailContact>
    <PhoneContact>True</PhoneContact>
    <EmailFreetext>john.burke@jpmorgan.com</EmailFreetext>
    <PhoneFreetext>(44-20) 7134-5928</PhoneFreetext>
  </Comments>
  <Disclosures>
    <CompendiumText>False</CompendiumText>
    <DisclosureDefaultingPerformed>True</DisclosureDefaultingPerformed>
    <Series8687>
      <DisclosureClause>
        <Id>6</Id>
        <Name>Registered non-US analyst</Name>
        <Text>* Registered/qualified as a research analyst under NYSE/FINRA rules.</Text>
      </DisclosureClause>
    </Series8687>
    <PageStart>
      <DisclosureClause>
        <Id>5</Id>
        <Name>Disclosure ref, non US</Name>
        <Text>See page ${PAGESTART} for analyst certification and important disclosures, including non-US analyst disclosures.</Text>
      </DisclosureClause>
    </PageStart>
    <Page1Banner>
      <DisclosureClause>
        <Id>1</Id>
        <Name>None</Name>
        <Text/>
      </DisclosureClause>
    </Page1Banner>
    <Page1Banner>
      <DisclosureClause>
        <Id>1</Id>
        <Name>None</Name>
        <Text/>
      </DisclosureClause>
    </Page1Banner>
    <Page1Footer>
      <DisclosureClause>
        <Id>7</Id>
        <Name>JPM does and seeks</Name>
        <Text>J.P. Morgan does and seeks to do business with companies covered in its research reports. As a result, investors should be aware that the firm may have a conflict of interest that could affect the objectivity of this report. Investors should consider this report as only a single factor in making their investment decision.</Text>
      </DisclosureClause>
    </Page1Footer>
    <ShowFrontPageBannerClauseOnAllPages>False</ShowFrontPageBannerClauseOnAllPages>
  </Disclosures>
  <BulletList>
    <Bullet>
      <TagName>FRONT_PAGE_BULLET_P1</TagName>
      <PlainText>Our Global SMid Radar is a vehicle through which we consistently bring you our top ideas within the global universe of Small/Mid-Caps (mkt caps &lt; $5 Bill).  This long/short global model portfolio mixes our top-down strategic analysis with our bottom up stock selection. This quarter we are adding 4 new “Investment Opportunities” (see bullets below) and closing 4 (see Pg 4 for perf details) — Austal, Commercial Bank of Qatar, Multiplus and Yanbu Cement.</PlainText>
      <HtmlText><![CDATA[Our Global SMid Radar is a vehicle through which we consistently bring you our top ideas within the global universe of Small/Mid-Caps (mkt caps &lt; $5 Bill).  This long/short global model portfolio mixes our top-down strategic analysis with our bottom up stock selection. This quarter we are adding 4 new “Investment Opportunities” (see bullets below) and closing 4 (see Pg 4 for perf details) — Austal, Commercial Bank of Qatar, Multiplus and Yanbu Cement.]]></HtmlText>
      <BulletVisual>False</BulletVisual>
    </Bullet>
    <Bullet>
      <TagName>FRONT_PAGE_BULLET_P2</TagName>
      <PlainText>In order to align our incentives with those of our clients (and as we’ve been doing for the last 6 yrs in our European SMid Radar, launched in Feb 2008), we run this model portfolio in as realistic a way as possible, following a pre-defined methodology with regards to portfolio composition, risk mgmt, &amp; perf. analysis (please see Pg 2 for a detailed description of our investment methodology).  </PlainText>
      <HtmlText><![CDATA[In order to align our incentives with those of our clients (and as we’ve been doing for the last 6 yrs in our European SMid Radar, launched in Feb 2008), we run this model portfolio in as realistic a way as possible, following a pre-defined methodology with regards to portfolio composition, risk mgmt, & perf. analysis (please see Pg 2 for a detailed description of our investment methodology).  ]]></HtmlText>
      <BulletVisual>False</BulletVisual>
    </Bullet>
    <Bullet>
      <TagName>FRONT_PAGE_BULLET_P3</TagName>
      <PlainText>4 additions to the “Investment Opportunities” section of our Global Radar:</PlainText>
      <HtmlText><![CDATA[<u>4</u><u> additions to the “Investment Opportunities” section</u><u> of our Global Radar</u><u>:</u>]]></HtmlText>
      <BulletVisual>False</BulletVisual>
    </Bullet>
  </BulletList>
  <EditHeader>
    <HeaderType>jpAllHeaders</HeaderType>
    <IsEditHeaderRun>False</IsEditHeaderRun>
    <ShowAnalystAll>True</ShowAnalystAll>
    <AnalystText/>
    <ShowBusinessGroupAll>True</ShowBusinessGroupAll>
    <BusinessGroupText/>
    <ShowAnalystEven>False</ShowAnalystEven>
    <EvenAnalystText/>
    <ShowBusinessGroupEven>False</ShowBusinessGroupEven>
    <EvenBusinessGroupText/>
    <ShowAnalystOdd>False</ShowAnalystOdd>
    <OddAnalystText/>
    <ShowBusinessGroupOdd>False</ShowBusinessGroupOdd>
    <OddBusinessGroupText/>
    <ShowAnalystSection>False</ShowAnalystSection>
    <SectionAnalystText/>
    <ShowBusinessGroupSection>False</ShowBusinessGroupSection>
    <SectionBusinessGroupText/>
    <HeaderAllAnalysts/>
    <HeaderEvenAnalysts/>
    <HeaderOddAnalysts/>
    <HeaderSectionAnalysts/>
  </EditHeader>
  <CompanyDisclosureType>Equity</CompanyDisclosureType>
  <FxCurrencyGroups/>
  <AFLTracker/>
</DocumentState>
</file>

<file path=customXML/item8.xml><?xml version="1.0" encoding="utf-8"?>
<Research xmlns:rixmldt="http://www.rixml.org/2010/1/RIXML-datatypes" xmlns:xsi="http://www.w3.org/2001/XMLSchema-instance" xmlns="http://www.rixml.org/2010/1/RIXML" language="eng" createDateTime="2014-07-04T13:35:22+01:00" researchID="GPS-1433084-0" xsi:schemaLocation="http://www.rixml.org/2010/1/RIXML http://www.rixml.org/newsite/specifications/v231/RIXML-2_3_1.xsd">
  <Product productID="GPS-1433084-0">
    <StatusInfo currentStatusIndicator="Yes" statusDateTime="2014-07-04T13:35:22+01:00" statusType="Published">
      <Version>4</Version>
    </StatusInfo>
    <Source>
      <Organization primaryIndicator="Yes" type="SellSideFirm">
        <OrganizationID idType="VendorCode">JPM</OrganizationID>
        <OrganizationName nameType="Display">JPMorgan</OrganizationName>
        <PersonGroup>
          <PersonGroupMember primaryIndicator="Yes" sequence="1">
            <Person personID="U339670">
              <FamilyName>Lecubarri</FamilyName>
              <GivenName>Eduardo</GivenName>
              <DisplayName>Eduardo Lecubarri</DisplayName>
              <JobTitle>Analyst</JobTitle>
              <Division>EQUITY RESEARCH</Division>
            </Person>
          </PersonGroupMember>
          <ContactInfo nature="Business">
            <Email>eduardo.lecubarri@jpmorgan.com</Email>
            <Phone type="Voice">
              <CountryCode/>
              <Number>(44-20) 7134-5916</Number>
            </Phone>
          </ContactInfo>
        </PersonGroup>
        <PersonGroup>
          <PersonGroupMember primaryIndicator="No" sequence="2">
            <Person personID="F063327">
              <FamilyName>Pitcaithly</FamilyName>
              <GivenName>Patrick</GivenName>
              <DisplayName>Patrick J Pitcaithly</DisplayName>
              <JobTitle>Analyst</JobTitle>
              <Division>EQUITY RESEARCH</Division>
            </Person>
          </PersonGroupMember>
          <ContactInfo nature="Business">
            <Email>patrick.j.pitcaithly@jpmorgan.com</Email>
            <Phone type="Voice">
              <CountryCode/>
              <Number>(44-20) 7134-8451</Number>
            </Phone>
          </ContactInfo>
        </PersonGroup>
      </Organization>
    </Source>
    <Content>
      <Title>The Global SMid Radar</Title>
      <SubTitle>Q3 2014 Update</SubTitle>
      <Abstract>Our Global SMid Radar is a vehicle through which we consistently bring you our top ideas within the global universe of Small/Mid-Caps (mkt caps &lt; $5 Bill).  This long/short global model portfolio mixes our top-down strategic analysis with our bottom up stock selection. This quarter we are adding 4 new “Investment Opportunities” (see bullets below) and closing 4 (see Pg 4 for perf details) — Austal, Commercial Bank of Qatar, Multiplus and Yanbu Cement.
In order to align our incentives with those of our clients (and as we’ve been doing for the last 6 yrs in our European SMid Radar, launched in Feb 2008), we run this model portfolio in as realistic a way as possible, following a pre-defined methodology with regards to portfolio composition, risk mgmt, &amp; perf. analysis (please see Pg 2 for a detailed description of our investment methodology).  
4 additions to the “Investment Opportunities” section of our Global Radar:
</Abstract>
      <Synopsis>Our Global SMid Radar is a vehicle through which we consistently bring you our top ideas within the global universe of Small/Mid-Caps (mkt caps &lt; $5 Bill).  This long/short global model portfolio mixes our top-down strategic analysis with our bottom up stock selection. This quarter we are adding ...</Synopsis>
    </Content>
    <Context external="Yes">
      <IssuerDetails>
        <Issuer domicileCountryCode="CN" fiscalYearEnd="--12-31" issuerType="Corporate" primaryIndicator="No">
          <SecurityDetails>
            <Security primaryIndicator="No">
              <SecurityID idType="CUSIP" idValue=" "/>
              <SecurityID idType="SEDOL" idValue="6208422"/>
              <SecurityID idType="Bloomberg" idValue="694 HK"/>
              <SecurityID idType="RIC" idValue="0694.HK"/>
              <SecurityID idType="ISIN" idValue="CNE100000221"/>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Beijing Capital International Airport</NameValue>
          </IssuerName>
        </Issuer>
        <Issuer domicileCountryCode="GB" fiscalYearEnd="--12-31" issuerType="Corporate" primaryIndicator="No">
          <SecurityDetails>
            <Security primaryIndicator="No">
              <SecurityID idType="CUSIP" idValue=" "/>
              <SecurityID idType="SEDOL" idValue="B1VNST9"/>
              <SecurityID idType="Bloomberg" idValue="LRD LN"/>
              <SecurityID idType="RIC" idValue="LRD.L"/>
              <SecurityID idType="ISIN" idValue="GB00B1VNST91"/>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Laird</NameValue>
          </IssuerName>
        </Issuer>
        <Issuer domicileCountryCode="US" fiscalYearEnd="--12-31" issuerType="Corporate" primaryIndicator="No">
          <SecurityDetails>
            <Security primaryIndicator="No">
              <SecurityID idType="CUSIP" idValue="127387108"/>
              <SecurityID idType="SEDOL" idValue="2302232"/>
              <SecurityID idType="Bloomberg" idValue="CDNS US"/>
              <SecurityID idType="RIC" idValue="CDNS.O"/>
              <SecurityID idType="ISIN" idValue="US1273871087"/>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Cadence Design Systems</NameValue>
          </IssuerName>
        </Issuer>
        <Issuer domicileCountryCode="GB" fiscalYearEnd="--12-31" issuerType="Corporate" primaryIndicator="No">
          <SecurityDetails>
            <Security primaryIndicator="No">
              <SecurityID idType="CUSIP" idValue=" "/>
              <SecurityID idType="SEDOL" idValue="B5SJJD9"/>
              <SecurityID idType="Bloomberg" idValue="CIU LN"/>
              <SecurityID idType="RIC" idValue="CIU.L"/>
              <SecurityID idType="ISIN" idValue="JE00B5SJJD95"/>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Cape</NameValue>
          </IssuerName>
        </Issuer>
        <Issuer domicileCountryCode="GB" fiscalYearEnd="--12-31" issuerType="Corporate" primaryIndicator="No">
          <SecurityDetails>
            <Security primaryIndicator="No">
              <SecurityID idType="CUSIP" idValue=" "/>
              <SecurityID idType="SEDOL" idValue="B15FWH7"/>
              <SecurityID idType="Bloomberg" idValue="CINE LN"/>
              <SecurityID idType="RIC" idValue="CINE.L"/>
              <SecurityID idType="ISIN" idValue="GB00B15FWH70"/>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Cineworld</NameValue>
          </IssuerName>
        </Issuer>
        <Issuer domicileCountryCode="AU" fiscalYearEnd="--12-31" issuerType="Corporate" primaryIndicator="No">
          <SecurityDetails>
            <Security primaryIndicator="No">
              <SecurityID idType="CUSIP" idValue=" "/>
              <SecurityID idType="SEDOL" idValue="B1VVW79"/>
              <SecurityID idType="Bloomberg" idValue="CSV AU"/>
              <SecurityID idType="RIC" idValue="CSV.AX"/>
              <SecurityID idType="ISIN" idValue="AU000000CSV7"/>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CSG Limited</NameValue>
          </IssuerName>
        </Issuer>
        <Issuer domicileCountryCode="GB" fiscalYearEnd="--12-31" issuerType="Corporate" primaryIndicator="No">
          <SecurityDetails>
            <Security primaryIndicator="No">
              <SecurityID idType="CUSIP" idValue=" "/>
              <SecurityID idType="SEDOL" idValue="B635TG2"/>
              <SecurityID idType="Bloomberg" idValue="ENQ LN"/>
              <SecurityID idType="RIC" idValue="ENQ.L"/>
              <SecurityID idType="ISIN" idValue="GB00B635TG28"/>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EnQuest</NameValue>
          </IssuerName>
        </Issuer>
        <Issuer domicileCountryCode="BR" fiscalYearEnd="--12-31" issuerType="Corporate" primaryIndicator="No">
          <SecurityDetails>
            <Security primaryIndicator="No">
              <SecurityID idType="CUSIP" idValue=" "/>
              <SecurityID idType="SEDOL" idValue="B1VD2Z3"/>
              <SecurityID idType="Bloomberg" idValue="EVEN3 BZ"/>
              <SecurityID idType="RIC" idValue="EVEN3.SA"/>
              <SecurityID idType="ISIN" idValue="BREVENACNOR8"/>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Even</NameValue>
          </IssuerName>
        </Issuer>
        <Issuer domicileCountryCode="FR" fiscalYearEnd="--12-31" issuerType="Corporate" primaryIndicator="No">
          <SecurityDetails>
            <Security primaryIndicator="No">
              <SecurityID idType="CUSIP" idValue=" "/>
              <SecurityID idType="SEDOL" idValue="5980958"/>
              <SecurityID idType="Bloomberg" idValue="HAV FP"/>
              <SecurityID idType="RIC" idValue="EURC.PA"/>
              <SecurityID idType="ISIN" idValue="FR0000121881"/>
              <AssetClass assetClass="Equity"/>
              <AssetType assetType="Stock"/>
              <Rating priorCurrent="Prior" rating="NeutralSentiment" timeFrame="ShortTerm">
                <RatingEntity ratingEntity="Publisher"/>
              </Rating>
              <Rating priorCurrent="Current" rating="NeutralSentiment" timeFrame="ShortTerm">
                <RatingEntity ratingEntity="Publisher"/>
              </Rating>
            </Security>
          </SecurityDetails>
          <IssuerName nameType="Display">
            <NameValue>Havas</NameValue>
          </IssuerName>
        </Issuer>
        <Issuer domicileCountryCode="GB" fiscalYearEnd="--12-31" issuerType="Corporate" primaryIndicator="No">
          <SecurityDetails>
            <Security primaryIndicator="No">
              <SecurityID idType="CUSIP" idValue=" "/>
              <SecurityID idType="SEDOL" idValue="B1P8H48"/>
              <SecurityID idType="Bloomberg" idValue="GEMD LN"/>
              <SecurityID idType="RIC" idValue="GEMD.L"/>
              <SecurityID idType="ISIN" idValue="VGG379591065"/>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Gem Diamonds Ltd</NameValue>
          </IssuerName>
        </Issuer>
        <Issuer domicileCountryCode="GB" fiscalYearEnd="--12-31" issuerType="Corporate" primaryIndicator="No">
          <SecurityDetails>
            <Security primaryIndicator="No">
              <SecurityID idType="CUSIP" idValue=" "/>
              <SecurityID idType="SEDOL" idValue="B53P200"/>
              <SecurityID idType="Bloomberg" idValue="JUP LN"/>
              <SecurityID idType="RIC" idValue="JUP.L"/>
              <SecurityID idType="ISIN" idValue="GB00B53P2009"/>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Jupiter</NameValue>
          </IssuerName>
        </Issuer>
        <Issuer domicileCountryCode="FR" fiscalYearEnd="--12-31" issuerType="Corporate" primaryIndicator="No">
          <SecurityDetails>
            <Security primaryIndicator="No">
              <SecurityID idType="CUSIP" idValue=" "/>
              <SecurityID idType="SEDOL" idValue="5993901"/>
              <SecurityID idType="Bloomberg" idValue="MMT FP"/>
              <SecurityID idType="RIC" idValue="MMTP.PA"/>
              <SecurityID idType="ISIN" idValue="FR0000053225"/>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M6</NameValue>
          </IssuerName>
        </Issuer>
        <Issuer domicileCountryCode="TW" fiscalYearEnd="--12-31" issuerType="Corporate" primaryIndicator="No">
          <SecurityDetails>
            <Security primaryIndicator="No">
              <SecurityID idType="CUSIP" idValue=" "/>
              <SecurityID idType="SEDOL" idValue="6580432"/>
              <SecurityID idType="Bloomberg" idValue="1477 TT"/>
              <SecurityID idType="RIC" idValue="1477.TW"/>
              <SecurityID idType="ISIN" idValue="TW0001477008"/>
              <AssetClass assetClass="Equity"/>
              <AssetType assetType="Stock"/>
              <Rating priorCurrent="Prior" rating="NoRating" timeFrame="ShortTerm">
                <RatingEntity ratingEntity="Publisher"/>
              </Rating>
              <Rating priorCurrent="Current" rating="NoRating" timeFrame="ShortTerm">
                <RatingEntity ratingEntity="Publisher"/>
              </Rating>
            </Security>
          </SecurityDetails>
          <IssuerName nameType="Display">
            <NameValue>Makalot</NameValue>
          </IssuerName>
        </Issuer>
        <Issuer domicileCountryCode="MY" fiscalYearEnd="--12-31" issuerType="Corporate" primaryIndicator="No">
          <SecurityDetails>
            <Security primaryIndicator="No">
              <SecurityID idType="CUSIP" idValue=" "/>
              <SecurityID idType="SEDOL" idValue="6812555"/>
              <SecurityID idType="Bloomberg" idValue="MPR MK"/>
              <SecurityID idType="RIC" idValue="MPRM.KL"/>
              <SecurityID idType="ISIN" idValue="MYL4502OO000"/>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Media Prima Berhad</NameValue>
          </IssuerName>
        </Issuer>
        <Issuer domicileCountryCode="IT" fiscalYearEnd="--12-31" issuerType="Corporate" primaryIndicator="No">
          <SecurityDetails>
            <Security primaryIndicator="No">
              <SecurityID idType="CUSIP" idValue=" "/>
              <SecurityID idType="SEDOL" idValue="4574813"/>
              <SecurityID idType="Bloomberg" idValue="MB IM"/>
              <SecurityID idType="RIC" idValue="MDBI.MI"/>
              <SecurityID idType="ISIN" idValue="IT0000062957"/>
              <AssetClass assetClass="Equity"/>
              <AssetType assetType="Stock"/>
              <Rating priorCurrent="Prior" rating="NoRating" timeFrame="ShortTerm">
                <RatingEntity ratingEntity="Publisher"/>
              </Rating>
              <Rating priorCurrent="Current" rating="NoRating" timeFrame="ShortTerm">
                <RatingEntity ratingEntity="Publisher"/>
              </Rating>
            </Security>
          </SecurityDetails>
          <IssuerName nameType="Display">
            <NameValue>Mediobanca</NameValue>
          </IssuerName>
        </Issuer>
        <Issuer domicileCountryCode="JP" fiscalYearEnd="--12-31" issuerType="Corporate" primaryIndicator="No">
          <SecurityDetails>
            <Security primaryIndicator="No">
              <SecurityID idType="CUSIP" idValue=" "/>
              <SecurityID idType="SEDOL" idValue="6639970"/>
              <SecurityID idType="Bloomberg" idValue="6849 JT"/>
              <SecurityID idType="RIC" idValue="6849.T"/>
              <SecurityID idType="ISIN" idValue="JP3706800004"/>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Nihon Kohden (6849)</NameValue>
          </IssuerName>
        </Issuer>
        <Issuer domicileCountryCode="TW" fiscalYearEnd="--12-31" issuerType="Corporate" primaryIndicator="No">
          <SecurityDetails>
            <Security primaryIndicator="No">
              <SecurityID idType="CUSIP" idValue=" "/>
              <SecurityID idType="SEDOL" idValue="6346333"/>
              <SecurityID idType="Bloomberg" idValue="3034 TT"/>
              <SecurityID idType="RIC" idValue="3034.TW"/>
              <SecurityID idType="ISIN" idValue="TW0003034005"/>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Novatek Microelectronics Corp.</NameValue>
          </IssuerName>
        </Issuer>
        <Issuer domicileCountryCode="OM" fiscalYearEnd="--12-31" issuerType="Corporate" primaryIndicator="No">
          <SecurityDetails>
            <Security primaryIndicator="No">
              <SecurityID idType="CUSIP" idValue=" "/>
              <SecurityID idType="SEDOL" idValue="B0MSYM1"/>
              <SecurityID idType="Bloomberg" idValue="OTEL OM"/>
              <SecurityID idType="RIC" idValue="OTL.OM"/>
              <SecurityID idType="ISIN" idValue="OM0000003026"/>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Omantel</NameValue>
          </IssuerName>
        </Issuer>
        <Issuer domicileCountryCode="IT" fiscalYearEnd="--12-31" issuerType="Corporate" primaryIndicator="No">
          <SecurityDetails>
            <Security primaryIndicator="No">
              <SecurityID idType="CUSIP" idValue=" "/>
              <SecurityID idType="SEDOL" idValue="4689803"/>
              <SecurityID idType="Bloomberg" idValue="PC IM"/>
              <SecurityID idType="RIC" idValue="PECI.MI"/>
              <SecurityID idType="ISIN" idValue="IT0004623051"/>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Pirelli &amp; C. SpA</NameValue>
          </IssuerName>
        </Issuer>
        <Issuer domicileCountryCode="ES" fiscalYearEnd="--12-31" issuerType="Corporate" primaryIndicator="No">
          <SecurityDetails>
            <Security primaryIndicator="No">
              <SecurityID idType="CUSIP" idValue=" "/>
              <SecurityID idType="SEDOL" idValue="B8CLHY9"/>
              <SecurityID idType="Bloomberg" idValue="PSG SM"/>
              <SecurityID idType="RIC" idValue="PSG.MC"/>
              <SecurityID idType="ISIN" idValue="ES0175438003"/>
              <AssetClass assetClass="Equity"/>
              <AssetType assetType="Stock"/>
              <Rating priorCurrent="Prior" rating="NeutralSentiment" timeFrame="ShortTerm">
                <RatingEntity ratingEntity="Publisher"/>
              </Rating>
              <Rating priorCurrent="Current" rating="NeutralSentiment" timeFrame="ShortTerm">
                <RatingEntity ratingEntity="Publisher"/>
              </Rating>
            </Security>
          </SecurityDetails>
          <IssuerName nameType="Display">
            <NameValue>Prosegur</NameValue>
          </IssuerName>
        </Issuer>
        <Issuer domicileCountryCode="GB" fiscalYearEnd="--12-31" issuerType="Corporate" primaryIndicator="No">
          <SecurityDetails>
            <Security primaryIndicator="No">
              <SecurityID idType="CUSIP" idValue=" "/>
              <SecurityID idType="SEDOL" idValue="0718444"/>
              <SecurityID idType="Bloomberg" idValue="QED LN"/>
              <SecurityID idType="RIC" idValue="QED.L"/>
              <SecurityID idType="ISIN" idValue="GB0007184442"/>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Quintain Estates &amp; Development</NameValue>
          </IssuerName>
        </Issuer>
        <Issuer domicileCountryCode="US" fiscalYearEnd="--12-31" issuerType="Corporate" primaryIndicator="No">
          <SecurityDetails>
            <Security primaryIndicator="No">
              <SecurityID idType="CUSIP" idValue="87157D109"/>
              <SecurityID idType="SEDOL" idValue="2839268"/>
              <SecurityID idType="Bloomberg" idValue="SYNA US"/>
              <SecurityID idType="RIC" idValue="SYNA.O"/>
              <SecurityID idType="ISIN" idValue="US87157D1090"/>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Synaptics Inc.</NameValue>
          </IssuerName>
        </Issuer>
        <Issuer domicileCountryCode="CN" fiscalYearEnd="--12-31" issuerType="Corporate" primaryIndicator="No">
          <SecurityDetails>
            <Security primaryIndicator="No">
              <SecurityID idType="CUSIP" idValue=" "/>
              <SecurityID idType="SEDOL" idValue="B0190C7"/>
              <SecurityID idType="Bloomberg" idValue="669 HK"/>
              <SecurityID idType="RIC" idValue="0669.HK"/>
              <SecurityID idType="ISIN" idValue="HK0669013440"/>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Techtronic Industries</NameValue>
          </IssuerName>
        </Issuer>
        <Issuer domicileCountryCode="AU" fiscalYearEnd="--12-31" issuerType="Corporate" primaryIndicator="No">
          <SecurityDetails>
            <Security primaryIndicator="No">
              <SecurityID idType="CUSIP" idValue=" "/>
              <SecurityID idType="SEDOL" idValue="6562474"/>
              <SecurityID idType="Bloomberg" idValue="WOR AU"/>
              <SecurityID idType="RIC" idValue="WOR.AX"/>
              <SecurityID idType="ISIN" idValue="AU000000WOR2"/>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WorleyParsons Limited</NameValue>
          </IssuerName>
        </Issuer>
      </IssuerDetails>
      <ProductDetails periodicalIndicator="No" publicationDateTime="2014-07-04T13:35:22+01:00">
        <ProductCategory productCategory="Report"/>
        <ProductFocus focus="Discipline" primaryIndicator="Yes"/>
        <EntitlementGroup>
          <Entitlement includeExcludeIndicator="Include" primaryIndicator="No">
            <AudienceTypeEntitlement audienceType="Institutional" external="Yes"/>
          </Entitlement>
        </EntitlementGroup>
        <EntitlementGroup>
          <Entitlement includeExcludeIndicator="Include" primaryIndicator="No">
            <AudienceTypeEntitlement audienceType="Retail" external="Yes"/>
          </Entitlement>
        </EntitlementGroup>
        <EntitlementGroup>
          <Entitlement includeExcludeIndicator="Include" primaryIndicator="No">
            <AudienceTypeEntitlement audienceType="QualifiedInstitutionalBuyer" external="Yes"/>
          </Entitlement>
        </EntitlementGroup>
      </ProductDetails>
      <ProductClassifications>
        <Discipline disciplineType="Investment"/>
        <Country code="CN" primaryIndicator="No" emergingIndicator="Yes"/>
        <Country code="GB" primaryIndicator="No" emergingIndicator="No"/>
        <Country code="US" primaryIndicator="No" emergingIndicator="No"/>
        <Country code="AU" primaryIndicator="No" emergingIndicator="No"/>
        <Country code="BR" primaryIndicator="No" emergingIndicator="Yes"/>
        <Country code="FR" primaryIndicator="No" emergingIndicator="No"/>
        <Country code="TW" primaryIndicator="No" emergingIndicator="Yes"/>
        <Country code="MY" primaryIndicator="No" emergingIndicator="Yes"/>
        <Country code="IT" primaryIndicator="No" emergingIndicator="No"/>
        <Country code="JP" primaryIndicator="No" emergingIndicator="No"/>
        <Country code="OM" primaryIndicator="No" emergingIndicator="No"/>
        <Country code="ES" primaryIndicator="No" emergingIndicator="No"/>
        <Region primaryIndicator="No" regionType="Europe" emergingIndicator="No"/>
        <AssetClass assetClass="Equity"/>
        <AssetType assetType="Stock"/>
      </ProductClassifications>
    </Context>
  </Product>
</Research>
</file>

<file path=customXML/item9.xml><?xml version="1.0" encoding="utf-8"?>
<JpmcExtensions>
  <EmailAlert>Y</EmailAlert>
  <Searchable>Y</Searchable>
  <SourceSystem>GPSAuthor</SourceSystem>
  <Permission>100</Permission>
  <BulletList>
    <component id="SUMMARY.ASCII.FORMATTEDBULLET" isBullet="Yes" order="1">Our Global SMid Radar is a vehicle through which we consistently bring you our top ideas within the global universe of Small/Mid-Caps (mkt caps &lt; $5 Bill).  This long/short global model portfolio mixes our top-down strategic analysis with our bottom up stock selection. This quarter we are adding 4 new “Investment Opportunities” (see bullets below) and closing 4 (see Pg 4 for perf details) — Austal, Commercial Bank of Qatar, Multiplus and Yanbu Cement.</component>
    <component id="SUMMARY.ASCII.FORMATTEDBULLET" isBullet="Yes" order="2">In order to align our incentives with those of our clients (and as we’ve been doing for the last 6 yrs in our European SMid Radar, launched in Feb 2008), we run this model portfolio in as realistic a way as possible, following a pre-defined methodology with regards to portfolio composition, risk mgmt, &amp; perf. analysis (please see Pg 2 for a detailed description of our investment methodology).  </component>
    <component id="SUMMARY.ASCII.FORMATTEDBULLET" isBullet="Yes" order="3">4 additions to the “Investment Opportunities” section of our Global Radar:</component>
  </BulletList>
  <ContentTypeList>
    <ContentType>PUBNOT</ContentType>
  </ContentTypeList>
  <PrimaryAnalystList>
    <PrimaryAnalyst analystID="U339670">Eduardo Lecubarri</PrimaryAnalyst>
  </PrimaryAnalystList>
  <SecondaryAnalystList>
    <SecondaryAnalyst analystID="F063327">Patrick J Pitcaithly</SecondaryAnalyst>
  </SecondaryAnalystList>
  <PrimaryCompanyList/>
  <SecondaryCompanyList>
    <SecondaryCompany companyID="0694.HK">Beijing Capital International Airport</SecondaryCompany>
    <SecondaryCompany companyID="LRD.L">Laird</SecondaryCompany>
    <SecondaryCompany companyID="CDNS.O">Cadence Design Systems</SecondaryCompany>
    <SecondaryCompany companyID="CIU.L">Cape</SecondaryCompany>
    <SecondaryCompany companyID="CINE.L">Cineworld</SecondaryCompany>
    <SecondaryCompany companyID="CSV.AX">CSG Limited</SecondaryCompany>
    <SecondaryCompany companyID="ENQ.L">EnQuest</SecondaryCompany>
    <SecondaryCompany companyID="EVEN3.SA">Even</SecondaryCompany>
    <SecondaryCompany companyID="EURC.PA">Havas</SecondaryCompany>
    <SecondaryCompany companyID="GEMD.L">Gem Diamonds Ltd</SecondaryCompany>
    <SecondaryCompany companyID="JUP.L">Jupiter</SecondaryCompany>
    <SecondaryCompany companyID="MMTP.PA">M6</SecondaryCompany>
    <SecondaryCompany companyID="1477.TW">Makalot</SecondaryCompany>
    <SecondaryCompany companyID="MPRM.KL">Media Prima Berhad</SecondaryCompany>
    <SecondaryCompany companyID="MDBI.MI">Mediobanca</SecondaryCompany>
    <SecondaryCompany companyID="6849.T">Nihon Kohden (6849)</SecondaryCompany>
    <SecondaryCompany companyID="3034.TW">Novatek Microelectronics Corp.</SecondaryCompany>
    <SecondaryCompany companyID="OTL.OM">Omantel</SecondaryCompany>
    <SecondaryCompany companyID="PECI.MI">Pirelli &amp; C. SpA</SecondaryCompany>
    <SecondaryCompany companyID="PSG.MC">Prosegur</SecondaryCompany>
    <SecondaryCompany companyID="QED.L">Quintain Estates &amp; Development</SecondaryCompany>
    <SecondaryCompany companyID="SYNA.O">Synaptics Inc.</SecondaryCompany>
    <SecondaryCompany companyID="0669.HK">Techtronic Industries</SecondaryCompany>
    <SecondaryCompany companyID="WOR.AX">WorleyParsons Limited</SecondaryCompany>
  </SecondaryCompanyList>
  <ExpiryDate/>
  <RICList>
    <RIC>0694.HK</RIC>
    <RIC>LRD.L</RIC>
    <RIC>CDNS.O</RIC>
    <RIC>CIU.L</RIC>
    <RIC>CINE.L</RIC>
    <RIC>CSV.AX</RIC>
    <RIC>ENQ.L</RIC>
    <RIC>EVEN3.SA</RIC>
    <RIC>EURC.PA</RIC>
    <RIC>GEMD.L</RIC>
    <RIC>JUP.L</RIC>
    <RIC>MMTP.PA</RIC>
    <RIC>1477.TW</RIC>
    <RIC>MPRM.KL</RIC>
    <RIC>MDBI.MI</RIC>
    <RIC>6849.T</RIC>
    <RIC>3034.TW</RIC>
    <RIC>OTL.OM</RIC>
    <RIC>PECI.MI</RIC>
    <RIC>PSG.MC</RIC>
    <RIC>QED.L</RIC>
    <RIC>SYNA.O</RIC>
    <RIC>0669.HK</RIC>
    <RIC>WOR.AX</RIC>
  </RICList>
  <RenderHtmlFlag>N</RenderHtmlFlag>
</JpmcExtensions>
</file>

<file path=customXML/itema.xml><?xml version="1.0" encoding="utf-8"?>
<economicsCharts xmlns="http://www.w3.org/2001/XMLSchema-instance"/>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3.xml><?xml version="1.0" encoding="utf-8"?>
<publishingControl xmlns="http://www.w3.org/2001/XMLSchema-instance">
  <action>Publish</action>
  <type>
    <primary>RESEARCH</primary>
  </type>
  <distribution>
    <destination>BLOOMBERG-EMEA</destination>
    <destination>GREENJAR</destination>
    <destination>VAULT</destination>
    <destination>MORGAN-MARKETS</destination>
    <destination>WSOD-RBC</destination>
    <destination>THOMSON-EQUITIES</destination>
    <destination>FACTSET</destination>
    <destination>REUTERS-EQUITIES</destination>
    <destination>CAPITAL-IQ-EQUITIES</destination>
    <destination>WSOD</destination>
    <destination>AMBA</destination>
    <destination>PRIVATEBANK</destination>
    <destination>WSOD-MorganOnline</destination>
  </distribution>
  <documentId>GPS-1433084-0</documentId>
</publishingControl>
</file>

<file path=customXml/item6.xml><?xml version="1.0" encoding="utf-8"?>
<b:Sources xmlns:b="http://schemas.openxmlformats.org/officeDocument/2006/bibliography" xmlns="http://schemas.openxmlformats.org/officeDocument/2006/bibliography" SelectedStyle="\APA.XSL" StyleName="APA"/>
</file>

<file path=customXml/itemProps3.xml><?xml version="1.0" encoding="utf-8"?>
<ds:datastoreItem xmlns:ds="http://schemas.openxmlformats.org/officeDocument/2006/customXml" ds:itemID="{60376CD3-183F-4208-9786-E24BEE8F3DFC}">
  <ds:schemaRefs/>
</ds:datastoreItem>
</file>

<file path=customXml/itemProps6.xml><?xml version="1.0" encoding="utf-8"?>
<ds:datastoreItem xmlns:ds="http://schemas.openxmlformats.org/officeDocument/2006/customXml" ds:itemID="{7A6BEEB9-CCD7-4554-A621-516265D8D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NonCompanyNote.dotm</Template>
  <TotalTime>0</TotalTime>
  <Pages>70</Pages>
  <Words>18436</Words>
  <Characters>95567</Characters>
  <Application>Microsoft Office Word</Application>
  <DocSecurity>0</DocSecurity>
  <Lines>3439</Lines>
  <Paragraphs>2103</Paragraphs>
  <ScaleCrop>false</ScaleCrop>
  <HeadingPairs>
    <vt:vector size="2" baseType="variant">
      <vt:variant>
        <vt:lpstr>Title</vt:lpstr>
      </vt:variant>
      <vt:variant>
        <vt:i4>1</vt:i4>
      </vt:variant>
    </vt:vector>
  </HeadingPairs>
  <TitlesOfParts>
    <vt:vector size="1" baseType="lpstr">
      <vt:lpstr/>
    </vt:vector>
  </TitlesOfParts>
  <Company>JPMorgan Chase and Co.</Company>
  <LinksUpToDate>false</LinksUpToDate>
  <CharactersWithSpaces>112262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JPMorgan Chase &amp; Co.</dc:creator>
  <cp:lastModifiedBy>John Burke</cp:lastModifiedBy>
  <cp:revision>2</cp:revision>
  <dcterms:created xsi:type="dcterms:W3CDTF">2014-07-04T12:35:00Z</dcterms:created>
  <dcterms:modified xsi:type="dcterms:W3CDTF">2014-07-04T12:35:00Z</dcterms:modified>
</cp:coreProperties>
</file>