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bin" ContentType="application/vnd.openxmlformats-officedocument.wordprocessingml.document"/>
  <Override PartName="/media/image2.bin" ContentType="image/gif"/>
  <Override PartName="/customXml/itemProps3.xml" ContentType="application/vnd.openxmlformats-officedocument.customXmlProperties+xml"/>
  <Override PartName="/word/footnotes.xml" ContentType="application/vnd.openxmlformats-officedocument.wordprocessingml.footnotes+xml"/>
  <Override PartName="/word/footer6.xml" ContentType="application/vnd.openxmlformats-officedocument.wordprocessingml.footer+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F6D" w:rsidRDefault="00117CA7" w:rsidP="00A16F6D">
      <w:pPr>
        <w:pStyle w:val="FPBullet"/>
        <w:numPr>
          <w:ilvl w:val="0"/>
          <w:numId w:val="0"/>
        </w:numPr>
      </w:pPr>
      <w:r w:rsidRPr="00117CA7">
        <w:rPr>
          <w:noProof/>
        </w:rPr>
        <w:pict>
          <v:shapetype id="_x0000_t202" coordsize="21600,21600" o:spt="202" path="m,l,21600r21600,l21600,xe">
            <v:stroke joinstyle="miter"/>
            <v:path gradientshapeok="t" o:connecttype="rect"/>
          </v:shapetype>
          <v:shape id="FrontCoverRightPanel" o:spid="_x0000_s1029" type="#_x0000_t202" style="position:absolute;left:0;text-align:left;margin-left:404.4pt;margin-top:248.25pt;width:141.1pt;height:460.5pt;z-index:251658240;mso-position-horizontal:right;mso-position-horizontal-relative:margin;mso-position-vertical:absolute;mso-position-vertical-relative:page" filled="f" stroked="f">
            <v:textbox inset="0,0,0,0">
              <w:txbxContent>
                <w:p w:rsidR="0012339A" w:rsidRDefault="0012339A">
                  <w:pPr>
                    <w:rPr>
                      <w:rFonts w:ascii="Arial" w:hAnsi="Arial" w:cs="Arial"/>
                      <w:sz w:val="16"/>
                      <w:lang w:val="en-GB"/>
                    </w:rPr>
                  </w:pPr>
                </w:p>
                <w:p w:rsidR="0012339A" w:rsidRDefault="0012339A">
                  <w:pPr>
                    <w:rPr>
                      <w:rFonts w:ascii="Arial" w:hAnsi="Arial" w:cs="Arial"/>
                      <w:sz w:val="16"/>
                      <w:lang w:val="en-GB"/>
                    </w:rPr>
                  </w:pPr>
                </w:p>
                <w:p w:rsidR="0012339A" w:rsidRDefault="0012339A" w:rsidP="001F26FC">
                  <w:pPr>
                    <w:pStyle w:val="FigureTitle"/>
                  </w:pPr>
                  <w:r>
                    <w:t xml:space="preserve">Figure </w:t>
                  </w:r>
                  <w:fldSimple w:instr=" SEQ Figure \* ARABIC ">
                    <w:r>
                      <w:rPr>
                        <w:noProof/>
                      </w:rPr>
                      <w:t>1</w:t>
                    </w:r>
                  </w:fldSimple>
                  <w:r>
                    <w:t>: JPM Lloyd's Insurers Index</w:t>
                  </w:r>
                </w:p>
                <w:p w:rsidR="0012339A" w:rsidRDefault="0012339A" w:rsidP="001F26FC">
                  <w:pPr>
                    <w:pStyle w:val="Units"/>
                    <w:rPr>
                      <w:lang w:val="en-GB"/>
                    </w:rPr>
                  </w:pPr>
                  <w:r>
                    <w:rPr>
                      <w:lang w:val="en-GB"/>
                    </w:rPr>
                    <w:t>%</w:t>
                  </w:r>
                </w:p>
                <w:p w:rsidR="0012339A" w:rsidRDefault="0012339A" w:rsidP="001F26FC">
                  <w:pPr>
                    <w:pStyle w:val="Units"/>
                    <w:rPr>
                      <w:lang w:val="en-GB"/>
                    </w:rPr>
                  </w:pPr>
                  <w:r w:rsidRPr="001F26FC">
                    <w:rPr>
                      <w:noProof/>
                      <w:lang w:val="en-GB" w:eastAsia="en-GB"/>
                    </w:rPr>
                    <w:drawing>
                      <wp:inline distT="0" distB="0" distL="0" distR="0">
                        <wp:extent cx="1791970" cy="103672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791970" cy="1036720"/>
                                </a:xfrm>
                                <a:prstGeom prst="rect">
                                  <a:avLst/>
                                </a:prstGeom>
                                <a:noFill/>
                                <a:ln w="9525">
                                  <a:noFill/>
                                  <a:miter lim="800000"/>
                                  <a:headEnd/>
                                  <a:tailEnd/>
                                </a:ln>
                              </pic:spPr>
                            </pic:pic>
                          </a:graphicData>
                        </a:graphic>
                      </wp:inline>
                    </w:drawing>
                  </w:r>
                </w:p>
                <w:p w:rsidR="0012339A" w:rsidRDefault="0012339A" w:rsidP="001F26FC">
                  <w:pPr>
                    <w:pStyle w:val="Source"/>
                    <w:rPr>
                      <w:lang w:val="en-GB"/>
                    </w:rPr>
                  </w:pPr>
                  <w:r>
                    <w:rPr>
                      <w:lang w:val="en-GB"/>
                    </w:rPr>
                    <w:t>Source: J.P. Morgan estimates, Company data.</w:t>
                  </w:r>
                </w:p>
                <w:p w:rsidR="0012339A" w:rsidRDefault="0012339A" w:rsidP="001F26FC">
                  <w:pPr>
                    <w:pStyle w:val="Units"/>
                    <w:rPr>
                      <w:lang w:val="en-GB"/>
                    </w:rPr>
                  </w:pPr>
                </w:p>
                <w:p w:rsidR="0012339A" w:rsidRDefault="0012339A" w:rsidP="001F26FC">
                  <w:pPr>
                    <w:pStyle w:val="FigureTitle"/>
                  </w:pPr>
                  <w:r>
                    <w:t xml:space="preserve">Figure </w:t>
                  </w:r>
                  <w:fldSimple w:instr=" SEQ Figure \* ARABIC ">
                    <w:r>
                      <w:rPr>
                        <w:noProof/>
                      </w:rPr>
                      <w:t>2</w:t>
                    </w:r>
                  </w:fldSimple>
                  <w:r>
                    <w:t>: JPM Lloyd’s Index relative performance vs SXIP</w:t>
                  </w:r>
                </w:p>
                <w:p w:rsidR="0012339A" w:rsidRDefault="0012339A" w:rsidP="001F26FC">
                  <w:pPr>
                    <w:pStyle w:val="Units"/>
                    <w:rPr>
                      <w:lang w:val="en-GB"/>
                    </w:rPr>
                  </w:pPr>
                  <w:r>
                    <w:rPr>
                      <w:lang w:val="en-GB"/>
                    </w:rPr>
                    <w:t>%</w:t>
                  </w:r>
                </w:p>
                <w:p w:rsidR="0012339A" w:rsidRDefault="0012339A" w:rsidP="001F26FC">
                  <w:pPr>
                    <w:pStyle w:val="Units"/>
                    <w:rPr>
                      <w:lang w:val="en-GB"/>
                    </w:rPr>
                  </w:pPr>
                  <w:r w:rsidRPr="001F26FC">
                    <w:rPr>
                      <w:noProof/>
                      <w:lang w:val="en-GB" w:eastAsia="en-GB"/>
                    </w:rPr>
                    <w:drawing>
                      <wp:inline distT="0" distB="0" distL="0" distR="0">
                        <wp:extent cx="1791970" cy="103672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791970" cy="1036720"/>
                                </a:xfrm>
                                <a:prstGeom prst="rect">
                                  <a:avLst/>
                                </a:prstGeom>
                                <a:noFill/>
                                <a:ln w="9525">
                                  <a:noFill/>
                                  <a:miter lim="800000"/>
                                  <a:headEnd/>
                                  <a:tailEnd/>
                                </a:ln>
                              </pic:spPr>
                            </pic:pic>
                          </a:graphicData>
                        </a:graphic>
                      </wp:inline>
                    </w:drawing>
                  </w:r>
                </w:p>
                <w:p w:rsidR="0012339A" w:rsidRDefault="0012339A" w:rsidP="001F26FC">
                  <w:pPr>
                    <w:pStyle w:val="Source"/>
                    <w:rPr>
                      <w:lang w:val="en-GB"/>
                    </w:rPr>
                  </w:pPr>
                  <w:r>
                    <w:rPr>
                      <w:lang w:val="en-GB"/>
                    </w:rPr>
                    <w:t>Source: J.P. Morgan estimates, Company data.</w:t>
                  </w:r>
                </w:p>
                <w:p w:rsidR="0012339A" w:rsidRPr="001F26FC" w:rsidRDefault="0012339A" w:rsidP="001F26FC">
                  <w:pPr>
                    <w:pStyle w:val="Units"/>
                    <w:rPr>
                      <w:lang w:val="en-GB"/>
                    </w:rPr>
                  </w:pPr>
                </w:p>
              </w:txbxContent>
            </v:textbox>
            <w10:wrap anchorx="margin" anchory="page"/>
            <w10:anchorlock/>
          </v:shape>
        </w:pict>
      </w:r>
      <w:r w:rsidR="0061336B">
        <w:t xml:space="preserve">The Lloyd’s Insurance Index started to marginally outperform the insurance sector in the past two weeks as we neared the end of another relatively benign quarter in terms of natural catastrophes. </w:t>
      </w:r>
      <w:r w:rsidR="00D90B7E">
        <w:t>Hence, u</w:t>
      </w:r>
      <w:r w:rsidR="0061336B">
        <w:t xml:space="preserve">nderwriters have been able to build a comfortable capital buffer to absorb potential Cat losses in H2. </w:t>
      </w:r>
      <w:r w:rsidR="00D90B7E">
        <w:t>A challenging outlook for rates across reinsurance and specialty lines explains the underperformance so far this year. However, investors are now</w:t>
      </w:r>
      <w:r w:rsidR="003813A3">
        <w:t xml:space="preserve"> more</w:t>
      </w:r>
      <w:r w:rsidR="00D90B7E">
        <w:t xml:space="preserve"> likely to focus on loss experience in H2, as this will drive the outlook for special dividends. Sector yields are 4.8% without factoring special dividends </w:t>
      </w:r>
      <w:r w:rsidR="00987DAD">
        <w:t>(which</w:t>
      </w:r>
      <w:r w:rsidR="00D90B7E">
        <w:t xml:space="preserve"> are likely should H2 loss experience </w:t>
      </w:r>
      <w:r w:rsidR="00987DAD">
        <w:t xml:space="preserve">align </w:t>
      </w:r>
      <w:r w:rsidR="00D90B7E">
        <w:t>with cat budgets</w:t>
      </w:r>
      <w:r w:rsidR="00987DAD">
        <w:t>) whilst</w:t>
      </w:r>
      <w:r w:rsidR="00D90B7E">
        <w:t xml:space="preserve"> v</w:t>
      </w:r>
      <w:r w:rsidR="00987DAD">
        <w:t>aluation</w:t>
      </w:r>
      <w:r w:rsidR="0061336B">
        <w:t xml:space="preserve"> remain</w:t>
      </w:r>
      <w:r w:rsidR="00987DAD">
        <w:t>s</w:t>
      </w:r>
      <w:r w:rsidR="0061336B">
        <w:t xml:space="preserve"> </w:t>
      </w:r>
      <w:r w:rsidR="00D90B7E">
        <w:t>in line with long term returns</w:t>
      </w:r>
      <w:r w:rsidR="0061336B">
        <w:t xml:space="preserve"> at 1.5x 2014e P</w:t>
      </w:r>
      <w:r w:rsidR="00D90B7E">
        <w:t>TNAV (</w:t>
      </w:r>
      <w:r w:rsidR="0061336B">
        <w:t>range (1.2</w:t>
      </w:r>
      <w:r w:rsidR="003813A3">
        <w:t>x</w:t>
      </w:r>
      <w:r w:rsidR="0061336B">
        <w:t>-1.</w:t>
      </w:r>
      <w:r w:rsidR="0012339A">
        <w:t>8</w:t>
      </w:r>
      <w:r w:rsidR="0061336B">
        <w:t>x)</w:t>
      </w:r>
      <w:r w:rsidR="00D90B7E">
        <w:t>.</w:t>
      </w:r>
      <w:r w:rsidR="00987DAD">
        <w:t xml:space="preserve"> We would recommend investing at the lower end of the valuation spectrum through the hurricane season (Catlin (OW), BRIT (OW)) and pick up the sector more broadly nearer Q4 as </w:t>
      </w:r>
      <w:r w:rsidR="0050420D">
        <w:t xml:space="preserve">potential </w:t>
      </w:r>
      <w:r w:rsidR="00987DAD">
        <w:t>special dividends start to get priced in (Beazley (N)</w:t>
      </w:r>
      <w:r w:rsidR="00F43A78">
        <w:t>, LRE (N),</w:t>
      </w:r>
      <w:r w:rsidR="00987DAD">
        <w:t xml:space="preserve"> Hiscox (N)).</w:t>
      </w:r>
      <w:r w:rsidR="00243927">
        <w:t xml:space="preserve"> We remain cautious on Amlin (UW).</w:t>
      </w:r>
    </w:p>
    <w:p w:rsidR="000761FF" w:rsidRPr="002E7496" w:rsidRDefault="00810E2F" w:rsidP="009F59FE">
      <w:pPr>
        <w:pStyle w:val="FPBullet"/>
        <w:rPr>
          <w:b/>
        </w:rPr>
      </w:pPr>
      <w:r w:rsidRPr="002E7496">
        <w:rPr>
          <w:b/>
        </w:rPr>
        <w:t>Lloyd’s Tour</w:t>
      </w:r>
      <w:r w:rsidR="002E7496" w:rsidRPr="002E7496">
        <w:rPr>
          <w:b/>
        </w:rPr>
        <w:t xml:space="preserve"> and Swiss Re Investor Day</w:t>
      </w:r>
      <w:r>
        <w:t>:</w:t>
      </w:r>
      <w:r w:rsidR="002E7496">
        <w:t xml:space="preserve"> During our Lloyd's Tour last week underwriters acknowledged worse than expected rate declines during the US renewals but an easing of the rate pressure in the Cat Bond/Alternative market. This was subsequently corroborated by Swiss Re. As such, some underwriting discipline is emerging in property Cat reinsurance lines</w:t>
      </w:r>
      <w:r w:rsidR="00F60272">
        <w:t>,</w:t>
      </w:r>
      <w:r w:rsidR="002E7496">
        <w:t xml:space="preserve"> albeit </w:t>
      </w:r>
      <w:r w:rsidR="000B422D">
        <w:t>rate pressure is</w:t>
      </w:r>
      <w:r w:rsidR="002E7496">
        <w:t xml:space="preserve"> spill</w:t>
      </w:r>
      <w:r w:rsidR="000B422D">
        <w:t xml:space="preserve">ing </w:t>
      </w:r>
      <w:r w:rsidR="002E7496">
        <w:t xml:space="preserve">over </w:t>
      </w:r>
      <w:r w:rsidR="000B422D">
        <w:t>in other classes. This is creating some uncertainty for 2015 and we believe underwriters are likely to make material portfolio changes ahead of the 2015 renewals.</w:t>
      </w:r>
    </w:p>
    <w:p w:rsidR="00810E2F" w:rsidRPr="0061336B" w:rsidRDefault="000B422D" w:rsidP="009F59FE">
      <w:pPr>
        <w:pStyle w:val="FPBullet"/>
      </w:pPr>
      <w:r>
        <w:rPr>
          <w:b/>
        </w:rPr>
        <w:t>Catastrophe events</w:t>
      </w:r>
      <w:r w:rsidR="00243927">
        <w:rPr>
          <w:b/>
        </w:rPr>
        <w:t xml:space="preserve"> benign</w:t>
      </w:r>
      <w:r w:rsidR="0061336B">
        <w:rPr>
          <w:b/>
        </w:rPr>
        <w:t>:</w:t>
      </w:r>
      <w:r>
        <w:rPr>
          <w:b/>
        </w:rPr>
        <w:t xml:space="preserve"> </w:t>
      </w:r>
      <w:r w:rsidR="00243927">
        <w:t>The main events during Q2 include higher costs for the Costa Concordia wreck removal, US Tornados and a Satellite loss</w:t>
      </w:r>
      <w:r w:rsidR="00F60272">
        <w:t>,</w:t>
      </w:r>
      <w:r w:rsidR="00243927">
        <w:t xml:space="preserve"> but overall the second quarter was fairly benign as was Q1. </w:t>
      </w:r>
      <w:r w:rsidR="00EE28F9">
        <w:t>The first hurricane of the season,</w:t>
      </w:r>
      <w:r w:rsidR="00C16986">
        <w:t xml:space="preserve"> </w:t>
      </w:r>
      <w:r w:rsidR="00243927">
        <w:t xml:space="preserve">Hurricane Arthur, a category 2 hurricane, shaved the NC coastline over the long weekend albeit the damage is likely to be well within Q3 catastrophe budgets. As such, so far earnings and capital buffers are </w:t>
      </w:r>
      <w:r w:rsidR="003813A3">
        <w:t>healthy</w:t>
      </w:r>
      <w:r w:rsidR="00F60272">
        <w:t>, in our view</w:t>
      </w:r>
      <w:r w:rsidR="00243927">
        <w:t>.</w:t>
      </w:r>
    </w:p>
    <w:p w:rsidR="009D47AA" w:rsidRPr="00207CF8" w:rsidRDefault="0061336B" w:rsidP="009F59FE">
      <w:pPr>
        <w:pStyle w:val="FPBullet"/>
      </w:pPr>
      <w:r w:rsidRPr="00291392">
        <w:rPr>
          <w:b/>
        </w:rPr>
        <w:t xml:space="preserve">H1 Results </w:t>
      </w:r>
      <w:r w:rsidR="00243927" w:rsidRPr="00291392">
        <w:rPr>
          <w:b/>
        </w:rPr>
        <w:t xml:space="preserve">are </w:t>
      </w:r>
      <w:r w:rsidRPr="00291392">
        <w:rPr>
          <w:b/>
        </w:rPr>
        <w:t>around the corner</w:t>
      </w:r>
      <w:r w:rsidR="00243927" w:rsidRPr="00291392">
        <w:rPr>
          <w:b/>
        </w:rPr>
        <w:t xml:space="preserve"> </w:t>
      </w:r>
      <w:r w:rsidR="00243927" w:rsidRPr="00243927">
        <w:t>and</w:t>
      </w:r>
      <w:r w:rsidR="00243927">
        <w:t xml:space="preserve"> we expect many insurers will be tuning down their growth expectations </w:t>
      </w:r>
      <w:r w:rsidR="00F86DED">
        <w:t>for</w:t>
      </w:r>
      <w:r w:rsidR="00243927">
        <w:t xml:space="preserve"> 2015. </w:t>
      </w:r>
      <w:r w:rsidR="00F60272">
        <w:t xml:space="preserve">We expect the </w:t>
      </w:r>
      <w:r w:rsidR="00F86DED">
        <w:t xml:space="preserve">H1 focus will be on attritional loss experience in a softening cycle, the build-up of excess capital in a benign claims environment and the outlook for </w:t>
      </w:r>
      <w:r w:rsidR="00291392">
        <w:t xml:space="preserve">reinsurance vs insurance </w:t>
      </w:r>
      <w:r w:rsidR="00F86DED">
        <w:t>capacity deployment in 2015.</w:t>
      </w:r>
      <w:r w:rsidR="00291392">
        <w:t xml:space="preserve"> We believe the Lloyd's underwriters </w:t>
      </w:r>
      <w:r w:rsidR="001576E3" w:rsidRPr="003813A3">
        <w:t>are in a favorable posi</w:t>
      </w:r>
      <w:r w:rsidR="00117CA7" w:rsidRPr="00117CA7">
        <w:t>tion and</w:t>
      </w:r>
      <w:r w:rsidR="001576E3" w:rsidRPr="003813A3">
        <w:t xml:space="preserve"> able to manage</w:t>
      </w:r>
      <w:r w:rsidR="00117CA7">
        <w:t xml:space="preserve"> </w:t>
      </w:r>
      <w:r w:rsidR="00291392" w:rsidRPr="003813A3">
        <w:t>the</w:t>
      </w:r>
      <w:r w:rsidR="00291392">
        <w:t xml:space="preserve"> cycle </w:t>
      </w:r>
      <w:r w:rsidR="003813A3">
        <w:t xml:space="preserve">but </w:t>
      </w:r>
      <w:r w:rsidR="00291392">
        <w:t xml:space="preserve">likely to shrink reinsurance and continue to grow insurance into 2015. </w:t>
      </w:r>
    </w:p>
    <w:p w:rsidR="00096996" w:rsidRDefault="00096996" w:rsidP="00096996">
      <w:pPr>
        <w:pStyle w:val="Body"/>
        <w:spacing w:after="0" w:line="0" w:lineRule="atLeast"/>
        <w:rPr>
          <w:sz w:val="10"/>
        </w:rPr>
        <w:sectPr w:rsidR="00096996" w:rsidSect="00096996">
          <w:headerReference w:type="even" r:id="rId15"/>
          <w:headerReference w:type="default" r:id="rId16"/>
          <w:footerReference w:type="even" r:id="rId17"/>
          <w:footerReference w:type="default" r:id="rId18"/>
          <w:headerReference w:type="first" r:id="rId19"/>
          <w:footerReference w:type="first" r:id="rId20"/>
          <w:pgSz w:w="12240" w:h="15840" w:code="1"/>
          <w:pgMar w:top="2376" w:right="578" w:bottom="720" w:left="1729" w:header="431" w:footer="720" w:gutter="0"/>
          <w:cols w:space="720"/>
          <w:formProt w:val="0"/>
          <w:titlePg/>
          <w:docGrid w:linePitch="360"/>
        </w:sectPr>
      </w:pPr>
    </w:p>
    <w:p w:rsidR="00B11ED5" w:rsidRDefault="00B11ED5" w:rsidP="00096996">
      <w:pPr>
        <w:pStyle w:val="Body"/>
      </w:pPr>
    </w:p>
    <w:p w:rsidR="00905C02" w:rsidRDefault="00B757D4" w:rsidP="00905C02">
      <w:pPr>
        <w:pStyle w:val="Heading1"/>
      </w:pPr>
      <w:bookmarkStart w:id="0" w:name="_Toc377465975"/>
      <w:r>
        <w:t>Lloyd’s Insurers Valuation S</w:t>
      </w:r>
      <w:r w:rsidR="00905C02">
        <w:t>heet</w:t>
      </w:r>
      <w:bookmarkEnd w:id="0"/>
    </w:p>
    <w:p w:rsidR="00905C02" w:rsidRDefault="00905C02" w:rsidP="00905C02">
      <w:pPr>
        <w:pStyle w:val="TableTitle"/>
        <w:spacing w:after="40"/>
      </w:pPr>
      <w:r>
        <w:t xml:space="preserve">Table </w:t>
      </w:r>
      <w:fldSimple w:instr=" SEQ Table \* ARABIC ">
        <w:r w:rsidR="00F60272">
          <w:rPr>
            <w:noProof/>
          </w:rPr>
          <w:t>1</w:t>
        </w:r>
      </w:fldSimple>
      <w:r>
        <w:t>: Valuation sheet</w:t>
      </w:r>
    </w:p>
    <w:p w:rsidR="00905C02" w:rsidRPr="0070744D" w:rsidRDefault="00905C02" w:rsidP="00905C02">
      <w:pPr>
        <w:pStyle w:val="Units"/>
      </w:pPr>
      <w:r>
        <w:t>$ million</w:t>
      </w:r>
    </w:p>
    <w:tbl>
      <w:tblPr>
        <w:tblW w:w="13780" w:type="dxa"/>
        <w:tblLayout w:type="fixed"/>
        <w:tblLook w:val="0000"/>
      </w:tblPr>
      <w:tblGrid>
        <w:gridCol w:w="1908"/>
        <w:gridCol w:w="25"/>
        <w:gridCol w:w="25"/>
        <w:gridCol w:w="1138"/>
        <w:gridCol w:w="1164"/>
        <w:gridCol w:w="1162"/>
        <w:gridCol w:w="1129"/>
        <w:gridCol w:w="1069"/>
        <w:gridCol w:w="1062"/>
        <w:gridCol w:w="1047"/>
        <w:gridCol w:w="1016"/>
        <w:gridCol w:w="980"/>
        <w:gridCol w:w="1041"/>
        <w:gridCol w:w="1014"/>
      </w:tblGrid>
      <w:tr w:rsidR="000B18DF" w:rsidRPr="00392EC5" w:rsidTr="000B18DF">
        <w:tc>
          <w:tcPr>
            <w:tcW w:w="1908" w:type="dxa"/>
            <w:tcBorders>
              <w:top w:val="single" w:sz="4" w:space="0" w:color="auto"/>
            </w:tcBorders>
            <w:shd w:val="clear" w:color="auto" w:fill="B8CCE4" w:themeFill="accent1" w:themeFillTint="66"/>
            <w:vAlign w:val="bottom"/>
          </w:tcPr>
          <w:p w:rsidR="000B18DF" w:rsidRPr="00EB05A0" w:rsidRDefault="000B18DF">
            <w:pPr>
              <w:rPr>
                <w:rFonts w:ascii="Arial Narrow" w:hAnsi="Arial Narrow" w:cs="Arial"/>
                <w:b/>
                <w:bCs/>
                <w:sz w:val="16"/>
                <w:szCs w:val="16"/>
              </w:rPr>
            </w:pPr>
            <w:r w:rsidRPr="00EB05A0">
              <w:rPr>
                <w:rFonts w:ascii="Arial Narrow" w:hAnsi="Arial Narrow" w:cs="Arial"/>
                <w:b/>
                <w:bCs/>
                <w:sz w:val="16"/>
                <w:szCs w:val="16"/>
              </w:rPr>
              <w:t>LLOYD's</w:t>
            </w:r>
          </w:p>
        </w:tc>
        <w:tc>
          <w:tcPr>
            <w:tcW w:w="1188" w:type="dxa"/>
            <w:gridSpan w:val="3"/>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sz w:val="16"/>
                <w:szCs w:val="16"/>
              </w:rPr>
            </w:pPr>
            <w:r w:rsidRPr="000B18DF">
              <w:rPr>
                <w:rFonts w:ascii="Arial Narrow" w:hAnsi="Arial Narrow"/>
                <w:sz w:val="16"/>
                <w:szCs w:val="16"/>
              </w:rPr>
              <w:t> </w:t>
            </w:r>
          </w:p>
        </w:tc>
        <w:tc>
          <w:tcPr>
            <w:tcW w:w="1164"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BBG</w:t>
            </w:r>
          </w:p>
        </w:tc>
        <w:tc>
          <w:tcPr>
            <w:tcW w:w="1162"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sz w:val="16"/>
                <w:szCs w:val="16"/>
              </w:rPr>
            </w:pPr>
            <w:r w:rsidRPr="000B18DF">
              <w:rPr>
                <w:rFonts w:ascii="Arial Narrow" w:hAnsi="Arial Narrow"/>
                <w:sz w:val="16"/>
                <w:szCs w:val="16"/>
              </w:rPr>
              <w:t> </w:t>
            </w:r>
          </w:p>
        </w:tc>
        <w:tc>
          <w:tcPr>
            <w:tcW w:w="1129"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Target</w:t>
            </w:r>
          </w:p>
        </w:tc>
        <w:tc>
          <w:tcPr>
            <w:tcW w:w="1069"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 xml:space="preserve">Mkt cap </w:t>
            </w:r>
          </w:p>
        </w:tc>
        <w:tc>
          <w:tcPr>
            <w:tcW w:w="1062"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P/TNAV x</w:t>
            </w:r>
          </w:p>
        </w:tc>
        <w:tc>
          <w:tcPr>
            <w:tcW w:w="1047"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P/TNAV x</w:t>
            </w:r>
          </w:p>
        </w:tc>
        <w:tc>
          <w:tcPr>
            <w:tcW w:w="1016"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P/TNAV x</w:t>
            </w:r>
          </w:p>
        </w:tc>
        <w:tc>
          <w:tcPr>
            <w:tcW w:w="980"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RTNAV %</w:t>
            </w:r>
          </w:p>
        </w:tc>
        <w:tc>
          <w:tcPr>
            <w:tcW w:w="1041"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RTNAV %</w:t>
            </w:r>
          </w:p>
        </w:tc>
        <w:tc>
          <w:tcPr>
            <w:tcW w:w="1014" w:type="dxa"/>
            <w:tcBorders>
              <w:top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RTNAV %</w:t>
            </w:r>
          </w:p>
        </w:tc>
      </w:tr>
      <w:tr w:rsidR="000B18DF" w:rsidRPr="00392EC5" w:rsidTr="000B18DF">
        <w:tc>
          <w:tcPr>
            <w:tcW w:w="1933" w:type="dxa"/>
            <w:gridSpan w:val="2"/>
            <w:tcBorders>
              <w:bottom w:val="single" w:sz="4" w:space="0" w:color="auto"/>
            </w:tcBorders>
            <w:shd w:val="clear" w:color="auto" w:fill="B8CCE4" w:themeFill="accent1" w:themeFillTint="66"/>
            <w:vAlign w:val="bottom"/>
          </w:tcPr>
          <w:p w:rsidR="000B18DF" w:rsidRPr="000B18DF" w:rsidRDefault="000B18DF">
            <w:pPr>
              <w:rPr>
                <w:rFonts w:ascii="Arial Narrow" w:hAnsi="Arial Narrow"/>
                <w:b/>
                <w:bCs/>
                <w:sz w:val="16"/>
                <w:szCs w:val="16"/>
              </w:rPr>
            </w:pPr>
            <w:r w:rsidRPr="000B18DF">
              <w:rPr>
                <w:rFonts w:ascii="Arial Narrow" w:hAnsi="Arial Narrow"/>
                <w:b/>
                <w:bCs/>
                <w:sz w:val="16"/>
                <w:szCs w:val="16"/>
              </w:rPr>
              <w:t>Valuation Metrics</w:t>
            </w:r>
          </w:p>
        </w:tc>
        <w:tc>
          <w:tcPr>
            <w:tcW w:w="1163" w:type="dxa"/>
            <w:gridSpan w:val="2"/>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Rec.</w:t>
            </w:r>
          </w:p>
        </w:tc>
        <w:tc>
          <w:tcPr>
            <w:tcW w:w="1164"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RICs</w:t>
            </w:r>
          </w:p>
        </w:tc>
        <w:tc>
          <w:tcPr>
            <w:tcW w:w="1162"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Price (p)</w:t>
            </w:r>
          </w:p>
        </w:tc>
        <w:tc>
          <w:tcPr>
            <w:tcW w:w="1129"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Price</w:t>
            </w:r>
          </w:p>
        </w:tc>
        <w:tc>
          <w:tcPr>
            <w:tcW w:w="1069"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(£m)</w:t>
            </w:r>
          </w:p>
        </w:tc>
        <w:tc>
          <w:tcPr>
            <w:tcW w:w="1062"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2013</w:t>
            </w:r>
          </w:p>
        </w:tc>
        <w:tc>
          <w:tcPr>
            <w:tcW w:w="1047"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2014E</w:t>
            </w:r>
          </w:p>
        </w:tc>
        <w:tc>
          <w:tcPr>
            <w:tcW w:w="1016"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2015E</w:t>
            </w:r>
          </w:p>
        </w:tc>
        <w:tc>
          <w:tcPr>
            <w:tcW w:w="980"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2013</w:t>
            </w:r>
          </w:p>
        </w:tc>
        <w:tc>
          <w:tcPr>
            <w:tcW w:w="1041"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2014E</w:t>
            </w:r>
          </w:p>
        </w:tc>
        <w:tc>
          <w:tcPr>
            <w:tcW w:w="1014" w:type="dxa"/>
            <w:tcBorders>
              <w:bottom w:val="single" w:sz="4" w:space="0" w:color="auto"/>
            </w:tcBorders>
            <w:shd w:val="clear" w:color="auto" w:fill="B8CCE4" w:themeFill="accent1" w:themeFillTint="66"/>
            <w:vAlign w:val="bottom"/>
          </w:tcPr>
          <w:p w:rsidR="000B18DF" w:rsidRPr="000B18DF" w:rsidRDefault="000B18DF">
            <w:pPr>
              <w:jc w:val="right"/>
              <w:rPr>
                <w:rFonts w:ascii="Arial Narrow" w:hAnsi="Arial Narrow"/>
                <w:b/>
                <w:bCs/>
                <w:sz w:val="16"/>
                <w:szCs w:val="16"/>
              </w:rPr>
            </w:pPr>
            <w:r w:rsidRPr="000B18DF">
              <w:rPr>
                <w:rFonts w:ascii="Arial Narrow" w:hAnsi="Arial Narrow"/>
                <w:b/>
                <w:bCs/>
                <w:sz w:val="16"/>
                <w:szCs w:val="16"/>
              </w:rPr>
              <w:t>2015E</w:t>
            </w:r>
          </w:p>
        </w:tc>
      </w:tr>
      <w:tr w:rsidR="003E184B" w:rsidRPr="00392EC5" w:rsidTr="000B18DF">
        <w:tc>
          <w:tcPr>
            <w:tcW w:w="1933" w:type="dxa"/>
            <w:gridSpan w:val="2"/>
            <w:tcBorders>
              <w:top w:val="single" w:sz="4" w:space="0" w:color="auto"/>
            </w:tcBorders>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Amlin</w:t>
            </w:r>
          </w:p>
        </w:tc>
        <w:tc>
          <w:tcPr>
            <w:tcW w:w="1163" w:type="dxa"/>
            <w:gridSpan w:val="2"/>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UW</w:t>
            </w:r>
          </w:p>
        </w:tc>
        <w:tc>
          <w:tcPr>
            <w:tcW w:w="1164"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AML LN</w:t>
            </w:r>
          </w:p>
        </w:tc>
        <w:tc>
          <w:tcPr>
            <w:tcW w:w="1162"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480</w:t>
            </w:r>
          </w:p>
        </w:tc>
        <w:tc>
          <w:tcPr>
            <w:tcW w:w="1129"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390</w:t>
            </w:r>
          </w:p>
        </w:tc>
        <w:tc>
          <w:tcPr>
            <w:tcW w:w="1069"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2403</w:t>
            </w:r>
          </w:p>
        </w:tc>
        <w:tc>
          <w:tcPr>
            <w:tcW w:w="1062"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1.6x</w:t>
            </w:r>
          </w:p>
        </w:tc>
        <w:tc>
          <w:tcPr>
            <w:tcW w:w="1047"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1.6x</w:t>
            </w:r>
          </w:p>
        </w:tc>
        <w:tc>
          <w:tcPr>
            <w:tcW w:w="1016"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1.6x</w:t>
            </w:r>
          </w:p>
        </w:tc>
        <w:tc>
          <w:tcPr>
            <w:tcW w:w="980"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21.9%</w:t>
            </w:r>
          </w:p>
        </w:tc>
        <w:tc>
          <w:tcPr>
            <w:tcW w:w="1041"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13.1%</w:t>
            </w:r>
          </w:p>
        </w:tc>
        <w:tc>
          <w:tcPr>
            <w:tcW w:w="1014"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10.3%</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Beazley</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N</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BEZ LN</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262</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258</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1367</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1.5x</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1.7x</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1.6x</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22.5%</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17.9%</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15.0%</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BRIT</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OW</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BRIT LN</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248</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256</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991</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1.3x</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1.4x</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1.3x</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15.4%</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14.3%</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13.8%</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Catlin</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OW</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CGL LN</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545</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580</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1973</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1.2x</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1.2x</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1.1x</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16.1%</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11.8%</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13.2%</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Hiscox</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N</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HSX LN</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735</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631</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2339</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1.8x</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1.8x</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1.7x</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18.0%</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11.5%</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12.7%</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Lancashire</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N</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LRE LN</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659</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744</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1235</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1.9x</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1.4x</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1.3x</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16.9%</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15.5%</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13.7%</w:t>
            </w:r>
          </w:p>
        </w:tc>
      </w:tr>
      <w:tr w:rsidR="003E184B" w:rsidRPr="00392EC5" w:rsidTr="00C93217">
        <w:tc>
          <w:tcPr>
            <w:tcW w:w="1958" w:type="dxa"/>
            <w:gridSpan w:val="3"/>
            <w:tcBorders>
              <w:bottom w:val="single" w:sz="4" w:space="0" w:color="auto"/>
            </w:tcBorders>
            <w:shd w:val="clear" w:color="auto" w:fill="auto"/>
            <w:vAlign w:val="bottom"/>
          </w:tcPr>
          <w:p w:rsidR="003E184B" w:rsidRPr="003E184B" w:rsidRDefault="003E184B" w:rsidP="000B18DF">
            <w:pPr>
              <w:rPr>
                <w:rFonts w:ascii="Arial Narrow" w:hAnsi="Arial Narrow"/>
                <w:sz w:val="16"/>
                <w:szCs w:val="16"/>
              </w:rPr>
            </w:pPr>
          </w:p>
        </w:tc>
        <w:tc>
          <w:tcPr>
            <w:tcW w:w="1138"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164"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162"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29"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069"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062"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047"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016"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980"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41"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14"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r>
      <w:tr w:rsidR="003E184B" w:rsidRPr="00392EC5" w:rsidTr="00C93217">
        <w:tc>
          <w:tcPr>
            <w:tcW w:w="1933" w:type="dxa"/>
            <w:gridSpan w:val="2"/>
            <w:tcBorders>
              <w:top w:val="single" w:sz="4" w:space="0" w:color="auto"/>
              <w:bottom w:val="single" w:sz="4" w:space="0" w:color="auto"/>
            </w:tcBorders>
            <w:shd w:val="clear" w:color="auto" w:fill="auto"/>
            <w:vAlign w:val="bottom"/>
          </w:tcPr>
          <w:p w:rsidR="003E184B" w:rsidRPr="000B18DF" w:rsidRDefault="003E184B">
            <w:pPr>
              <w:rPr>
                <w:rFonts w:ascii="Arial Narrow" w:hAnsi="Arial Narrow"/>
                <w:b/>
                <w:bCs/>
                <w:sz w:val="16"/>
                <w:szCs w:val="16"/>
              </w:rPr>
            </w:pPr>
            <w:r w:rsidRPr="000B18DF">
              <w:rPr>
                <w:rFonts w:ascii="Arial Narrow" w:hAnsi="Arial Narrow"/>
                <w:b/>
                <w:bCs/>
                <w:sz w:val="16"/>
                <w:szCs w:val="16"/>
              </w:rPr>
              <w:t>Wght avg.</w:t>
            </w:r>
          </w:p>
        </w:tc>
        <w:tc>
          <w:tcPr>
            <w:tcW w:w="1163" w:type="dxa"/>
            <w:gridSpan w:val="2"/>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w:t>
            </w:r>
          </w:p>
        </w:tc>
        <w:tc>
          <w:tcPr>
            <w:tcW w:w="1164"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sz w:val="16"/>
                <w:szCs w:val="16"/>
              </w:rPr>
            </w:pPr>
            <w:r w:rsidRPr="00117CA7">
              <w:rPr>
                <w:rFonts w:ascii="Arial Narrow" w:hAnsi="Arial Narrow" w:cs="Arial"/>
                <w:sz w:val="16"/>
                <w:szCs w:val="16"/>
              </w:rPr>
              <w:t> </w:t>
            </w:r>
          </w:p>
        </w:tc>
        <w:tc>
          <w:tcPr>
            <w:tcW w:w="1162"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sz w:val="16"/>
                <w:szCs w:val="16"/>
              </w:rPr>
            </w:pPr>
            <w:r w:rsidRPr="00117CA7">
              <w:rPr>
                <w:rFonts w:ascii="Arial Narrow" w:hAnsi="Arial Narrow" w:cs="Arial"/>
                <w:sz w:val="16"/>
                <w:szCs w:val="16"/>
              </w:rPr>
              <w:t> </w:t>
            </w:r>
          </w:p>
        </w:tc>
        <w:tc>
          <w:tcPr>
            <w:tcW w:w="1129"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sz w:val="16"/>
                <w:szCs w:val="16"/>
              </w:rPr>
            </w:pPr>
            <w:r w:rsidRPr="00117CA7">
              <w:rPr>
                <w:rFonts w:ascii="Arial Narrow" w:hAnsi="Arial Narrow" w:cs="Arial"/>
                <w:sz w:val="16"/>
                <w:szCs w:val="16"/>
              </w:rPr>
              <w:t> </w:t>
            </w:r>
          </w:p>
        </w:tc>
        <w:tc>
          <w:tcPr>
            <w:tcW w:w="1069"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sz w:val="16"/>
                <w:szCs w:val="16"/>
              </w:rPr>
            </w:pPr>
            <w:r w:rsidRPr="00117CA7">
              <w:rPr>
                <w:rFonts w:ascii="Arial Narrow" w:hAnsi="Arial Narrow" w:cs="Arial"/>
                <w:sz w:val="16"/>
                <w:szCs w:val="16"/>
              </w:rPr>
              <w:t> </w:t>
            </w:r>
          </w:p>
        </w:tc>
        <w:tc>
          <w:tcPr>
            <w:tcW w:w="1062" w:type="dxa"/>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1.5x</w:t>
            </w:r>
          </w:p>
        </w:tc>
        <w:tc>
          <w:tcPr>
            <w:tcW w:w="1047" w:type="dxa"/>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1.5x</w:t>
            </w:r>
          </w:p>
        </w:tc>
        <w:tc>
          <w:tcPr>
            <w:tcW w:w="1016" w:type="dxa"/>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1.5x</w:t>
            </w:r>
          </w:p>
        </w:tc>
        <w:tc>
          <w:tcPr>
            <w:tcW w:w="980" w:type="dxa"/>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18.6%</w:t>
            </w:r>
          </w:p>
        </w:tc>
        <w:tc>
          <w:tcPr>
            <w:tcW w:w="1041" w:type="dxa"/>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13.4%</w:t>
            </w:r>
          </w:p>
        </w:tc>
        <w:tc>
          <w:tcPr>
            <w:tcW w:w="1014" w:type="dxa"/>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12.8%</w:t>
            </w:r>
          </w:p>
        </w:tc>
      </w:tr>
      <w:tr w:rsidR="003E184B" w:rsidRPr="00392EC5" w:rsidTr="000B18DF">
        <w:tc>
          <w:tcPr>
            <w:tcW w:w="1933" w:type="dxa"/>
            <w:gridSpan w:val="2"/>
            <w:tcBorders>
              <w:top w:val="single" w:sz="4" w:space="0" w:color="auto"/>
              <w:bottom w:val="single" w:sz="4" w:space="0" w:color="auto"/>
            </w:tcBorders>
            <w:shd w:val="clear" w:color="auto" w:fill="auto"/>
            <w:vAlign w:val="bottom"/>
          </w:tcPr>
          <w:p w:rsidR="003E184B" w:rsidRPr="000B18DF" w:rsidRDefault="003E184B">
            <w:pPr>
              <w:rPr>
                <w:rFonts w:ascii="Arial Narrow" w:hAnsi="Arial Narrow"/>
                <w:sz w:val="16"/>
                <w:szCs w:val="16"/>
              </w:rPr>
            </w:pPr>
          </w:p>
        </w:tc>
        <w:tc>
          <w:tcPr>
            <w:tcW w:w="1163" w:type="dxa"/>
            <w:gridSpan w:val="2"/>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64"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62"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29"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69"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62"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47"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16"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980"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41"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14"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r>
      <w:tr w:rsidR="003E184B" w:rsidRPr="00392EC5" w:rsidTr="000B18DF">
        <w:tc>
          <w:tcPr>
            <w:tcW w:w="1933" w:type="dxa"/>
            <w:gridSpan w:val="2"/>
            <w:tcBorders>
              <w:top w:val="single" w:sz="4" w:space="0" w:color="auto"/>
            </w:tcBorders>
            <w:shd w:val="clear" w:color="auto" w:fill="B8CCE4" w:themeFill="accent1" w:themeFillTint="66"/>
            <w:vAlign w:val="bottom"/>
          </w:tcPr>
          <w:p w:rsidR="003E184B" w:rsidRPr="000B18DF" w:rsidRDefault="003E184B">
            <w:pPr>
              <w:rPr>
                <w:rFonts w:ascii="Arial Narrow" w:hAnsi="Arial Narrow"/>
                <w:b/>
                <w:bCs/>
                <w:sz w:val="16"/>
                <w:szCs w:val="16"/>
              </w:rPr>
            </w:pPr>
            <w:r w:rsidRPr="000B18DF">
              <w:rPr>
                <w:rFonts w:ascii="Arial Narrow" w:hAnsi="Arial Narrow"/>
                <w:b/>
                <w:bCs/>
                <w:sz w:val="16"/>
                <w:szCs w:val="16"/>
              </w:rPr>
              <w:t>LLOYD's</w:t>
            </w:r>
          </w:p>
        </w:tc>
        <w:tc>
          <w:tcPr>
            <w:tcW w:w="1163" w:type="dxa"/>
            <w:gridSpan w:val="2"/>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Yield %</w:t>
            </w:r>
          </w:p>
        </w:tc>
        <w:tc>
          <w:tcPr>
            <w:tcW w:w="1164"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Yield %</w:t>
            </w:r>
          </w:p>
        </w:tc>
        <w:tc>
          <w:tcPr>
            <w:tcW w:w="1162"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P/E x</w:t>
            </w:r>
          </w:p>
        </w:tc>
        <w:tc>
          <w:tcPr>
            <w:tcW w:w="1129"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P/E x</w:t>
            </w:r>
          </w:p>
        </w:tc>
        <w:tc>
          <w:tcPr>
            <w:tcW w:w="1069"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EPS p</w:t>
            </w:r>
          </w:p>
        </w:tc>
        <w:tc>
          <w:tcPr>
            <w:tcW w:w="1062"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EPS p</w:t>
            </w:r>
          </w:p>
        </w:tc>
        <w:tc>
          <w:tcPr>
            <w:tcW w:w="1047"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EPS p</w:t>
            </w:r>
          </w:p>
        </w:tc>
        <w:tc>
          <w:tcPr>
            <w:tcW w:w="1016"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EPS p</w:t>
            </w:r>
          </w:p>
        </w:tc>
        <w:tc>
          <w:tcPr>
            <w:tcW w:w="980"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DPS p</w:t>
            </w:r>
          </w:p>
        </w:tc>
        <w:tc>
          <w:tcPr>
            <w:tcW w:w="1041"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DPS p</w:t>
            </w:r>
          </w:p>
        </w:tc>
        <w:tc>
          <w:tcPr>
            <w:tcW w:w="1014"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DPS p</w:t>
            </w:r>
          </w:p>
        </w:tc>
      </w:tr>
      <w:tr w:rsidR="003E184B" w:rsidRPr="00392EC5" w:rsidTr="000B18DF">
        <w:tc>
          <w:tcPr>
            <w:tcW w:w="1933" w:type="dxa"/>
            <w:gridSpan w:val="2"/>
            <w:tcBorders>
              <w:bottom w:val="single" w:sz="4" w:space="0" w:color="auto"/>
            </w:tcBorders>
            <w:shd w:val="clear" w:color="auto" w:fill="B8CCE4" w:themeFill="accent1" w:themeFillTint="66"/>
            <w:vAlign w:val="bottom"/>
          </w:tcPr>
          <w:p w:rsidR="003E184B" w:rsidRPr="000B18DF" w:rsidRDefault="003E184B">
            <w:pPr>
              <w:rPr>
                <w:rFonts w:ascii="Arial Narrow" w:hAnsi="Arial Narrow"/>
                <w:b/>
                <w:bCs/>
                <w:sz w:val="16"/>
                <w:szCs w:val="16"/>
              </w:rPr>
            </w:pPr>
            <w:r w:rsidRPr="000B18DF">
              <w:rPr>
                <w:rFonts w:ascii="Arial Narrow" w:hAnsi="Arial Narrow"/>
                <w:b/>
                <w:bCs/>
                <w:sz w:val="16"/>
                <w:szCs w:val="16"/>
              </w:rPr>
              <w:t>Valuation Metrics</w:t>
            </w:r>
          </w:p>
        </w:tc>
        <w:tc>
          <w:tcPr>
            <w:tcW w:w="1163" w:type="dxa"/>
            <w:gridSpan w:val="2"/>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2013</w:t>
            </w:r>
          </w:p>
        </w:tc>
        <w:tc>
          <w:tcPr>
            <w:tcW w:w="1164"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2014E</w:t>
            </w:r>
          </w:p>
        </w:tc>
        <w:tc>
          <w:tcPr>
            <w:tcW w:w="1162"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2014E</w:t>
            </w:r>
          </w:p>
        </w:tc>
        <w:tc>
          <w:tcPr>
            <w:tcW w:w="1129"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2015E</w:t>
            </w:r>
          </w:p>
        </w:tc>
        <w:tc>
          <w:tcPr>
            <w:tcW w:w="1069"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2013</w:t>
            </w:r>
          </w:p>
        </w:tc>
        <w:tc>
          <w:tcPr>
            <w:tcW w:w="1062"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2014E</w:t>
            </w:r>
          </w:p>
        </w:tc>
        <w:tc>
          <w:tcPr>
            <w:tcW w:w="1047"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2015E</w:t>
            </w:r>
          </w:p>
        </w:tc>
        <w:tc>
          <w:tcPr>
            <w:tcW w:w="1016"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2016E</w:t>
            </w:r>
          </w:p>
        </w:tc>
        <w:tc>
          <w:tcPr>
            <w:tcW w:w="980"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2013</w:t>
            </w:r>
          </w:p>
        </w:tc>
        <w:tc>
          <w:tcPr>
            <w:tcW w:w="1041"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2014E</w:t>
            </w:r>
          </w:p>
        </w:tc>
        <w:tc>
          <w:tcPr>
            <w:tcW w:w="1014"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2015E</w:t>
            </w:r>
          </w:p>
        </w:tc>
      </w:tr>
      <w:tr w:rsidR="003E184B" w:rsidRPr="00392EC5" w:rsidTr="000B18DF">
        <w:tc>
          <w:tcPr>
            <w:tcW w:w="1933" w:type="dxa"/>
            <w:gridSpan w:val="2"/>
            <w:tcBorders>
              <w:top w:val="single" w:sz="4" w:space="0" w:color="auto"/>
            </w:tcBorders>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Amlin</w:t>
            </w:r>
          </w:p>
        </w:tc>
        <w:tc>
          <w:tcPr>
            <w:tcW w:w="1163" w:type="dxa"/>
            <w:gridSpan w:val="2"/>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5.7%</w:t>
            </w:r>
          </w:p>
        </w:tc>
        <w:tc>
          <w:tcPr>
            <w:tcW w:w="1164"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5.4%</w:t>
            </w:r>
          </w:p>
        </w:tc>
        <w:tc>
          <w:tcPr>
            <w:tcW w:w="1162"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12.7x</w:t>
            </w:r>
          </w:p>
        </w:tc>
        <w:tc>
          <w:tcPr>
            <w:tcW w:w="1129"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15.7x</w:t>
            </w:r>
          </w:p>
        </w:tc>
        <w:tc>
          <w:tcPr>
            <w:tcW w:w="1069"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59</w:t>
            </w:r>
          </w:p>
        </w:tc>
        <w:tc>
          <w:tcPr>
            <w:tcW w:w="1062"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38</w:t>
            </w:r>
          </w:p>
        </w:tc>
        <w:tc>
          <w:tcPr>
            <w:tcW w:w="1047"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31</w:t>
            </w:r>
          </w:p>
        </w:tc>
        <w:tc>
          <w:tcPr>
            <w:tcW w:w="1016"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30</w:t>
            </w:r>
          </w:p>
        </w:tc>
        <w:tc>
          <w:tcPr>
            <w:tcW w:w="980"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26</w:t>
            </w:r>
          </w:p>
        </w:tc>
        <w:tc>
          <w:tcPr>
            <w:tcW w:w="1041"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26</w:t>
            </w:r>
          </w:p>
        </w:tc>
        <w:tc>
          <w:tcPr>
            <w:tcW w:w="1014"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26</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Beazley</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11.3%</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3.5%</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10.1x</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11.4x</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32</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26</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23</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na</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25</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10</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BRIT</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12.1%</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7.6%</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10.1x</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9.7x</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25</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24</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26</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27</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25</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19</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19</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Catlin</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6.1%</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6.0%</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10.7x</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9.0x</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65</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51</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60</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68</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31</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33</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35</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Hiscox</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8.4%</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3.3%</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16.3x</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14.5x</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65</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45</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51</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54</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57</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25</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27</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Lancashire</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13.1%</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3.2%</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11.2x</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11.3x</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70</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59</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58</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59</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105</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21</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w:t>
            </w:r>
          </w:p>
        </w:tc>
      </w:tr>
      <w:tr w:rsidR="003E184B" w:rsidRPr="00392EC5" w:rsidTr="00C93217">
        <w:tc>
          <w:tcPr>
            <w:tcW w:w="1933" w:type="dxa"/>
            <w:gridSpan w:val="2"/>
            <w:tcBorders>
              <w:bottom w:val="single" w:sz="4" w:space="0" w:color="auto"/>
            </w:tcBorders>
            <w:shd w:val="clear" w:color="auto" w:fill="auto"/>
            <w:vAlign w:val="bottom"/>
          </w:tcPr>
          <w:p w:rsidR="003E184B" w:rsidRPr="000B18DF" w:rsidRDefault="003E184B">
            <w:pPr>
              <w:rPr>
                <w:rFonts w:ascii="Arial Narrow" w:hAnsi="Arial Narrow"/>
                <w:sz w:val="16"/>
                <w:szCs w:val="16"/>
              </w:rPr>
            </w:pPr>
          </w:p>
        </w:tc>
        <w:tc>
          <w:tcPr>
            <w:tcW w:w="1163" w:type="dxa"/>
            <w:gridSpan w:val="2"/>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164"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162"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129" w:type="dxa"/>
            <w:tcBorders>
              <w:bottom w:val="single" w:sz="4" w:space="0" w:color="auto"/>
            </w:tcBorders>
            <w:shd w:val="clear" w:color="auto" w:fill="auto"/>
            <w:vAlign w:val="bottom"/>
          </w:tcPr>
          <w:p w:rsidR="003E184B" w:rsidRPr="003E184B" w:rsidRDefault="003E184B">
            <w:pPr>
              <w:jc w:val="right"/>
              <w:rPr>
                <w:rFonts w:ascii="Arial Narrow" w:hAnsi="Arial Narrow"/>
                <w:sz w:val="16"/>
                <w:szCs w:val="16"/>
              </w:rPr>
            </w:pPr>
          </w:p>
        </w:tc>
        <w:tc>
          <w:tcPr>
            <w:tcW w:w="1069"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62"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47"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16"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980"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41"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14"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r>
      <w:tr w:rsidR="003E184B" w:rsidRPr="00392EC5" w:rsidTr="00C93217">
        <w:tc>
          <w:tcPr>
            <w:tcW w:w="1933" w:type="dxa"/>
            <w:gridSpan w:val="2"/>
            <w:tcBorders>
              <w:top w:val="single" w:sz="4" w:space="0" w:color="auto"/>
              <w:bottom w:val="single" w:sz="4" w:space="0" w:color="auto"/>
            </w:tcBorders>
            <w:shd w:val="clear" w:color="auto" w:fill="auto"/>
            <w:vAlign w:val="bottom"/>
          </w:tcPr>
          <w:p w:rsidR="003E184B" w:rsidRPr="000B18DF" w:rsidRDefault="003E184B">
            <w:pPr>
              <w:rPr>
                <w:rFonts w:ascii="Arial Narrow" w:hAnsi="Arial Narrow"/>
                <w:b/>
                <w:bCs/>
                <w:sz w:val="16"/>
                <w:szCs w:val="16"/>
              </w:rPr>
            </w:pPr>
            <w:r w:rsidRPr="000B18DF">
              <w:rPr>
                <w:rFonts w:ascii="Arial Narrow" w:hAnsi="Arial Narrow"/>
                <w:b/>
                <w:bCs/>
                <w:sz w:val="16"/>
                <w:szCs w:val="16"/>
              </w:rPr>
              <w:t>Wght avg.</w:t>
            </w:r>
          </w:p>
        </w:tc>
        <w:tc>
          <w:tcPr>
            <w:tcW w:w="1163" w:type="dxa"/>
            <w:gridSpan w:val="2"/>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8.6%</w:t>
            </w:r>
          </w:p>
        </w:tc>
        <w:tc>
          <w:tcPr>
            <w:tcW w:w="1164" w:type="dxa"/>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4.8%</w:t>
            </w:r>
          </w:p>
        </w:tc>
        <w:tc>
          <w:tcPr>
            <w:tcW w:w="1162" w:type="dxa"/>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12.4x</w:t>
            </w:r>
          </w:p>
        </w:tc>
        <w:tc>
          <w:tcPr>
            <w:tcW w:w="1129" w:type="dxa"/>
            <w:tcBorders>
              <w:top w:val="single" w:sz="4" w:space="0" w:color="auto"/>
              <w:bottom w:val="single" w:sz="4"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12.5x</w:t>
            </w:r>
          </w:p>
        </w:tc>
        <w:tc>
          <w:tcPr>
            <w:tcW w:w="1069"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b/>
                <w:bCs/>
                <w:sz w:val="16"/>
                <w:szCs w:val="16"/>
              </w:rPr>
            </w:pPr>
            <w:r w:rsidRPr="00117CA7">
              <w:rPr>
                <w:rFonts w:ascii="Arial Narrow" w:hAnsi="Arial Narrow" w:cs="Arial"/>
                <w:b/>
                <w:bCs/>
                <w:sz w:val="16"/>
                <w:szCs w:val="16"/>
              </w:rPr>
              <w:t> </w:t>
            </w:r>
          </w:p>
        </w:tc>
        <w:tc>
          <w:tcPr>
            <w:tcW w:w="1062"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b/>
                <w:bCs/>
                <w:sz w:val="16"/>
                <w:szCs w:val="16"/>
              </w:rPr>
            </w:pPr>
            <w:r w:rsidRPr="00117CA7">
              <w:rPr>
                <w:rFonts w:ascii="Arial Narrow" w:hAnsi="Arial Narrow" w:cs="Arial"/>
                <w:b/>
                <w:bCs/>
                <w:sz w:val="16"/>
                <w:szCs w:val="16"/>
              </w:rPr>
              <w:t> </w:t>
            </w:r>
          </w:p>
        </w:tc>
        <w:tc>
          <w:tcPr>
            <w:tcW w:w="1047"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b/>
                <w:bCs/>
                <w:sz w:val="16"/>
                <w:szCs w:val="16"/>
              </w:rPr>
            </w:pPr>
            <w:r w:rsidRPr="00117CA7">
              <w:rPr>
                <w:rFonts w:ascii="Arial Narrow" w:hAnsi="Arial Narrow" w:cs="Arial"/>
                <w:b/>
                <w:bCs/>
                <w:sz w:val="16"/>
                <w:szCs w:val="16"/>
              </w:rPr>
              <w:t> </w:t>
            </w:r>
          </w:p>
        </w:tc>
        <w:tc>
          <w:tcPr>
            <w:tcW w:w="1016"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b/>
                <w:bCs/>
                <w:sz w:val="16"/>
                <w:szCs w:val="16"/>
              </w:rPr>
            </w:pPr>
            <w:r w:rsidRPr="00117CA7">
              <w:rPr>
                <w:rFonts w:ascii="Arial Narrow" w:hAnsi="Arial Narrow" w:cs="Arial"/>
                <w:b/>
                <w:bCs/>
                <w:sz w:val="16"/>
                <w:szCs w:val="16"/>
              </w:rPr>
              <w:t> </w:t>
            </w:r>
          </w:p>
        </w:tc>
        <w:tc>
          <w:tcPr>
            <w:tcW w:w="980"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b/>
                <w:bCs/>
                <w:sz w:val="16"/>
                <w:szCs w:val="16"/>
              </w:rPr>
            </w:pPr>
            <w:r w:rsidRPr="00117CA7">
              <w:rPr>
                <w:rFonts w:ascii="Arial Narrow" w:hAnsi="Arial Narrow" w:cs="Arial"/>
                <w:b/>
                <w:bCs/>
                <w:sz w:val="16"/>
                <w:szCs w:val="16"/>
              </w:rPr>
              <w:t> </w:t>
            </w:r>
          </w:p>
        </w:tc>
        <w:tc>
          <w:tcPr>
            <w:tcW w:w="1041"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b/>
                <w:bCs/>
                <w:sz w:val="16"/>
                <w:szCs w:val="16"/>
              </w:rPr>
            </w:pPr>
            <w:r w:rsidRPr="00117CA7">
              <w:rPr>
                <w:rFonts w:ascii="Arial Narrow" w:hAnsi="Arial Narrow" w:cs="Arial"/>
                <w:b/>
                <w:bCs/>
                <w:sz w:val="16"/>
                <w:szCs w:val="16"/>
              </w:rPr>
              <w:t> </w:t>
            </w:r>
          </w:p>
        </w:tc>
        <w:tc>
          <w:tcPr>
            <w:tcW w:w="1014" w:type="dxa"/>
            <w:tcBorders>
              <w:top w:val="single" w:sz="4" w:space="0" w:color="auto"/>
              <w:bottom w:val="single" w:sz="4" w:space="0" w:color="auto"/>
            </w:tcBorders>
            <w:shd w:val="clear" w:color="auto" w:fill="auto"/>
            <w:vAlign w:val="bottom"/>
          </w:tcPr>
          <w:p w:rsidR="003E184B" w:rsidRPr="003E184B" w:rsidRDefault="00117CA7">
            <w:pPr>
              <w:rPr>
                <w:rFonts w:ascii="Arial Narrow" w:hAnsi="Arial Narrow"/>
                <w:b/>
                <w:bCs/>
                <w:sz w:val="16"/>
                <w:szCs w:val="16"/>
              </w:rPr>
            </w:pPr>
            <w:r w:rsidRPr="00117CA7">
              <w:rPr>
                <w:rFonts w:ascii="Arial Narrow" w:hAnsi="Arial Narrow" w:cs="Arial"/>
                <w:b/>
                <w:bCs/>
                <w:sz w:val="16"/>
                <w:szCs w:val="16"/>
              </w:rPr>
              <w:t> </w:t>
            </w:r>
          </w:p>
        </w:tc>
      </w:tr>
      <w:tr w:rsidR="003E184B" w:rsidRPr="00392EC5" w:rsidTr="000B18DF">
        <w:tc>
          <w:tcPr>
            <w:tcW w:w="1933" w:type="dxa"/>
            <w:gridSpan w:val="2"/>
            <w:tcBorders>
              <w:top w:val="single" w:sz="4" w:space="0" w:color="auto"/>
              <w:bottom w:val="single" w:sz="4" w:space="0" w:color="auto"/>
            </w:tcBorders>
            <w:shd w:val="clear" w:color="auto" w:fill="auto"/>
            <w:vAlign w:val="bottom"/>
          </w:tcPr>
          <w:p w:rsidR="003E184B" w:rsidRPr="000B18DF" w:rsidRDefault="003E184B">
            <w:pPr>
              <w:rPr>
                <w:rFonts w:ascii="Arial Narrow" w:hAnsi="Arial Narrow"/>
                <w:sz w:val="16"/>
                <w:szCs w:val="16"/>
              </w:rPr>
            </w:pPr>
          </w:p>
        </w:tc>
        <w:tc>
          <w:tcPr>
            <w:tcW w:w="1163" w:type="dxa"/>
            <w:gridSpan w:val="2"/>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64"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62"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29"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69"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62"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47"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16"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b/>
                <w:bCs/>
                <w:sz w:val="16"/>
                <w:szCs w:val="16"/>
              </w:rPr>
            </w:pPr>
          </w:p>
        </w:tc>
        <w:tc>
          <w:tcPr>
            <w:tcW w:w="980"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41"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14" w:type="dxa"/>
            <w:tcBorders>
              <w:top w:val="single" w:sz="4" w:space="0" w:color="auto"/>
              <w:bottom w:val="single" w:sz="4" w:space="0" w:color="auto"/>
            </w:tcBorders>
            <w:shd w:val="clear" w:color="auto" w:fill="auto"/>
            <w:vAlign w:val="bottom"/>
          </w:tcPr>
          <w:p w:rsidR="003E184B" w:rsidRPr="003E184B" w:rsidRDefault="003E184B">
            <w:pPr>
              <w:rPr>
                <w:rFonts w:ascii="Arial Narrow" w:hAnsi="Arial Narrow"/>
                <w:sz w:val="16"/>
                <w:szCs w:val="16"/>
              </w:rPr>
            </w:pPr>
          </w:p>
        </w:tc>
      </w:tr>
      <w:tr w:rsidR="003E184B" w:rsidRPr="00392EC5" w:rsidTr="000B18DF">
        <w:tc>
          <w:tcPr>
            <w:tcW w:w="1933" w:type="dxa"/>
            <w:gridSpan w:val="2"/>
            <w:tcBorders>
              <w:top w:val="single" w:sz="4" w:space="0" w:color="auto"/>
            </w:tcBorders>
            <w:shd w:val="clear" w:color="auto" w:fill="B8CCE4" w:themeFill="accent1" w:themeFillTint="66"/>
            <w:vAlign w:val="bottom"/>
          </w:tcPr>
          <w:p w:rsidR="003E184B" w:rsidRPr="000B18DF" w:rsidRDefault="003E184B">
            <w:pPr>
              <w:rPr>
                <w:rFonts w:ascii="Arial Narrow" w:hAnsi="Arial Narrow"/>
                <w:b/>
                <w:bCs/>
                <w:sz w:val="16"/>
                <w:szCs w:val="16"/>
              </w:rPr>
            </w:pPr>
            <w:r w:rsidRPr="000B18DF">
              <w:rPr>
                <w:rFonts w:ascii="Arial Narrow" w:hAnsi="Arial Narrow"/>
                <w:b/>
                <w:bCs/>
                <w:sz w:val="16"/>
                <w:szCs w:val="16"/>
              </w:rPr>
              <w:t>LLOYD's</w:t>
            </w:r>
          </w:p>
        </w:tc>
        <w:tc>
          <w:tcPr>
            <w:tcW w:w="1163" w:type="dxa"/>
            <w:gridSpan w:val="2"/>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TNAV</w:t>
            </w:r>
          </w:p>
        </w:tc>
        <w:tc>
          <w:tcPr>
            <w:tcW w:w="1164"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TNAV</w:t>
            </w:r>
          </w:p>
        </w:tc>
        <w:tc>
          <w:tcPr>
            <w:tcW w:w="1162"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TNAV</w:t>
            </w:r>
          </w:p>
        </w:tc>
        <w:tc>
          <w:tcPr>
            <w:tcW w:w="1129"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GWP-$m</w:t>
            </w:r>
          </w:p>
        </w:tc>
        <w:tc>
          <w:tcPr>
            <w:tcW w:w="1069"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GWP-$m</w:t>
            </w:r>
          </w:p>
        </w:tc>
        <w:tc>
          <w:tcPr>
            <w:tcW w:w="1062"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CR %</w:t>
            </w:r>
          </w:p>
        </w:tc>
        <w:tc>
          <w:tcPr>
            <w:tcW w:w="1047"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CR %</w:t>
            </w:r>
          </w:p>
        </w:tc>
        <w:tc>
          <w:tcPr>
            <w:tcW w:w="1016"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Attr. CR %</w:t>
            </w:r>
          </w:p>
        </w:tc>
        <w:tc>
          <w:tcPr>
            <w:tcW w:w="980"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Attr. CR %</w:t>
            </w:r>
          </w:p>
        </w:tc>
        <w:tc>
          <w:tcPr>
            <w:tcW w:w="1041"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Attr. CR %</w:t>
            </w:r>
          </w:p>
        </w:tc>
        <w:tc>
          <w:tcPr>
            <w:tcW w:w="1014" w:type="dxa"/>
            <w:tcBorders>
              <w:top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NII %</w:t>
            </w:r>
          </w:p>
        </w:tc>
      </w:tr>
      <w:tr w:rsidR="003E184B" w:rsidRPr="00392EC5" w:rsidTr="000B18DF">
        <w:tc>
          <w:tcPr>
            <w:tcW w:w="1933" w:type="dxa"/>
            <w:gridSpan w:val="2"/>
            <w:tcBorders>
              <w:bottom w:val="single" w:sz="4" w:space="0" w:color="auto"/>
            </w:tcBorders>
            <w:shd w:val="clear" w:color="auto" w:fill="B8CCE4" w:themeFill="accent1" w:themeFillTint="66"/>
            <w:vAlign w:val="bottom"/>
          </w:tcPr>
          <w:p w:rsidR="003E184B" w:rsidRPr="000B18DF" w:rsidRDefault="003E184B">
            <w:pPr>
              <w:rPr>
                <w:rFonts w:ascii="Arial Narrow" w:hAnsi="Arial Narrow"/>
                <w:b/>
                <w:bCs/>
                <w:sz w:val="16"/>
                <w:szCs w:val="16"/>
              </w:rPr>
            </w:pPr>
            <w:r w:rsidRPr="000B18DF">
              <w:rPr>
                <w:rFonts w:ascii="Arial Narrow" w:hAnsi="Arial Narrow"/>
                <w:b/>
                <w:bCs/>
                <w:sz w:val="16"/>
                <w:szCs w:val="16"/>
              </w:rPr>
              <w:t>Valuation Metrics</w:t>
            </w:r>
          </w:p>
        </w:tc>
        <w:tc>
          <w:tcPr>
            <w:tcW w:w="1163" w:type="dxa"/>
            <w:gridSpan w:val="2"/>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2013</w:t>
            </w:r>
          </w:p>
        </w:tc>
        <w:tc>
          <w:tcPr>
            <w:tcW w:w="1164"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2014E</w:t>
            </w:r>
          </w:p>
        </w:tc>
        <w:tc>
          <w:tcPr>
            <w:tcW w:w="1162"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2015E</w:t>
            </w:r>
          </w:p>
        </w:tc>
        <w:tc>
          <w:tcPr>
            <w:tcW w:w="1129"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2013</w:t>
            </w:r>
          </w:p>
        </w:tc>
        <w:tc>
          <w:tcPr>
            <w:tcW w:w="1069"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2014E</w:t>
            </w:r>
          </w:p>
        </w:tc>
        <w:tc>
          <w:tcPr>
            <w:tcW w:w="1062"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2013</w:t>
            </w:r>
          </w:p>
        </w:tc>
        <w:tc>
          <w:tcPr>
            <w:tcW w:w="1047"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2014E</w:t>
            </w:r>
          </w:p>
        </w:tc>
        <w:tc>
          <w:tcPr>
            <w:tcW w:w="1016"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2012</w:t>
            </w:r>
          </w:p>
        </w:tc>
        <w:tc>
          <w:tcPr>
            <w:tcW w:w="980"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2013</w:t>
            </w:r>
          </w:p>
        </w:tc>
        <w:tc>
          <w:tcPr>
            <w:tcW w:w="1041"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2014E</w:t>
            </w:r>
          </w:p>
        </w:tc>
        <w:tc>
          <w:tcPr>
            <w:tcW w:w="1014" w:type="dxa"/>
            <w:tcBorders>
              <w:bottom w:val="single" w:sz="4" w:space="0" w:color="auto"/>
            </w:tcBorders>
            <w:shd w:val="clear" w:color="auto" w:fill="B8CCE4" w:themeFill="accent1" w:themeFillTint="66"/>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2013</w:t>
            </w:r>
          </w:p>
        </w:tc>
      </w:tr>
      <w:tr w:rsidR="003E184B" w:rsidRPr="00392EC5" w:rsidTr="000B18DF">
        <w:tc>
          <w:tcPr>
            <w:tcW w:w="1933" w:type="dxa"/>
            <w:gridSpan w:val="2"/>
            <w:tcBorders>
              <w:top w:val="single" w:sz="4" w:space="0" w:color="auto"/>
            </w:tcBorders>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Amlin</w:t>
            </w:r>
          </w:p>
        </w:tc>
        <w:tc>
          <w:tcPr>
            <w:tcW w:w="1163" w:type="dxa"/>
            <w:gridSpan w:val="2"/>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288</w:t>
            </w:r>
          </w:p>
        </w:tc>
        <w:tc>
          <w:tcPr>
            <w:tcW w:w="1164"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299</w:t>
            </w:r>
          </w:p>
        </w:tc>
        <w:tc>
          <w:tcPr>
            <w:tcW w:w="1162"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303</w:t>
            </w:r>
          </w:p>
        </w:tc>
        <w:tc>
          <w:tcPr>
            <w:tcW w:w="1129"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4,085 </w:t>
            </w:r>
          </w:p>
        </w:tc>
        <w:tc>
          <w:tcPr>
            <w:tcW w:w="1069"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4,368 </w:t>
            </w:r>
          </w:p>
        </w:tc>
        <w:tc>
          <w:tcPr>
            <w:tcW w:w="1062"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90.0%</w:t>
            </w:r>
          </w:p>
        </w:tc>
        <w:tc>
          <w:tcPr>
            <w:tcW w:w="1047"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92.3%</w:t>
            </w:r>
          </w:p>
        </w:tc>
        <w:tc>
          <w:tcPr>
            <w:tcW w:w="1016"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89.5%</w:t>
            </w:r>
          </w:p>
        </w:tc>
        <w:tc>
          <w:tcPr>
            <w:tcW w:w="980"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88.9%</w:t>
            </w:r>
          </w:p>
        </w:tc>
        <w:tc>
          <w:tcPr>
            <w:tcW w:w="1041"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87.9%</w:t>
            </w:r>
          </w:p>
        </w:tc>
        <w:tc>
          <w:tcPr>
            <w:tcW w:w="1014" w:type="dxa"/>
            <w:tcBorders>
              <w:top w:val="single" w:sz="4" w:space="0" w:color="auto"/>
            </w:tcBorders>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3.2%</w:t>
            </w:r>
          </w:p>
        </w:tc>
      </w:tr>
      <w:tr w:rsidR="003E184B" w:rsidRPr="00392EC5" w:rsidTr="009D5128">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Beazley</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150</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153</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167</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1,970 </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2,061 </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84.1%</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88.9%</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90.8%</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88.1%</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91.0%</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1.0%</w:t>
            </w:r>
          </w:p>
        </w:tc>
      </w:tr>
      <w:tr w:rsidR="003E184B" w:rsidRPr="00392EC5" w:rsidTr="00EB05A0">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BRIT</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162</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181</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189</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1,963 </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1,985 </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85.3%</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90.5%</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88.6%</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88.2%</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87.4%</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2.2%</w:t>
            </w:r>
          </w:p>
        </w:tc>
      </w:tr>
      <w:tr w:rsidR="003E184B" w:rsidRPr="00392EC5" w:rsidTr="00EB05A0">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Catlin</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435</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451</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479</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5,309 </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5,543 </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91.3%</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94.1%</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89.0%</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89.2%</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88.9%</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2.7%</w:t>
            </w:r>
          </w:p>
        </w:tc>
      </w:tr>
      <w:tr w:rsidR="003E184B" w:rsidRPr="00392EC5" w:rsidTr="00EB05A0">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Hiscox</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381</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404</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432</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2,814 </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3,051 </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84.0%</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90.1%</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88.9%</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91.3%</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92.1%</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1.9%</w:t>
            </w:r>
          </w:p>
        </w:tc>
      </w:tr>
      <w:tr w:rsidR="003E184B" w:rsidRPr="00392EC5" w:rsidTr="00EB05A0">
        <w:tc>
          <w:tcPr>
            <w:tcW w:w="1933" w:type="dxa"/>
            <w:gridSpan w:val="2"/>
            <w:shd w:val="clear" w:color="auto" w:fill="auto"/>
            <w:vAlign w:val="bottom"/>
          </w:tcPr>
          <w:p w:rsidR="003E184B" w:rsidRPr="000B18DF" w:rsidRDefault="003E184B">
            <w:pPr>
              <w:rPr>
                <w:rFonts w:ascii="Arial Narrow" w:hAnsi="Arial Narrow"/>
                <w:sz w:val="16"/>
                <w:szCs w:val="16"/>
              </w:rPr>
            </w:pPr>
            <w:r w:rsidRPr="000B18DF">
              <w:rPr>
                <w:rFonts w:ascii="Arial Narrow" w:hAnsi="Arial Narrow"/>
                <w:sz w:val="16"/>
                <w:szCs w:val="16"/>
              </w:rPr>
              <w:t>Lancashire</w:t>
            </w:r>
          </w:p>
        </w:tc>
        <w:tc>
          <w:tcPr>
            <w:tcW w:w="1163" w:type="dxa"/>
            <w:gridSpan w:val="2"/>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429</w:t>
            </w:r>
          </w:p>
        </w:tc>
        <w:tc>
          <w:tcPr>
            <w:tcW w:w="116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466</w:t>
            </w:r>
          </w:p>
        </w:tc>
        <w:tc>
          <w:tcPr>
            <w:tcW w:w="11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524</w:t>
            </w:r>
          </w:p>
        </w:tc>
        <w:tc>
          <w:tcPr>
            <w:tcW w:w="112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680 </w:t>
            </w:r>
          </w:p>
        </w:tc>
        <w:tc>
          <w:tcPr>
            <w:tcW w:w="1069"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 xml:space="preserve">941 </w:t>
            </w:r>
          </w:p>
        </w:tc>
        <w:tc>
          <w:tcPr>
            <w:tcW w:w="1062"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70.2%</w:t>
            </w:r>
          </w:p>
        </w:tc>
        <w:tc>
          <w:tcPr>
            <w:tcW w:w="1047"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74.1%</w:t>
            </w:r>
          </w:p>
        </w:tc>
        <w:tc>
          <w:tcPr>
            <w:tcW w:w="1016"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45.8%</w:t>
            </w:r>
          </w:p>
        </w:tc>
        <w:tc>
          <w:tcPr>
            <w:tcW w:w="980"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61.9%</w:t>
            </w:r>
          </w:p>
        </w:tc>
        <w:tc>
          <w:tcPr>
            <w:tcW w:w="1041"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61.5%</w:t>
            </w:r>
          </w:p>
        </w:tc>
        <w:tc>
          <w:tcPr>
            <w:tcW w:w="1014" w:type="dxa"/>
            <w:shd w:val="clear" w:color="auto" w:fill="auto"/>
            <w:vAlign w:val="bottom"/>
          </w:tcPr>
          <w:p w:rsidR="003E184B" w:rsidRPr="003E184B" w:rsidRDefault="00117CA7">
            <w:pPr>
              <w:jc w:val="right"/>
              <w:rPr>
                <w:rFonts w:ascii="Arial Narrow" w:hAnsi="Arial Narrow"/>
                <w:sz w:val="16"/>
                <w:szCs w:val="16"/>
              </w:rPr>
            </w:pPr>
            <w:r w:rsidRPr="00117CA7">
              <w:rPr>
                <w:rFonts w:ascii="Arial Narrow" w:hAnsi="Arial Narrow" w:cs="Arial"/>
                <w:sz w:val="16"/>
                <w:szCs w:val="16"/>
              </w:rPr>
              <w:t>1.8%</w:t>
            </w:r>
          </w:p>
        </w:tc>
      </w:tr>
      <w:tr w:rsidR="003E184B" w:rsidRPr="0070744D" w:rsidTr="00C93217">
        <w:tc>
          <w:tcPr>
            <w:tcW w:w="1933" w:type="dxa"/>
            <w:gridSpan w:val="2"/>
            <w:tcBorders>
              <w:bottom w:val="single" w:sz="4" w:space="0" w:color="auto"/>
            </w:tcBorders>
            <w:shd w:val="clear" w:color="auto" w:fill="auto"/>
            <w:vAlign w:val="bottom"/>
          </w:tcPr>
          <w:p w:rsidR="003E184B" w:rsidRPr="000B18DF" w:rsidRDefault="003E184B">
            <w:pPr>
              <w:rPr>
                <w:rFonts w:ascii="Arial Narrow" w:hAnsi="Arial Narrow"/>
                <w:sz w:val="16"/>
                <w:szCs w:val="16"/>
              </w:rPr>
            </w:pPr>
          </w:p>
        </w:tc>
        <w:tc>
          <w:tcPr>
            <w:tcW w:w="1163" w:type="dxa"/>
            <w:gridSpan w:val="2"/>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64"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62"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129"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69"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62"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47"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16"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980"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41"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c>
          <w:tcPr>
            <w:tcW w:w="1014" w:type="dxa"/>
            <w:tcBorders>
              <w:bottom w:val="single" w:sz="4" w:space="0" w:color="auto"/>
            </w:tcBorders>
            <w:shd w:val="clear" w:color="auto" w:fill="auto"/>
            <w:vAlign w:val="bottom"/>
          </w:tcPr>
          <w:p w:rsidR="003E184B" w:rsidRPr="003E184B" w:rsidRDefault="003E184B">
            <w:pPr>
              <w:rPr>
                <w:rFonts w:ascii="Arial Narrow" w:hAnsi="Arial Narrow"/>
                <w:sz w:val="16"/>
                <w:szCs w:val="16"/>
              </w:rPr>
            </w:pPr>
          </w:p>
        </w:tc>
      </w:tr>
      <w:tr w:rsidR="003E184B" w:rsidRPr="0070744D" w:rsidTr="00C93217">
        <w:tc>
          <w:tcPr>
            <w:tcW w:w="1933" w:type="dxa"/>
            <w:gridSpan w:val="2"/>
            <w:tcBorders>
              <w:top w:val="single" w:sz="4" w:space="0" w:color="auto"/>
              <w:bottom w:val="single" w:sz="6" w:space="0" w:color="auto"/>
            </w:tcBorders>
            <w:shd w:val="clear" w:color="auto" w:fill="auto"/>
            <w:vAlign w:val="bottom"/>
          </w:tcPr>
          <w:p w:rsidR="003E184B" w:rsidRPr="000B18DF" w:rsidRDefault="003E184B">
            <w:pPr>
              <w:rPr>
                <w:rFonts w:ascii="Arial Narrow" w:hAnsi="Arial Narrow"/>
                <w:b/>
                <w:bCs/>
                <w:sz w:val="16"/>
                <w:szCs w:val="16"/>
              </w:rPr>
            </w:pPr>
            <w:r w:rsidRPr="000B18DF">
              <w:rPr>
                <w:rFonts w:ascii="Arial Narrow" w:hAnsi="Arial Narrow"/>
                <w:b/>
                <w:bCs/>
                <w:sz w:val="16"/>
                <w:szCs w:val="16"/>
              </w:rPr>
              <w:t>Wght avg.</w:t>
            </w:r>
          </w:p>
        </w:tc>
        <w:tc>
          <w:tcPr>
            <w:tcW w:w="1163" w:type="dxa"/>
            <w:gridSpan w:val="2"/>
            <w:tcBorders>
              <w:top w:val="single" w:sz="4" w:space="0" w:color="auto"/>
              <w:bottom w:val="single" w:sz="6" w:space="0" w:color="auto"/>
            </w:tcBorders>
            <w:shd w:val="clear" w:color="auto" w:fill="auto"/>
            <w:vAlign w:val="bottom"/>
          </w:tcPr>
          <w:p w:rsidR="003E184B" w:rsidRPr="003E184B" w:rsidRDefault="00117CA7">
            <w:pPr>
              <w:rPr>
                <w:rFonts w:ascii="Arial Narrow" w:hAnsi="Arial Narrow"/>
                <w:sz w:val="16"/>
                <w:szCs w:val="16"/>
              </w:rPr>
            </w:pPr>
            <w:r w:rsidRPr="00117CA7">
              <w:rPr>
                <w:rFonts w:ascii="Arial Narrow" w:hAnsi="Arial Narrow" w:cs="Arial"/>
                <w:sz w:val="16"/>
                <w:szCs w:val="16"/>
              </w:rPr>
              <w:t> </w:t>
            </w:r>
          </w:p>
        </w:tc>
        <w:tc>
          <w:tcPr>
            <w:tcW w:w="1164" w:type="dxa"/>
            <w:tcBorders>
              <w:top w:val="single" w:sz="4" w:space="0" w:color="auto"/>
              <w:bottom w:val="single" w:sz="6" w:space="0" w:color="auto"/>
            </w:tcBorders>
            <w:shd w:val="clear" w:color="auto" w:fill="auto"/>
            <w:vAlign w:val="bottom"/>
          </w:tcPr>
          <w:p w:rsidR="003E184B" w:rsidRPr="003E184B" w:rsidRDefault="00117CA7">
            <w:pPr>
              <w:rPr>
                <w:rFonts w:ascii="Arial Narrow" w:hAnsi="Arial Narrow"/>
                <w:sz w:val="16"/>
                <w:szCs w:val="16"/>
              </w:rPr>
            </w:pPr>
            <w:r w:rsidRPr="00117CA7">
              <w:rPr>
                <w:rFonts w:ascii="Arial Narrow" w:hAnsi="Arial Narrow" w:cs="Arial"/>
                <w:sz w:val="16"/>
                <w:szCs w:val="16"/>
              </w:rPr>
              <w:t> </w:t>
            </w:r>
          </w:p>
        </w:tc>
        <w:tc>
          <w:tcPr>
            <w:tcW w:w="1162" w:type="dxa"/>
            <w:tcBorders>
              <w:top w:val="single" w:sz="4" w:space="0" w:color="auto"/>
              <w:bottom w:val="single" w:sz="6" w:space="0" w:color="auto"/>
            </w:tcBorders>
            <w:shd w:val="clear" w:color="auto" w:fill="auto"/>
            <w:vAlign w:val="bottom"/>
          </w:tcPr>
          <w:p w:rsidR="003E184B" w:rsidRPr="003E184B" w:rsidRDefault="00117CA7">
            <w:pPr>
              <w:rPr>
                <w:rFonts w:ascii="Arial Narrow" w:hAnsi="Arial Narrow"/>
                <w:sz w:val="16"/>
                <w:szCs w:val="16"/>
              </w:rPr>
            </w:pPr>
            <w:r w:rsidRPr="00117CA7">
              <w:rPr>
                <w:rFonts w:ascii="Arial Narrow" w:hAnsi="Arial Narrow" w:cs="Arial"/>
                <w:sz w:val="16"/>
                <w:szCs w:val="16"/>
              </w:rPr>
              <w:t> </w:t>
            </w:r>
          </w:p>
        </w:tc>
        <w:tc>
          <w:tcPr>
            <w:tcW w:w="1129" w:type="dxa"/>
            <w:tcBorders>
              <w:top w:val="single" w:sz="4" w:space="0" w:color="auto"/>
              <w:bottom w:val="single" w:sz="6" w:space="0" w:color="auto"/>
            </w:tcBorders>
            <w:shd w:val="clear" w:color="auto" w:fill="auto"/>
            <w:vAlign w:val="bottom"/>
          </w:tcPr>
          <w:p w:rsidR="003E184B" w:rsidRPr="003E184B" w:rsidRDefault="00117CA7">
            <w:pPr>
              <w:rPr>
                <w:rFonts w:ascii="Arial Narrow" w:hAnsi="Arial Narrow"/>
                <w:b/>
                <w:bCs/>
                <w:sz w:val="16"/>
                <w:szCs w:val="16"/>
              </w:rPr>
            </w:pPr>
            <w:r w:rsidRPr="00117CA7">
              <w:rPr>
                <w:rFonts w:ascii="Arial Narrow" w:hAnsi="Arial Narrow" w:cs="Arial"/>
                <w:b/>
                <w:bCs/>
                <w:sz w:val="16"/>
                <w:szCs w:val="16"/>
              </w:rPr>
              <w:t> </w:t>
            </w:r>
          </w:p>
        </w:tc>
        <w:tc>
          <w:tcPr>
            <w:tcW w:w="1069" w:type="dxa"/>
            <w:tcBorders>
              <w:top w:val="single" w:sz="4" w:space="0" w:color="auto"/>
              <w:bottom w:val="single" w:sz="6" w:space="0" w:color="auto"/>
            </w:tcBorders>
            <w:shd w:val="clear" w:color="auto" w:fill="auto"/>
            <w:vAlign w:val="bottom"/>
          </w:tcPr>
          <w:p w:rsidR="003E184B" w:rsidRPr="003E184B" w:rsidRDefault="00117CA7">
            <w:pPr>
              <w:rPr>
                <w:rFonts w:ascii="Arial Narrow" w:hAnsi="Arial Narrow"/>
                <w:b/>
                <w:bCs/>
                <w:sz w:val="16"/>
                <w:szCs w:val="16"/>
              </w:rPr>
            </w:pPr>
            <w:r w:rsidRPr="00117CA7">
              <w:rPr>
                <w:rFonts w:ascii="Arial Narrow" w:hAnsi="Arial Narrow" w:cs="Arial"/>
                <w:b/>
                <w:bCs/>
                <w:sz w:val="16"/>
                <w:szCs w:val="16"/>
              </w:rPr>
              <w:t> </w:t>
            </w:r>
          </w:p>
        </w:tc>
        <w:tc>
          <w:tcPr>
            <w:tcW w:w="1062" w:type="dxa"/>
            <w:tcBorders>
              <w:top w:val="single" w:sz="4" w:space="0" w:color="auto"/>
              <w:bottom w:val="single" w:sz="6"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87.4%</w:t>
            </w:r>
          </w:p>
        </w:tc>
        <w:tc>
          <w:tcPr>
            <w:tcW w:w="1047" w:type="dxa"/>
            <w:tcBorders>
              <w:top w:val="single" w:sz="4" w:space="0" w:color="auto"/>
              <w:bottom w:val="single" w:sz="6"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91.2%</w:t>
            </w:r>
          </w:p>
        </w:tc>
        <w:tc>
          <w:tcPr>
            <w:tcW w:w="1016" w:type="dxa"/>
            <w:tcBorders>
              <w:top w:val="single" w:sz="4" w:space="0" w:color="auto"/>
              <w:bottom w:val="single" w:sz="6"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87.5%</w:t>
            </w:r>
          </w:p>
        </w:tc>
        <w:tc>
          <w:tcPr>
            <w:tcW w:w="980" w:type="dxa"/>
            <w:tcBorders>
              <w:top w:val="single" w:sz="4" w:space="0" w:color="auto"/>
              <w:bottom w:val="single" w:sz="6"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88.1%</w:t>
            </w:r>
          </w:p>
        </w:tc>
        <w:tc>
          <w:tcPr>
            <w:tcW w:w="1041" w:type="dxa"/>
            <w:tcBorders>
              <w:top w:val="single" w:sz="4" w:space="0" w:color="auto"/>
              <w:bottom w:val="single" w:sz="6"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88.2%</w:t>
            </w:r>
          </w:p>
        </w:tc>
        <w:tc>
          <w:tcPr>
            <w:tcW w:w="1014" w:type="dxa"/>
            <w:tcBorders>
              <w:top w:val="single" w:sz="4" w:space="0" w:color="auto"/>
              <w:bottom w:val="single" w:sz="6" w:space="0" w:color="auto"/>
            </w:tcBorders>
            <w:shd w:val="clear" w:color="auto" w:fill="auto"/>
            <w:vAlign w:val="bottom"/>
          </w:tcPr>
          <w:p w:rsidR="003E184B" w:rsidRPr="003E184B" w:rsidRDefault="00117CA7">
            <w:pPr>
              <w:jc w:val="right"/>
              <w:rPr>
                <w:rFonts w:ascii="Arial Narrow" w:hAnsi="Arial Narrow"/>
                <w:b/>
                <w:bCs/>
                <w:sz w:val="16"/>
                <w:szCs w:val="16"/>
              </w:rPr>
            </w:pPr>
            <w:r w:rsidRPr="00117CA7">
              <w:rPr>
                <w:rFonts w:ascii="Arial Narrow" w:hAnsi="Arial Narrow" w:cs="Arial"/>
                <w:b/>
                <w:bCs/>
                <w:sz w:val="16"/>
                <w:szCs w:val="16"/>
              </w:rPr>
              <w:t>2.3%</w:t>
            </w:r>
          </w:p>
        </w:tc>
      </w:tr>
    </w:tbl>
    <w:p w:rsidR="00905C02" w:rsidRDefault="00905C02" w:rsidP="00905C02">
      <w:pPr>
        <w:pStyle w:val="Source"/>
      </w:pPr>
      <w:r>
        <w:t>Source: J.P. Morgan</w:t>
      </w:r>
      <w:r w:rsidR="00134EF4">
        <w:t xml:space="preserve"> estimates, Company data. CoB 02/07</w:t>
      </w:r>
      <w:r>
        <w:t>/2014</w:t>
      </w:r>
    </w:p>
    <w:p w:rsidR="00905C02" w:rsidRDefault="00905C02" w:rsidP="00096996">
      <w:pPr>
        <w:pStyle w:val="Body"/>
      </w:pPr>
    </w:p>
    <w:p w:rsidR="00905C02" w:rsidRDefault="00905C02" w:rsidP="00096996">
      <w:pPr>
        <w:pStyle w:val="Body"/>
        <w:sectPr w:rsidR="00905C02" w:rsidSect="00905C02">
          <w:headerReference w:type="first" r:id="rId21"/>
          <w:footerReference w:type="first" r:id="rId22"/>
          <w:pgSz w:w="15840" w:h="12240" w:orient="landscape" w:code="1"/>
          <w:pgMar w:top="720" w:right="720" w:bottom="720" w:left="720" w:header="936" w:footer="576" w:gutter="0"/>
          <w:cols w:space="720"/>
          <w:formProt w:val="0"/>
          <w:docGrid w:linePitch="360"/>
        </w:sectPr>
      </w:pPr>
    </w:p>
    <w:p w:rsidR="00CB5AB9" w:rsidRDefault="00385FBE" w:rsidP="00CB5AB9">
      <w:pPr>
        <w:pStyle w:val="Heading1"/>
        <w:rPr>
          <w:sz w:val="20"/>
        </w:rPr>
      </w:pPr>
      <w:r>
        <w:lastRenderedPageBreak/>
        <w:t>Cat Reinsurance R</w:t>
      </w:r>
      <w:r w:rsidR="00CB5AB9">
        <w:t xml:space="preserve">ates </w:t>
      </w:r>
      <w:r>
        <w:t>&amp; E</w:t>
      </w:r>
      <w:r w:rsidR="00CB5AB9">
        <w:t>xposures</w:t>
      </w:r>
    </w:p>
    <w:tbl>
      <w:tblPr>
        <w:tblStyle w:val="TableGrid"/>
        <w:tblW w:w="10166" w:type="dxa"/>
        <w:tblInd w:w="-3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83"/>
        <w:gridCol w:w="5083"/>
      </w:tblGrid>
      <w:tr w:rsidR="00CB5AB9" w:rsidTr="00810E2F">
        <w:tc>
          <w:tcPr>
            <w:tcW w:w="5083" w:type="dxa"/>
            <w:shd w:val="clear" w:color="auto" w:fill="auto"/>
          </w:tcPr>
          <w:p w:rsidR="00CB5AB9" w:rsidRDefault="00CB5AB9" w:rsidP="00810E2F">
            <w:pPr>
              <w:pStyle w:val="FigureTitle"/>
            </w:pPr>
            <w:r>
              <w:t xml:space="preserve">Figure </w:t>
            </w:r>
            <w:fldSimple w:instr=" SEQ Figure \* ARABIC ">
              <w:r w:rsidR="00F60272">
                <w:rPr>
                  <w:noProof/>
                </w:rPr>
                <w:t>3</w:t>
              </w:r>
            </w:fldSimple>
            <w:r>
              <w:t>: Guy Carpenter Global ROL Index</w:t>
            </w:r>
          </w:p>
          <w:p w:rsidR="00CB5AB9" w:rsidRDefault="00CB5AB9" w:rsidP="00810E2F">
            <w:pPr>
              <w:pStyle w:val="Units"/>
            </w:pPr>
            <w:r>
              <w:t>%</w:t>
            </w:r>
          </w:p>
          <w:p w:rsidR="00CB5AB9" w:rsidRDefault="00CB5AB9" w:rsidP="00810E2F">
            <w:r>
              <w:rPr>
                <w:noProof/>
                <w:lang w:val="en-GB" w:eastAsia="en-GB"/>
              </w:rPr>
              <w:drawing>
                <wp:inline distT="0" distB="0" distL="0" distR="0">
                  <wp:extent cx="3086100" cy="1781175"/>
                  <wp:effectExtent l="19050" t="0" r="0" b="0"/>
                  <wp:docPr id="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3"/>
                          <a:srcRect/>
                          <a:stretch>
                            <a:fillRect/>
                          </a:stretch>
                        </pic:blipFill>
                        <pic:spPr bwMode="auto">
                          <a:xfrm>
                            <a:off x="0" y="0"/>
                            <a:ext cx="3086100" cy="1781175"/>
                          </a:xfrm>
                          <a:prstGeom prst="rect">
                            <a:avLst/>
                          </a:prstGeom>
                          <a:noFill/>
                          <a:ln w="9525">
                            <a:noFill/>
                            <a:miter lim="800000"/>
                            <a:headEnd/>
                            <a:tailEnd/>
                          </a:ln>
                        </pic:spPr>
                      </pic:pic>
                    </a:graphicData>
                  </a:graphic>
                </wp:inline>
              </w:drawing>
            </w:r>
          </w:p>
          <w:p w:rsidR="00CB5AB9" w:rsidRDefault="00CB5AB9" w:rsidP="00810E2F">
            <w:pPr>
              <w:pStyle w:val="Source"/>
            </w:pPr>
            <w:r>
              <w:t>Source: J.P. Morgan estimates, Guy Carpenter</w:t>
            </w:r>
          </w:p>
        </w:tc>
        <w:tc>
          <w:tcPr>
            <w:tcW w:w="5083" w:type="dxa"/>
            <w:shd w:val="clear" w:color="auto" w:fill="auto"/>
          </w:tcPr>
          <w:p w:rsidR="00CB5AB9" w:rsidRDefault="00CB5AB9" w:rsidP="00810E2F">
            <w:pPr>
              <w:pStyle w:val="FigureTitle"/>
            </w:pPr>
            <w:r>
              <w:t xml:space="preserve">Figure </w:t>
            </w:r>
            <w:fldSimple w:instr=" SEQ Figure \* ARABIC ">
              <w:r w:rsidR="00F60272">
                <w:rPr>
                  <w:noProof/>
                </w:rPr>
                <w:t>4</w:t>
              </w:r>
            </w:fldSimple>
            <w:r>
              <w:t>: Guy Carpenter Global ROL Index</w:t>
            </w:r>
          </w:p>
          <w:p w:rsidR="00CB5AB9" w:rsidRDefault="00CB5AB9" w:rsidP="00810E2F">
            <w:pPr>
              <w:pStyle w:val="Units"/>
            </w:pPr>
            <w:r>
              <w:t>%</w:t>
            </w:r>
          </w:p>
          <w:p w:rsidR="00CB5AB9" w:rsidRDefault="00CB5AB9" w:rsidP="00810E2F">
            <w:r>
              <w:rPr>
                <w:noProof/>
                <w:lang w:val="en-GB" w:eastAsia="en-GB"/>
              </w:rPr>
              <w:drawing>
                <wp:inline distT="0" distB="0" distL="0" distR="0">
                  <wp:extent cx="3086100" cy="1781175"/>
                  <wp:effectExtent l="19050" t="0" r="0" b="0"/>
                  <wp:docPr id="5"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4"/>
                          <a:srcRect/>
                          <a:stretch>
                            <a:fillRect/>
                          </a:stretch>
                        </pic:blipFill>
                        <pic:spPr bwMode="auto">
                          <a:xfrm>
                            <a:off x="0" y="0"/>
                            <a:ext cx="3086100" cy="1781175"/>
                          </a:xfrm>
                          <a:prstGeom prst="rect">
                            <a:avLst/>
                          </a:prstGeom>
                          <a:noFill/>
                          <a:ln w="9525">
                            <a:noFill/>
                            <a:miter lim="800000"/>
                            <a:headEnd/>
                            <a:tailEnd/>
                          </a:ln>
                        </pic:spPr>
                      </pic:pic>
                    </a:graphicData>
                  </a:graphic>
                </wp:inline>
              </w:drawing>
            </w:r>
          </w:p>
          <w:p w:rsidR="00CB5AB9" w:rsidRDefault="00CB5AB9" w:rsidP="00810E2F">
            <w:pPr>
              <w:pStyle w:val="Source"/>
            </w:pPr>
            <w:r>
              <w:t>Source: J.P. Morgan estimates, Guy Carpenter</w:t>
            </w:r>
          </w:p>
        </w:tc>
      </w:tr>
      <w:tr w:rsidR="00305837" w:rsidTr="009D5128">
        <w:tc>
          <w:tcPr>
            <w:tcW w:w="5083" w:type="dxa"/>
            <w:shd w:val="clear" w:color="auto" w:fill="auto"/>
          </w:tcPr>
          <w:p w:rsidR="00305837" w:rsidRDefault="00305837" w:rsidP="009D5128">
            <w:pPr>
              <w:pStyle w:val="FigureTitle"/>
            </w:pPr>
            <w:r>
              <w:t xml:space="preserve">Figure </w:t>
            </w:r>
            <w:fldSimple w:instr=" SEQ Figure \* ARABIC ">
              <w:r w:rsidR="00F60272">
                <w:rPr>
                  <w:noProof/>
                </w:rPr>
                <w:t>5</w:t>
              </w:r>
            </w:fldSimple>
            <w:r>
              <w:t>: Property Cat Re rate change by geography</w:t>
            </w:r>
          </w:p>
          <w:p w:rsidR="00305837" w:rsidRDefault="00305837" w:rsidP="009D5128">
            <w:pPr>
              <w:pStyle w:val="Units"/>
            </w:pPr>
            <w:r>
              <w:t>%</w:t>
            </w:r>
          </w:p>
          <w:p w:rsidR="00305837" w:rsidRDefault="00305837" w:rsidP="009D5128">
            <w:r>
              <w:rPr>
                <w:noProof/>
                <w:lang w:val="en-GB" w:eastAsia="en-GB"/>
              </w:rPr>
              <w:drawing>
                <wp:inline distT="0" distB="0" distL="0" distR="0">
                  <wp:extent cx="3086100" cy="1781175"/>
                  <wp:effectExtent l="1905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5"/>
                          <a:srcRect/>
                          <a:stretch>
                            <a:fillRect/>
                          </a:stretch>
                        </pic:blipFill>
                        <pic:spPr bwMode="auto">
                          <a:xfrm>
                            <a:off x="0" y="0"/>
                            <a:ext cx="3086100" cy="1781175"/>
                          </a:xfrm>
                          <a:prstGeom prst="rect">
                            <a:avLst/>
                          </a:prstGeom>
                          <a:noFill/>
                          <a:ln w="9525">
                            <a:noFill/>
                            <a:miter lim="800000"/>
                            <a:headEnd/>
                            <a:tailEnd/>
                          </a:ln>
                        </pic:spPr>
                      </pic:pic>
                    </a:graphicData>
                  </a:graphic>
                </wp:inline>
              </w:drawing>
            </w:r>
          </w:p>
          <w:p w:rsidR="00305837" w:rsidRDefault="00305837" w:rsidP="009D5128">
            <w:pPr>
              <w:pStyle w:val="Source"/>
            </w:pPr>
            <w:r>
              <w:t>Source: J.P. Morgan estimates, Guy Carpenter.</w:t>
            </w:r>
          </w:p>
        </w:tc>
        <w:tc>
          <w:tcPr>
            <w:tcW w:w="5083" w:type="dxa"/>
            <w:shd w:val="clear" w:color="auto" w:fill="auto"/>
          </w:tcPr>
          <w:p w:rsidR="00305837" w:rsidRDefault="00305837" w:rsidP="009D5128">
            <w:pPr>
              <w:pStyle w:val="FigureTitle"/>
            </w:pPr>
            <w:r>
              <w:t xml:space="preserve">Figure </w:t>
            </w:r>
            <w:fldSimple w:instr=" SEQ Figure \* ARABIC ">
              <w:r w:rsidR="00F60272">
                <w:rPr>
                  <w:noProof/>
                </w:rPr>
                <w:t>6</w:t>
              </w:r>
            </w:fldSimple>
            <w:r>
              <w:t>: Property Cat Re rate change by geography</w:t>
            </w:r>
          </w:p>
          <w:p w:rsidR="00305837" w:rsidRDefault="00305837" w:rsidP="009D5128">
            <w:pPr>
              <w:pStyle w:val="Units"/>
            </w:pPr>
            <w:r>
              <w:t>%</w:t>
            </w:r>
          </w:p>
          <w:p w:rsidR="00305837" w:rsidRDefault="00305837" w:rsidP="009D5128">
            <w:r>
              <w:rPr>
                <w:noProof/>
                <w:lang w:val="en-GB" w:eastAsia="en-GB"/>
              </w:rPr>
              <w:drawing>
                <wp:inline distT="0" distB="0" distL="0" distR="0">
                  <wp:extent cx="3086100" cy="1781175"/>
                  <wp:effectExtent l="1905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6"/>
                          <a:srcRect/>
                          <a:stretch>
                            <a:fillRect/>
                          </a:stretch>
                        </pic:blipFill>
                        <pic:spPr bwMode="auto">
                          <a:xfrm>
                            <a:off x="0" y="0"/>
                            <a:ext cx="3086100" cy="1781175"/>
                          </a:xfrm>
                          <a:prstGeom prst="rect">
                            <a:avLst/>
                          </a:prstGeom>
                          <a:noFill/>
                          <a:ln w="9525">
                            <a:noFill/>
                            <a:miter lim="800000"/>
                            <a:headEnd/>
                            <a:tailEnd/>
                          </a:ln>
                        </pic:spPr>
                      </pic:pic>
                    </a:graphicData>
                  </a:graphic>
                </wp:inline>
              </w:drawing>
            </w:r>
          </w:p>
          <w:p w:rsidR="00305837" w:rsidRDefault="00305837" w:rsidP="009D5128">
            <w:pPr>
              <w:pStyle w:val="Source"/>
            </w:pPr>
            <w:r>
              <w:t>Source: J.P. Morgan estimates, Guy Carpenter</w:t>
            </w:r>
          </w:p>
        </w:tc>
      </w:tr>
      <w:tr w:rsidR="00C11F99" w:rsidTr="00C11F99">
        <w:tc>
          <w:tcPr>
            <w:tcW w:w="5083" w:type="dxa"/>
            <w:shd w:val="clear" w:color="auto" w:fill="auto"/>
          </w:tcPr>
          <w:p w:rsidR="00C11F99" w:rsidRDefault="00C11F99" w:rsidP="00C11F99">
            <w:pPr>
              <w:pStyle w:val="FigureTitle"/>
            </w:pPr>
            <w:r>
              <w:t xml:space="preserve">Figure </w:t>
            </w:r>
            <w:fldSimple w:instr=" SEQ Figure \* ARABIC ">
              <w:r w:rsidR="00F60272">
                <w:rPr>
                  <w:noProof/>
                </w:rPr>
                <w:t>7</w:t>
              </w:r>
            </w:fldSimple>
            <w:r>
              <w:t>: Lloyd’s Market by Underwriting Class</w:t>
            </w:r>
          </w:p>
          <w:p w:rsidR="00C11F99" w:rsidRDefault="00C11F99" w:rsidP="00C11F99">
            <w:pPr>
              <w:pStyle w:val="Units"/>
            </w:pPr>
            <w:r>
              <w:t>%</w:t>
            </w:r>
          </w:p>
          <w:p w:rsidR="00C11F99" w:rsidRDefault="00442998" w:rsidP="00C11F99">
            <w:r w:rsidRPr="00442998">
              <w:rPr>
                <w:noProof/>
                <w:lang w:val="en-GB" w:eastAsia="en-GB"/>
              </w:rPr>
              <w:drawing>
                <wp:inline distT="0" distB="0" distL="0" distR="0">
                  <wp:extent cx="2790825" cy="165163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790825" cy="1651635"/>
                          </a:xfrm>
                          <a:prstGeom prst="rect">
                            <a:avLst/>
                          </a:prstGeom>
                          <a:noFill/>
                          <a:ln w="9525">
                            <a:noFill/>
                            <a:miter lim="800000"/>
                            <a:headEnd/>
                            <a:tailEnd/>
                          </a:ln>
                        </pic:spPr>
                      </pic:pic>
                    </a:graphicData>
                  </a:graphic>
                </wp:inline>
              </w:drawing>
            </w:r>
          </w:p>
          <w:p w:rsidR="00C11F99" w:rsidRDefault="00C11F99" w:rsidP="00C11F99">
            <w:pPr>
              <w:pStyle w:val="Source"/>
            </w:pPr>
            <w:r>
              <w:t>Source: J.P. Morgan estimates, Company data.</w:t>
            </w:r>
          </w:p>
        </w:tc>
        <w:tc>
          <w:tcPr>
            <w:tcW w:w="5083" w:type="dxa"/>
            <w:shd w:val="clear" w:color="auto" w:fill="auto"/>
          </w:tcPr>
          <w:p w:rsidR="00C11F99" w:rsidRDefault="00C11F99" w:rsidP="00C11F99">
            <w:pPr>
              <w:pStyle w:val="FigureTitle"/>
            </w:pPr>
            <w:r>
              <w:t xml:space="preserve">Figure </w:t>
            </w:r>
            <w:fldSimple w:instr=" SEQ Figure \* ARABIC ">
              <w:r w:rsidR="00F60272">
                <w:rPr>
                  <w:noProof/>
                </w:rPr>
                <w:t>8</w:t>
              </w:r>
            </w:fldSimple>
            <w:r>
              <w:t>: Lloyd’s Market Geographic Split</w:t>
            </w:r>
          </w:p>
          <w:p w:rsidR="00C11F99" w:rsidRDefault="00C11F99" w:rsidP="00C11F99">
            <w:pPr>
              <w:pStyle w:val="Units"/>
            </w:pPr>
            <w:r>
              <w:t>%</w:t>
            </w:r>
          </w:p>
          <w:p w:rsidR="00C11F99" w:rsidRDefault="00C11F99" w:rsidP="00C11F99">
            <w:r w:rsidRPr="00C11F99">
              <w:rPr>
                <w:noProof/>
                <w:lang w:val="en-GB" w:eastAsia="en-GB"/>
              </w:rPr>
              <w:drawing>
                <wp:inline distT="0" distB="0" distL="0" distR="0">
                  <wp:extent cx="2609850" cy="154305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2609850" cy="1543050"/>
                          </a:xfrm>
                          <a:prstGeom prst="rect">
                            <a:avLst/>
                          </a:prstGeom>
                          <a:noFill/>
                          <a:ln w="9525">
                            <a:noFill/>
                            <a:miter lim="800000"/>
                            <a:headEnd/>
                            <a:tailEnd/>
                          </a:ln>
                        </pic:spPr>
                      </pic:pic>
                    </a:graphicData>
                  </a:graphic>
                </wp:inline>
              </w:drawing>
            </w:r>
          </w:p>
          <w:p w:rsidR="00C11F99" w:rsidRDefault="00C11F99" w:rsidP="00C11F99">
            <w:pPr>
              <w:pStyle w:val="Source"/>
            </w:pPr>
            <w:r>
              <w:t>Source: J.P. Morgan estimates, Company data.</w:t>
            </w:r>
          </w:p>
        </w:tc>
      </w:tr>
    </w:tbl>
    <w:p w:rsidR="00833F0F" w:rsidRDefault="00833F0F" w:rsidP="00096996">
      <w:pPr>
        <w:pStyle w:val="Body"/>
      </w:pPr>
    </w:p>
    <w:p w:rsidR="00833F0F" w:rsidRDefault="00833F0F" w:rsidP="00096996">
      <w:pPr>
        <w:pStyle w:val="Body"/>
        <w:sectPr w:rsidR="00833F0F" w:rsidSect="00096996">
          <w:pgSz w:w="12240" w:h="15840" w:code="1"/>
          <w:pgMar w:top="2376" w:right="1138" w:bottom="936" w:left="4248" w:header="936" w:footer="576" w:gutter="0"/>
          <w:cols w:space="720"/>
          <w:formProt w:val="0"/>
          <w:docGrid w:linePitch="360"/>
        </w:sectPr>
      </w:pPr>
    </w:p>
    <w:p w:rsidR="006C3ABB" w:rsidRDefault="006C3ABB" w:rsidP="006C3ABB">
      <w:pPr>
        <w:pStyle w:val="Body"/>
      </w:pPr>
      <w:bookmarkStart w:id="1" w:name="_Toc377465982"/>
    </w:p>
    <w:p w:rsidR="006C3ABB" w:rsidRDefault="008A0286" w:rsidP="006C3ABB">
      <w:pPr>
        <w:pStyle w:val="Heading1"/>
      </w:pPr>
      <w:bookmarkStart w:id="2" w:name="_Toc377465981"/>
      <w:r>
        <w:t>Lloyd’s I</w:t>
      </w:r>
      <w:r w:rsidR="006C3ABB">
        <w:t>nsurers premium split</w:t>
      </w:r>
      <w:bookmarkEnd w:id="2"/>
    </w:p>
    <w:p w:rsidR="006C3ABB" w:rsidRDefault="006C3ABB" w:rsidP="006C3ABB">
      <w:pPr>
        <w:pStyle w:val="FigureTitle"/>
        <w:spacing w:after="40"/>
      </w:pPr>
      <w:r>
        <w:t>Premium split by line of business (2013)</w:t>
      </w:r>
    </w:p>
    <w:p w:rsidR="006C3ABB" w:rsidRDefault="006C3ABB" w:rsidP="006C3ABB">
      <w:pPr>
        <w:pStyle w:val="Units"/>
        <w:ind w:left="-3125"/>
      </w:pPr>
      <w:r>
        <w:t>%</w:t>
      </w:r>
    </w:p>
    <w:tbl>
      <w:tblPr>
        <w:tblStyle w:val="TableGrid"/>
        <w:tblW w:w="1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50"/>
        <w:gridCol w:w="4416"/>
        <w:gridCol w:w="4614"/>
      </w:tblGrid>
      <w:tr w:rsidR="006C3ABB" w:rsidTr="009D5128">
        <w:tc>
          <w:tcPr>
            <w:tcW w:w="4750" w:type="dxa"/>
            <w:shd w:val="clear" w:color="auto" w:fill="auto"/>
          </w:tcPr>
          <w:p w:rsidR="006C3ABB" w:rsidRDefault="006C3ABB" w:rsidP="009D5128">
            <w:pPr>
              <w:pStyle w:val="FigureTitle"/>
            </w:pPr>
            <w:r>
              <w:t xml:space="preserve">Figure </w:t>
            </w:r>
            <w:fldSimple w:instr=" SEQ Figure \* ARABIC ">
              <w:r w:rsidR="00F60272">
                <w:rPr>
                  <w:noProof/>
                </w:rPr>
                <w:t>9</w:t>
              </w:r>
            </w:fldSimple>
            <w:r>
              <w:t>: Amlin</w:t>
            </w:r>
          </w:p>
          <w:p w:rsidR="006C3ABB" w:rsidRDefault="006C3ABB" w:rsidP="009D5128">
            <w:pPr>
              <w:pStyle w:val="Units"/>
            </w:pPr>
            <w:r>
              <w:t>%</w:t>
            </w:r>
          </w:p>
          <w:p w:rsidR="006C3ABB" w:rsidRDefault="006C3ABB" w:rsidP="009D5128">
            <w:r>
              <w:rPr>
                <w:noProof/>
                <w:lang w:val="en-GB" w:eastAsia="en-GB"/>
              </w:rPr>
              <w:drawing>
                <wp:inline distT="0" distB="0" distL="0" distR="0">
                  <wp:extent cx="2876550" cy="1704975"/>
                  <wp:effectExtent l="19050" t="0" r="0" b="0"/>
                  <wp:docPr id="18"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9"/>
                          <a:srcRect/>
                          <a:stretch>
                            <a:fillRect/>
                          </a:stretch>
                        </pic:blipFill>
                        <pic:spPr bwMode="auto">
                          <a:xfrm>
                            <a:off x="0" y="0"/>
                            <a:ext cx="2876550" cy="1704975"/>
                          </a:xfrm>
                          <a:prstGeom prst="rect">
                            <a:avLst/>
                          </a:prstGeom>
                          <a:noFill/>
                          <a:ln w="9525">
                            <a:noFill/>
                            <a:miter lim="800000"/>
                            <a:headEnd/>
                            <a:tailEnd/>
                          </a:ln>
                        </pic:spPr>
                      </pic:pic>
                    </a:graphicData>
                  </a:graphic>
                </wp:inline>
              </w:drawing>
            </w:r>
          </w:p>
          <w:p w:rsidR="006C3ABB" w:rsidRDefault="006C3ABB" w:rsidP="009D5128">
            <w:pPr>
              <w:pStyle w:val="Source"/>
            </w:pPr>
            <w:r>
              <w:t>Source: Company reports and J.P. Morgan estimates.</w:t>
            </w:r>
          </w:p>
        </w:tc>
        <w:tc>
          <w:tcPr>
            <w:tcW w:w="4416" w:type="dxa"/>
            <w:shd w:val="clear" w:color="auto" w:fill="auto"/>
          </w:tcPr>
          <w:p w:rsidR="006C3ABB" w:rsidRDefault="006C3ABB" w:rsidP="009D5128">
            <w:pPr>
              <w:pStyle w:val="FigureTitle"/>
            </w:pPr>
            <w:r>
              <w:t xml:space="preserve">Figure </w:t>
            </w:r>
            <w:fldSimple w:instr=" SEQ Figure \* ARABIC ">
              <w:r w:rsidR="00F60272">
                <w:rPr>
                  <w:noProof/>
                </w:rPr>
                <w:t>10</w:t>
              </w:r>
            </w:fldSimple>
            <w:r>
              <w:t>: Beazley</w:t>
            </w:r>
          </w:p>
          <w:p w:rsidR="006C3ABB" w:rsidRDefault="006C3ABB" w:rsidP="009D5128">
            <w:pPr>
              <w:pStyle w:val="Units"/>
            </w:pPr>
            <w:r>
              <w:t>%</w:t>
            </w:r>
          </w:p>
          <w:p w:rsidR="006C3ABB" w:rsidRDefault="006C3ABB" w:rsidP="009D5128">
            <w:r>
              <w:rPr>
                <w:noProof/>
                <w:lang w:val="en-GB" w:eastAsia="en-GB"/>
              </w:rPr>
              <w:drawing>
                <wp:inline distT="0" distB="0" distL="0" distR="0">
                  <wp:extent cx="2667000" cy="1590675"/>
                  <wp:effectExtent l="19050" t="0" r="0" b="0"/>
                  <wp:docPr id="19"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30"/>
                          <a:srcRect/>
                          <a:stretch>
                            <a:fillRect/>
                          </a:stretch>
                        </pic:blipFill>
                        <pic:spPr bwMode="auto">
                          <a:xfrm>
                            <a:off x="0" y="0"/>
                            <a:ext cx="2667000" cy="1590675"/>
                          </a:xfrm>
                          <a:prstGeom prst="rect">
                            <a:avLst/>
                          </a:prstGeom>
                          <a:noFill/>
                          <a:ln w="9525">
                            <a:noFill/>
                            <a:miter lim="800000"/>
                            <a:headEnd/>
                            <a:tailEnd/>
                          </a:ln>
                        </pic:spPr>
                      </pic:pic>
                    </a:graphicData>
                  </a:graphic>
                </wp:inline>
              </w:drawing>
            </w:r>
          </w:p>
          <w:p w:rsidR="006C3ABB" w:rsidRDefault="006C3ABB" w:rsidP="009D5128">
            <w:pPr>
              <w:pStyle w:val="Source"/>
            </w:pPr>
            <w:r>
              <w:t>Source: Company reports and J.P. Morgan estimates.</w:t>
            </w:r>
          </w:p>
        </w:tc>
        <w:tc>
          <w:tcPr>
            <w:tcW w:w="4614" w:type="dxa"/>
          </w:tcPr>
          <w:p w:rsidR="006C3ABB" w:rsidRDefault="006C3ABB" w:rsidP="009D5128">
            <w:pPr>
              <w:pStyle w:val="FigureTitle"/>
            </w:pPr>
            <w:r>
              <w:t xml:space="preserve">Figure </w:t>
            </w:r>
            <w:fldSimple w:instr=" SEQ Figure \* ARABIC ">
              <w:r w:rsidR="00F60272">
                <w:rPr>
                  <w:noProof/>
                </w:rPr>
                <w:t>11</w:t>
              </w:r>
            </w:fldSimple>
            <w:r>
              <w:t>: BRIT</w:t>
            </w:r>
          </w:p>
          <w:p w:rsidR="006C3ABB" w:rsidRDefault="006C3ABB" w:rsidP="009D5128">
            <w:pPr>
              <w:pStyle w:val="Units"/>
            </w:pPr>
            <w:r>
              <w:t>%</w:t>
            </w:r>
          </w:p>
          <w:p w:rsidR="006C3ABB" w:rsidRDefault="006C3ABB" w:rsidP="009D5128">
            <w:r>
              <w:rPr>
                <w:noProof/>
                <w:lang w:val="en-GB" w:eastAsia="en-GB"/>
              </w:rPr>
              <w:drawing>
                <wp:inline distT="0" distB="0" distL="0" distR="0">
                  <wp:extent cx="2790825" cy="1657350"/>
                  <wp:effectExtent l="19050" t="0" r="9525" b="0"/>
                  <wp:docPr id="49"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1"/>
                          <a:srcRect/>
                          <a:stretch>
                            <a:fillRect/>
                          </a:stretch>
                        </pic:blipFill>
                        <pic:spPr bwMode="auto">
                          <a:xfrm>
                            <a:off x="0" y="0"/>
                            <a:ext cx="2790825" cy="1657350"/>
                          </a:xfrm>
                          <a:prstGeom prst="rect">
                            <a:avLst/>
                          </a:prstGeom>
                          <a:noFill/>
                          <a:ln w="9525">
                            <a:noFill/>
                            <a:miter lim="800000"/>
                            <a:headEnd/>
                            <a:tailEnd/>
                          </a:ln>
                        </pic:spPr>
                      </pic:pic>
                    </a:graphicData>
                  </a:graphic>
                </wp:inline>
              </w:drawing>
            </w:r>
          </w:p>
          <w:p w:rsidR="006C3ABB" w:rsidRDefault="006C3ABB" w:rsidP="009D5128">
            <w:pPr>
              <w:pStyle w:val="Source"/>
            </w:pPr>
            <w:r>
              <w:t>Source: Company reports and J.P. Morgan estimates.</w:t>
            </w:r>
          </w:p>
        </w:tc>
      </w:tr>
      <w:tr w:rsidR="006C3ABB" w:rsidTr="009D5128">
        <w:tc>
          <w:tcPr>
            <w:tcW w:w="4750" w:type="dxa"/>
            <w:shd w:val="clear" w:color="auto" w:fill="auto"/>
          </w:tcPr>
          <w:p w:rsidR="006C3ABB" w:rsidRDefault="006C3ABB" w:rsidP="009D5128">
            <w:pPr>
              <w:pStyle w:val="FigureTitle"/>
            </w:pPr>
            <w:r>
              <w:t xml:space="preserve">Figure </w:t>
            </w:r>
            <w:fldSimple w:instr=" SEQ Figure \* ARABIC ">
              <w:r w:rsidR="00F60272">
                <w:rPr>
                  <w:noProof/>
                </w:rPr>
                <w:t>12</w:t>
              </w:r>
            </w:fldSimple>
            <w:r>
              <w:t>: Catlin</w:t>
            </w:r>
          </w:p>
          <w:p w:rsidR="006C3ABB" w:rsidRDefault="006C3ABB" w:rsidP="009D5128">
            <w:pPr>
              <w:pStyle w:val="Units"/>
            </w:pPr>
            <w:r>
              <w:t>%</w:t>
            </w:r>
          </w:p>
          <w:p w:rsidR="006C3ABB" w:rsidRDefault="006C3ABB" w:rsidP="009D5128">
            <w:r>
              <w:rPr>
                <w:noProof/>
                <w:lang w:val="en-GB" w:eastAsia="en-GB"/>
              </w:rPr>
              <w:drawing>
                <wp:inline distT="0" distB="0" distL="0" distR="0">
                  <wp:extent cx="2876550" cy="1714500"/>
                  <wp:effectExtent l="19050" t="0" r="0" b="0"/>
                  <wp:docPr id="50"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2"/>
                          <a:srcRect/>
                          <a:stretch>
                            <a:fillRect/>
                          </a:stretch>
                        </pic:blipFill>
                        <pic:spPr bwMode="auto">
                          <a:xfrm>
                            <a:off x="0" y="0"/>
                            <a:ext cx="2876550" cy="1714500"/>
                          </a:xfrm>
                          <a:prstGeom prst="rect">
                            <a:avLst/>
                          </a:prstGeom>
                          <a:noFill/>
                          <a:ln w="9525">
                            <a:noFill/>
                            <a:miter lim="800000"/>
                            <a:headEnd/>
                            <a:tailEnd/>
                          </a:ln>
                        </pic:spPr>
                      </pic:pic>
                    </a:graphicData>
                  </a:graphic>
                </wp:inline>
              </w:drawing>
            </w:r>
          </w:p>
          <w:p w:rsidR="006C3ABB" w:rsidRDefault="006C3ABB" w:rsidP="009D5128">
            <w:pPr>
              <w:pStyle w:val="Source"/>
            </w:pPr>
            <w:r>
              <w:t>Source: Company reports and J.P. Morgan estimates.</w:t>
            </w:r>
          </w:p>
        </w:tc>
        <w:tc>
          <w:tcPr>
            <w:tcW w:w="4416" w:type="dxa"/>
            <w:shd w:val="clear" w:color="auto" w:fill="auto"/>
          </w:tcPr>
          <w:p w:rsidR="006C3ABB" w:rsidRDefault="006C3ABB" w:rsidP="009D5128">
            <w:pPr>
              <w:pStyle w:val="FigureTitle"/>
            </w:pPr>
            <w:r>
              <w:t xml:space="preserve">Figure </w:t>
            </w:r>
            <w:fldSimple w:instr=" SEQ Figure \* ARABIC ">
              <w:r w:rsidR="00F60272">
                <w:rPr>
                  <w:noProof/>
                </w:rPr>
                <w:t>13</w:t>
              </w:r>
            </w:fldSimple>
            <w:r>
              <w:t>: Hiscox</w:t>
            </w:r>
          </w:p>
          <w:p w:rsidR="006C3ABB" w:rsidRDefault="006C3ABB" w:rsidP="009D5128">
            <w:pPr>
              <w:pStyle w:val="Units"/>
            </w:pPr>
            <w:r>
              <w:t>%</w:t>
            </w:r>
          </w:p>
          <w:p w:rsidR="006C3ABB" w:rsidRDefault="00727457" w:rsidP="009D5128">
            <w:r>
              <w:rPr>
                <w:noProof/>
                <w:lang w:val="en-GB" w:eastAsia="en-GB"/>
              </w:rPr>
              <w:drawing>
                <wp:inline distT="0" distB="0" distL="0" distR="0">
                  <wp:extent cx="2662555" cy="1579880"/>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2662555" cy="1579880"/>
                          </a:xfrm>
                          <a:prstGeom prst="rect">
                            <a:avLst/>
                          </a:prstGeom>
                          <a:noFill/>
                          <a:ln w="9525">
                            <a:noFill/>
                            <a:miter lim="800000"/>
                            <a:headEnd/>
                            <a:tailEnd/>
                          </a:ln>
                        </pic:spPr>
                      </pic:pic>
                    </a:graphicData>
                  </a:graphic>
                </wp:inline>
              </w:drawing>
            </w:r>
          </w:p>
          <w:p w:rsidR="006C3ABB" w:rsidRDefault="006C3ABB" w:rsidP="009D5128">
            <w:pPr>
              <w:pStyle w:val="Source"/>
            </w:pPr>
            <w:r>
              <w:t>Source: Company reports and J.P. Morgan estimates.</w:t>
            </w:r>
          </w:p>
        </w:tc>
        <w:tc>
          <w:tcPr>
            <w:tcW w:w="4614" w:type="dxa"/>
          </w:tcPr>
          <w:p w:rsidR="006C3ABB" w:rsidRDefault="006C3ABB" w:rsidP="009D5128">
            <w:pPr>
              <w:pStyle w:val="FigureTitle"/>
            </w:pPr>
            <w:r>
              <w:t xml:space="preserve">Figure </w:t>
            </w:r>
            <w:fldSimple w:instr=" SEQ Figure \* ARABIC ">
              <w:r w:rsidR="00F60272">
                <w:rPr>
                  <w:noProof/>
                </w:rPr>
                <w:t>14</w:t>
              </w:r>
            </w:fldSimple>
            <w:r>
              <w:t>: Lancashire</w:t>
            </w:r>
          </w:p>
          <w:p w:rsidR="006C3ABB" w:rsidRDefault="006C3ABB" w:rsidP="009D5128">
            <w:pPr>
              <w:pStyle w:val="Units"/>
            </w:pPr>
            <w:r>
              <w:t>%</w:t>
            </w:r>
          </w:p>
          <w:p w:rsidR="006C3ABB" w:rsidRDefault="006C3ABB" w:rsidP="009D5128">
            <w:pPr>
              <w:pStyle w:val="Units"/>
            </w:pPr>
            <w:r>
              <w:rPr>
                <w:noProof/>
                <w:lang w:val="en-GB" w:eastAsia="en-GB"/>
              </w:rPr>
              <w:drawing>
                <wp:inline distT="0" distB="0" distL="0" distR="0">
                  <wp:extent cx="2790825" cy="1657350"/>
                  <wp:effectExtent l="19050" t="0" r="9525" b="0"/>
                  <wp:docPr id="20"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4"/>
                          <a:srcRect/>
                          <a:stretch>
                            <a:fillRect/>
                          </a:stretch>
                        </pic:blipFill>
                        <pic:spPr bwMode="auto">
                          <a:xfrm>
                            <a:off x="0" y="0"/>
                            <a:ext cx="2790825" cy="1657350"/>
                          </a:xfrm>
                          <a:prstGeom prst="rect">
                            <a:avLst/>
                          </a:prstGeom>
                          <a:noFill/>
                          <a:ln w="9525">
                            <a:noFill/>
                            <a:miter lim="800000"/>
                            <a:headEnd/>
                            <a:tailEnd/>
                          </a:ln>
                        </pic:spPr>
                      </pic:pic>
                    </a:graphicData>
                  </a:graphic>
                </wp:inline>
              </w:drawing>
            </w:r>
          </w:p>
          <w:p w:rsidR="006C3ABB" w:rsidRDefault="006C3ABB" w:rsidP="009D5128">
            <w:pPr>
              <w:pStyle w:val="Units"/>
            </w:pPr>
            <w:r>
              <w:t>Source: Company reports and J.P. Morgan estimates</w:t>
            </w:r>
          </w:p>
        </w:tc>
      </w:tr>
    </w:tbl>
    <w:p w:rsidR="00833F0F" w:rsidRDefault="00833F0F" w:rsidP="00833F0F">
      <w:pPr>
        <w:pStyle w:val="Body"/>
      </w:pPr>
    </w:p>
    <w:p w:rsidR="006C3ABB" w:rsidRDefault="006C3ABB">
      <w:pPr>
        <w:spacing w:after="240" w:line="240" w:lineRule="atLeast"/>
        <w:rPr>
          <w:sz w:val="20"/>
        </w:rPr>
      </w:pPr>
      <w:r>
        <w:br w:type="page"/>
      </w:r>
    </w:p>
    <w:p w:rsidR="006C3ABB" w:rsidRDefault="006C3ABB" w:rsidP="006C3ABB">
      <w:pPr>
        <w:pStyle w:val="Body"/>
      </w:pPr>
    </w:p>
    <w:p w:rsidR="00E26615" w:rsidRDefault="008A0286" w:rsidP="00E26615">
      <w:pPr>
        <w:pStyle w:val="Heading1"/>
      </w:pPr>
      <w:r>
        <w:t>Lloyd’s I</w:t>
      </w:r>
      <w:r w:rsidR="00E26615">
        <w:t>nsurers premium rankings (% GWP)</w:t>
      </w:r>
    </w:p>
    <w:p w:rsidR="00E26615" w:rsidRDefault="00E26615" w:rsidP="00E26615">
      <w:pPr>
        <w:pStyle w:val="FigureTitle"/>
        <w:spacing w:after="40"/>
      </w:pPr>
      <w:r>
        <w:t>Premium split by line of business (2013)</w:t>
      </w:r>
    </w:p>
    <w:p w:rsidR="00E26615" w:rsidRDefault="00E26615" w:rsidP="00E26615">
      <w:pPr>
        <w:pStyle w:val="Units"/>
        <w:ind w:left="-3125"/>
      </w:pPr>
      <w:r>
        <w:t>%</w:t>
      </w:r>
    </w:p>
    <w:tbl>
      <w:tblPr>
        <w:tblStyle w:val="TableGrid"/>
        <w:tblW w:w="1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50"/>
        <w:gridCol w:w="4416"/>
        <w:gridCol w:w="4614"/>
      </w:tblGrid>
      <w:tr w:rsidR="00E26615" w:rsidTr="009D5128">
        <w:tc>
          <w:tcPr>
            <w:tcW w:w="4750" w:type="dxa"/>
            <w:shd w:val="clear" w:color="auto" w:fill="auto"/>
          </w:tcPr>
          <w:p w:rsidR="00E26615" w:rsidRDefault="00E26615" w:rsidP="009D5128">
            <w:pPr>
              <w:pStyle w:val="FigureTitle"/>
            </w:pPr>
            <w:r>
              <w:t xml:space="preserve">Figure </w:t>
            </w:r>
            <w:fldSimple w:instr=" SEQ Figure \* ARABIC ">
              <w:r w:rsidR="00F60272">
                <w:rPr>
                  <w:noProof/>
                </w:rPr>
                <w:t>15</w:t>
              </w:r>
            </w:fldSimple>
            <w:r>
              <w:t>: Reinsurance</w:t>
            </w:r>
          </w:p>
          <w:p w:rsidR="00E26615" w:rsidRDefault="00E26615" w:rsidP="009D5128">
            <w:pPr>
              <w:pStyle w:val="Units"/>
            </w:pPr>
            <w:r>
              <w:t>%</w:t>
            </w:r>
          </w:p>
          <w:p w:rsidR="00E26615" w:rsidRDefault="00E26615" w:rsidP="009D5128">
            <w:r>
              <w:rPr>
                <w:noProof/>
                <w:lang w:val="en-GB" w:eastAsia="en-GB"/>
              </w:rPr>
              <w:drawing>
                <wp:inline distT="0" distB="0" distL="0" distR="0">
                  <wp:extent cx="2876550" cy="1714500"/>
                  <wp:effectExtent l="1905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35"/>
                          <a:srcRect/>
                          <a:stretch>
                            <a:fillRect/>
                          </a:stretch>
                        </pic:blipFill>
                        <pic:spPr bwMode="auto">
                          <a:xfrm>
                            <a:off x="0" y="0"/>
                            <a:ext cx="2876550" cy="1714500"/>
                          </a:xfrm>
                          <a:prstGeom prst="rect">
                            <a:avLst/>
                          </a:prstGeom>
                          <a:noFill/>
                          <a:ln w="9525">
                            <a:noFill/>
                            <a:miter lim="800000"/>
                            <a:headEnd/>
                            <a:tailEnd/>
                          </a:ln>
                        </pic:spPr>
                      </pic:pic>
                    </a:graphicData>
                  </a:graphic>
                </wp:inline>
              </w:drawing>
            </w:r>
          </w:p>
          <w:p w:rsidR="00E26615" w:rsidRDefault="00E26615" w:rsidP="009D5128">
            <w:pPr>
              <w:pStyle w:val="Source"/>
            </w:pPr>
            <w:r>
              <w:t>Source: Company reports and J.P. Morgan estimates.</w:t>
            </w:r>
          </w:p>
        </w:tc>
        <w:tc>
          <w:tcPr>
            <w:tcW w:w="4416" w:type="dxa"/>
            <w:shd w:val="clear" w:color="auto" w:fill="auto"/>
          </w:tcPr>
          <w:p w:rsidR="00E26615" w:rsidRDefault="00E26615" w:rsidP="009D5128">
            <w:pPr>
              <w:pStyle w:val="FigureTitle"/>
            </w:pPr>
            <w:r>
              <w:t xml:space="preserve">Figure </w:t>
            </w:r>
            <w:fldSimple w:instr=" SEQ Figure \* ARABIC ">
              <w:r w:rsidR="00F60272">
                <w:rPr>
                  <w:noProof/>
                </w:rPr>
                <w:t>16</w:t>
              </w:r>
            </w:fldSimple>
            <w:r>
              <w:t>: Property Insurance</w:t>
            </w:r>
          </w:p>
          <w:p w:rsidR="00E26615" w:rsidRDefault="00E26615" w:rsidP="009D5128">
            <w:pPr>
              <w:pStyle w:val="Units"/>
            </w:pPr>
            <w:r>
              <w:t>%</w:t>
            </w:r>
          </w:p>
          <w:p w:rsidR="00E26615" w:rsidRDefault="00E26615" w:rsidP="009D5128">
            <w:r>
              <w:rPr>
                <w:noProof/>
                <w:lang w:val="en-GB" w:eastAsia="en-GB"/>
              </w:rPr>
              <w:drawing>
                <wp:inline distT="0" distB="0" distL="0" distR="0">
                  <wp:extent cx="2667000" cy="1581150"/>
                  <wp:effectExtent l="1905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6"/>
                          <a:srcRect/>
                          <a:stretch>
                            <a:fillRect/>
                          </a:stretch>
                        </pic:blipFill>
                        <pic:spPr bwMode="auto">
                          <a:xfrm>
                            <a:off x="0" y="0"/>
                            <a:ext cx="2667000" cy="1581150"/>
                          </a:xfrm>
                          <a:prstGeom prst="rect">
                            <a:avLst/>
                          </a:prstGeom>
                          <a:noFill/>
                          <a:ln w="9525">
                            <a:noFill/>
                            <a:miter lim="800000"/>
                            <a:headEnd/>
                            <a:tailEnd/>
                          </a:ln>
                        </pic:spPr>
                      </pic:pic>
                    </a:graphicData>
                  </a:graphic>
                </wp:inline>
              </w:drawing>
            </w:r>
          </w:p>
          <w:p w:rsidR="00E26615" w:rsidRDefault="00E26615" w:rsidP="009D5128">
            <w:pPr>
              <w:pStyle w:val="Source"/>
            </w:pPr>
            <w:r>
              <w:t>Source: Company reports and J.P. Morgan estimates.</w:t>
            </w:r>
          </w:p>
        </w:tc>
        <w:tc>
          <w:tcPr>
            <w:tcW w:w="4614" w:type="dxa"/>
          </w:tcPr>
          <w:p w:rsidR="00E26615" w:rsidRDefault="00E26615" w:rsidP="009D5128">
            <w:pPr>
              <w:pStyle w:val="FigureTitle"/>
            </w:pPr>
            <w:r>
              <w:t xml:space="preserve">Figure </w:t>
            </w:r>
            <w:fldSimple w:instr=" SEQ Figure \* ARABIC ">
              <w:r w:rsidR="00F60272">
                <w:rPr>
                  <w:noProof/>
                </w:rPr>
                <w:t>17</w:t>
              </w:r>
            </w:fldSimple>
            <w:r>
              <w:t>: Casualty Insurance</w:t>
            </w:r>
          </w:p>
          <w:p w:rsidR="00E26615" w:rsidRDefault="00E26615" w:rsidP="009D5128">
            <w:pPr>
              <w:pStyle w:val="Units"/>
            </w:pPr>
            <w:r>
              <w:t>%</w:t>
            </w:r>
          </w:p>
          <w:p w:rsidR="00E26615" w:rsidRDefault="00727457" w:rsidP="009D5128">
            <w:r>
              <w:rPr>
                <w:noProof/>
                <w:lang w:val="en-GB" w:eastAsia="en-GB"/>
              </w:rPr>
              <w:drawing>
                <wp:inline distT="0" distB="0" distL="0" distR="0">
                  <wp:extent cx="2794635" cy="1660525"/>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srcRect/>
                          <a:stretch>
                            <a:fillRect/>
                          </a:stretch>
                        </pic:blipFill>
                        <pic:spPr bwMode="auto">
                          <a:xfrm>
                            <a:off x="0" y="0"/>
                            <a:ext cx="2794635" cy="1660525"/>
                          </a:xfrm>
                          <a:prstGeom prst="rect">
                            <a:avLst/>
                          </a:prstGeom>
                          <a:noFill/>
                          <a:ln w="9525">
                            <a:noFill/>
                            <a:miter lim="800000"/>
                            <a:headEnd/>
                            <a:tailEnd/>
                          </a:ln>
                        </pic:spPr>
                      </pic:pic>
                    </a:graphicData>
                  </a:graphic>
                </wp:inline>
              </w:drawing>
            </w:r>
          </w:p>
          <w:p w:rsidR="00E26615" w:rsidRDefault="00E26615" w:rsidP="009D5128">
            <w:pPr>
              <w:pStyle w:val="Source"/>
            </w:pPr>
            <w:r>
              <w:t>Source: Company reports and J.P. Morgan estimates.</w:t>
            </w:r>
          </w:p>
        </w:tc>
      </w:tr>
      <w:tr w:rsidR="00E26615" w:rsidTr="009D5128">
        <w:tc>
          <w:tcPr>
            <w:tcW w:w="4750" w:type="dxa"/>
            <w:shd w:val="clear" w:color="auto" w:fill="auto"/>
          </w:tcPr>
          <w:p w:rsidR="00E26615" w:rsidRDefault="00E26615" w:rsidP="009D5128">
            <w:pPr>
              <w:pStyle w:val="FigureTitle"/>
            </w:pPr>
            <w:r>
              <w:t xml:space="preserve">Figure </w:t>
            </w:r>
            <w:fldSimple w:instr=" SEQ Figure \* ARABIC ">
              <w:r w:rsidR="00F60272">
                <w:rPr>
                  <w:noProof/>
                </w:rPr>
                <w:t>18</w:t>
              </w:r>
            </w:fldSimple>
            <w:r>
              <w:t>: Marine Insurance</w:t>
            </w:r>
          </w:p>
          <w:p w:rsidR="00E26615" w:rsidRDefault="00E26615" w:rsidP="009D5128">
            <w:pPr>
              <w:pStyle w:val="Units"/>
            </w:pPr>
            <w:r>
              <w:t>%</w:t>
            </w:r>
          </w:p>
          <w:p w:rsidR="00E26615" w:rsidRDefault="00E26615" w:rsidP="009D5128">
            <w:r>
              <w:rPr>
                <w:noProof/>
                <w:lang w:val="en-GB" w:eastAsia="en-GB"/>
              </w:rPr>
              <w:drawing>
                <wp:inline distT="0" distB="0" distL="0" distR="0">
                  <wp:extent cx="2876550" cy="1714500"/>
                  <wp:effectExtent l="1905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8"/>
                          <a:srcRect/>
                          <a:stretch>
                            <a:fillRect/>
                          </a:stretch>
                        </pic:blipFill>
                        <pic:spPr bwMode="auto">
                          <a:xfrm>
                            <a:off x="0" y="0"/>
                            <a:ext cx="2876550" cy="1714500"/>
                          </a:xfrm>
                          <a:prstGeom prst="rect">
                            <a:avLst/>
                          </a:prstGeom>
                          <a:noFill/>
                          <a:ln w="9525">
                            <a:noFill/>
                            <a:miter lim="800000"/>
                            <a:headEnd/>
                            <a:tailEnd/>
                          </a:ln>
                        </pic:spPr>
                      </pic:pic>
                    </a:graphicData>
                  </a:graphic>
                </wp:inline>
              </w:drawing>
            </w:r>
          </w:p>
          <w:p w:rsidR="00E26615" w:rsidRDefault="00E26615" w:rsidP="009D5128">
            <w:pPr>
              <w:pStyle w:val="Source"/>
            </w:pPr>
            <w:r>
              <w:t>Source: Company reports and J.P. Morgan estimates.</w:t>
            </w:r>
          </w:p>
        </w:tc>
        <w:tc>
          <w:tcPr>
            <w:tcW w:w="4416" w:type="dxa"/>
            <w:shd w:val="clear" w:color="auto" w:fill="auto"/>
          </w:tcPr>
          <w:p w:rsidR="00E26615" w:rsidRDefault="00E26615" w:rsidP="009D5128">
            <w:pPr>
              <w:pStyle w:val="FigureTitle"/>
            </w:pPr>
            <w:r>
              <w:t xml:space="preserve">Figure </w:t>
            </w:r>
            <w:fldSimple w:instr=" SEQ Figure \* ARABIC ">
              <w:r w:rsidR="00F60272">
                <w:rPr>
                  <w:noProof/>
                </w:rPr>
                <w:t>19</w:t>
              </w:r>
            </w:fldSimple>
            <w:r>
              <w:t>: Airline Insurance</w:t>
            </w:r>
          </w:p>
          <w:p w:rsidR="00E26615" w:rsidRDefault="00E26615" w:rsidP="009D5128">
            <w:pPr>
              <w:pStyle w:val="Units"/>
            </w:pPr>
            <w:r>
              <w:t>%</w:t>
            </w:r>
          </w:p>
          <w:p w:rsidR="00E26615" w:rsidRDefault="00E26615" w:rsidP="009D5128">
            <w:r>
              <w:rPr>
                <w:noProof/>
                <w:lang w:val="en-GB" w:eastAsia="en-GB"/>
              </w:rPr>
              <w:drawing>
                <wp:inline distT="0" distB="0" distL="0" distR="0">
                  <wp:extent cx="2667000" cy="1590675"/>
                  <wp:effectExtent l="1905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39"/>
                          <a:srcRect/>
                          <a:stretch>
                            <a:fillRect/>
                          </a:stretch>
                        </pic:blipFill>
                        <pic:spPr bwMode="auto">
                          <a:xfrm>
                            <a:off x="0" y="0"/>
                            <a:ext cx="2667000" cy="1590675"/>
                          </a:xfrm>
                          <a:prstGeom prst="rect">
                            <a:avLst/>
                          </a:prstGeom>
                          <a:noFill/>
                          <a:ln w="9525">
                            <a:noFill/>
                            <a:miter lim="800000"/>
                            <a:headEnd/>
                            <a:tailEnd/>
                          </a:ln>
                        </pic:spPr>
                      </pic:pic>
                    </a:graphicData>
                  </a:graphic>
                </wp:inline>
              </w:drawing>
            </w:r>
          </w:p>
          <w:p w:rsidR="00E26615" w:rsidRDefault="00E26615" w:rsidP="009D5128">
            <w:pPr>
              <w:pStyle w:val="Source"/>
            </w:pPr>
            <w:r>
              <w:t>Source: Company reports and J.P. Morgan estimates.</w:t>
            </w:r>
          </w:p>
        </w:tc>
        <w:tc>
          <w:tcPr>
            <w:tcW w:w="4614" w:type="dxa"/>
          </w:tcPr>
          <w:p w:rsidR="00E26615" w:rsidRDefault="00E26615" w:rsidP="009D5128">
            <w:pPr>
              <w:pStyle w:val="FigureTitle"/>
            </w:pPr>
            <w:r>
              <w:t xml:space="preserve">Figure </w:t>
            </w:r>
            <w:fldSimple w:instr=" SEQ Figure \* ARABIC ">
              <w:r w:rsidR="00F60272">
                <w:rPr>
                  <w:noProof/>
                </w:rPr>
                <w:t>20</w:t>
              </w:r>
            </w:fldSimple>
            <w:r>
              <w:t>: Energy Insurance</w:t>
            </w:r>
          </w:p>
          <w:p w:rsidR="00E26615" w:rsidRDefault="00E26615" w:rsidP="009D5128">
            <w:pPr>
              <w:pStyle w:val="Units"/>
            </w:pPr>
            <w:r>
              <w:t>%</w:t>
            </w:r>
          </w:p>
          <w:p w:rsidR="00E26615" w:rsidRDefault="00E26615" w:rsidP="009D5128">
            <w:pPr>
              <w:pStyle w:val="Units"/>
            </w:pPr>
            <w:r>
              <w:rPr>
                <w:noProof/>
                <w:lang w:val="en-GB" w:eastAsia="en-GB"/>
              </w:rPr>
              <w:drawing>
                <wp:inline distT="0" distB="0" distL="0" distR="0">
                  <wp:extent cx="2790825" cy="1657350"/>
                  <wp:effectExtent l="19050" t="0" r="952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0"/>
                          <a:srcRect/>
                          <a:stretch>
                            <a:fillRect/>
                          </a:stretch>
                        </pic:blipFill>
                        <pic:spPr bwMode="auto">
                          <a:xfrm>
                            <a:off x="0" y="0"/>
                            <a:ext cx="2790825" cy="1657350"/>
                          </a:xfrm>
                          <a:prstGeom prst="rect">
                            <a:avLst/>
                          </a:prstGeom>
                          <a:noFill/>
                          <a:ln w="9525">
                            <a:noFill/>
                            <a:miter lim="800000"/>
                            <a:headEnd/>
                            <a:tailEnd/>
                          </a:ln>
                        </pic:spPr>
                      </pic:pic>
                    </a:graphicData>
                  </a:graphic>
                </wp:inline>
              </w:drawing>
            </w:r>
          </w:p>
          <w:p w:rsidR="00E26615" w:rsidRDefault="00E26615" w:rsidP="009D5128">
            <w:pPr>
              <w:pStyle w:val="Units"/>
            </w:pPr>
            <w:r>
              <w:t>Source: Company reports and J.P. Morgan estimates</w:t>
            </w:r>
          </w:p>
        </w:tc>
      </w:tr>
    </w:tbl>
    <w:p w:rsidR="00E26615" w:rsidRDefault="00E26615" w:rsidP="00E26615">
      <w:pPr>
        <w:pStyle w:val="Body"/>
      </w:pPr>
    </w:p>
    <w:p w:rsidR="00E26615" w:rsidRDefault="00E26615">
      <w:pPr>
        <w:spacing w:after="240" w:line="240" w:lineRule="atLeast"/>
        <w:rPr>
          <w:sz w:val="20"/>
        </w:rPr>
      </w:pPr>
      <w:r>
        <w:br w:type="page"/>
      </w:r>
    </w:p>
    <w:p w:rsidR="00E26615" w:rsidRDefault="00E26615" w:rsidP="006C3ABB">
      <w:pPr>
        <w:pStyle w:val="Body"/>
      </w:pPr>
    </w:p>
    <w:p w:rsidR="00B0371C" w:rsidRDefault="00B0371C" w:rsidP="00B0371C">
      <w:pPr>
        <w:pStyle w:val="Heading1"/>
      </w:pPr>
      <w:r>
        <w:t>Reinsurance premium split</w:t>
      </w:r>
    </w:p>
    <w:p w:rsidR="00B0371C" w:rsidRDefault="00B0371C" w:rsidP="00B0371C">
      <w:pPr>
        <w:pStyle w:val="FigureTitle"/>
        <w:spacing w:after="40"/>
      </w:pPr>
      <w:r>
        <w:t>Reinsurance Premium split by line of business (2013)</w:t>
      </w:r>
    </w:p>
    <w:p w:rsidR="00B0371C" w:rsidRDefault="00B0371C" w:rsidP="00B0371C">
      <w:pPr>
        <w:pStyle w:val="Units"/>
        <w:ind w:left="-3125"/>
      </w:pPr>
      <w:r>
        <w:t>%</w:t>
      </w:r>
    </w:p>
    <w:tbl>
      <w:tblPr>
        <w:tblStyle w:val="TableGrid"/>
        <w:tblW w:w="1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50"/>
        <w:gridCol w:w="4416"/>
        <w:gridCol w:w="4614"/>
      </w:tblGrid>
      <w:tr w:rsidR="00B0371C" w:rsidTr="009D5128">
        <w:tc>
          <w:tcPr>
            <w:tcW w:w="4750" w:type="dxa"/>
            <w:shd w:val="clear" w:color="auto" w:fill="auto"/>
          </w:tcPr>
          <w:p w:rsidR="00B0371C" w:rsidRDefault="00B0371C" w:rsidP="009D5128">
            <w:pPr>
              <w:pStyle w:val="FigureTitle"/>
            </w:pPr>
            <w:r>
              <w:t xml:space="preserve">Figure </w:t>
            </w:r>
            <w:fldSimple w:instr=" SEQ Figure \* ARABIC ">
              <w:r w:rsidR="00F60272">
                <w:rPr>
                  <w:noProof/>
                </w:rPr>
                <w:t>21</w:t>
              </w:r>
            </w:fldSimple>
            <w:r>
              <w:t>: Amlin</w:t>
            </w:r>
          </w:p>
          <w:p w:rsidR="00B0371C" w:rsidRDefault="00B0371C" w:rsidP="009D5128">
            <w:pPr>
              <w:pStyle w:val="Units"/>
            </w:pPr>
            <w:r>
              <w:t>%</w:t>
            </w:r>
          </w:p>
          <w:p w:rsidR="00B0371C" w:rsidRDefault="00B0371C" w:rsidP="009D5128">
            <w:r>
              <w:rPr>
                <w:noProof/>
                <w:lang w:val="en-GB" w:eastAsia="en-GB"/>
              </w:rPr>
              <w:drawing>
                <wp:inline distT="0" distB="0" distL="0" distR="0">
                  <wp:extent cx="2876550" cy="1704975"/>
                  <wp:effectExtent l="1905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41"/>
                          <a:srcRect/>
                          <a:stretch>
                            <a:fillRect/>
                          </a:stretch>
                        </pic:blipFill>
                        <pic:spPr bwMode="auto">
                          <a:xfrm>
                            <a:off x="0" y="0"/>
                            <a:ext cx="2876550" cy="1704975"/>
                          </a:xfrm>
                          <a:prstGeom prst="rect">
                            <a:avLst/>
                          </a:prstGeom>
                          <a:noFill/>
                          <a:ln w="9525">
                            <a:noFill/>
                            <a:miter lim="800000"/>
                            <a:headEnd/>
                            <a:tailEnd/>
                          </a:ln>
                        </pic:spPr>
                      </pic:pic>
                    </a:graphicData>
                  </a:graphic>
                </wp:inline>
              </w:drawing>
            </w:r>
          </w:p>
          <w:p w:rsidR="00B0371C" w:rsidRDefault="00B0371C" w:rsidP="009D5128">
            <w:pPr>
              <w:pStyle w:val="Source"/>
            </w:pPr>
            <w:r>
              <w:t>Source: Company reports and J.P. Morgan estimates.</w:t>
            </w:r>
          </w:p>
        </w:tc>
        <w:tc>
          <w:tcPr>
            <w:tcW w:w="4416" w:type="dxa"/>
            <w:shd w:val="clear" w:color="auto" w:fill="auto"/>
          </w:tcPr>
          <w:p w:rsidR="00B0371C" w:rsidRDefault="00B0371C" w:rsidP="009D5128">
            <w:pPr>
              <w:pStyle w:val="FigureTitle"/>
            </w:pPr>
            <w:r>
              <w:t xml:space="preserve">Figure </w:t>
            </w:r>
            <w:fldSimple w:instr=" SEQ Figure \* ARABIC ">
              <w:r w:rsidR="00F60272">
                <w:rPr>
                  <w:noProof/>
                </w:rPr>
                <w:t>22</w:t>
              </w:r>
            </w:fldSimple>
            <w:r>
              <w:t>: Beazley</w:t>
            </w:r>
          </w:p>
          <w:p w:rsidR="00B0371C" w:rsidRDefault="00B0371C" w:rsidP="009D5128">
            <w:pPr>
              <w:pStyle w:val="Units"/>
            </w:pPr>
            <w:r>
              <w:t>%</w:t>
            </w:r>
          </w:p>
          <w:p w:rsidR="00B0371C" w:rsidRDefault="00B0371C" w:rsidP="009D5128">
            <w:r>
              <w:rPr>
                <w:noProof/>
                <w:lang w:val="en-GB" w:eastAsia="en-GB"/>
              </w:rPr>
              <w:drawing>
                <wp:inline distT="0" distB="0" distL="0" distR="0">
                  <wp:extent cx="2667000" cy="1581150"/>
                  <wp:effectExtent l="1905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2"/>
                          <a:srcRect/>
                          <a:stretch>
                            <a:fillRect/>
                          </a:stretch>
                        </pic:blipFill>
                        <pic:spPr bwMode="auto">
                          <a:xfrm>
                            <a:off x="0" y="0"/>
                            <a:ext cx="2667000" cy="1581150"/>
                          </a:xfrm>
                          <a:prstGeom prst="rect">
                            <a:avLst/>
                          </a:prstGeom>
                          <a:noFill/>
                          <a:ln w="9525">
                            <a:noFill/>
                            <a:miter lim="800000"/>
                            <a:headEnd/>
                            <a:tailEnd/>
                          </a:ln>
                        </pic:spPr>
                      </pic:pic>
                    </a:graphicData>
                  </a:graphic>
                </wp:inline>
              </w:drawing>
            </w:r>
          </w:p>
          <w:p w:rsidR="00B0371C" w:rsidRDefault="00B0371C" w:rsidP="009D5128">
            <w:pPr>
              <w:pStyle w:val="Source"/>
            </w:pPr>
            <w:r>
              <w:t>Source: Company reports and J.P. Morgan estimates.</w:t>
            </w:r>
          </w:p>
        </w:tc>
        <w:tc>
          <w:tcPr>
            <w:tcW w:w="4614" w:type="dxa"/>
          </w:tcPr>
          <w:p w:rsidR="00B0371C" w:rsidRDefault="00B0371C" w:rsidP="009D5128">
            <w:pPr>
              <w:pStyle w:val="FigureTitle"/>
            </w:pPr>
            <w:r>
              <w:t xml:space="preserve">Figure </w:t>
            </w:r>
            <w:fldSimple w:instr=" SEQ Figure \* ARABIC ">
              <w:r w:rsidR="00F60272">
                <w:rPr>
                  <w:noProof/>
                </w:rPr>
                <w:t>23</w:t>
              </w:r>
            </w:fldSimple>
            <w:r>
              <w:t>: BRIT</w:t>
            </w:r>
          </w:p>
          <w:p w:rsidR="00B0371C" w:rsidRDefault="00B0371C" w:rsidP="009D5128">
            <w:pPr>
              <w:pStyle w:val="Units"/>
            </w:pPr>
            <w:r>
              <w:t>%</w:t>
            </w:r>
          </w:p>
          <w:p w:rsidR="00B0371C" w:rsidRDefault="00B0371C" w:rsidP="009D5128">
            <w:r>
              <w:rPr>
                <w:noProof/>
                <w:lang w:val="en-GB" w:eastAsia="en-GB"/>
              </w:rPr>
              <w:drawing>
                <wp:inline distT="0" distB="0" distL="0" distR="0">
                  <wp:extent cx="2790825" cy="1657350"/>
                  <wp:effectExtent l="19050" t="0" r="952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3"/>
                          <a:srcRect/>
                          <a:stretch>
                            <a:fillRect/>
                          </a:stretch>
                        </pic:blipFill>
                        <pic:spPr bwMode="auto">
                          <a:xfrm>
                            <a:off x="0" y="0"/>
                            <a:ext cx="2790825" cy="1657350"/>
                          </a:xfrm>
                          <a:prstGeom prst="rect">
                            <a:avLst/>
                          </a:prstGeom>
                          <a:noFill/>
                          <a:ln w="9525">
                            <a:noFill/>
                            <a:miter lim="800000"/>
                            <a:headEnd/>
                            <a:tailEnd/>
                          </a:ln>
                        </pic:spPr>
                      </pic:pic>
                    </a:graphicData>
                  </a:graphic>
                </wp:inline>
              </w:drawing>
            </w:r>
          </w:p>
          <w:p w:rsidR="00B0371C" w:rsidRDefault="00B0371C" w:rsidP="009D5128">
            <w:pPr>
              <w:pStyle w:val="Source"/>
            </w:pPr>
            <w:r>
              <w:t>Source: Company reports and J.P. Morgan estimates.</w:t>
            </w:r>
          </w:p>
        </w:tc>
      </w:tr>
      <w:tr w:rsidR="00B0371C" w:rsidTr="009D5128">
        <w:tc>
          <w:tcPr>
            <w:tcW w:w="4750" w:type="dxa"/>
            <w:shd w:val="clear" w:color="auto" w:fill="auto"/>
          </w:tcPr>
          <w:p w:rsidR="00B0371C" w:rsidRDefault="00B0371C" w:rsidP="009D5128">
            <w:pPr>
              <w:pStyle w:val="FigureTitle"/>
            </w:pPr>
            <w:r>
              <w:t xml:space="preserve">Figure </w:t>
            </w:r>
            <w:fldSimple w:instr=" SEQ Figure \* ARABIC ">
              <w:r w:rsidR="00F60272">
                <w:rPr>
                  <w:noProof/>
                </w:rPr>
                <w:t>24</w:t>
              </w:r>
            </w:fldSimple>
            <w:r>
              <w:t>: Catlin</w:t>
            </w:r>
          </w:p>
          <w:p w:rsidR="00B0371C" w:rsidRDefault="00B0371C" w:rsidP="009D5128">
            <w:pPr>
              <w:pStyle w:val="Units"/>
            </w:pPr>
            <w:r>
              <w:t>%</w:t>
            </w:r>
          </w:p>
          <w:p w:rsidR="00B0371C" w:rsidRDefault="00B0371C" w:rsidP="009D5128">
            <w:r>
              <w:rPr>
                <w:noProof/>
                <w:lang w:val="en-GB" w:eastAsia="en-GB"/>
              </w:rPr>
              <w:drawing>
                <wp:inline distT="0" distB="0" distL="0" distR="0">
                  <wp:extent cx="2876550" cy="1704975"/>
                  <wp:effectExtent l="1905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4"/>
                          <a:srcRect/>
                          <a:stretch>
                            <a:fillRect/>
                          </a:stretch>
                        </pic:blipFill>
                        <pic:spPr bwMode="auto">
                          <a:xfrm>
                            <a:off x="0" y="0"/>
                            <a:ext cx="2876550" cy="1704975"/>
                          </a:xfrm>
                          <a:prstGeom prst="rect">
                            <a:avLst/>
                          </a:prstGeom>
                          <a:noFill/>
                          <a:ln w="9525">
                            <a:noFill/>
                            <a:miter lim="800000"/>
                            <a:headEnd/>
                            <a:tailEnd/>
                          </a:ln>
                        </pic:spPr>
                      </pic:pic>
                    </a:graphicData>
                  </a:graphic>
                </wp:inline>
              </w:drawing>
            </w:r>
          </w:p>
          <w:p w:rsidR="00B0371C" w:rsidRDefault="00B0371C" w:rsidP="009D5128">
            <w:pPr>
              <w:pStyle w:val="Source"/>
            </w:pPr>
            <w:r>
              <w:t>Source: Company reports and J.P. Morgan estimates.</w:t>
            </w:r>
          </w:p>
        </w:tc>
        <w:tc>
          <w:tcPr>
            <w:tcW w:w="4416" w:type="dxa"/>
            <w:shd w:val="clear" w:color="auto" w:fill="auto"/>
          </w:tcPr>
          <w:p w:rsidR="00B0371C" w:rsidRDefault="00B0371C" w:rsidP="009D5128">
            <w:pPr>
              <w:pStyle w:val="FigureTitle"/>
            </w:pPr>
            <w:r>
              <w:t xml:space="preserve">Figure </w:t>
            </w:r>
            <w:fldSimple w:instr=" SEQ Figure \* ARABIC ">
              <w:r w:rsidR="00F60272">
                <w:rPr>
                  <w:noProof/>
                </w:rPr>
                <w:t>25</w:t>
              </w:r>
            </w:fldSimple>
            <w:r>
              <w:t>: Hiscox</w:t>
            </w:r>
          </w:p>
          <w:p w:rsidR="00B0371C" w:rsidRDefault="00B0371C" w:rsidP="009D5128">
            <w:pPr>
              <w:pStyle w:val="Units"/>
            </w:pPr>
            <w:r>
              <w:t>%</w:t>
            </w:r>
          </w:p>
          <w:p w:rsidR="00B0371C" w:rsidRDefault="00B0371C" w:rsidP="009D5128">
            <w:r>
              <w:rPr>
                <w:noProof/>
                <w:lang w:val="en-GB" w:eastAsia="en-GB"/>
              </w:rPr>
              <w:drawing>
                <wp:inline distT="0" distB="0" distL="0" distR="0">
                  <wp:extent cx="2667000" cy="1600200"/>
                  <wp:effectExtent l="1905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45"/>
                          <a:srcRect/>
                          <a:stretch>
                            <a:fillRect/>
                          </a:stretch>
                        </pic:blipFill>
                        <pic:spPr bwMode="auto">
                          <a:xfrm>
                            <a:off x="0" y="0"/>
                            <a:ext cx="2667000" cy="1600200"/>
                          </a:xfrm>
                          <a:prstGeom prst="rect">
                            <a:avLst/>
                          </a:prstGeom>
                          <a:noFill/>
                          <a:ln w="9525">
                            <a:noFill/>
                            <a:miter lim="800000"/>
                            <a:headEnd/>
                            <a:tailEnd/>
                          </a:ln>
                        </pic:spPr>
                      </pic:pic>
                    </a:graphicData>
                  </a:graphic>
                </wp:inline>
              </w:drawing>
            </w:r>
          </w:p>
          <w:p w:rsidR="00B0371C" w:rsidRDefault="00B0371C" w:rsidP="009D5128">
            <w:pPr>
              <w:pStyle w:val="Source"/>
            </w:pPr>
            <w:r>
              <w:t>Source: Company reports and J.P. Morgan estimates.</w:t>
            </w:r>
          </w:p>
        </w:tc>
        <w:tc>
          <w:tcPr>
            <w:tcW w:w="4614" w:type="dxa"/>
          </w:tcPr>
          <w:p w:rsidR="00B0371C" w:rsidRDefault="00B0371C" w:rsidP="009D5128">
            <w:pPr>
              <w:pStyle w:val="FigureTitle"/>
            </w:pPr>
            <w:r>
              <w:t xml:space="preserve">Figure </w:t>
            </w:r>
            <w:fldSimple w:instr=" SEQ Figure \* ARABIC ">
              <w:r w:rsidR="00F60272">
                <w:rPr>
                  <w:noProof/>
                </w:rPr>
                <w:t>26</w:t>
              </w:r>
            </w:fldSimple>
            <w:r>
              <w:t>: Lancashire</w:t>
            </w:r>
          </w:p>
          <w:p w:rsidR="00B0371C" w:rsidRDefault="00B0371C" w:rsidP="009D5128">
            <w:pPr>
              <w:pStyle w:val="Units"/>
            </w:pPr>
            <w:r>
              <w:t>%</w:t>
            </w:r>
          </w:p>
          <w:p w:rsidR="00B0371C" w:rsidRDefault="00B0371C" w:rsidP="009D5128">
            <w:pPr>
              <w:pStyle w:val="Units"/>
            </w:pPr>
            <w:r>
              <w:rPr>
                <w:noProof/>
                <w:lang w:val="en-GB" w:eastAsia="en-GB"/>
              </w:rPr>
              <w:drawing>
                <wp:inline distT="0" distB="0" distL="0" distR="0">
                  <wp:extent cx="2790825" cy="1657350"/>
                  <wp:effectExtent l="1905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6"/>
                          <a:srcRect/>
                          <a:stretch>
                            <a:fillRect/>
                          </a:stretch>
                        </pic:blipFill>
                        <pic:spPr bwMode="auto">
                          <a:xfrm>
                            <a:off x="0" y="0"/>
                            <a:ext cx="2790825" cy="1657350"/>
                          </a:xfrm>
                          <a:prstGeom prst="rect">
                            <a:avLst/>
                          </a:prstGeom>
                          <a:noFill/>
                          <a:ln w="9525">
                            <a:noFill/>
                            <a:miter lim="800000"/>
                            <a:headEnd/>
                            <a:tailEnd/>
                          </a:ln>
                        </pic:spPr>
                      </pic:pic>
                    </a:graphicData>
                  </a:graphic>
                </wp:inline>
              </w:drawing>
            </w:r>
          </w:p>
          <w:p w:rsidR="00B0371C" w:rsidRDefault="00B0371C" w:rsidP="009D5128">
            <w:pPr>
              <w:pStyle w:val="Units"/>
            </w:pPr>
            <w:r>
              <w:t>Source: Company reports and J.P. Morgan estimates</w:t>
            </w:r>
          </w:p>
        </w:tc>
      </w:tr>
    </w:tbl>
    <w:p w:rsidR="00B0371C" w:rsidRDefault="00B0371C" w:rsidP="00B0371C">
      <w:pPr>
        <w:pStyle w:val="Body"/>
      </w:pPr>
    </w:p>
    <w:p w:rsidR="00B0371C" w:rsidRDefault="00B0371C">
      <w:pPr>
        <w:spacing w:after="240" w:line="240" w:lineRule="atLeast"/>
        <w:rPr>
          <w:sz w:val="20"/>
        </w:rPr>
      </w:pPr>
      <w:r>
        <w:br w:type="page"/>
      </w:r>
    </w:p>
    <w:p w:rsidR="00B0371C" w:rsidRDefault="00B0371C" w:rsidP="006C3ABB">
      <w:pPr>
        <w:pStyle w:val="Body"/>
      </w:pPr>
    </w:p>
    <w:p w:rsidR="00833F0F" w:rsidRDefault="008A0286" w:rsidP="00833F0F">
      <w:pPr>
        <w:pStyle w:val="Heading1"/>
      </w:pPr>
      <w:r>
        <w:t>Lloyd’s Insurers G</w:t>
      </w:r>
      <w:r w:rsidR="00833F0F">
        <w:t>eographic premium split</w:t>
      </w:r>
      <w:bookmarkEnd w:id="1"/>
    </w:p>
    <w:p w:rsidR="00833F0F" w:rsidRDefault="00833F0F" w:rsidP="00833F0F">
      <w:pPr>
        <w:pStyle w:val="FigureTitle"/>
        <w:spacing w:after="40"/>
      </w:pPr>
      <w:r>
        <w:t>Premium split by geography (2013)</w:t>
      </w:r>
    </w:p>
    <w:p w:rsidR="00833F0F" w:rsidRDefault="00833F0F" w:rsidP="00833F0F">
      <w:pPr>
        <w:pStyle w:val="Units"/>
        <w:ind w:left="-3125"/>
      </w:pPr>
      <w:r>
        <w:t>%</w:t>
      </w:r>
    </w:p>
    <w:tbl>
      <w:tblPr>
        <w:tblStyle w:val="TableGrid"/>
        <w:tblW w:w="1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50"/>
        <w:gridCol w:w="4416"/>
        <w:gridCol w:w="4614"/>
      </w:tblGrid>
      <w:tr w:rsidR="00833F0F" w:rsidTr="009D5128">
        <w:tc>
          <w:tcPr>
            <w:tcW w:w="4750" w:type="dxa"/>
            <w:shd w:val="clear" w:color="auto" w:fill="auto"/>
          </w:tcPr>
          <w:p w:rsidR="00833F0F" w:rsidRDefault="00833F0F" w:rsidP="009D5128">
            <w:pPr>
              <w:pStyle w:val="FigureTitle"/>
            </w:pPr>
            <w:r>
              <w:t xml:space="preserve">Figure </w:t>
            </w:r>
            <w:fldSimple w:instr=" SEQ Figure \* ARABIC ">
              <w:r w:rsidR="00F60272">
                <w:rPr>
                  <w:noProof/>
                </w:rPr>
                <w:t>27</w:t>
              </w:r>
            </w:fldSimple>
            <w:r>
              <w:t>: Amlin</w:t>
            </w:r>
          </w:p>
          <w:p w:rsidR="00833F0F" w:rsidRDefault="00833F0F" w:rsidP="009D5128">
            <w:pPr>
              <w:pStyle w:val="Units"/>
            </w:pPr>
            <w:r>
              <w:t>%</w:t>
            </w:r>
          </w:p>
          <w:p w:rsidR="00833F0F" w:rsidRDefault="00833F0F" w:rsidP="009D5128">
            <w:r>
              <w:rPr>
                <w:noProof/>
                <w:lang w:val="en-GB" w:eastAsia="en-GB"/>
              </w:rPr>
              <w:drawing>
                <wp:inline distT="0" distB="0" distL="0" distR="0">
                  <wp:extent cx="2876550" cy="17145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2876550" cy="1714500"/>
                          </a:xfrm>
                          <a:prstGeom prst="rect">
                            <a:avLst/>
                          </a:prstGeom>
                          <a:noFill/>
                          <a:ln w="9525">
                            <a:noFill/>
                            <a:miter lim="800000"/>
                            <a:headEnd/>
                            <a:tailEnd/>
                          </a:ln>
                        </pic:spPr>
                      </pic:pic>
                    </a:graphicData>
                  </a:graphic>
                </wp:inline>
              </w:drawing>
            </w:r>
          </w:p>
          <w:p w:rsidR="00833F0F" w:rsidRDefault="00833F0F" w:rsidP="009D5128">
            <w:pPr>
              <w:pStyle w:val="Source"/>
            </w:pPr>
            <w:r>
              <w:t>Source: Company reports and J.P. Morgan estimates.</w:t>
            </w:r>
          </w:p>
        </w:tc>
        <w:tc>
          <w:tcPr>
            <w:tcW w:w="4416" w:type="dxa"/>
            <w:shd w:val="clear" w:color="auto" w:fill="auto"/>
          </w:tcPr>
          <w:p w:rsidR="00833F0F" w:rsidRDefault="00833F0F" w:rsidP="009D5128">
            <w:pPr>
              <w:pStyle w:val="FigureTitle"/>
            </w:pPr>
            <w:r>
              <w:t xml:space="preserve">Figure </w:t>
            </w:r>
            <w:fldSimple w:instr=" SEQ Figure \* ARABIC ">
              <w:r w:rsidR="00F60272">
                <w:rPr>
                  <w:noProof/>
                </w:rPr>
                <w:t>28</w:t>
              </w:r>
            </w:fldSimple>
            <w:r>
              <w:t>: Beazley</w:t>
            </w:r>
          </w:p>
          <w:p w:rsidR="00833F0F" w:rsidRDefault="00833F0F" w:rsidP="009D5128">
            <w:pPr>
              <w:pStyle w:val="Units"/>
            </w:pPr>
            <w:r>
              <w:t>%</w:t>
            </w:r>
          </w:p>
          <w:p w:rsidR="00833F0F" w:rsidRDefault="00833F0F" w:rsidP="009D5128">
            <w:r>
              <w:rPr>
                <w:noProof/>
                <w:lang w:val="en-GB" w:eastAsia="en-GB"/>
              </w:rPr>
              <w:drawing>
                <wp:inline distT="0" distB="0" distL="0" distR="0">
                  <wp:extent cx="2667000" cy="1571625"/>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srcRect/>
                          <a:stretch>
                            <a:fillRect/>
                          </a:stretch>
                        </pic:blipFill>
                        <pic:spPr bwMode="auto">
                          <a:xfrm>
                            <a:off x="0" y="0"/>
                            <a:ext cx="2667000" cy="1571625"/>
                          </a:xfrm>
                          <a:prstGeom prst="rect">
                            <a:avLst/>
                          </a:prstGeom>
                          <a:noFill/>
                          <a:ln w="9525">
                            <a:noFill/>
                            <a:miter lim="800000"/>
                            <a:headEnd/>
                            <a:tailEnd/>
                          </a:ln>
                        </pic:spPr>
                      </pic:pic>
                    </a:graphicData>
                  </a:graphic>
                </wp:inline>
              </w:drawing>
            </w:r>
          </w:p>
          <w:p w:rsidR="00833F0F" w:rsidRDefault="00833F0F" w:rsidP="009D5128">
            <w:pPr>
              <w:pStyle w:val="Source"/>
            </w:pPr>
            <w:r>
              <w:t>Source: Company reports and J.P. Morgan estimates.</w:t>
            </w:r>
          </w:p>
        </w:tc>
        <w:tc>
          <w:tcPr>
            <w:tcW w:w="4614" w:type="dxa"/>
          </w:tcPr>
          <w:p w:rsidR="00833F0F" w:rsidRDefault="00833F0F" w:rsidP="009D5128">
            <w:pPr>
              <w:pStyle w:val="FigureTitle"/>
            </w:pPr>
            <w:r>
              <w:t xml:space="preserve">Figure </w:t>
            </w:r>
            <w:fldSimple w:instr=" SEQ Figure \* ARABIC ">
              <w:r w:rsidR="00F60272">
                <w:rPr>
                  <w:noProof/>
                </w:rPr>
                <w:t>29</w:t>
              </w:r>
            </w:fldSimple>
            <w:r>
              <w:t>: BRIT</w:t>
            </w:r>
          </w:p>
          <w:p w:rsidR="00833F0F" w:rsidRDefault="00833F0F" w:rsidP="009D5128">
            <w:pPr>
              <w:pStyle w:val="Units"/>
            </w:pPr>
            <w:r>
              <w:t>%</w:t>
            </w:r>
          </w:p>
          <w:p w:rsidR="00833F0F" w:rsidRDefault="00833F0F" w:rsidP="009D5128">
            <w:r>
              <w:rPr>
                <w:noProof/>
                <w:lang w:val="en-GB" w:eastAsia="en-GB"/>
              </w:rPr>
              <w:drawing>
                <wp:inline distT="0" distB="0" distL="0" distR="0">
                  <wp:extent cx="2790825" cy="1647825"/>
                  <wp:effectExtent l="1905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srcRect/>
                          <a:stretch>
                            <a:fillRect/>
                          </a:stretch>
                        </pic:blipFill>
                        <pic:spPr bwMode="auto">
                          <a:xfrm>
                            <a:off x="0" y="0"/>
                            <a:ext cx="2790825" cy="1647825"/>
                          </a:xfrm>
                          <a:prstGeom prst="rect">
                            <a:avLst/>
                          </a:prstGeom>
                          <a:noFill/>
                          <a:ln w="9525">
                            <a:noFill/>
                            <a:miter lim="800000"/>
                            <a:headEnd/>
                            <a:tailEnd/>
                          </a:ln>
                        </pic:spPr>
                      </pic:pic>
                    </a:graphicData>
                  </a:graphic>
                </wp:inline>
              </w:drawing>
            </w:r>
          </w:p>
          <w:p w:rsidR="00833F0F" w:rsidRDefault="00833F0F" w:rsidP="009D5128">
            <w:pPr>
              <w:pStyle w:val="Source"/>
            </w:pPr>
            <w:r>
              <w:t>Source: Company reports and J.P. Morgan estimates.</w:t>
            </w:r>
          </w:p>
        </w:tc>
      </w:tr>
      <w:tr w:rsidR="00833F0F" w:rsidTr="009D5128">
        <w:tc>
          <w:tcPr>
            <w:tcW w:w="4750" w:type="dxa"/>
            <w:shd w:val="clear" w:color="auto" w:fill="auto"/>
          </w:tcPr>
          <w:p w:rsidR="00833F0F" w:rsidRDefault="00833F0F" w:rsidP="009D5128">
            <w:pPr>
              <w:pStyle w:val="FigureTitle"/>
            </w:pPr>
            <w:r>
              <w:t xml:space="preserve">Figure </w:t>
            </w:r>
            <w:fldSimple w:instr=" SEQ Figure \* ARABIC ">
              <w:r w:rsidR="00F60272">
                <w:rPr>
                  <w:noProof/>
                </w:rPr>
                <w:t>30</w:t>
              </w:r>
            </w:fldSimple>
            <w:r>
              <w:t>: Catlin</w:t>
            </w:r>
          </w:p>
          <w:p w:rsidR="00833F0F" w:rsidRDefault="00833F0F" w:rsidP="009D5128">
            <w:pPr>
              <w:pStyle w:val="Units"/>
            </w:pPr>
            <w:r>
              <w:t>%</w:t>
            </w:r>
          </w:p>
          <w:p w:rsidR="00833F0F" w:rsidRDefault="00C90529" w:rsidP="009D5128">
            <w:r>
              <w:rPr>
                <w:noProof/>
                <w:lang w:val="en-GB" w:eastAsia="en-GB"/>
              </w:rPr>
              <w:drawing>
                <wp:inline distT="0" distB="0" distL="0" distR="0">
                  <wp:extent cx="2876550" cy="1704975"/>
                  <wp:effectExtent l="1905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0"/>
                          <a:srcRect/>
                          <a:stretch>
                            <a:fillRect/>
                          </a:stretch>
                        </pic:blipFill>
                        <pic:spPr bwMode="auto">
                          <a:xfrm>
                            <a:off x="0" y="0"/>
                            <a:ext cx="2876550" cy="1704975"/>
                          </a:xfrm>
                          <a:prstGeom prst="rect">
                            <a:avLst/>
                          </a:prstGeom>
                          <a:noFill/>
                          <a:ln w="9525">
                            <a:noFill/>
                            <a:miter lim="800000"/>
                            <a:headEnd/>
                            <a:tailEnd/>
                          </a:ln>
                        </pic:spPr>
                      </pic:pic>
                    </a:graphicData>
                  </a:graphic>
                </wp:inline>
              </w:drawing>
            </w:r>
          </w:p>
          <w:p w:rsidR="00833F0F" w:rsidRDefault="00833F0F" w:rsidP="009D5128">
            <w:pPr>
              <w:pStyle w:val="Source"/>
            </w:pPr>
            <w:r>
              <w:t>Source: Company reports and J.P. Morgan estimates.</w:t>
            </w:r>
          </w:p>
        </w:tc>
        <w:tc>
          <w:tcPr>
            <w:tcW w:w="4416" w:type="dxa"/>
            <w:shd w:val="clear" w:color="auto" w:fill="auto"/>
          </w:tcPr>
          <w:p w:rsidR="00833F0F" w:rsidRDefault="00833F0F" w:rsidP="009D5128">
            <w:pPr>
              <w:pStyle w:val="FigureTitle"/>
            </w:pPr>
            <w:r>
              <w:t xml:space="preserve">Figure </w:t>
            </w:r>
            <w:fldSimple w:instr=" SEQ Figure \* ARABIC ">
              <w:r w:rsidR="00F60272">
                <w:rPr>
                  <w:noProof/>
                </w:rPr>
                <w:t>31</w:t>
              </w:r>
            </w:fldSimple>
            <w:r>
              <w:t>: Hiscox</w:t>
            </w:r>
          </w:p>
          <w:p w:rsidR="00833F0F" w:rsidRDefault="00833F0F" w:rsidP="009D5128">
            <w:pPr>
              <w:pStyle w:val="Units"/>
            </w:pPr>
            <w:r>
              <w:t>%</w:t>
            </w:r>
          </w:p>
          <w:p w:rsidR="00833F0F" w:rsidRDefault="00C90529" w:rsidP="009D5128">
            <w:r>
              <w:rPr>
                <w:noProof/>
                <w:lang w:val="en-GB" w:eastAsia="en-GB"/>
              </w:rPr>
              <w:drawing>
                <wp:inline distT="0" distB="0" distL="0" distR="0">
                  <wp:extent cx="2667000" cy="1571625"/>
                  <wp:effectExtent l="1905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51"/>
                          <a:srcRect/>
                          <a:stretch>
                            <a:fillRect/>
                          </a:stretch>
                        </pic:blipFill>
                        <pic:spPr bwMode="auto">
                          <a:xfrm>
                            <a:off x="0" y="0"/>
                            <a:ext cx="2667000" cy="1571625"/>
                          </a:xfrm>
                          <a:prstGeom prst="rect">
                            <a:avLst/>
                          </a:prstGeom>
                          <a:noFill/>
                          <a:ln w="9525">
                            <a:noFill/>
                            <a:miter lim="800000"/>
                            <a:headEnd/>
                            <a:tailEnd/>
                          </a:ln>
                        </pic:spPr>
                      </pic:pic>
                    </a:graphicData>
                  </a:graphic>
                </wp:inline>
              </w:drawing>
            </w:r>
          </w:p>
          <w:p w:rsidR="00833F0F" w:rsidRDefault="00833F0F" w:rsidP="009D5128">
            <w:pPr>
              <w:pStyle w:val="Source"/>
            </w:pPr>
            <w:r>
              <w:t>Source: Company reports and J.P. Morgan estimates.</w:t>
            </w:r>
          </w:p>
        </w:tc>
        <w:tc>
          <w:tcPr>
            <w:tcW w:w="4614" w:type="dxa"/>
          </w:tcPr>
          <w:p w:rsidR="00833F0F" w:rsidRDefault="00833F0F" w:rsidP="009D5128">
            <w:pPr>
              <w:pStyle w:val="FigureTitle"/>
            </w:pPr>
            <w:r>
              <w:t xml:space="preserve">Figure </w:t>
            </w:r>
            <w:fldSimple w:instr=" SEQ Figure \* ARABIC ">
              <w:r w:rsidR="00F60272">
                <w:rPr>
                  <w:noProof/>
                </w:rPr>
                <w:t>32</w:t>
              </w:r>
            </w:fldSimple>
            <w:r>
              <w:t>: Lan</w:t>
            </w:r>
            <w:r w:rsidR="0006538E">
              <w:t>cashire</w:t>
            </w:r>
          </w:p>
          <w:p w:rsidR="00833F0F" w:rsidRDefault="00833F0F" w:rsidP="009D5128">
            <w:pPr>
              <w:pStyle w:val="Units"/>
            </w:pPr>
            <w:r>
              <w:t>%</w:t>
            </w:r>
          </w:p>
          <w:p w:rsidR="00833F0F" w:rsidRDefault="00C90529" w:rsidP="009D5128">
            <w:pPr>
              <w:pStyle w:val="Units"/>
            </w:pPr>
            <w:r>
              <w:rPr>
                <w:noProof/>
                <w:lang w:val="en-GB" w:eastAsia="en-GB"/>
              </w:rPr>
              <w:drawing>
                <wp:inline distT="0" distB="0" distL="0" distR="0">
                  <wp:extent cx="2790825" cy="1657350"/>
                  <wp:effectExtent l="19050" t="0" r="9525"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52"/>
                          <a:srcRect/>
                          <a:stretch>
                            <a:fillRect/>
                          </a:stretch>
                        </pic:blipFill>
                        <pic:spPr bwMode="auto">
                          <a:xfrm>
                            <a:off x="0" y="0"/>
                            <a:ext cx="2790825" cy="1657350"/>
                          </a:xfrm>
                          <a:prstGeom prst="rect">
                            <a:avLst/>
                          </a:prstGeom>
                          <a:noFill/>
                          <a:ln w="9525">
                            <a:noFill/>
                            <a:miter lim="800000"/>
                            <a:headEnd/>
                            <a:tailEnd/>
                          </a:ln>
                        </pic:spPr>
                      </pic:pic>
                    </a:graphicData>
                  </a:graphic>
                </wp:inline>
              </w:drawing>
            </w:r>
          </w:p>
          <w:p w:rsidR="00833F0F" w:rsidRPr="00EA1458" w:rsidRDefault="00833F0F" w:rsidP="009D5128">
            <w:pPr>
              <w:pStyle w:val="Units"/>
              <w:rPr>
                <w:sz w:val="14"/>
                <w:szCs w:val="14"/>
              </w:rPr>
            </w:pPr>
            <w:r w:rsidRPr="00EA1458">
              <w:rPr>
                <w:sz w:val="14"/>
                <w:szCs w:val="14"/>
              </w:rPr>
              <w:t>Source: Company reports and J.P. Morgan estimates</w:t>
            </w:r>
          </w:p>
        </w:tc>
      </w:tr>
    </w:tbl>
    <w:p w:rsidR="00A95596" w:rsidRDefault="00A95596" w:rsidP="00833F0F">
      <w:pPr>
        <w:pStyle w:val="Body"/>
      </w:pPr>
    </w:p>
    <w:p w:rsidR="00A95596" w:rsidRDefault="00A95596">
      <w:pPr>
        <w:spacing w:after="240" w:line="240" w:lineRule="atLeast"/>
        <w:rPr>
          <w:sz w:val="20"/>
        </w:rPr>
      </w:pPr>
      <w:r>
        <w:br w:type="page"/>
      </w:r>
    </w:p>
    <w:p w:rsidR="00E26615" w:rsidRDefault="00E26615" w:rsidP="00833F0F">
      <w:pPr>
        <w:pStyle w:val="Body"/>
      </w:pPr>
    </w:p>
    <w:p w:rsidR="00A95596" w:rsidRDefault="00A95596" w:rsidP="00A95596">
      <w:pPr>
        <w:pStyle w:val="TableTitle"/>
        <w:spacing w:after="40"/>
      </w:pPr>
      <w:r>
        <w:t xml:space="preserve">Table </w:t>
      </w:r>
      <w:fldSimple w:instr=" SEQ Table \* ARABIC ">
        <w:r w:rsidR="00F60272">
          <w:rPr>
            <w:noProof/>
          </w:rPr>
          <w:t>2</w:t>
        </w:r>
      </w:fldSimple>
      <w:r>
        <w:t>: Amlin Key data</w:t>
      </w:r>
    </w:p>
    <w:tbl>
      <w:tblPr>
        <w:tblW w:w="14009" w:type="dxa"/>
        <w:tblInd w:w="78" w:type="dxa"/>
        <w:tblLayout w:type="fixed"/>
        <w:tblLook w:val="0000"/>
      </w:tblPr>
      <w:tblGrid>
        <w:gridCol w:w="1902"/>
        <w:gridCol w:w="800"/>
        <w:gridCol w:w="807"/>
        <w:gridCol w:w="807"/>
        <w:gridCol w:w="807"/>
        <w:gridCol w:w="807"/>
        <w:gridCol w:w="807"/>
        <w:gridCol w:w="771"/>
        <w:gridCol w:w="1733"/>
        <w:gridCol w:w="734"/>
        <w:gridCol w:w="669"/>
        <w:gridCol w:w="661"/>
        <w:gridCol w:w="676"/>
        <w:gridCol w:w="676"/>
        <w:gridCol w:w="676"/>
        <w:gridCol w:w="676"/>
      </w:tblGrid>
      <w:tr w:rsidR="00A95596" w:rsidRPr="00A95596" w:rsidTr="00A95596">
        <w:tc>
          <w:tcPr>
            <w:tcW w:w="1902"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Profit and Loss statement</w:t>
            </w:r>
          </w:p>
        </w:tc>
        <w:tc>
          <w:tcPr>
            <w:tcW w:w="800"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807"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807"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807"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807"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807"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771"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1733"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Ratio Analysis</w:t>
            </w:r>
          </w:p>
        </w:tc>
        <w:tc>
          <w:tcPr>
            <w:tcW w:w="734"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669"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661"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676"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676"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676"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c>
          <w:tcPr>
            <w:tcW w:w="676"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color w:val="000000"/>
                <w:sz w:val="16"/>
                <w:szCs w:val="20"/>
                <w:lang w:eastAsia="ja-JP"/>
              </w:rPr>
            </w:pPr>
          </w:p>
        </w:tc>
      </w:tr>
      <w:tr w:rsidR="00A95596" w:rsidRPr="00A95596" w:rsidTr="00A95596">
        <w:tc>
          <w:tcPr>
            <w:tcW w:w="1902" w:type="dxa"/>
            <w:tcBorders>
              <w:top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 in millions</w:t>
            </w:r>
          </w:p>
        </w:tc>
        <w:tc>
          <w:tcPr>
            <w:tcW w:w="800"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FY11</w:t>
            </w:r>
          </w:p>
        </w:tc>
        <w:tc>
          <w:tcPr>
            <w:tcW w:w="807"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FY12</w:t>
            </w:r>
          </w:p>
        </w:tc>
        <w:tc>
          <w:tcPr>
            <w:tcW w:w="807"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FY13</w:t>
            </w:r>
          </w:p>
        </w:tc>
        <w:tc>
          <w:tcPr>
            <w:tcW w:w="807"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FY14e</w:t>
            </w:r>
          </w:p>
        </w:tc>
        <w:tc>
          <w:tcPr>
            <w:tcW w:w="807"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FY15e</w:t>
            </w:r>
          </w:p>
        </w:tc>
        <w:tc>
          <w:tcPr>
            <w:tcW w:w="807"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FY16e</w:t>
            </w:r>
          </w:p>
        </w:tc>
        <w:tc>
          <w:tcPr>
            <w:tcW w:w="771"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FY17e</w:t>
            </w:r>
          </w:p>
        </w:tc>
        <w:tc>
          <w:tcPr>
            <w:tcW w:w="1733" w:type="dxa"/>
            <w:tcBorders>
              <w:top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p</w:t>
            </w:r>
          </w:p>
        </w:tc>
        <w:tc>
          <w:tcPr>
            <w:tcW w:w="734"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FY11</w:t>
            </w:r>
          </w:p>
        </w:tc>
        <w:tc>
          <w:tcPr>
            <w:tcW w:w="669"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FY12</w:t>
            </w:r>
          </w:p>
        </w:tc>
        <w:tc>
          <w:tcPr>
            <w:tcW w:w="661"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FY13</w:t>
            </w:r>
          </w:p>
        </w:tc>
        <w:tc>
          <w:tcPr>
            <w:tcW w:w="676"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FY14e</w:t>
            </w:r>
          </w:p>
        </w:tc>
        <w:tc>
          <w:tcPr>
            <w:tcW w:w="676"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FY15e</w:t>
            </w:r>
          </w:p>
        </w:tc>
        <w:tc>
          <w:tcPr>
            <w:tcW w:w="676"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FY16e</w:t>
            </w:r>
          </w:p>
        </w:tc>
        <w:tc>
          <w:tcPr>
            <w:tcW w:w="676"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FY17e</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Gross Written Premiums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2,304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2,406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2,467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2,545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2,624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2,708</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2,799</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Shares Outstanding</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495</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495</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499</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change Y/Y</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EPS(diluted)p</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-30.1</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49.4</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58.9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37.9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30.6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30.0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33.9</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Net Written Premiums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2,013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2,059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2,107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2,192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2,255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2,323</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2,396</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change Y/Y</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-168%</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-264%</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change Y/Y</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DPS(p)</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23.0</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24.0</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26.0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26.0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26.0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26.0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26.0</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Net Earned premiums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1,927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1,971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2,077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2,133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2,197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2,262</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2,332</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change Y/Y</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change Y/Y</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Payout ratio</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-76.5%</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48.6%</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44.1%</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68.7%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84.8%</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86.6%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76.6%</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Insurance related expenses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(1,499)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(1,125)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(1,093)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(1,218)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(1,289)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(1,352)</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(1,395)</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TNAV / share(p)</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242.9</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259.7</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288.4</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299.2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302.5</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305.2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311.7</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Admin expenses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-59</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-59</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JPM TNAV / share(p)</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227.1</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243.2</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270.2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281.0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284.3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287.0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293.5</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Acquisition expenses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(574)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(639)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(696)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(689)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(699)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(708)</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(716)</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r>
      <w:tr w:rsidR="000B18DF" w:rsidRPr="00A95596" w:rsidTr="000B18DF">
        <w:tc>
          <w:tcPr>
            <w:tcW w:w="190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Underwriting profit</w:t>
            </w:r>
          </w:p>
        </w:tc>
        <w:tc>
          <w:tcPr>
            <w:tcW w:w="800"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(215)</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120</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207</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164</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150</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142</w:t>
            </w:r>
          </w:p>
        </w:tc>
        <w:tc>
          <w:tcPr>
            <w:tcW w:w="77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162</w:t>
            </w:r>
          </w:p>
        </w:tc>
        <w:tc>
          <w:tcPr>
            <w:tcW w:w="173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P/E x</w:t>
            </w:r>
          </w:p>
        </w:tc>
        <w:tc>
          <w:tcPr>
            <w:tcW w:w="734"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-10.4x</w:t>
            </w:r>
          </w:p>
        </w:tc>
        <w:tc>
          <w:tcPr>
            <w:tcW w:w="669"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7.7x</w:t>
            </w:r>
          </w:p>
        </w:tc>
        <w:tc>
          <w:tcPr>
            <w:tcW w:w="66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7.8x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12.7x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15.7x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16.0x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14.1x</w:t>
            </w:r>
          </w:p>
        </w:tc>
      </w:tr>
      <w:tr w:rsidR="000B18DF" w:rsidRPr="00A95596" w:rsidTr="000B18DF">
        <w:tc>
          <w:tcPr>
            <w:tcW w:w="190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i/>
                <w:iCs/>
                <w:color w:val="000000"/>
                <w:sz w:val="16"/>
                <w:szCs w:val="20"/>
                <w:lang w:eastAsia="ja-JP"/>
              </w:rPr>
            </w:pPr>
            <w:r w:rsidRPr="00A95596">
              <w:rPr>
                <w:rFonts w:ascii="Arial Narrow" w:eastAsia="MS PGothic" w:hAnsi="Arial Narrow" w:cs="Arial"/>
                <w:i/>
                <w:iCs/>
                <w:color w:val="000000"/>
                <w:sz w:val="16"/>
                <w:szCs w:val="20"/>
                <w:lang w:eastAsia="ja-JP"/>
              </w:rPr>
              <w:t>Of which Reserve releases</w:t>
            </w:r>
          </w:p>
        </w:tc>
        <w:tc>
          <w:tcPr>
            <w:tcW w:w="800"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113</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94</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134</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116</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111</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108</w:t>
            </w:r>
          </w:p>
        </w:tc>
        <w:tc>
          <w:tcPr>
            <w:tcW w:w="77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114</w:t>
            </w:r>
          </w:p>
        </w:tc>
        <w:tc>
          <w:tcPr>
            <w:tcW w:w="173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Dividend yield</w:t>
            </w:r>
          </w:p>
        </w:tc>
        <w:tc>
          <w:tcPr>
            <w:tcW w:w="734"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7.3%</w:t>
            </w:r>
          </w:p>
        </w:tc>
        <w:tc>
          <w:tcPr>
            <w:tcW w:w="669"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6.3%</w:t>
            </w:r>
          </w:p>
        </w:tc>
        <w:tc>
          <w:tcPr>
            <w:tcW w:w="66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5.7%</w:t>
            </w:r>
          </w:p>
        </w:tc>
        <w:tc>
          <w:tcPr>
            <w:tcW w:w="67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5.4%</w:t>
            </w:r>
          </w:p>
        </w:tc>
        <w:tc>
          <w:tcPr>
            <w:tcW w:w="67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5.4%</w:t>
            </w:r>
          </w:p>
        </w:tc>
        <w:tc>
          <w:tcPr>
            <w:tcW w:w="67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5.4%</w:t>
            </w:r>
          </w:p>
        </w:tc>
        <w:tc>
          <w:tcPr>
            <w:tcW w:w="67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5.4%</w:t>
            </w:r>
          </w:p>
        </w:tc>
      </w:tr>
      <w:tr w:rsidR="000B18DF" w:rsidRPr="00A95596" w:rsidTr="000B18DF">
        <w:tc>
          <w:tcPr>
            <w:tcW w:w="190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Investment income</w:t>
            </w:r>
          </w:p>
        </w:tc>
        <w:tc>
          <w:tcPr>
            <w:tcW w:w="800"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41</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165</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160</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93</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64</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66</w:t>
            </w:r>
          </w:p>
        </w:tc>
        <w:tc>
          <w:tcPr>
            <w:tcW w:w="77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69</w:t>
            </w:r>
          </w:p>
        </w:tc>
        <w:tc>
          <w:tcPr>
            <w:tcW w:w="173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P/TNAV x</w:t>
            </w:r>
          </w:p>
        </w:tc>
        <w:tc>
          <w:tcPr>
            <w:tcW w:w="734"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1.3x</w:t>
            </w:r>
          </w:p>
        </w:tc>
        <w:tc>
          <w:tcPr>
            <w:tcW w:w="669"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1.5x</w:t>
            </w:r>
          </w:p>
        </w:tc>
        <w:tc>
          <w:tcPr>
            <w:tcW w:w="66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1.6x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1.6x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1.6x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1.6x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1.5x</w:t>
            </w:r>
          </w:p>
        </w:tc>
      </w:tr>
      <w:tr w:rsidR="000B18DF" w:rsidRPr="00A95596" w:rsidTr="000B18DF">
        <w:tc>
          <w:tcPr>
            <w:tcW w:w="190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Other income</w:t>
            </w:r>
          </w:p>
        </w:tc>
        <w:tc>
          <w:tcPr>
            <w:tcW w:w="800"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w:t>
            </w:r>
          </w:p>
        </w:tc>
        <w:tc>
          <w:tcPr>
            <w:tcW w:w="77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w:t>
            </w:r>
          </w:p>
        </w:tc>
        <w:tc>
          <w:tcPr>
            <w:tcW w:w="173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RTNAV %</w:t>
            </w:r>
          </w:p>
        </w:tc>
        <w:tc>
          <w:tcPr>
            <w:tcW w:w="734"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-10.9%</w:t>
            </w:r>
          </w:p>
        </w:tc>
        <w:tc>
          <w:tcPr>
            <w:tcW w:w="669"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19.9%</w:t>
            </w:r>
          </w:p>
        </w:tc>
        <w:tc>
          <w:tcPr>
            <w:tcW w:w="66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21.9%</w:t>
            </w:r>
          </w:p>
        </w:tc>
        <w:tc>
          <w:tcPr>
            <w:tcW w:w="67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13.1%</w:t>
            </w:r>
          </w:p>
        </w:tc>
        <w:tc>
          <w:tcPr>
            <w:tcW w:w="67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10.3%</w:t>
            </w:r>
          </w:p>
        </w:tc>
        <w:tc>
          <w:tcPr>
            <w:tcW w:w="67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10.0%</w:t>
            </w:r>
          </w:p>
        </w:tc>
        <w:tc>
          <w:tcPr>
            <w:tcW w:w="67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11.2%</w:t>
            </w:r>
          </w:p>
        </w:tc>
      </w:tr>
      <w:tr w:rsidR="000B18DF" w:rsidRPr="00A95596" w:rsidTr="000B18DF">
        <w:tc>
          <w:tcPr>
            <w:tcW w:w="190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Other expenses</w:t>
            </w:r>
          </w:p>
        </w:tc>
        <w:tc>
          <w:tcPr>
            <w:tcW w:w="800"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(28)</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(50)</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(29)</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(29)</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(29)</w:t>
            </w:r>
          </w:p>
        </w:tc>
        <w:tc>
          <w:tcPr>
            <w:tcW w:w="77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(29)</w:t>
            </w:r>
          </w:p>
        </w:tc>
        <w:tc>
          <w:tcPr>
            <w:tcW w:w="173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P/JPM TNAV x</w:t>
            </w:r>
          </w:p>
        </w:tc>
        <w:tc>
          <w:tcPr>
            <w:tcW w:w="734"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1.4x</w:t>
            </w:r>
          </w:p>
        </w:tc>
        <w:tc>
          <w:tcPr>
            <w:tcW w:w="669"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1.6x</w:t>
            </w:r>
          </w:p>
        </w:tc>
        <w:tc>
          <w:tcPr>
            <w:tcW w:w="66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1.7x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1.7x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1.7x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1.7x</w:t>
            </w:r>
          </w:p>
        </w:tc>
        <w:tc>
          <w:tcPr>
            <w:tcW w:w="67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1.6x</w:t>
            </w:r>
          </w:p>
        </w:tc>
      </w:tr>
      <w:tr w:rsidR="000B18DF" w:rsidRPr="00A95596" w:rsidTr="000B18DF">
        <w:tc>
          <w:tcPr>
            <w:tcW w:w="190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Earnings before tax</w:t>
            </w:r>
          </w:p>
        </w:tc>
        <w:tc>
          <w:tcPr>
            <w:tcW w:w="800"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(194)</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264</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326</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226</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183</w:t>
            </w:r>
          </w:p>
        </w:tc>
        <w:tc>
          <w:tcPr>
            <w:tcW w:w="807"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179</w:t>
            </w:r>
          </w:p>
        </w:tc>
        <w:tc>
          <w:tcPr>
            <w:tcW w:w="77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202</w:t>
            </w:r>
          </w:p>
        </w:tc>
        <w:tc>
          <w:tcPr>
            <w:tcW w:w="173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RTNAV %</w:t>
            </w:r>
          </w:p>
        </w:tc>
        <w:tc>
          <w:tcPr>
            <w:tcW w:w="734"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-8.1%</w:t>
            </w:r>
          </w:p>
        </w:tc>
        <w:tc>
          <w:tcPr>
            <w:tcW w:w="669"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14.4%</w:t>
            </w:r>
          </w:p>
        </w:tc>
        <w:tc>
          <w:tcPr>
            <w:tcW w:w="66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23.3%</w:t>
            </w:r>
          </w:p>
        </w:tc>
        <w:tc>
          <w:tcPr>
            <w:tcW w:w="676" w:type="dxa"/>
            <w:shd w:val="clear" w:color="auto" w:fill="auto"/>
            <w:vAlign w:val="bottom"/>
          </w:tcPr>
          <w:p w:rsidR="000B18DF" w:rsidRPr="000B18DF" w:rsidRDefault="000B18DF">
            <w:pPr>
              <w:jc w:val="right"/>
              <w:rPr>
                <w:rFonts w:ascii="Arial Narrow" w:hAnsi="Arial Narrow" w:cs="Arial"/>
                <w:b/>
                <w:bCs/>
                <w:sz w:val="16"/>
                <w:szCs w:val="16"/>
              </w:rPr>
            </w:pPr>
            <w:r w:rsidRPr="000B18DF">
              <w:rPr>
                <w:rFonts w:ascii="Arial Narrow" w:hAnsi="Arial Narrow" w:cs="Arial"/>
                <w:b/>
                <w:bCs/>
                <w:sz w:val="16"/>
                <w:szCs w:val="16"/>
              </w:rPr>
              <w:t>14.0%</w:t>
            </w:r>
          </w:p>
        </w:tc>
        <w:tc>
          <w:tcPr>
            <w:tcW w:w="676" w:type="dxa"/>
            <w:shd w:val="clear" w:color="auto" w:fill="auto"/>
            <w:vAlign w:val="bottom"/>
          </w:tcPr>
          <w:p w:rsidR="000B18DF" w:rsidRPr="000B18DF" w:rsidRDefault="000B18DF">
            <w:pPr>
              <w:jc w:val="right"/>
              <w:rPr>
                <w:rFonts w:ascii="Arial Narrow" w:hAnsi="Arial Narrow" w:cs="Arial"/>
                <w:b/>
                <w:bCs/>
                <w:sz w:val="16"/>
                <w:szCs w:val="16"/>
              </w:rPr>
            </w:pPr>
            <w:r w:rsidRPr="000B18DF">
              <w:rPr>
                <w:rFonts w:ascii="Arial Narrow" w:hAnsi="Arial Narrow" w:cs="Arial"/>
                <w:b/>
                <w:bCs/>
                <w:sz w:val="16"/>
                <w:szCs w:val="16"/>
              </w:rPr>
              <w:t>11.0%</w:t>
            </w:r>
          </w:p>
        </w:tc>
        <w:tc>
          <w:tcPr>
            <w:tcW w:w="676" w:type="dxa"/>
            <w:shd w:val="clear" w:color="auto" w:fill="auto"/>
            <w:vAlign w:val="bottom"/>
          </w:tcPr>
          <w:p w:rsidR="000B18DF" w:rsidRPr="000B18DF" w:rsidRDefault="000B18DF">
            <w:pPr>
              <w:jc w:val="right"/>
              <w:rPr>
                <w:rFonts w:ascii="Arial Narrow" w:hAnsi="Arial Narrow" w:cs="Arial"/>
                <w:b/>
                <w:bCs/>
                <w:sz w:val="16"/>
                <w:szCs w:val="16"/>
              </w:rPr>
            </w:pPr>
            <w:r w:rsidRPr="000B18DF">
              <w:rPr>
                <w:rFonts w:ascii="Arial Narrow" w:hAnsi="Arial Narrow" w:cs="Arial"/>
                <w:b/>
                <w:bCs/>
                <w:sz w:val="16"/>
                <w:szCs w:val="16"/>
              </w:rPr>
              <w:t>10.7%</w:t>
            </w:r>
          </w:p>
        </w:tc>
        <w:tc>
          <w:tcPr>
            <w:tcW w:w="676" w:type="dxa"/>
            <w:shd w:val="clear" w:color="auto" w:fill="auto"/>
            <w:vAlign w:val="bottom"/>
          </w:tcPr>
          <w:p w:rsidR="000B18DF" w:rsidRPr="000B18DF" w:rsidRDefault="000B18DF">
            <w:pPr>
              <w:jc w:val="right"/>
              <w:rPr>
                <w:rFonts w:ascii="Arial Narrow" w:hAnsi="Arial Narrow" w:cs="Arial"/>
                <w:b/>
                <w:bCs/>
                <w:sz w:val="16"/>
                <w:szCs w:val="16"/>
              </w:rPr>
            </w:pPr>
            <w:r w:rsidRPr="000B18DF">
              <w:rPr>
                <w:rFonts w:ascii="Arial Narrow" w:hAnsi="Arial Narrow" w:cs="Arial"/>
                <w:b/>
                <w:bCs/>
                <w:sz w:val="16"/>
                <w:szCs w:val="16"/>
              </w:rPr>
              <w:t>11.9%</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change Y/Y</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-175%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xml:space="preserve">Tax </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(30)</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Debt / Capital</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37.0%</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37.0%</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34.5%</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33.7%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33.5%</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33.3%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32.8%</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xml:space="preserve">% Tax rate </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22.9%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15.0%</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15.0%</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Equity/ GWP</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61.6%</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62.0%</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68.0%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68.1%</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66.7%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0.0%</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Minorities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Reserves / GWP</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143%</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130%</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125%</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Net Income (Reported)</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299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152</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172</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xml:space="preserve">TNAV </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1,201</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1,286</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1,440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1,493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1,510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1,523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1,556</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change Y/Y</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nm</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nm</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 xml:space="preserve">JPM TNAV </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1,123</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1,204</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1,349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1,402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1,419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1,432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1,465</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Balance sheet (IFRS)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FY14e</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FY15e</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FY16e</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FY17e</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Ratio Analysis</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FY11</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FY12</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FY14e</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FY15e</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FY16e</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FY17e</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ASSETS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Loss ratio %</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77.8%</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57.1%</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52.6%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57.1%</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58.7%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59.8%</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59.8%</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Intangible assets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239</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239</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Expense ratio %</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33.4%</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36.8%</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37.4%</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35.2%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34.5%</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33.9%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33.2%</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Investment in associates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Combined ratio %</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111.2%</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93.9%</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90.0%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92.3%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93.2%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93.7%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93.1%</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Investments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4,080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4,205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4,369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4,607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4,805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5,015</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5,205</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Attritional COR %</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87.9%</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89.5%</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88.9%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87.9%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89.2%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89.6%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89.3%</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Insurance receivables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934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1,003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1,014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1,046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1,078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1,113</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1,150</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Attritional Loss ratio %</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54.6%</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52.7%</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51.5%</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52.7%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54.6%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55.7%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56.1%</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Reinsurance assets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667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525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388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465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509</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519</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Reserve release % prem</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-5.8%</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-4.8%</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-6.4%</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-5.4%</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-5.1%</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-4.8%</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-4.9%</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Other receivables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97</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100</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Investment yield %</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0.9%</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3.5%</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DAC</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208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254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262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270</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279</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Large losses % prem</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3.1%</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Deferred tax</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Nat Cat % Premiums</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26.0%</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8.0%</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7.1%</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6.4%</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6.0%</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Cash</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256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165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191</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191</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Total Assets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6,502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6,517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6,573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6,957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7,225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7,498</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7,748</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Investment assets</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Equities/Property</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7.5%</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10.3%</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15.1%</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15.7%</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LIABILITIES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Fixed income</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62.9%</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62.7%</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24.4%</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24.6%</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24.5%</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24.5%</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24.5%</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Policyholder liabilities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3,304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3,132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2,930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3,110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3,289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3,467</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3,615</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Cash</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5.9%</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4.5%</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4.1%</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3.8%</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3.5%</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Debt</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400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416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396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396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396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396</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396</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Other</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23.7%</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22.5%</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56.4%</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55.8%</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56.0%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56.3%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56.3%</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Subordinated debt</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Pretax split</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Deferred tax liabilities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42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64</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64</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Amlin London</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35%</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36%</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35%</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38%</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38%</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Creditors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219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275</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273</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282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291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300</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310</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Amlin UK</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Other liabilities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1117</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1174</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1232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1372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1436</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1509</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1568</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AFU</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Shareholders' equity</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1420</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1491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1678</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1732</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1749</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1762</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1795</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Amlin Bermuda</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25%</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23%</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22%</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r>
      <w:tr w:rsidR="00A95596" w:rsidRPr="00A95596" w:rsidTr="00A95596">
        <w:tc>
          <w:tcPr>
            <w:tcW w:w="190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Minorities</w:t>
            </w:r>
          </w:p>
        </w:tc>
        <w:tc>
          <w:tcPr>
            <w:tcW w:w="800"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w:t>
            </w:r>
          </w:p>
        </w:tc>
        <w:tc>
          <w:tcPr>
            <w:tcW w:w="807"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w:t>
            </w:r>
          </w:p>
        </w:tc>
        <w:tc>
          <w:tcPr>
            <w:tcW w:w="77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w:t>
            </w:r>
          </w:p>
        </w:tc>
        <w:tc>
          <w:tcPr>
            <w:tcW w:w="173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ACI</w:t>
            </w:r>
          </w:p>
        </w:tc>
        <w:tc>
          <w:tcPr>
            <w:tcW w:w="734"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24%</w:t>
            </w:r>
          </w:p>
        </w:tc>
        <w:tc>
          <w:tcPr>
            <w:tcW w:w="669"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20%</w:t>
            </w:r>
          </w:p>
        </w:tc>
        <w:tc>
          <w:tcPr>
            <w:tcW w:w="66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19%</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18%</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17%</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c>
          <w:tcPr>
            <w:tcW w:w="67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0%</w:t>
            </w:r>
          </w:p>
        </w:tc>
      </w:tr>
      <w:tr w:rsidR="00A95596" w:rsidRPr="00A95596" w:rsidTr="00A95596">
        <w:tc>
          <w:tcPr>
            <w:tcW w:w="1902" w:type="dxa"/>
            <w:tcBorders>
              <w:bottom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TOTAL LIABILITIES</w:t>
            </w:r>
          </w:p>
        </w:tc>
        <w:tc>
          <w:tcPr>
            <w:tcW w:w="800"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6,502</w:t>
            </w:r>
          </w:p>
        </w:tc>
        <w:tc>
          <w:tcPr>
            <w:tcW w:w="807"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6,517</w:t>
            </w:r>
          </w:p>
        </w:tc>
        <w:tc>
          <w:tcPr>
            <w:tcW w:w="807"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6,573</w:t>
            </w:r>
          </w:p>
        </w:tc>
        <w:tc>
          <w:tcPr>
            <w:tcW w:w="807"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6,957</w:t>
            </w:r>
          </w:p>
        </w:tc>
        <w:tc>
          <w:tcPr>
            <w:tcW w:w="807"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7,225</w:t>
            </w:r>
          </w:p>
        </w:tc>
        <w:tc>
          <w:tcPr>
            <w:tcW w:w="807"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7,498</w:t>
            </w:r>
          </w:p>
        </w:tc>
        <w:tc>
          <w:tcPr>
            <w:tcW w:w="771"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b/>
                <w:bCs/>
                <w:color w:val="000000"/>
                <w:sz w:val="16"/>
                <w:szCs w:val="20"/>
                <w:lang w:eastAsia="ja-JP"/>
              </w:rPr>
            </w:pPr>
            <w:r w:rsidRPr="00A95596">
              <w:rPr>
                <w:rFonts w:ascii="Arial Narrow" w:eastAsia="MS PGothic" w:hAnsi="Arial Narrow" w:cs="Arial"/>
                <w:b/>
                <w:bCs/>
                <w:color w:val="000000"/>
                <w:sz w:val="16"/>
                <w:szCs w:val="20"/>
                <w:lang w:eastAsia="ja-JP"/>
              </w:rPr>
              <w:t>7,748</w:t>
            </w:r>
          </w:p>
        </w:tc>
        <w:tc>
          <w:tcPr>
            <w:tcW w:w="1733" w:type="dxa"/>
            <w:tcBorders>
              <w:bottom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Others</w:t>
            </w:r>
          </w:p>
        </w:tc>
        <w:tc>
          <w:tcPr>
            <w:tcW w:w="734"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3%</w:t>
            </w:r>
          </w:p>
        </w:tc>
        <w:tc>
          <w:tcPr>
            <w:tcW w:w="669"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6%</w:t>
            </w:r>
          </w:p>
        </w:tc>
        <w:tc>
          <w:tcPr>
            <w:tcW w:w="661"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8%</w:t>
            </w:r>
          </w:p>
        </w:tc>
        <w:tc>
          <w:tcPr>
            <w:tcW w:w="676"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w:t>
            </w:r>
          </w:p>
        </w:tc>
        <w:tc>
          <w:tcPr>
            <w:tcW w:w="676"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9%</w:t>
            </w:r>
          </w:p>
        </w:tc>
        <w:tc>
          <w:tcPr>
            <w:tcW w:w="676"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100%</w:t>
            </w:r>
          </w:p>
        </w:tc>
        <w:tc>
          <w:tcPr>
            <w:tcW w:w="676"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w:color w:val="000000"/>
                <w:sz w:val="16"/>
                <w:szCs w:val="20"/>
                <w:lang w:eastAsia="ja-JP"/>
              </w:rPr>
            </w:pPr>
            <w:r w:rsidRPr="00A95596">
              <w:rPr>
                <w:rFonts w:ascii="Arial Narrow" w:eastAsia="MS PGothic" w:hAnsi="Arial Narrow" w:cs="Arial"/>
                <w:color w:val="000000"/>
                <w:sz w:val="16"/>
                <w:szCs w:val="20"/>
                <w:lang w:eastAsia="ja-JP"/>
              </w:rPr>
              <w:t>100%</w:t>
            </w:r>
          </w:p>
        </w:tc>
      </w:tr>
    </w:tbl>
    <w:p w:rsidR="00A95596" w:rsidRDefault="00A95596" w:rsidP="00A95596">
      <w:pPr>
        <w:pStyle w:val="Source"/>
      </w:pPr>
      <w:r>
        <w:t xml:space="preserve">Source: J.P. Morgan estimates, Company data. </w:t>
      </w:r>
    </w:p>
    <w:p w:rsidR="00A95596" w:rsidRDefault="00A95596" w:rsidP="00A95596">
      <w:pPr>
        <w:pStyle w:val="Body"/>
        <w:rPr>
          <w:rFonts w:ascii="Arial Narrow" w:hAnsi="Arial Narrow"/>
          <w:sz w:val="14"/>
        </w:rPr>
      </w:pPr>
      <w:r>
        <w:br w:type="page"/>
      </w:r>
    </w:p>
    <w:p w:rsidR="00F60272" w:rsidRDefault="00F60272" w:rsidP="002851A1">
      <w:pPr>
        <w:pStyle w:val="TableTitle"/>
        <w:spacing w:after="40"/>
      </w:pPr>
    </w:p>
    <w:p w:rsidR="00A95596" w:rsidRDefault="00A95596" w:rsidP="002851A1">
      <w:pPr>
        <w:pStyle w:val="TableTitle"/>
        <w:spacing w:after="40"/>
      </w:pPr>
      <w:r>
        <w:t xml:space="preserve">Table </w:t>
      </w:r>
      <w:fldSimple w:instr=" SEQ Table \* ARABIC ">
        <w:r w:rsidR="00F60272">
          <w:rPr>
            <w:noProof/>
          </w:rPr>
          <w:t>3</w:t>
        </w:r>
      </w:fldSimple>
      <w:r>
        <w:t xml:space="preserve">: </w:t>
      </w:r>
      <w:r w:rsidR="00AA2F55">
        <w:t>Beazley</w:t>
      </w:r>
    </w:p>
    <w:tbl>
      <w:tblPr>
        <w:tblW w:w="14616" w:type="dxa"/>
        <w:tblLayout w:type="fixed"/>
        <w:tblLook w:val="0000"/>
      </w:tblPr>
      <w:tblGrid>
        <w:gridCol w:w="2282"/>
        <w:gridCol w:w="793"/>
        <w:gridCol w:w="872"/>
        <w:gridCol w:w="872"/>
        <w:gridCol w:w="872"/>
        <w:gridCol w:w="872"/>
        <w:gridCol w:w="872"/>
        <w:gridCol w:w="2123"/>
        <w:gridCol w:w="846"/>
        <w:gridCol w:w="881"/>
        <w:gridCol w:w="793"/>
        <w:gridCol w:w="846"/>
        <w:gridCol w:w="846"/>
        <w:gridCol w:w="846"/>
      </w:tblGrid>
      <w:tr w:rsidR="00A95596" w:rsidRPr="00A95596" w:rsidTr="002851A1">
        <w:tc>
          <w:tcPr>
            <w:tcW w:w="2282"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PnL</w:t>
            </w:r>
          </w:p>
        </w:tc>
        <w:tc>
          <w:tcPr>
            <w:tcW w:w="793"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872"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872"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872"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872"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872"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2123"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Key Per share data</w:t>
            </w:r>
          </w:p>
        </w:tc>
        <w:tc>
          <w:tcPr>
            <w:tcW w:w="846"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881"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793"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846"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846"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c>
          <w:tcPr>
            <w:tcW w:w="846" w:type="dxa"/>
            <w:tcBorders>
              <w:top w:val="single" w:sz="6" w:space="0" w:color="auto"/>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color w:val="000000"/>
                <w:sz w:val="16"/>
                <w:szCs w:val="20"/>
                <w:lang w:eastAsia="ja-JP"/>
              </w:rPr>
            </w:pPr>
          </w:p>
        </w:tc>
      </w:tr>
      <w:tr w:rsidR="00A95596" w:rsidRPr="00A95596" w:rsidTr="002851A1">
        <w:tc>
          <w:tcPr>
            <w:tcW w:w="2282" w:type="dxa"/>
            <w:tcBorders>
              <w:top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 in millions</w:t>
            </w:r>
          </w:p>
        </w:tc>
        <w:tc>
          <w:tcPr>
            <w:tcW w:w="793"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FY10</w:t>
            </w:r>
          </w:p>
        </w:tc>
        <w:tc>
          <w:tcPr>
            <w:tcW w:w="872"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FY11</w:t>
            </w:r>
          </w:p>
        </w:tc>
        <w:tc>
          <w:tcPr>
            <w:tcW w:w="872"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FY12</w:t>
            </w:r>
          </w:p>
        </w:tc>
        <w:tc>
          <w:tcPr>
            <w:tcW w:w="872"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FY13</w:t>
            </w:r>
          </w:p>
        </w:tc>
        <w:tc>
          <w:tcPr>
            <w:tcW w:w="872"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FY14e</w:t>
            </w:r>
          </w:p>
        </w:tc>
        <w:tc>
          <w:tcPr>
            <w:tcW w:w="872"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FY15e</w:t>
            </w:r>
          </w:p>
        </w:tc>
        <w:tc>
          <w:tcPr>
            <w:tcW w:w="2123" w:type="dxa"/>
            <w:tcBorders>
              <w:top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$/p</w:t>
            </w:r>
          </w:p>
        </w:tc>
        <w:tc>
          <w:tcPr>
            <w:tcW w:w="846"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FY10</w:t>
            </w:r>
          </w:p>
        </w:tc>
        <w:tc>
          <w:tcPr>
            <w:tcW w:w="881"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FY11</w:t>
            </w:r>
          </w:p>
        </w:tc>
        <w:tc>
          <w:tcPr>
            <w:tcW w:w="793"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FY12</w:t>
            </w:r>
          </w:p>
        </w:tc>
        <w:tc>
          <w:tcPr>
            <w:tcW w:w="846"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FY13</w:t>
            </w:r>
          </w:p>
        </w:tc>
        <w:tc>
          <w:tcPr>
            <w:tcW w:w="846"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FY14e</w:t>
            </w:r>
          </w:p>
        </w:tc>
        <w:tc>
          <w:tcPr>
            <w:tcW w:w="846" w:type="dxa"/>
            <w:tcBorders>
              <w:top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FY15e</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Gross Written Premiums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1,742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1,712.5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1,895.9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1,970.2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2,061.1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2,132.6</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Shares Outstanding</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505</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506</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501</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502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502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502</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change Y/Y</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EPS(diluted)p</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26.1</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7.7</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25.8</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32.5</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26.0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22.9</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Net Written Premiums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1,402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1,374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1,543</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1,677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1,654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1,711</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change Y/Y</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47%</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234%</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26%</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change Y/Y</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DPS(p)</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10.0</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7.9</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24.9</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9.7</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Net Earned premiums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1,405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1,385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1,479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1,591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1,629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1,664</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change Y/Y</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111%</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49%</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-63%</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change Y/Y</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Payout ratio</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38.3%</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102.0%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64.6%</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76.7%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35.6%</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42.3%</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Insurance related expenses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-738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-851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-778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-719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-826</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-870</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TNAV / share(p)</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124</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134</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153</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167</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Admin expenses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-193</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-197</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JPMCTNAV / share(p)</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110</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108</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124</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142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155</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Acquisition expenses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-381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-391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-409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-429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-438</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r>
      <w:tr w:rsidR="000B18DF" w:rsidRPr="00A95596" w:rsidTr="000B18DF">
        <w:tc>
          <w:tcPr>
            <w:tcW w:w="228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Underwriting profit</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166.4</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17.2</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136.6</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252.1</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181.4</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158.8</w:t>
            </w:r>
          </w:p>
        </w:tc>
        <w:tc>
          <w:tcPr>
            <w:tcW w:w="212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P/E x</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4.4x</w:t>
            </w:r>
          </w:p>
        </w:tc>
        <w:tc>
          <w:tcPr>
            <w:tcW w:w="88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17.3x</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6.0x</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6.8x</w:t>
            </w:r>
          </w:p>
        </w:tc>
        <w:tc>
          <w:tcPr>
            <w:tcW w:w="84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10.1x</w:t>
            </w:r>
          </w:p>
        </w:tc>
        <w:tc>
          <w:tcPr>
            <w:tcW w:w="84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11.4x</w:t>
            </w:r>
          </w:p>
        </w:tc>
      </w:tr>
      <w:tr w:rsidR="000B18DF" w:rsidRPr="00A95596" w:rsidTr="000B18DF">
        <w:tc>
          <w:tcPr>
            <w:tcW w:w="228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i/>
                <w:iCs/>
                <w:color w:val="000000"/>
                <w:sz w:val="16"/>
                <w:szCs w:val="20"/>
                <w:lang w:eastAsia="ja-JP"/>
              </w:rPr>
            </w:pPr>
            <w:r w:rsidRPr="00A95596">
              <w:rPr>
                <w:rFonts w:ascii="Arial Narrow" w:eastAsia="MS PGothic" w:hAnsi="Arial Narrow" w:cs="Arial Narrow"/>
                <w:i/>
                <w:iCs/>
                <w:color w:val="000000"/>
                <w:sz w:val="16"/>
                <w:szCs w:val="20"/>
                <w:lang w:eastAsia="ja-JP"/>
              </w:rPr>
              <w:t>Of which Reserve releases</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145</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187</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126</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218</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204</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199</w:t>
            </w:r>
          </w:p>
        </w:tc>
        <w:tc>
          <w:tcPr>
            <w:tcW w:w="212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Dividend yield</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8.7%</w:t>
            </w:r>
          </w:p>
        </w:tc>
        <w:tc>
          <w:tcPr>
            <w:tcW w:w="88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5.9%</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10.8%</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11.3%</w:t>
            </w:r>
          </w:p>
        </w:tc>
        <w:tc>
          <w:tcPr>
            <w:tcW w:w="84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3.5%</w:t>
            </w:r>
          </w:p>
        </w:tc>
        <w:tc>
          <w:tcPr>
            <w:tcW w:w="84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3.7%</w:t>
            </w:r>
          </w:p>
        </w:tc>
      </w:tr>
      <w:tr w:rsidR="000B18DF" w:rsidRPr="00A95596" w:rsidTr="000B18DF">
        <w:tc>
          <w:tcPr>
            <w:tcW w:w="228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Investment income</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38</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39</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83</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72</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64</w:t>
            </w:r>
          </w:p>
        </w:tc>
        <w:tc>
          <w:tcPr>
            <w:tcW w:w="212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P/TNAV x</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0.9x</w:t>
            </w:r>
          </w:p>
        </w:tc>
        <w:tc>
          <w:tcPr>
            <w:tcW w:w="88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1.1x</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1.1x</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1.5x</w:t>
            </w:r>
          </w:p>
        </w:tc>
        <w:tc>
          <w:tcPr>
            <w:tcW w:w="84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1.7x</w:t>
            </w:r>
          </w:p>
        </w:tc>
        <w:tc>
          <w:tcPr>
            <w:tcW w:w="84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1.6x</w:t>
            </w:r>
          </w:p>
        </w:tc>
      </w:tr>
      <w:tr w:rsidR="000B18DF" w:rsidRPr="00A95596" w:rsidTr="000B18DF">
        <w:tc>
          <w:tcPr>
            <w:tcW w:w="228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Other income</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28.1</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28.1</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24.7</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36.4</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30.6</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30.6</w:t>
            </w:r>
          </w:p>
        </w:tc>
        <w:tc>
          <w:tcPr>
            <w:tcW w:w="212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RTNAV %</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23.5%</w:t>
            </w:r>
          </w:p>
        </w:tc>
        <w:tc>
          <w:tcPr>
            <w:tcW w:w="88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6.9%</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21.1%</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22.5%</w:t>
            </w:r>
          </w:p>
        </w:tc>
        <w:tc>
          <w:tcPr>
            <w:tcW w:w="84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17.9%</w:t>
            </w:r>
          </w:p>
        </w:tc>
        <w:tc>
          <w:tcPr>
            <w:tcW w:w="84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15.0%</w:t>
            </w:r>
          </w:p>
        </w:tc>
      </w:tr>
      <w:tr w:rsidR="000B18DF" w:rsidRPr="00A95596" w:rsidTr="000B18DF">
        <w:tc>
          <w:tcPr>
            <w:tcW w:w="228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Other expenses</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(22)</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w:t>
            </w:r>
          </w:p>
        </w:tc>
        <w:tc>
          <w:tcPr>
            <w:tcW w:w="212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P/ JPMC TNAV x</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1.0x</w:t>
            </w:r>
          </w:p>
        </w:tc>
        <w:tc>
          <w:tcPr>
            <w:tcW w:w="88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1.2x</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1.3x</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1.8x</w:t>
            </w:r>
          </w:p>
        </w:tc>
        <w:tc>
          <w:tcPr>
            <w:tcW w:w="84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1.9x</w:t>
            </w:r>
          </w:p>
        </w:tc>
        <w:tc>
          <w:tcPr>
            <w:tcW w:w="846" w:type="dxa"/>
            <w:shd w:val="clear" w:color="auto" w:fill="auto"/>
            <w:vAlign w:val="center"/>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1.7x</w:t>
            </w:r>
          </w:p>
        </w:tc>
      </w:tr>
      <w:tr w:rsidR="000B18DF" w:rsidRPr="00A95596" w:rsidTr="000B18DF">
        <w:tc>
          <w:tcPr>
            <w:tcW w:w="2282"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Earnings before tax</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251</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63</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251</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313</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267</w:t>
            </w:r>
          </w:p>
        </w:tc>
        <w:tc>
          <w:tcPr>
            <w:tcW w:w="872"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236</w:t>
            </w:r>
          </w:p>
        </w:tc>
        <w:tc>
          <w:tcPr>
            <w:tcW w:w="2123" w:type="dxa"/>
            <w:shd w:val="clear" w:color="auto" w:fill="auto"/>
          </w:tcPr>
          <w:p w:rsidR="000B18DF" w:rsidRPr="00A95596" w:rsidRDefault="000B18DF"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JPMC RTNAV %</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23.9%</w:t>
            </w:r>
          </w:p>
        </w:tc>
        <w:tc>
          <w:tcPr>
            <w:tcW w:w="881"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6.2%</w:t>
            </w:r>
          </w:p>
        </w:tc>
        <w:tc>
          <w:tcPr>
            <w:tcW w:w="793"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20.4%</w:t>
            </w:r>
          </w:p>
        </w:tc>
        <w:tc>
          <w:tcPr>
            <w:tcW w:w="846" w:type="dxa"/>
            <w:shd w:val="clear" w:color="auto" w:fill="auto"/>
          </w:tcPr>
          <w:p w:rsidR="000B18DF" w:rsidRPr="00A95596" w:rsidRDefault="000B18DF"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26.4%</w:t>
            </w:r>
          </w:p>
        </w:tc>
        <w:tc>
          <w:tcPr>
            <w:tcW w:w="84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19.0%</w:t>
            </w:r>
          </w:p>
        </w:tc>
        <w:tc>
          <w:tcPr>
            <w:tcW w:w="846" w:type="dxa"/>
            <w:shd w:val="clear" w:color="auto"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15.6%</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change Y/Y</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301%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xml:space="preserve">Tax </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-38</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Debt / Capital</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20%</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xml:space="preserve">% Tax rate </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14.6%</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16.0%</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Equity/ GWP</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62%</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63%</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64%</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68%</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66%</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69%</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Minorities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Reserves / GWP</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232%</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253%</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236%</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232%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220%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213%</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Net Income (Reported)</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66</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264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224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198</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xml:space="preserve">TNAV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966</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933</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1,097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1,247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1,265</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1,385</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change Y/Y</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56%</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226%</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23%</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xml:space="preserve">JPMCTNAV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907</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890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981</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1,067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1,214</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1,331</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Balance sheet (IFRS)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Ratio Analysis</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 in millions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FY13</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FY14e</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FY15e</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Non-life</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FY10</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FY11</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FY13</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FY14e</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FY15e</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ASSETS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Loss ratio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52.4%</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61.4%</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52.6%</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45.2%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50.7%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52.3%</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Intangible assets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92</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Expense ratio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35.9%</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37.4%</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38.1%</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38.9%</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38.2%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38.2%</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Investment in associates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Combined ratio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88.3%</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98.8%</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90.8%</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84.1%</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88.9%</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90.5%</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Investments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2,578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3,357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3,685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4,044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4,332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4,640</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Attritional COR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88.6%</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94.3%</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90.8%</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88.1%</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91.0%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92.2%</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Insurance receivables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527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559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578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618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649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681</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Attritional Loss ratio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52.7%</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56.9%</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52.7%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49.2%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52.8%</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54.0%</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Reinsurance assets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1,035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1,198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1,187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1,178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1,237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1,299</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Reserve release % prem.</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-10.3%</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-13.5%</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-8.5%</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-12.5%</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-11.9%</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Other receivables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42</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Investment yield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DAC</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206</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216</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227</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Large losses % Prem.</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2.4%</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1.4%</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Deferred tax</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13</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Nat Cat % Premiums</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8.3%</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15.5%</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8.4%</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9.8%</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9.1%</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8.9%</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Cash</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1,265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650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637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383</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410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439</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0.0%</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0.0%</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Total Assets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5,774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6,119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6,455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6,585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7,000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7,443</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Investment assets</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Equities/Property</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LIABILITIES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Fixed income</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56%</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74%</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83%</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80%</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Policyholder liabilities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4,047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4,335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4,484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4,580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4,535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4,543</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Cash</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33%</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Debt</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268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267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315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275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275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275</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Other</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12%</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Subordinated debt</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PBTsplit</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Deferred tax liabilities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84</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65</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xml:space="preserve">Marine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16%</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17%</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Creditors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285</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366</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361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308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750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1065</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Pol. Risks &amp; Conti.</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6.6%</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6.1%</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Other liabilities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0</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xml:space="preserve">Property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21%</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19%</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18%</w:t>
            </w:r>
          </w:p>
        </w:tc>
      </w:tr>
      <w:tr w:rsidR="00A95596"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Shareholders' equity</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1083</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1071</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1212</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1338</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1357</w:t>
            </w: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1477</w:t>
            </w: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Reinsurance</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9%</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11%</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10%</w:t>
            </w:r>
          </w:p>
        </w:tc>
      </w:tr>
      <w:tr w:rsidR="002851A1" w:rsidRPr="00A95596" w:rsidTr="002851A1">
        <w:tc>
          <w:tcPr>
            <w:tcW w:w="2282"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Minorities</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872"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p>
        </w:tc>
        <w:tc>
          <w:tcPr>
            <w:tcW w:w="2123" w:type="dxa"/>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 xml:space="preserve">Specialty lines </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w:t>
            </w:r>
          </w:p>
        </w:tc>
        <w:tc>
          <w:tcPr>
            <w:tcW w:w="881"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42%</w:t>
            </w:r>
          </w:p>
        </w:tc>
        <w:tc>
          <w:tcPr>
            <w:tcW w:w="793"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42%</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43%</w:t>
            </w:r>
          </w:p>
        </w:tc>
        <w:tc>
          <w:tcPr>
            <w:tcW w:w="846" w:type="dxa"/>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44%</w:t>
            </w:r>
          </w:p>
        </w:tc>
      </w:tr>
      <w:tr w:rsidR="00A95596" w:rsidRPr="00A95596" w:rsidTr="002851A1">
        <w:tc>
          <w:tcPr>
            <w:tcW w:w="2282" w:type="dxa"/>
            <w:tcBorders>
              <w:bottom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TOTAL LIABILITIES</w:t>
            </w:r>
          </w:p>
        </w:tc>
        <w:tc>
          <w:tcPr>
            <w:tcW w:w="793"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5,774</w:t>
            </w:r>
          </w:p>
        </w:tc>
        <w:tc>
          <w:tcPr>
            <w:tcW w:w="872"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6,119</w:t>
            </w:r>
          </w:p>
        </w:tc>
        <w:tc>
          <w:tcPr>
            <w:tcW w:w="872"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6,455</w:t>
            </w:r>
          </w:p>
        </w:tc>
        <w:tc>
          <w:tcPr>
            <w:tcW w:w="872"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6,585</w:t>
            </w:r>
          </w:p>
        </w:tc>
        <w:tc>
          <w:tcPr>
            <w:tcW w:w="872"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7,000</w:t>
            </w:r>
          </w:p>
        </w:tc>
        <w:tc>
          <w:tcPr>
            <w:tcW w:w="872"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b/>
                <w:bCs/>
                <w:color w:val="000000"/>
                <w:sz w:val="16"/>
                <w:szCs w:val="20"/>
                <w:lang w:eastAsia="ja-JP"/>
              </w:rPr>
            </w:pPr>
            <w:r w:rsidRPr="00A95596">
              <w:rPr>
                <w:rFonts w:ascii="Arial Narrow" w:eastAsia="MS PGothic" w:hAnsi="Arial Narrow" w:cs="Arial Narrow"/>
                <w:b/>
                <w:bCs/>
                <w:color w:val="000000"/>
                <w:sz w:val="16"/>
                <w:szCs w:val="20"/>
                <w:lang w:eastAsia="ja-JP"/>
              </w:rPr>
              <w:t>7,443</w:t>
            </w:r>
          </w:p>
        </w:tc>
        <w:tc>
          <w:tcPr>
            <w:tcW w:w="2123" w:type="dxa"/>
            <w:tcBorders>
              <w:bottom w:val="single" w:sz="6" w:space="0" w:color="auto"/>
            </w:tcBorders>
            <w:shd w:val="clear" w:color="auto" w:fill="auto"/>
          </w:tcPr>
          <w:p w:rsidR="00A95596" w:rsidRPr="00A95596" w:rsidRDefault="00A95596" w:rsidP="00A95596">
            <w:pPr>
              <w:keepNext/>
              <w:autoSpaceDE w:val="0"/>
              <w:autoSpaceDN w:val="0"/>
              <w:adjustRightInd w:val="0"/>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Other</w:t>
            </w:r>
          </w:p>
        </w:tc>
        <w:tc>
          <w:tcPr>
            <w:tcW w:w="846"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4%</w:t>
            </w:r>
          </w:p>
        </w:tc>
        <w:tc>
          <w:tcPr>
            <w:tcW w:w="881"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w:t>
            </w:r>
          </w:p>
        </w:tc>
        <w:tc>
          <w:tcPr>
            <w:tcW w:w="793"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w:t>
            </w:r>
          </w:p>
        </w:tc>
        <w:tc>
          <w:tcPr>
            <w:tcW w:w="846"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w:t>
            </w:r>
          </w:p>
        </w:tc>
        <w:tc>
          <w:tcPr>
            <w:tcW w:w="846"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6%</w:t>
            </w:r>
          </w:p>
        </w:tc>
        <w:tc>
          <w:tcPr>
            <w:tcW w:w="846" w:type="dxa"/>
            <w:tcBorders>
              <w:bottom w:val="single" w:sz="6" w:space="0" w:color="auto"/>
            </w:tcBorders>
            <w:shd w:val="clear" w:color="auto" w:fill="auto"/>
          </w:tcPr>
          <w:p w:rsidR="00A95596" w:rsidRPr="00A95596" w:rsidRDefault="00A95596" w:rsidP="00A95596">
            <w:pPr>
              <w:keepNext/>
              <w:autoSpaceDE w:val="0"/>
              <w:autoSpaceDN w:val="0"/>
              <w:adjustRightInd w:val="0"/>
              <w:jc w:val="right"/>
              <w:rPr>
                <w:rFonts w:ascii="Arial Narrow" w:eastAsia="MS PGothic" w:hAnsi="Arial Narrow" w:cs="Arial Narrow"/>
                <w:color w:val="000000"/>
                <w:sz w:val="16"/>
                <w:szCs w:val="20"/>
                <w:lang w:eastAsia="ja-JP"/>
              </w:rPr>
            </w:pPr>
            <w:r w:rsidRPr="00A95596">
              <w:rPr>
                <w:rFonts w:ascii="Arial Narrow" w:eastAsia="MS PGothic" w:hAnsi="Arial Narrow" w:cs="Arial Narrow"/>
                <w:color w:val="000000"/>
                <w:sz w:val="16"/>
                <w:szCs w:val="20"/>
                <w:lang w:eastAsia="ja-JP"/>
              </w:rPr>
              <w:t>5%</w:t>
            </w:r>
          </w:p>
        </w:tc>
      </w:tr>
    </w:tbl>
    <w:p w:rsidR="002851A1" w:rsidRDefault="00A95596" w:rsidP="002851A1">
      <w:pPr>
        <w:pStyle w:val="Source"/>
      </w:pPr>
      <w:r>
        <w:t>Source: J.P. Morgan estimates, Company data.</w:t>
      </w:r>
      <w:r w:rsidR="002851A1">
        <w:t xml:space="preserve">   </w:t>
      </w:r>
      <w:r w:rsidR="002851A1">
        <w:br w:type="page"/>
      </w:r>
    </w:p>
    <w:p w:rsidR="00F60272" w:rsidRDefault="00F60272" w:rsidP="009513D7">
      <w:pPr>
        <w:pStyle w:val="TableTitle"/>
        <w:spacing w:after="40"/>
      </w:pPr>
    </w:p>
    <w:p w:rsidR="009513D7" w:rsidRDefault="009513D7" w:rsidP="009513D7">
      <w:pPr>
        <w:pStyle w:val="TableTitle"/>
        <w:spacing w:after="40"/>
      </w:pPr>
      <w:r>
        <w:t xml:space="preserve">Table </w:t>
      </w:r>
      <w:fldSimple w:instr=" SEQ Table \* ARABIC ">
        <w:r w:rsidR="00F60272">
          <w:rPr>
            <w:noProof/>
          </w:rPr>
          <w:t>4</w:t>
        </w:r>
      </w:fldSimple>
      <w:r>
        <w:t>: BRIT</w:t>
      </w:r>
    </w:p>
    <w:tbl>
      <w:tblPr>
        <w:tblW w:w="14466" w:type="dxa"/>
        <w:tblInd w:w="78" w:type="dxa"/>
        <w:tblLayout w:type="fixed"/>
        <w:tblLook w:val="0000"/>
      </w:tblPr>
      <w:tblGrid>
        <w:gridCol w:w="1989"/>
        <w:gridCol w:w="581"/>
        <w:gridCol w:w="581"/>
        <w:gridCol w:w="596"/>
        <w:gridCol w:w="654"/>
        <w:gridCol w:w="654"/>
        <w:gridCol w:w="654"/>
        <w:gridCol w:w="654"/>
        <w:gridCol w:w="1733"/>
        <w:gridCol w:w="910"/>
        <w:gridCol w:w="910"/>
        <w:gridCol w:w="910"/>
        <w:gridCol w:w="910"/>
        <w:gridCol w:w="910"/>
        <w:gridCol w:w="910"/>
        <w:gridCol w:w="910"/>
      </w:tblGrid>
      <w:tr w:rsidR="009513D7" w:rsidRPr="009513D7" w:rsidTr="009513D7">
        <w:tc>
          <w:tcPr>
            <w:tcW w:w="1989"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 xml:space="preserve">Profit and Loss statement </w:t>
            </w:r>
          </w:p>
        </w:tc>
        <w:tc>
          <w:tcPr>
            <w:tcW w:w="581"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2011</w:t>
            </w:r>
          </w:p>
        </w:tc>
        <w:tc>
          <w:tcPr>
            <w:tcW w:w="581"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2012</w:t>
            </w:r>
          </w:p>
        </w:tc>
        <w:tc>
          <w:tcPr>
            <w:tcW w:w="596"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2013</w:t>
            </w:r>
          </w:p>
        </w:tc>
        <w:tc>
          <w:tcPr>
            <w:tcW w:w="654"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2014e</w:t>
            </w:r>
          </w:p>
        </w:tc>
        <w:tc>
          <w:tcPr>
            <w:tcW w:w="654"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2015e</w:t>
            </w:r>
          </w:p>
        </w:tc>
        <w:tc>
          <w:tcPr>
            <w:tcW w:w="654"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2016e</w:t>
            </w:r>
          </w:p>
        </w:tc>
        <w:tc>
          <w:tcPr>
            <w:tcW w:w="654"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2017e</w:t>
            </w:r>
          </w:p>
        </w:tc>
        <w:tc>
          <w:tcPr>
            <w:tcW w:w="1733"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Valuation Multiples</w:t>
            </w:r>
          </w:p>
        </w:tc>
        <w:tc>
          <w:tcPr>
            <w:tcW w:w="910"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2011</w:t>
            </w:r>
          </w:p>
        </w:tc>
        <w:tc>
          <w:tcPr>
            <w:tcW w:w="910"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2012</w:t>
            </w:r>
          </w:p>
        </w:tc>
        <w:tc>
          <w:tcPr>
            <w:tcW w:w="910"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2013</w:t>
            </w:r>
          </w:p>
        </w:tc>
        <w:tc>
          <w:tcPr>
            <w:tcW w:w="910"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2014e</w:t>
            </w:r>
          </w:p>
        </w:tc>
        <w:tc>
          <w:tcPr>
            <w:tcW w:w="910"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2015e</w:t>
            </w:r>
          </w:p>
        </w:tc>
        <w:tc>
          <w:tcPr>
            <w:tcW w:w="910"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2016e</w:t>
            </w:r>
          </w:p>
        </w:tc>
        <w:tc>
          <w:tcPr>
            <w:tcW w:w="910" w:type="dxa"/>
            <w:tcBorders>
              <w:top w:val="single" w:sz="6" w:space="0" w:color="auto"/>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2017e</w:t>
            </w:r>
          </w:p>
        </w:tc>
      </w:tr>
      <w:tr w:rsidR="009513D7" w:rsidRPr="009513D7" w:rsidTr="009513D7">
        <w:tc>
          <w:tcPr>
            <w:tcW w:w="1989" w:type="dxa"/>
            <w:tcBorders>
              <w:top w:val="single" w:sz="6" w:space="0" w:color="auto"/>
            </w:tcBorders>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 in millions, year-end Dec</w:t>
            </w:r>
          </w:p>
        </w:tc>
        <w:tc>
          <w:tcPr>
            <w:tcW w:w="581"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96"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tcBorders>
              <w:top w:val="single" w:sz="6" w:space="0" w:color="auto"/>
            </w:tcBorders>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p</w:t>
            </w:r>
          </w:p>
        </w:tc>
        <w:tc>
          <w:tcPr>
            <w:tcW w:w="910"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tcBorders>
              <w:top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Gross Written Premiums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1180</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1148</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1186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1199</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1240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1298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1312</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Shares Outstanding</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400.0</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change Y/Y</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EPS(diluted)p</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30</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Net Written Premiums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975</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937</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956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962</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997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1045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1056</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change Y/Y</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change Y/Y</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DPS(p)</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19</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Net Earned premiums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1004</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945</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946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953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982</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1028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1052</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change Y/Y</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change Y/Y</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Payout ratio</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323%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63%</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Insurance related expenses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-604</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-530</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-459</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-510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-534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-560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-566</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TNAV / share(p)</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224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161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162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181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189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198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210</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Acquisition expenses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-257</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-243</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-236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-249</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-261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-267</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BV / share(p)</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176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177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197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204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214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226</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Admin expenses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-124</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-107</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-126</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0B18DF" w:rsidRPr="009513D7" w:rsidTr="000B18DF">
        <w:tc>
          <w:tcPr>
            <w:tcW w:w="1989"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Underwriting profit</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19</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65</w:t>
            </w:r>
          </w:p>
        </w:tc>
        <w:tc>
          <w:tcPr>
            <w:tcW w:w="596"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137</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89</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82</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84</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94</w:t>
            </w:r>
          </w:p>
        </w:tc>
        <w:tc>
          <w:tcPr>
            <w:tcW w:w="1733"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P/E x</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8.2</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7.2</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8.3</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10.1</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9.7</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9.2</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8.3</w:t>
            </w:r>
          </w:p>
        </w:tc>
      </w:tr>
      <w:tr w:rsidR="000B18DF" w:rsidRPr="009513D7" w:rsidTr="000B18DF">
        <w:tc>
          <w:tcPr>
            <w:tcW w:w="1989"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i/>
                <w:iCs/>
                <w:color w:val="000000"/>
                <w:sz w:val="16"/>
                <w:szCs w:val="20"/>
                <w:lang w:eastAsia="ja-JP"/>
              </w:rPr>
            </w:pPr>
            <w:r w:rsidRPr="009513D7">
              <w:rPr>
                <w:rFonts w:ascii="Arial Narrow" w:eastAsia="MS PGothic" w:hAnsi="Arial Narrow" w:cs="Arial"/>
                <w:i/>
                <w:iCs/>
                <w:color w:val="000000"/>
                <w:sz w:val="16"/>
                <w:szCs w:val="20"/>
                <w:lang w:eastAsia="ja-JP"/>
              </w:rPr>
              <w:t>Of which Reserve releases</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93</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596"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27</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16</w:t>
            </w:r>
          </w:p>
        </w:tc>
        <w:tc>
          <w:tcPr>
            <w:tcW w:w="1733"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Dividend yield</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8.7%</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44.9%</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12.1%</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7.6%</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7.6%</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7.6%</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7.6%</w:t>
            </w:r>
          </w:p>
        </w:tc>
      </w:tr>
      <w:tr w:rsidR="000B18DF" w:rsidRPr="009513D7" w:rsidTr="000B18DF">
        <w:tc>
          <w:tcPr>
            <w:tcW w:w="1989"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Investment income</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65</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83</w:t>
            </w:r>
          </w:p>
        </w:tc>
        <w:tc>
          <w:tcPr>
            <w:tcW w:w="596"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57</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59</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63</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68</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71</w:t>
            </w:r>
          </w:p>
        </w:tc>
        <w:tc>
          <w:tcPr>
            <w:tcW w:w="1733"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P/TNAV x</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0.92</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1.28</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1.27</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1.37</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1.31</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1.25</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1.18</w:t>
            </w:r>
          </w:p>
        </w:tc>
      </w:tr>
      <w:tr w:rsidR="000B18DF" w:rsidRPr="009513D7" w:rsidTr="000B18DF">
        <w:tc>
          <w:tcPr>
            <w:tcW w:w="1989"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Other income</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80</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28</w:t>
            </w:r>
          </w:p>
        </w:tc>
        <w:tc>
          <w:tcPr>
            <w:tcW w:w="596"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1733"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RTNAV %</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11.2%</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14.9%</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15.4%</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14.3%</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13.8%</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13.9%</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14.6%</w:t>
            </w:r>
          </w:p>
        </w:tc>
      </w:tr>
      <w:tr w:rsidR="000B18DF" w:rsidRPr="009513D7" w:rsidTr="000B18DF">
        <w:tc>
          <w:tcPr>
            <w:tcW w:w="1989"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Other expenses</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-60</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-50</w:t>
            </w:r>
          </w:p>
        </w:tc>
        <w:tc>
          <w:tcPr>
            <w:tcW w:w="596"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-102</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-32</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-33</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-33</w:t>
            </w:r>
          </w:p>
        </w:tc>
        <w:tc>
          <w:tcPr>
            <w:tcW w:w="1733"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P/BV x</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0.85</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1.17</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1.16</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1.26</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1.21</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1.16</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1.10</w:t>
            </w:r>
          </w:p>
        </w:tc>
      </w:tr>
      <w:tr w:rsidR="000B18DF" w:rsidRPr="009513D7" w:rsidTr="000B18DF">
        <w:tc>
          <w:tcPr>
            <w:tcW w:w="1989"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Earnings before tax</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104</w:t>
            </w:r>
          </w:p>
        </w:tc>
        <w:tc>
          <w:tcPr>
            <w:tcW w:w="581"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125</w:t>
            </w:r>
          </w:p>
        </w:tc>
        <w:tc>
          <w:tcPr>
            <w:tcW w:w="596"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106</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108</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113</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119</w:t>
            </w:r>
          </w:p>
        </w:tc>
        <w:tc>
          <w:tcPr>
            <w:tcW w:w="654"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131</w:t>
            </w:r>
          </w:p>
        </w:tc>
        <w:tc>
          <w:tcPr>
            <w:tcW w:w="1733" w:type="dxa"/>
            <w:shd w:val="clear" w:color="auto" w:fill="auto"/>
          </w:tcPr>
          <w:p w:rsidR="000B18DF" w:rsidRPr="009513D7" w:rsidRDefault="000B18DF"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RoE </w:t>
            </w:r>
            <w:r w:rsidR="00F60272" w:rsidRPr="009513D7">
              <w:rPr>
                <w:rFonts w:ascii="Arial Narrow" w:eastAsia="MS PGothic" w:hAnsi="Arial Narrow" w:cs="Arial"/>
                <w:color w:val="000000"/>
                <w:sz w:val="16"/>
                <w:szCs w:val="20"/>
                <w:lang w:eastAsia="ja-JP"/>
              </w:rPr>
              <w:t>JPMe</w:t>
            </w:r>
            <w:r w:rsidRPr="009513D7">
              <w:rPr>
                <w:rFonts w:ascii="Arial Narrow" w:eastAsia="MS PGothic" w:hAnsi="Arial Narrow" w:cs="Arial"/>
                <w:color w:val="000000"/>
                <w:sz w:val="16"/>
                <w:szCs w:val="20"/>
                <w:lang w:eastAsia="ja-JP"/>
              </w:rPr>
              <w:t xml:space="preserve"> %</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10.4%</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13.7%</w:t>
            </w:r>
          </w:p>
        </w:tc>
        <w:tc>
          <w:tcPr>
            <w:tcW w:w="910" w:type="dxa"/>
            <w:shd w:val="clear" w:color="auto" w:fill="auto"/>
          </w:tcPr>
          <w:p w:rsidR="000B18DF" w:rsidRPr="009513D7" w:rsidRDefault="000B18DF"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14.1%</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13.1%</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12.8%</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12.9%</w:t>
            </w:r>
          </w:p>
        </w:tc>
        <w:tc>
          <w:tcPr>
            <w:tcW w:w="910" w:type="dxa"/>
            <w:shd w:val="clear" w:color="auto" w:fill="auto"/>
            <w:vAlign w:val="bottom"/>
          </w:tcPr>
          <w:p w:rsidR="000B18DF" w:rsidRPr="000B18DF" w:rsidRDefault="000B18DF" w:rsidP="000B18DF">
            <w:pPr>
              <w:jc w:val="right"/>
              <w:rPr>
                <w:rFonts w:ascii="Arial Narrow" w:hAnsi="Arial Narrow" w:cs="Arial"/>
                <w:sz w:val="16"/>
                <w:szCs w:val="16"/>
              </w:rPr>
            </w:pPr>
            <w:r w:rsidRPr="000B18DF">
              <w:rPr>
                <w:rFonts w:ascii="Arial Narrow" w:hAnsi="Arial Narrow" w:cs="Arial"/>
                <w:sz w:val="16"/>
                <w:szCs w:val="16"/>
              </w:rPr>
              <w:t>13.5%</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change Y/Y</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20%</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Tax </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Debt / Capital</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 Tax rate </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Equity/ GWP</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69%</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Pref div</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Reserves / GWP</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301%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223%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219%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234%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258%</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Net Income (Reported)</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101 </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115 </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100 </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98 </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102 </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108 </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119 </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xml:space="preserve">Achilles TNAV </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895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642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647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724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755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792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840</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 change Y/Y</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10%</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Achilles BV</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972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704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710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787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818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855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902</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Balance sheet (IFRS)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2011</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2012</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2014e</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2015e</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2016e</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2017e</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Ratio Analysis</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2014e</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2015e</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2016e</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2017e</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 in millions, year-end Dec</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ASSETS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Non-life</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Intangible assets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77</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62</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63</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Attritional Loss ratio %</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56.4%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51.8%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51.4%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50.5%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51.6%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52.1%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51.7%</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Investment in associates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Nat Cat % Premiums</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5.2%</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Investments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3206</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2312</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2280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2384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2554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2717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2849</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Large losses % prem.</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0.0%</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Receivables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521</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353</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381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385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398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417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422</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Reserve release % prem</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-3.2%</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Reinsurance recoverable</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566</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414</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450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490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529</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566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597</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Loss ratio %</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61.3%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56.2%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48.6%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53.5%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54.3%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54.5%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53.8%</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Other receivables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40</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Expense ratio %</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38.3%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36.8%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36.8%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37.0%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37.1%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37.1%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37.1%</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DAC</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157</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113</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139</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Combined ratio %</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99.6%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93.0%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85.3%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90.5%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91.4%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91.6%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90.9%</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Deferred tax</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Attritional COR %</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94.7%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88.6%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88.2%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87.4%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88.7%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89.2%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88.8%</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Cash</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458</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305</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312</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415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440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467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495</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Investment yield %</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Total Assets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5049</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3598</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3657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3909</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4161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4413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4609</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i/>
                <w:iCs/>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Investment assets</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LIABILITIES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Equities/Property</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Policyholder liabilities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3557</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2561</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2594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2810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3021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3228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3391</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Fixed income</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79%</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82%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75%</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Debt</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245</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122</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123</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123</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Cash</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Subordinated debt (Incl. pref)</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Other</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5%</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Deferred tax liabilities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44</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23</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28</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Creditors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222</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176</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187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165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151</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NEP split</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Other liabilities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6</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14</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Global Markets</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73%</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77%</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78%</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Shareholders' equity</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972</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704</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710</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787</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818</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855</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902</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Reinsurance</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28%</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26%</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25%</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21%</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22%</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22%</w:t>
            </w:r>
          </w:p>
        </w:tc>
      </w:tr>
      <w:tr w:rsidR="009513D7" w:rsidRPr="009513D7" w:rsidTr="009513D7">
        <w:tc>
          <w:tcPr>
            <w:tcW w:w="1989"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Minorities</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7</w:t>
            </w:r>
          </w:p>
        </w:tc>
        <w:tc>
          <w:tcPr>
            <w:tcW w:w="581"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6</w:t>
            </w:r>
          </w:p>
        </w:tc>
        <w:tc>
          <w:tcPr>
            <w:tcW w:w="596"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1</w:t>
            </w:r>
          </w:p>
        </w:tc>
        <w:tc>
          <w:tcPr>
            <w:tcW w:w="654"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1</w:t>
            </w:r>
          </w:p>
        </w:tc>
        <w:tc>
          <w:tcPr>
            <w:tcW w:w="1733" w:type="dxa"/>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UK</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910" w:type="dxa"/>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r>
      <w:tr w:rsidR="009513D7" w:rsidRPr="009513D7" w:rsidTr="009513D7">
        <w:tc>
          <w:tcPr>
            <w:tcW w:w="1989" w:type="dxa"/>
            <w:tcBorders>
              <w:bottom w:val="single" w:sz="6" w:space="0" w:color="auto"/>
            </w:tcBorders>
            <w:shd w:val="clear" w:color="auto" w:fill="auto"/>
          </w:tcPr>
          <w:p w:rsidR="009513D7" w:rsidRPr="009513D7" w:rsidRDefault="009513D7" w:rsidP="009513D7">
            <w:pPr>
              <w:keepNext/>
              <w:autoSpaceDE w:val="0"/>
              <w:autoSpaceDN w:val="0"/>
              <w:adjustRightInd w:val="0"/>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TOTAL LIABILITIES</w:t>
            </w:r>
          </w:p>
        </w:tc>
        <w:tc>
          <w:tcPr>
            <w:tcW w:w="581"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5049</w:t>
            </w:r>
          </w:p>
        </w:tc>
        <w:tc>
          <w:tcPr>
            <w:tcW w:w="581"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3598</w:t>
            </w:r>
          </w:p>
        </w:tc>
        <w:tc>
          <w:tcPr>
            <w:tcW w:w="596"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3657</w:t>
            </w:r>
          </w:p>
        </w:tc>
        <w:tc>
          <w:tcPr>
            <w:tcW w:w="654"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3909</w:t>
            </w:r>
          </w:p>
        </w:tc>
        <w:tc>
          <w:tcPr>
            <w:tcW w:w="654"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4161</w:t>
            </w:r>
          </w:p>
        </w:tc>
        <w:tc>
          <w:tcPr>
            <w:tcW w:w="654"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4413</w:t>
            </w:r>
          </w:p>
        </w:tc>
        <w:tc>
          <w:tcPr>
            <w:tcW w:w="654"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b/>
                <w:bCs/>
                <w:color w:val="000000"/>
                <w:sz w:val="16"/>
                <w:szCs w:val="20"/>
                <w:lang w:eastAsia="ja-JP"/>
              </w:rPr>
            </w:pPr>
            <w:r w:rsidRPr="009513D7">
              <w:rPr>
                <w:rFonts w:ascii="Arial Narrow" w:eastAsia="MS PGothic" w:hAnsi="Arial Narrow" w:cs="Arial"/>
                <w:b/>
                <w:bCs/>
                <w:color w:val="000000"/>
                <w:sz w:val="16"/>
                <w:szCs w:val="20"/>
                <w:lang w:eastAsia="ja-JP"/>
              </w:rPr>
              <w:t>4609</w:t>
            </w:r>
          </w:p>
        </w:tc>
        <w:tc>
          <w:tcPr>
            <w:tcW w:w="1733" w:type="dxa"/>
            <w:tcBorders>
              <w:bottom w:val="single" w:sz="6" w:space="0" w:color="auto"/>
            </w:tcBorders>
            <w:shd w:val="clear" w:color="auto" w:fill="auto"/>
          </w:tcPr>
          <w:p w:rsidR="009513D7" w:rsidRPr="009513D7" w:rsidRDefault="009513D7" w:rsidP="009513D7">
            <w:pPr>
              <w:keepNext/>
              <w:autoSpaceDE w:val="0"/>
              <w:autoSpaceDN w:val="0"/>
              <w:adjustRightInd w:val="0"/>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Other</w:t>
            </w:r>
          </w:p>
        </w:tc>
        <w:tc>
          <w:tcPr>
            <w:tcW w:w="910"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910"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910"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0%</w:t>
            </w:r>
          </w:p>
        </w:tc>
        <w:tc>
          <w:tcPr>
            <w:tcW w:w="910"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910"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910"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c>
          <w:tcPr>
            <w:tcW w:w="910" w:type="dxa"/>
            <w:tcBorders>
              <w:bottom w:val="single" w:sz="6" w:space="0" w:color="auto"/>
            </w:tcBorders>
            <w:shd w:val="clear" w:color="auto" w:fill="auto"/>
          </w:tcPr>
          <w:p w:rsidR="009513D7" w:rsidRPr="009513D7" w:rsidRDefault="009513D7" w:rsidP="009513D7">
            <w:pPr>
              <w:keepNext/>
              <w:autoSpaceDE w:val="0"/>
              <w:autoSpaceDN w:val="0"/>
              <w:adjustRightInd w:val="0"/>
              <w:jc w:val="right"/>
              <w:rPr>
                <w:rFonts w:ascii="Arial Narrow" w:eastAsia="MS PGothic" w:hAnsi="Arial Narrow" w:cs="Arial"/>
                <w:color w:val="000000"/>
                <w:sz w:val="16"/>
                <w:szCs w:val="20"/>
                <w:lang w:eastAsia="ja-JP"/>
              </w:rPr>
            </w:pPr>
            <w:r w:rsidRPr="009513D7">
              <w:rPr>
                <w:rFonts w:ascii="Arial Narrow" w:eastAsia="MS PGothic" w:hAnsi="Arial Narrow" w:cs="Arial"/>
                <w:color w:val="000000"/>
                <w:sz w:val="16"/>
                <w:szCs w:val="20"/>
                <w:lang w:eastAsia="ja-JP"/>
              </w:rPr>
              <w:t>1%</w:t>
            </w:r>
          </w:p>
        </w:tc>
      </w:tr>
    </w:tbl>
    <w:p w:rsidR="009513D7" w:rsidRDefault="009513D7" w:rsidP="009513D7">
      <w:pPr>
        <w:pStyle w:val="Source"/>
      </w:pPr>
      <w:r>
        <w:t xml:space="preserve">Source: J.P. Morgan estimates, Company data. </w:t>
      </w:r>
    </w:p>
    <w:p w:rsidR="009513D7" w:rsidRDefault="009513D7" w:rsidP="009513D7">
      <w:pPr>
        <w:pStyle w:val="Body"/>
        <w:rPr>
          <w:rFonts w:ascii="Arial Narrow" w:hAnsi="Arial Narrow"/>
          <w:sz w:val="14"/>
        </w:rPr>
      </w:pPr>
      <w:r>
        <w:br w:type="page"/>
      </w:r>
    </w:p>
    <w:p w:rsidR="00F60272" w:rsidRDefault="00F60272" w:rsidP="00BA558B">
      <w:pPr>
        <w:pStyle w:val="TableTitle"/>
        <w:spacing w:after="40"/>
      </w:pPr>
    </w:p>
    <w:p w:rsidR="00BA558B" w:rsidRDefault="00BA558B" w:rsidP="00BA558B">
      <w:pPr>
        <w:pStyle w:val="TableTitle"/>
        <w:spacing w:after="40"/>
      </w:pPr>
      <w:r>
        <w:t xml:space="preserve">Table </w:t>
      </w:r>
      <w:fldSimple w:instr=" SEQ Table \* ARABIC ">
        <w:r w:rsidR="00F60272">
          <w:rPr>
            <w:noProof/>
          </w:rPr>
          <w:t>5</w:t>
        </w:r>
      </w:fldSimple>
      <w:r>
        <w:t>: Catlin</w:t>
      </w:r>
    </w:p>
    <w:tbl>
      <w:tblPr>
        <w:tblW w:w="14536" w:type="dxa"/>
        <w:tblInd w:w="78" w:type="dxa"/>
        <w:tblLayout w:type="fixed"/>
        <w:tblLook w:val="0000"/>
      </w:tblPr>
      <w:tblGrid>
        <w:gridCol w:w="1798"/>
        <w:gridCol w:w="676"/>
        <w:gridCol w:w="676"/>
        <w:gridCol w:w="676"/>
        <w:gridCol w:w="676"/>
        <w:gridCol w:w="676"/>
        <w:gridCol w:w="676"/>
        <w:gridCol w:w="676"/>
        <w:gridCol w:w="676"/>
        <w:gridCol w:w="1574"/>
        <w:gridCol w:w="734"/>
        <w:gridCol w:w="734"/>
        <w:gridCol w:w="734"/>
        <w:gridCol w:w="734"/>
        <w:gridCol w:w="734"/>
        <w:gridCol w:w="734"/>
        <w:gridCol w:w="676"/>
        <w:gridCol w:w="676"/>
      </w:tblGrid>
      <w:tr w:rsidR="00BA558B" w:rsidRPr="00BA558B" w:rsidTr="000B18DF">
        <w:trPr>
          <w:trHeight w:val="230"/>
        </w:trPr>
        <w:tc>
          <w:tcPr>
            <w:tcW w:w="2474" w:type="dxa"/>
            <w:gridSpan w:val="2"/>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b/>
                <w:bCs/>
                <w:color w:val="000000"/>
                <w:sz w:val="16"/>
                <w:szCs w:val="16"/>
                <w:lang w:eastAsia="ja-JP"/>
              </w:rPr>
              <w:t xml:space="preserve">Profit and Loss statement </w:t>
            </w:r>
          </w:p>
        </w:tc>
        <w:tc>
          <w:tcPr>
            <w:tcW w:w="676"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1574"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Valuation Multiples</w:t>
            </w:r>
          </w:p>
        </w:tc>
        <w:tc>
          <w:tcPr>
            <w:tcW w:w="734"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single" w:sz="6" w:space="0" w:color="auto"/>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Pr>
                <w:rFonts w:ascii="Arial Narrow" w:eastAsia="MS PGothic" w:hAnsi="Arial Narrow" w:cs="Arial"/>
                <w:b/>
                <w:bCs/>
                <w:color w:val="000000"/>
                <w:sz w:val="16"/>
                <w:szCs w:val="16"/>
                <w:lang w:eastAsia="ja-JP"/>
              </w:rPr>
              <w:t>$ in m</w:t>
            </w:r>
            <w:r w:rsidRPr="00BA558B">
              <w:rPr>
                <w:rFonts w:ascii="Arial Narrow" w:eastAsia="MS PGothic" w:hAnsi="Arial Narrow" w:cs="Arial"/>
                <w:b/>
                <w:bCs/>
                <w:color w:val="000000"/>
                <w:sz w:val="16"/>
                <w:szCs w:val="16"/>
                <w:lang w:eastAsia="ja-JP"/>
              </w:rPr>
              <w:t>, year-end Dec</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FY14e</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FY15e</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FY16e</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FY17e</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$/p</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FY14e</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FY15e</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FY16e</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FY17e</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Gross Written Premiums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4,069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4,513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4,972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5,309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5,543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5,790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5,988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6,197</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Shares Outstanding</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343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344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349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358</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change Y/Y</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EPS(diluted)p</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59.9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52.9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64.7</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50.8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60.3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67.5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80.5</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Net Written Premiums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3,318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3,835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3,834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4,052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4,000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4,172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4,304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4,443</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change Y/Y</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672%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change Y/Y</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DPS(p)</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26.5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28.0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29.5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31.0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33.0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37.3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39.7</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Net Earned premiums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3,219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3,612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3,604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3,948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4,021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4,117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4,262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4,399</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change Y/Y</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change Y/Y</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Payout ratio</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408.6%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55.8%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47.9%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64.9%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58.1%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55.3%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49.3%</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Pr>
                <w:rFonts w:ascii="Arial Narrow" w:eastAsia="MS PGothic" w:hAnsi="Arial Narrow" w:cs="Arial"/>
                <w:color w:val="000000"/>
                <w:sz w:val="16"/>
                <w:szCs w:val="16"/>
                <w:lang w:eastAsia="ja-JP"/>
              </w:rPr>
              <w:t>Ins.</w:t>
            </w:r>
            <w:r w:rsidRPr="00BA558B">
              <w:rPr>
                <w:rFonts w:ascii="Arial Narrow" w:eastAsia="MS PGothic" w:hAnsi="Arial Narrow" w:cs="Arial"/>
                <w:color w:val="000000"/>
                <w:sz w:val="16"/>
                <w:szCs w:val="16"/>
                <w:lang w:eastAsia="ja-JP"/>
              </w:rPr>
              <w:t xml:space="preserve"> related expenses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(1,852)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(2,529)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(2,063)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(2,245)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(2,298)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(2,383)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(2,447)</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TNAV / share(p)</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424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405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435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451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479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512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556</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Admin expenses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(431)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(435)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(437)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(429)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(430)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(431)</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JPM TNAV / share(p)</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405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374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386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414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428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455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486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528</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Acquisition expenses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(759)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(796)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(882)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(897)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(875)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(861)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(842)</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r>
      <w:tr w:rsidR="000B18DF" w:rsidRPr="00BA558B" w:rsidTr="000B18DF">
        <w:trPr>
          <w:trHeight w:val="198"/>
        </w:trPr>
        <w:tc>
          <w:tcPr>
            <w:tcW w:w="1798"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Underwriting profit</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327</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(96)</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357</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568</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443</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515</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588</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678</w:t>
            </w:r>
          </w:p>
        </w:tc>
        <w:tc>
          <w:tcPr>
            <w:tcW w:w="157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P/E 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6.2x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NM</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8.3x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7.9x</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10.7x</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9.0x</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8.1x</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6.8x</w:t>
            </w:r>
          </w:p>
        </w:tc>
      </w:tr>
      <w:tr w:rsidR="000B18DF" w:rsidRPr="00BA558B" w:rsidTr="000B18DF">
        <w:trPr>
          <w:trHeight w:val="198"/>
        </w:trPr>
        <w:tc>
          <w:tcPr>
            <w:tcW w:w="1798"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i/>
                <w:iCs/>
                <w:color w:val="000000"/>
                <w:sz w:val="16"/>
                <w:szCs w:val="16"/>
                <w:lang w:eastAsia="ja-JP"/>
              </w:rPr>
            </w:pPr>
            <w:r w:rsidRPr="00BA558B">
              <w:rPr>
                <w:rFonts w:ascii="Arial Narrow" w:eastAsia="MS PGothic" w:hAnsi="Arial Narrow" w:cs="Arial"/>
                <w:i/>
                <w:iCs/>
                <w:color w:val="000000"/>
                <w:sz w:val="16"/>
                <w:szCs w:val="16"/>
                <w:lang w:eastAsia="ja-JP"/>
              </w:rPr>
              <w:t>Of which Reserve releases</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144</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103</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139</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167</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80</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82</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85</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88</w:t>
            </w:r>
          </w:p>
        </w:tc>
        <w:tc>
          <w:tcPr>
            <w:tcW w:w="157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Dividend yield</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7.2%</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7.0%</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6.7%</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6.1%</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6.0%</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6.4%</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6.8%</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7.3%</w:t>
            </w:r>
          </w:p>
        </w:tc>
      </w:tr>
      <w:tr w:rsidR="000B18DF" w:rsidRPr="00BA558B" w:rsidTr="000B18DF">
        <w:trPr>
          <w:trHeight w:val="198"/>
        </w:trPr>
        <w:tc>
          <w:tcPr>
            <w:tcW w:w="1798"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Investment income</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205</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248</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158</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124</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156</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152</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162</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160</w:t>
            </w:r>
          </w:p>
        </w:tc>
        <w:tc>
          <w:tcPr>
            <w:tcW w:w="157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P/TNAV 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0.9x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1.2x</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1.2x</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1.1x</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1.1x</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1.0x</w:t>
            </w:r>
          </w:p>
        </w:tc>
      </w:tr>
      <w:tr w:rsidR="000B18DF" w:rsidRPr="00BA558B" w:rsidTr="000B18DF">
        <w:trPr>
          <w:trHeight w:val="198"/>
        </w:trPr>
        <w:tc>
          <w:tcPr>
            <w:tcW w:w="1798"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Other income</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13</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w:t>
            </w:r>
          </w:p>
        </w:tc>
        <w:tc>
          <w:tcPr>
            <w:tcW w:w="157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RTNAV %</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12%</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13%</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14%</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15%</w:t>
            </w:r>
          </w:p>
        </w:tc>
      </w:tr>
      <w:tr w:rsidR="000B18DF" w:rsidRPr="00BA558B" w:rsidTr="000B18DF">
        <w:trPr>
          <w:trHeight w:val="198"/>
        </w:trPr>
        <w:tc>
          <w:tcPr>
            <w:tcW w:w="1798"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Other expenses</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(116)</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(94)</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(169)</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(245)</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(219)</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(222)</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(227)</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(223)</w:t>
            </w:r>
          </w:p>
        </w:tc>
        <w:tc>
          <w:tcPr>
            <w:tcW w:w="157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P/JPM TNAV 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0.9x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1.1x</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1.2x</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1.3x</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1.2x</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1.1x</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1.0x</w:t>
            </w:r>
          </w:p>
        </w:tc>
      </w:tr>
      <w:tr w:rsidR="000B18DF" w:rsidRPr="00BA558B" w:rsidTr="000B18DF">
        <w:trPr>
          <w:trHeight w:val="198"/>
        </w:trPr>
        <w:tc>
          <w:tcPr>
            <w:tcW w:w="1798"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Earnings before tax</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406</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71</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339</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432</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392</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456</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534</w:t>
            </w:r>
          </w:p>
        </w:tc>
        <w:tc>
          <w:tcPr>
            <w:tcW w:w="676"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627</w:t>
            </w:r>
          </w:p>
        </w:tc>
        <w:tc>
          <w:tcPr>
            <w:tcW w:w="157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xml:space="preserve">RTNAV </w:t>
            </w:r>
            <w:r w:rsidR="00F60272" w:rsidRPr="00BA558B">
              <w:rPr>
                <w:rFonts w:ascii="Arial Narrow" w:eastAsia="MS PGothic" w:hAnsi="Arial Narrow" w:cs="Arial"/>
                <w:color w:val="000000"/>
                <w:sz w:val="16"/>
                <w:szCs w:val="16"/>
                <w:lang w:eastAsia="ja-JP"/>
              </w:rPr>
              <w:t>JPMe</w:t>
            </w:r>
            <w:r w:rsidRPr="00BA558B">
              <w:rPr>
                <w:rFonts w:ascii="Arial Narrow" w:eastAsia="MS PGothic" w:hAnsi="Arial Narrow" w:cs="Arial"/>
                <w:color w:val="000000"/>
                <w:sz w:val="16"/>
                <w:szCs w:val="16"/>
                <w:lang w:eastAsia="ja-JP"/>
              </w:rPr>
              <w:t xml:space="preserve"> %</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w:t>
            </w:r>
          </w:p>
        </w:tc>
        <w:tc>
          <w:tcPr>
            <w:tcW w:w="734" w:type="dxa"/>
            <w:tcBorders>
              <w:top w:val="nil"/>
              <w:left w:val="nil"/>
              <w:bottom w:val="nil"/>
              <w:right w:val="nil"/>
            </w:tcBorders>
            <w:shd w:val="solid" w:color="FFFFFF" w:fill="auto"/>
          </w:tcPr>
          <w:p w:rsidR="000B18DF" w:rsidRPr="00BA558B" w:rsidRDefault="000B18DF"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12%</w:t>
            </w:r>
          </w:p>
        </w:tc>
        <w:tc>
          <w:tcPr>
            <w:tcW w:w="734"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14%</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15%</w:t>
            </w:r>
          </w:p>
        </w:tc>
        <w:tc>
          <w:tcPr>
            <w:tcW w:w="676" w:type="dxa"/>
            <w:tcBorders>
              <w:top w:val="nil"/>
              <w:left w:val="nil"/>
              <w:bottom w:val="nil"/>
              <w:right w:val="nil"/>
            </w:tcBorders>
            <w:shd w:val="solid" w:color="FFFFFF" w:fill="auto"/>
            <w:vAlign w:val="bottom"/>
          </w:tcPr>
          <w:p w:rsidR="000B18DF" w:rsidRPr="000B18DF" w:rsidRDefault="000B18DF">
            <w:pPr>
              <w:jc w:val="right"/>
              <w:rPr>
                <w:rFonts w:ascii="Arial Narrow" w:hAnsi="Arial Narrow" w:cs="Arial"/>
                <w:sz w:val="16"/>
                <w:szCs w:val="16"/>
              </w:rPr>
            </w:pPr>
            <w:r w:rsidRPr="000B18DF">
              <w:rPr>
                <w:rFonts w:ascii="Arial Narrow" w:hAnsi="Arial Narrow" w:cs="Arial"/>
                <w:sz w:val="16"/>
                <w:szCs w:val="16"/>
              </w:rPr>
              <w:t>16%</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change Y/Y</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377%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17%</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xml:space="preserve">Tax </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(94)</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Debt / Capital</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18%</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xml:space="preserve">% Tax rate </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-0.9%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15.0%</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Equity/ GWP</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70.2%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60.0%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58.8%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60.1%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59.8%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60.1%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0.0%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0.0%</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Pref div</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Reserves / GWP</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136.4%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143.3%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134.5%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126.4%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125.6%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122.1%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0.2%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0.2%</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Net Income (Reported)</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337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305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309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367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410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489</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TNAV</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2,236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2,099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2,305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2,565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2,688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2,855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3,053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3,316</w:t>
            </w:r>
          </w:p>
        </w:tc>
      </w:tr>
      <w:tr w:rsidR="00BA558B" w:rsidRPr="00BA558B" w:rsidTr="00BA558B">
        <w:trPr>
          <w:trHeight w:val="230"/>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 change Y/Y</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NM</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JPM TNAV</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2,137</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1,995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2,195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2,441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2,554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2,711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2,899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3,152</w:t>
            </w:r>
          </w:p>
        </w:tc>
      </w:tr>
      <w:tr w:rsidR="00B12924" w:rsidRPr="00BA558B" w:rsidTr="00BA558B">
        <w:trPr>
          <w:trHeight w:val="198"/>
        </w:trPr>
        <w:tc>
          <w:tcPr>
            <w:tcW w:w="1798"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Balance sheet (IFRS)</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FY10</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FY11</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FY12</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FY13</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FY14e</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FY15e</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FY16e</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FY17e</w:t>
            </w:r>
          </w:p>
        </w:tc>
        <w:tc>
          <w:tcPr>
            <w:tcW w:w="1574" w:type="dxa"/>
            <w:tcBorders>
              <w:top w:val="single" w:sz="6" w:space="0" w:color="auto"/>
              <w:left w:val="nil"/>
              <w:bottom w:val="single" w:sz="6" w:space="0" w:color="auto"/>
              <w:right w:val="nil"/>
            </w:tcBorders>
            <w:shd w:val="solid" w:color="FFFFFF" w:fill="auto"/>
          </w:tcPr>
          <w:p w:rsidR="00B12924" w:rsidRPr="00BA558B" w:rsidRDefault="00B12924"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Ratio Analysis</w:t>
            </w:r>
          </w:p>
        </w:tc>
        <w:tc>
          <w:tcPr>
            <w:tcW w:w="734" w:type="dxa"/>
            <w:tcBorders>
              <w:top w:val="single" w:sz="6" w:space="0" w:color="auto"/>
              <w:left w:val="nil"/>
              <w:bottom w:val="single" w:sz="6" w:space="0" w:color="auto"/>
              <w:right w:val="nil"/>
            </w:tcBorders>
            <w:shd w:val="solid" w:color="FFFFFF" w:fill="auto"/>
          </w:tcPr>
          <w:p w:rsidR="00B12924" w:rsidRPr="00BA558B" w:rsidRDefault="00B12924" w:rsidP="000B18DF">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FY10</w:t>
            </w:r>
          </w:p>
        </w:tc>
        <w:tc>
          <w:tcPr>
            <w:tcW w:w="734" w:type="dxa"/>
            <w:tcBorders>
              <w:top w:val="single" w:sz="6" w:space="0" w:color="auto"/>
              <w:left w:val="nil"/>
              <w:bottom w:val="single" w:sz="6" w:space="0" w:color="auto"/>
              <w:right w:val="nil"/>
            </w:tcBorders>
            <w:shd w:val="solid" w:color="FFFFFF" w:fill="auto"/>
          </w:tcPr>
          <w:p w:rsidR="00B12924" w:rsidRPr="00BA558B" w:rsidRDefault="00B12924" w:rsidP="000B18DF">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FY11</w:t>
            </w:r>
          </w:p>
        </w:tc>
        <w:tc>
          <w:tcPr>
            <w:tcW w:w="734" w:type="dxa"/>
            <w:tcBorders>
              <w:top w:val="single" w:sz="6" w:space="0" w:color="auto"/>
              <w:left w:val="nil"/>
              <w:bottom w:val="single" w:sz="6" w:space="0" w:color="auto"/>
              <w:right w:val="nil"/>
            </w:tcBorders>
            <w:shd w:val="solid" w:color="FFFFFF" w:fill="auto"/>
          </w:tcPr>
          <w:p w:rsidR="00B12924" w:rsidRPr="00BA558B" w:rsidRDefault="00B12924" w:rsidP="000B18DF">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FY12</w:t>
            </w:r>
          </w:p>
        </w:tc>
        <w:tc>
          <w:tcPr>
            <w:tcW w:w="734" w:type="dxa"/>
            <w:tcBorders>
              <w:top w:val="single" w:sz="6" w:space="0" w:color="auto"/>
              <w:left w:val="nil"/>
              <w:bottom w:val="single" w:sz="6" w:space="0" w:color="auto"/>
              <w:right w:val="nil"/>
            </w:tcBorders>
            <w:shd w:val="solid" w:color="FFFFFF" w:fill="auto"/>
          </w:tcPr>
          <w:p w:rsidR="00B12924" w:rsidRPr="00BA558B" w:rsidRDefault="00B12924" w:rsidP="000B18DF">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FY13</w:t>
            </w:r>
          </w:p>
        </w:tc>
        <w:tc>
          <w:tcPr>
            <w:tcW w:w="734" w:type="dxa"/>
            <w:tcBorders>
              <w:top w:val="single" w:sz="6" w:space="0" w:color="auto"/>
              <w:left w:val="nil"/>
              <w:bottom w:val="single" w:sz="6" w:space="0" w:color="auto"/>
              <w:right w:val="nil"/>
            </w:tcBorders>
            <w:shd w:val="solid" w:color="FFFFFF" w:fill="auto"/>
          </w:tcPr>
          <w:p w:rsidR="00B12924" w:rsidRPr="00BA558B" w:rsidRDefault="00B12924" w:rsidP="000B18DF">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FY14e</w:t>
            </w:r>
          </w:p>
        </w:tc>
        <w:tc>
          <w:tcPr>
            <w:tcW w:w="734" w:type="dxa"/>
            <w:tcBorders>
              <w:top w:val="single" w:sz="6" w:space="0" w:color="auto"/>
              <w:left w:val="nil"/>
              <w:bottom w:val="single" w:sz="6" w:space="0" w:color="auto"/>
              <w:right w:val="nil"/>
            </w:tcBorders>
            <w:shd w:val="solid" w:color="FFFFFF" w:fill="auto"/>
          </w:tcPr>
          <w:p w:rsidR="00B12924" w:rsidRPr="00BA558B" w:rsidRDefault="00B12924" w:rsidP="000B18DF">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FY15e</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0B18DF">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FY16e</w:t>
            </w:r>
          </w:p>
        </w:tc>
        <w:tc>
          <w:tcPr>
            <w:tcW w:w="676" w:type="dxa"/>
            <w:tcBorders>
              <w:top w:val="single" w:sz="6" w:space="0" w:color="auto"/>
              <w:left w:val="nil"/>
              <w:bottom w:val="single" w:sz="6" w:space="0" w:color="auto"/>
              <w:right w:val="nil"/>
            </w:tcBorders>
            <w:shd w:val="solid" w:color="FFFFFF" w:fill="auto"/>
          </w:tcPr>
          <w:p w:rsidR="00B12924" w:rsidRPr="00BA558B" w:rsidRDefault="00B12924" w:rsidP="000B18DF">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FY17e</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ASSETS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Non-life</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Intangible assets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716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717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720</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Loss ratio %</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57.5%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70.0%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56.0%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52.3%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55.8%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55.8%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55.9%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55.6%</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Investment in associates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Expense ratio %</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38.4%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38.3%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36.8%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33.8%</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Investments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5,371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6,325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6,300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6,926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7,488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7,667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7,908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8,160</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Combined ratio %</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93.0%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105.0%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94.4%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91.3%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94.1%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92.6%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91.3%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89.5%</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Receivables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1,322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1,679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1,838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1,845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2,015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2,204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2,361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2,533</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Attritional COR %</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87.6%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85.0%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89.0%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89.2%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88.9%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88.4%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87.2%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85.5%</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Reinsurance recoverable</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1,229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1,217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1,503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1,480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1,480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1,480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1,480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1,480</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Attritional Loss ratio %</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52.2%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50.0%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50.6%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50.1%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50.6%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51.6%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51.8%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51.7%</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Other receivables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Pr>
                <w:rFonts w:ascii="Arial Narrow" w:eastAsia="MS PGothic" w:hAnsi="Arial Narrow" w:cs="Arial"/>
                <w:color w:val="000000"/>
                <w:sz w:val="16"/>
                <w:szCs w:val="16"/>
                <w:lang w:eastAsia="ja-JP"/>
              </w:rPr>
              <w:t>Res.</w:t>
            </w:r>
            <w:r w:rsidRPr="00BA558B">
              <w:rPr>
                <w:rFonts w:ascii="Arial Narrow" w:eastAsia="MS PGothic" w:hAnsi="Arial Narrow" w:cs="Arial"/>
                <w:color w:val="000000"/>
                <w:sz w:val="16"/>
                <w:szCs w:val="16"/>
                <w:lang w:eastAsia="ja-JP"/>
              </w:rPr>
              <w:t xml:space="preserve"> release % prem</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DAC</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464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490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490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490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490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490</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Investment yield %</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2.7%</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1.6%</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Deferred tax</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Large losses % prem.</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2.5%</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Cash</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2,650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2,063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2,474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2,291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1,920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1,920</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Nat Cat % Premiums</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3.4%</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Total Assets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12,082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12,959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14,041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14,555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14,921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15,278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15,668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16,082</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i/>
                <w:iCs/>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i/>
                <w:iCs/>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i/>
                <w:iCs/>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i/>
                <w:iCs/>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i/>
                <w:iCs/>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i/>
                <w:iCs/>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i/>
                <w:iCs/>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i/>
                <w:iCs/>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i/>
                <w:iCs/>
                <w:sz w:val="16"/>
                <w:szCs w:val="16"/>
                <w:lang w:eastAsia="ja-JP"/>
              </w:rPr>
            </w:pP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LIABILITIES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Investment assets</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sz w:val="16"/>
                <w:szCs w:val="16"/>
                <w:lang w:eastAsia="ja-JP"/>
              </w:rPr>
            </w:pPr>
            <w:r w:rsidRPr="00BA558B">
              <w:rPr>
                <w:rFonts w:ascii="Arial Narrow" w:eastAsia="MS PGothic" w:hAnsi="Arial Narrow" w:cs="Arial"/>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sz w:val="16"/>
                <w:szCs w:val="16"/>
                <w:lang w:eastAsia="ja-JP"/>
              </w:rPr>
            </w:pPr>
            <w:r w:rsidRPr="00BA558B">
              <w:rPr>
                <w:rFonts w:ascii="Arial Narrow" w:eastAsia="MS PGothic" w:hAnsi="Arial Narrow" w:cs="Arial"/>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sz w:val="16"/>
                <w:szCs w:val="16"/>
                <w:lang w:eastAsia="ja-JP"/>
              </w:rPr>
            </w:pPr>
            <w:r w:rsidRPr="00BA558B">
              <w:rPr>
                <w:rFonts w:ascii="Arial Narrow" w:eastAsia="MS PGothic" w:hAnsi="Arial Narrow" w:cs="Arial"/>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sz w:val="16"/>
                <w:szCs w:val="16"/>
                <w:lang w:eastAsia="ja-JP"/>
              </w:rPr>
            </w:pPr>
            <w:r w:rsidRPr="00BA558B">
              <w:rPr>
                <w:rFonts w:ascii="Arial Narrow" w:eastAsia="MS PGothic" w:hAnsi="Arial Narrow" w:cs="Arial"/>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sz w:val="16"/>
                <w:szCs w:val="16"/>
                <w:lang w:eastAsia="ja-JP"/>
              </w:rPr>
            </w:pPr>
            <w:r w:rsidRPr="00BA558B">
              <w:rPr>
                <w:rFonts w:ascii="Arial Narrow" w:eastAsia="MS PGothic" w:hAnsi="Arial Narrow" w:cs="Arial"/>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sz w:val="16"/>
                <w:szCs w:val="16"/>
                <w:lang w:eastAsia="ja-JP"/>
              </w:rPr>
            </w:pPr>
            <w:r w:rsidRPr="00BA558B">
              <w:rPr>
                <w:rFonts w:ascii="Arial Narrow" w:eastAsia="MS PGothic" w:hAnsi="Arial Narrow" w:cs="Arial"/>
                <w:sz w:val="16"/>
                <w:szCs w:val="16"/>
                <w:lang w:eastAsia="ja-JP"/>
              </w:rPr>
              <w:t>-</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sz w:val="16"/>
                <w:szCs w:val="16"/>
                <w:lang w:eastAsia="ja-JP"/>
              </w:rPr>
            </w:pPr>
            <w:r w:rsidRPr="00BA558B">
              <w:rPr>
                <w:rFonts w:ascii="Arial Narrow" w:eastAsia="MS PGothic" w:hAnsi="Arial Narrow" w:cs="Arial"/>
                <w:sz w:val="16"/>
                <w:szCs w:val="16"/>
                <w:lang w:eastAsia="ja-JP"/>
              </w:rPr>
              <w:t>-</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sz w:val="16"/>
                <w:szCs w:val="16"/>
                <w:lang w:eastAsia="ja-JP"/>
              </w:rPr>
            </w:pPr>
            <w:r w:rsidRPr="00BA558B">
              <w:rPr>
                <w:rFonts w:ascii="Arial Narrow" w:eastAsia="MS PGothic" w:hAnsi="Arial Narrow" w:cs="Arial"/>
                <w:sz w:val="16"/>
                <w:szCs w:val="16"/>
                <w:lang w:eastAsia="ja-JP"/>
              </w:rPr>
              <w:t>-</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Policyholder liabilities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5,549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6,467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6,686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6,709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6,965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7,069</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7,210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7,356</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Equities/Property</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Debt</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Fixed income</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57.0%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71.9%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63.9%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65.7%</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67.8%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69.1%</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Pr>
                <w:rFonts w:ascii="Arial Narrow" w:eastAsia="MS PGothic" w:hAnsi="Arial Narrow" w:cs="Arial"/>
                <w:color w:val="000000"/>
                <w:sz w:val="16"/>
                <w:szCs w:val="16"/>
                <w:lang w:eastAsia="ja-JP"/>
              </w:rPr>
              <w:t>Sub</w:t>
            </w:r>
            <w:r w:rsidRPr="00BA558B">
              <w:rPr>
                <w:rFonts w:ascii="Arial Narrow" w:eastAsia="MS PGothic" w:hAnsi="Arial Narrow" w:cs="Arial"/>
                <w:color w:val="000000"/>
                <w:sz w:val="16"/>
                <w:szCs w:val="16"/>
                <w:lang w:eastAsia="ja-JP"/>
              </w:rPr>
              <w:t xml:space="preserve"> debt (Incl. pref)</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683</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Cash</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33.0%</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24.6%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28.2%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25.7%</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20.4%</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19.1%</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Deferred tax liabilities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237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185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140</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Other</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7.9%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8.6%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11.8%</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Creditors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NEP split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FF0000"/>
                <w:sz w:val="16"/>
                <w:szCs w:val="16"/>
                <w:lang w:eastAsia="ja-JP"/>
              </w:rPr>
            </w:pPr>
            <w:r w:rsidRPr="00BA558B">
              <w:rPr>
                <w:rFonts w:ascii="Arial Narrow" w:eastAsia="MS PGothic" w:hAnsi="Arial Narrow" w:cs="Arial"/>
                <w:color w:val="FF0000"/>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FF0000"/>
                <w:sz w:val="16"/>
                <w:szCs w:val="16"/>
                <w:lang w:eastAsia="ja-JP"/>
              </w:rPr>
            </w:pPr>
            <w:r w:rsidRPr="00BA558B">
              <w:rPr>
                <w:rFonts w:ascii="Arial Narrow" w:eastAsia="MS PGothic" w:hAnsi="Arial Narrow" w:cs="Arial"/>
                <w:color w:val="FF0000"/>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FF0000"/>
                <w:sz w:val="16"/>
                <w:szCs w:val="16"/>
                <w:lang w:eastAsia="ja-JP"/>
              </w:rPr>
            </w:pPr>
            <w:r w:rsidRPr="00BA558B">
              <w:rPr>
                <w:rFonts w:ascii="Arial Narrow" w:eastAsia="MS PGothic" w:hAnsi="Arial Narrow" w:cs="Arial"/>
                <w:color w:val="FF0000"/>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FF0000"/>
                <w:sz w:val="16"/>
                <w:szCs w:val="16"/>
                <w:lang w:eastAsia="ja-JP"/>
              </w:rPr>
            </w:pPr>
            <w:r w:rsidRPr="00BA558B">
              <w:rPr>
                <w:rFonts w:ascii="Arial Narrow" w:eastAsia="MS PGothic" w:hAnsi="Arial Narrow" w:cs="Arial"/>
                <w:color w:val="FF0000"/>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FF0000"/>
                <w:sz w:val="16"/>
                <w:szCs w:val="16"/>
                <w:lang w:eastAsia="ja-JP"/>
              </w:rPr>
            </w:pPr>
            <w:r w:rsidRPr="00BA558B">
              <w:rPr>
                <w:rFonts w:ascii="Arial Narrow" w:eastAsia="MS PGothic" w:hAnsi="Arial Narrow" w:cs="Arial"/>
                <w:color w:val="FF0000"/>
                <w:sz w:val="16"/>
                <w:szCs w:val="16"/>
                <w:lang w:eastAsia="ja-JP"/>
              </w:rPr>
              <w:t>-</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FF0000"/>
                <w:sz w:val="16"/>
                <w:szCs w:val="16"/>
                <w:lang w:eastAsia="ja-JP"/>
              </w:rPr>
            </w:pPr>
            <w:r w:rsidRPr="00BA558B">
              <w:rPr>
                <w:rFonts w:ascii="Arial Narrow" w:eastAsia="MS PGothic" w:hAnsi="Arial Narrow" w:cs="Arial"/>
                <w:color w:val="FF0000"/>
                <w:sz w:val="16"/>
                <w:szCs w:val="16"/>
                <w:lang w:eastAsia="ja-JP"/>
              </w:rPr>
              <w:t>-</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FF0000"/>
                <w:sz w:val="16"/>
                <w:szCs w:val="16"/>
                <w:lang w:eastAsia="ja-JP"/>
              </w:rPr>
            </w:pPr>
            <w:r w:rsidRPr="00BA558B">
              <w:rPr>
                <w:rFonts w:ascii="Arial Narrow" w:eastAsia="MS PGothic" w:hAnsi="Arial Narrow" w:cs="Arial"/>
                <w:color w:val="FF0000"/>
                <w:sz w:val="16"/>
                <w:szCs w:val="16"/>
                <w:lang w:eastAsia="ja-JP"/>
              </w:rPr>
              <w:t>-</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FF0000"/>
                <w:sz w:val="16"/>
                <w:szCs w:val="16"/>
                <w:lang w:eastAsia="ja-JP"/>
              </w:rPr>
            </w:pPr>
            <w:r w:rsidRPr="00BA558B">
              <w:rPr>
                <w:rFonts w:ascii="Arial Narrow" w:eastAsia="MS PGothic" w:hAnsi="Arial Narrow" w:cs="Arial"/>
                <w:color w:val="FF0000"/>
                <w:sz w:val="16"/>
                <w:szCs w:val="16"/>
                <w:lang w:eastAsia="ja-JP"/>
              </w:rPr>
              <w:t>-</w:t>
            </w:r>
          </w:p>
        </w:tc>
      </w:tr>
      <w:tr w:rsidR="00BA558B" w:rsidRPr="00BA558B" w:rsidTr="00BA558B">
        <w:trPr>
          <w:trHeight w:val="198"/>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Other liabilities</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2,755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2,901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3,566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3,830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3,818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3,905</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3,956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3,960</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London/UK originating</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57.1%</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51.9%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50.8%</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46.6%</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44.3%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42.7%</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41.3%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39.9%</w:t>
            </w:r>
          </w:p>
        </w:tc>
      </w:tr>
      <w:tr w:rsidR="00BA558B" w:rsidRPr="00BA558B" w:rsidTr="00BA558B">
        <w:trPr>
          <w:trHeight w:val="214"/>
        </w:trPr>
        <w:tc>
          <w:tcPr>
            <w:tcW w:w="1798"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Shareholders' equity</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2,858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2,708</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2,922</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3,193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3,316</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3,483</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3,681</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3,944</w:t>
            </w:r>
          </w:p>
        </w:tc>
        <w:tc>
          <w:tcPr>
            <w:tcW w:w="157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Catlin Bermuda</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12.3%</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12.2%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10.5%</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10.9%</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11.2%</w:t>
            </w:r>
          </w:p>
        </w:tc>
        <w:tc>
          <w:tcPr>
            <w:tcW w:w="734"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11.0%</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10.4%</w:t>
            </w:r>
          </w:p>
        </w:tc>
        <w:tc>
          <w:tcPr>
            <w:tcW w:w="676" w:type="dxa"/>
            <w:tcBorders>
              <w:top w:val="nil"/>
              <w:left w:val="nil"/>
              <w:bottom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9.8%</w:t>
            </w:r>
          </w:p>
        </w:tc>
      </w:tr>
      <w:tr w:rsidR="00BA558B" w:rsidRPr="00BA558B" w:rsidTr="00BA558B">
        <w:trPr>
          <w:trHeight w:val="214"/>
        </w:trPr>
        <w:tc>
          <w:tcPr>
            <w:tcW w:w="1798" w:type="dxa"/>
            <w:tcBorders>
              <w:top w:val="nil"/>
              <w:left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Minorities</w:t>
            </w: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p>
        </w:tc>
        <w:tc>
          <w:tcPr>
            <w:tcW w:w="1574" w:type="dxa"/>
            <w:tcBorders>
              <w:top w:val="nil"/>
              <w:left w:val="nil"/>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Catlin US</w:t>
            </w:r>
          </w:p>
        </w:tc>
        <w:tc>
          <w:tcPr>
            <w:tcW w:w="734"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17.4%</w:t>
            </w:r>
          </w:p>
        </w:tc>
        <w:tc>
          <w:tcPr>
            <w:tcW w:w="734"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18.9%</w:t>
            </w:r>
          </w:p>
        </w:tc>
        <w:tc>
          <w:tcPr>
            <w:tcW w:w="734"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21.0%</w:t>
            </w:r>
          </w:p>
        </w:tc>
        <w:tc>
          <w:tcPr>
            <w:tcW w:w="734"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22.8%</w:t>
            </w:r>
          </w:p>
        </w:tc>
        <w:tc>
          <w:tcPr>
            <w:tcW w:w="734"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24.1%</w:t>
            </w:r>
          </w:p>
        </w:tc>
        <w:tc>
          <w:tcPr>
            <w:tcW w:w="734"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25.3%</w:t>
            </w: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27.0%</w:t>
            </w:r>
          </w:p>
        </w:tc>
        <w:tc>
          <w:tcPr>
            <w:tcW w:w="676" w:type="dxa"/>
            <w:tcBorders>
              <w:top w:val="nil"/>
              <w:left w:val="nil"/>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28.7%</w:t>
            </w:r>
          </w:p>
        </w:tc>
      </w:tr>
      <w:tr w:rsidR="00BA558B" w:rsidRPr="00BA558B" w:rsidTr="00BA558B">
        <w:trPr>
          <w:trHeight w:val="214"/>
        </w:trPr>
        <w:tc>
          <w:tcPr>
            <w:tcW w:w="1798"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TOTAL LIABILITIES</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12,082</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12,959</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14,041</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14,555</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14,921</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15,279</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15,669</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b/>
                <w:bCs/>
                <w:color w:val="000000"/>
                <w:sz w:val="16"/>
                <w:szCs w:val="16"/>
                <w:lang w:eastAsia="ja-JP"/>
              </w:rPr>
            </w:pPr>
            <w:r w:rsidRPr="00BA558B">
              <w:rPr>
                <w:rFonts w:ascii="Arial Narrow" w:eastAsia="MS PGothic" w:hAnsi="Arial Narrow" w:cs="Arial"/>
                <w:b/>
                <w:bCs/>
                <w:color w:val="000000"/>
                <w:sz w:val="16"/>
                <w:szCs w:val="16"/>
                <w:lang w:eastAsia="ja-JP"/>
              </w:rPr>
              <w:t>16,083</w:t>
            </w:r>
          </w:p>
        </w:tc>
        <w:tc>
          <w:tcPr>
            <w:tcW w:w="1574"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International</w:t>
            </w:r>
          </w:p>
        </w:tc>
        <w:tc>
          <w:tcPr>
            <w:tcW w:w="734"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13.2%</w:t>
            </w:r>
          </w:p>
        </w:tc>
        <w:tc>
          <w:tcPr>
            <w:tcW w:w="734"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17.1%</w:t>
            </w:r>
          </w:p>
        </w:tc>
        <w:tc>
          <w:tcPr>
            <w:tcW w:w="734"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17.7%</w:t>
            </w:r>
          </w:p>
        </w:tc>
        <w:tc>
          <w:tcPr>
            <w:tcW w:w="734"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19.7%</w:t>
            </w:r>
          </w:p>
        </w:tc>
        <w:tc>
          <w:tcPr>
            <w:tcW w:w="734"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20.5%</w:t>
            </w:r>
          </w:p>
        </w:tc>
        <w:tc>
          <w:tcPr>
            <w:tcW w:w="734"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20.9%</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21.3%</w:t>
            </w:r>
          </w:p>
        </w:tc>
        <w:tc>
          <w:tcPr>
            <w:tcW w:w="676" w:type="dxa"/>
            <w:tcBorders>
              <w:top w:val="nil"/>
              <w:left w:val="nil"/>
              <w:bottom w:val="single" w:sz="6" w:space="0" w:color="auto"/>
              <w:right w:val="nil"/>
            </w:tcBorders>
            <w:shd w:val="solid" w:color="FFFFFF" w:fill="auto"/>
          </w:tcPr>
          <w:p w:rsidR="00BA558B" w:rsidRPr="00BA558B" w:rsidRDefault="00BA558B" w:rsidP="00BA558B">
            <w:pPr>
              <w:keepNext/>
              <w:autoSpaceDE w:val="0"/>
              <w:autoSpaceDN w:val="0"/>
              <w:adjustRightInd w:val="0"/>
              <w:jc w:val="right"/>
              <w:rPr>
                <w:rFonts w:ascii="Arial Narrow" w:eastAsia="MS PGothic" w:hAnsi="Arial Narrow" w:cs="Arial"/>
                <w:color w:val="000000"/>
                <w:sz w:val="16"/>
                <w:szCs w:val="16"/>
                <w:lang w:eastAsia="ja-JP"/>
              </w:rPr>
            </w:pPr>
            <w:r w:rsidRPr="00BA558B">
              <w:rPr>
                <w:rFonts w:ascii="Arial Narrow" w:eastAsia="MS PGothic" w:hAnsi="Arial Narrow" w:cs="Arial"/>
                <w:color w:val="000000"/>
                <w:sz w:val="16"/>
                <w:szCs w:val="16"/>
                <w:lang w:eastAsia="ja-JP"/>
              </w:rPr>
              <w:t>21.6%</w:t>
            </w:r>
          </w:p>
        </w:tc>
      </w:tr>
    </w:tbl>
    <w:p w:rsidR="00BA558B" w:rsidRDefault="00BA558B" w:rsidP="00382A73">
      <w:pPr>
        <w:pStyle w:val="Source"/>
      </w:pPr>
      <w:r>
        <w:t xml:space="preserve">Source: J.P. Morgan estimates, Company data.  </w:t>
      </w:r>
      <w:r>
        <w:br w:type="page"/>
      </w:r>
    </w:p>
    <w:p w:rsidR="00F60272" w:rsidRDefault="00F60272" w:rsidP="0009010C">
      <w:pPr>
        <w:pStyle w:val="TableTitle"/>
        <w:spacing w:after="40"/>
      </w:pPr>
    </w:p>
    <w:p w:rsidR="008F7CA4" w:rsidRDefault="008F7CA4" w:rsidP="0009010C">
      <w:pPr>
        <w:pStyle w:val="TableTitle"/>
        <w:spacing w:after="40"/>
      </w:pPr>
      <w:r>
        <w:t xml:space="preserve">Table </w:t>
      </w:r>
      <w:fldSimple w:instr=" SEQ Table \* ARABIC ">
        <w:r w:rsidR="00F60272">
          <w:rPr>
            <w:noProof/>
          </w:rPr>
          <w:t>6</w:t>
        </w:r>
      </w:fldSimple>
      <w:r>
        <w:t xml:space="preserve">: </w:t>
      </w:r>
      <w:r w:rsidR="0009010C">
        <w:t>Hiscox</w:t>
      </w:r>
    </w:p>
    <w:tbl>
      <w:tblPr>
        <w:tblW w:w="14618" w:type="dxa"/>
        <w:tblLayout w:type="fixed"/>
        <w:tblLook w:val="0000"/>
      </w:tblPr>
      <w:tblGrid>
        <w:gridCol w:w="2244"/>
        <w:gridCol w:w="793"/>
        <w:gridCol w:w="702"/>
        <w:gridCol w:w="768"/>
        <w:gridCol w:w="768"/>
        <w:gridCol w:w="768"/>
        <w:gridCol w:w="768"/>
        <w:gridCol w:w="2052"/>
        <w:gridCol w:w="1000"/>
        <w:gridCol w:w="951"/>
        <w:gridCol w:w="951"/>
        <w:gridCol w:w="951"/>
        <w:gridCol w:w="951"/>
        <w:gridCol w:w="951"/>
      </w:tblGrid>
      <w:tr w:rsidR="008F7CA4" w:rsidRPr="008F7CA4" w:rsidTr="0009010C">
        <w:tc>
          <w:tcPr>
            <w:tcW w:w="2244"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Profit and Loss statement </w:t>
            </w:r>
          </w:p>
        </w:tc>
        <w:tc>
          <w:tcPr>
            <w:tcW w:w="793"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color w:val="000000"/>
                <w:sz w:val="16"/>
                <w:szCs w:val="20"/>
                <w:lang w:eastAsia="ja-JP"/>
              </w:rPr>
            </w:pPr>
          </w:p>
        </w:tc>
        <w:tc>
          <w:tcPr>
            <w:tcW w:w="702"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color w:val="000000"/>
                <w:sz w:val="16"/>
                <w:szCs w:val="20"/>
                <w:lang w:eastAsia="ja-JP"/>
              </w:rPr>
            </w:pPr>
          </w:p>
        </w:tc>
        <w:tc>
          <w:tcPr>
            <w:tcW w:w="768"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2052"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Valuation Multiples </w:t>
            </w:r>
          </w:p>
        </w:tc>
        <w:tc>
          <w:tcPr>
            <w:tcW w:w="1000"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color w:val="000000"/>
                <w:sz w:val="16"/>
                <w:szCs w:val="20"/>
                <w:lang w:eastAsia="ja-JP"/>
              </w:rPr>
            </w:pPr>
          </w:p>
        </w:tc>
        <w:tc>
          <w:tcPr>
            <w:tcW w:w="951"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color w:val="000000"/>
                <w:sz w:val="16"/>
                <w:szCs w:val="20"/>
                <w:lang w:eastAsia="ja-JP"/>
              </w:rPr>
            </w:pPr>
          </w:p>
        </w:tc>
        <w:tc>
          <w:tcPr>
            <w:tcW w:w="951"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color w:val="000000"/>
                <w:sz w:val="16"/>
                <w:szCs w:val="20"/>
                <w:lang w:eastAsia="ja-JP"/>
              </w:rPr>
            </w:pPr>
          </w:p>
        </w:tc>
        <w:tc>
          <w:tcPr>
            <w:tcW w:w="951"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color w:val="000000"/>
                <w:sz w:val="16"/>
                <w:szCs w:val="20"/>
                <w:lang w:eastAsia="ja-JP"/>
              </w:rPr>
            </w:pPr>
          </w:p>
        </w:tc>
        <w:tc>
          <w:tcPr>
            <w:tcW w:w="951"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color w:val="000000"/>
                <w:sz w:val="16"/>
                <w:szCs w:val="20"/>
                <w:lang w:eastAsia="ja-JP"/>
              </w:rPr>
            </w:pPr>
          </w:p>
        </w:tc>
        <w:tc>
          <w:tcPr>
            <w:tcW w:w="951" w:type="dxa"/>
            <w:tcBorders>
              <w:top w:val="single" w:sz="6" w:space="0" w:color="auto"/>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color w:val="000000"/>
                <w:sz w:val="16"/>
                <w:szCs w:val="20"/>
                <w:lang w:eastAsia="ja-JP"/>
              </w:rPr>
            </w:pPr>
          </w:p>
        </w:tc>
      </w:tr>
      <w:tr w:rsidR="008F7CA4" w:rsidRPr="008F7CA4" w:rsidTr="0009010C">
        <w:tc>
          <w:tcPr>
            <w:tcW w:w="2244" w:type="dxa"/>
            <w:tcBorders>
              <w:top w:val="single" w:sz="6" w:space="0" w:color="auto"/>
            </w:tcBorders>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 in millions </w:t>
            </w:r>
          </w:p>
        </w:tc>
        <w:tc>
          <w:tcPr>
            <w:tcW w:w="793"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FY12</w:t>
            </w:r>
          </w:p>
        </w:tc>
        <w:tc>
          <w:tcPr>
            <w:tcW w:w="702"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FY13</w:t>
            </w:r>
          </w:p>
        </w:tc>
        <w:tc>
          <w:tcPr>
            <w:tcW w:w="768"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FY14e</w:t>
            </w:r>
          </w:p>
        </w:tc>
        <w:tc>
          <w:tcPr>
            <w:tcW w:w="768"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FY15e</w:t>
            </w:r>
          </w:p>
        </w:tc>
        <w:tc>
          <w:tcPr>
            <w:tcW w:w="768"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FY16e</w:t>
            </w:r>
          </w:p>
        </w:tc>
        <w:tc>
          <w:tcPr>
            <w:tcW w:w="768"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FY17e</w:t>
            </w:r>
          </w:p>
        </w:tc>
        <w:tc>
          <w:tcPr>
            <w:tcW w:w="2052" w:type="dxa"/>
            <w:tcBorders>
              <w:top w:val="single" w:sz="6" w:space="0" w:color="auto"/>
            </w:tcBorders>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p </w:t>
            </w:r>
          </w:p>
        </w:tc>
        <w:tc>
          <w:tcPr>
            <w:tcW w:w="1000"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FY12</w:t>
            </w:r>
          </w:p>
        </w:tc>
        <w:tc>
          <w:tcPr>
            <w:tcW w:w="951"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FY13</w:t>
            </w:r>
          </w:p>
        </w:tc>
        <w:tc>
          <w:tcPr>
            <w:tcW w:w="951"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FY14e</w:t>
            </w:r>
          </w:p>
        </w:tc>
        <w:tc>
          <w:tcPr>
            <w:tcW w:w="951"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FY15e</w:t>
            </w:r>
          </w:p>
        </w:tc>
        <w:tc>
          <w:tcPr>
            <w:tcW w:w="951"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FY16e</w:t>
            </w:r>
          </w:p>
        </w:tc>
        <w:tc>
          <w:tcPr>
            <w:tcW w:w="951" w:type="dxa"/>
            <w:tcBorders>
              <w:top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FY17e</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Gross Written Premiums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1,566</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1,699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1,778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1,893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1,973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2,058</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Shares Outstanding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394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350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318</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 change Y/Y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EPS adj (diluted) p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50.9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64.9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45.0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50.7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54.5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56.6</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Net Written Premiums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1,268</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1,371</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1,432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1,539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1,613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1,692</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 change Y/Y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856%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 change Y/Y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DPS incl sp. (p)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56.0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57.0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24.6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26.6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28.6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29.7</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Net Earned premiums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1,199</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1,283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1,393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1,510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1,593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1,670</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 change Y/Y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229%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 change Y/Y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Payout ratio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110.0%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87.8%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54.6%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52.5%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52.5%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52.5%</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Insurance related expenses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-539</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-519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-639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-691</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-731</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-766</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TNAV / share(p)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332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381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404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432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462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493</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Admin expenses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-199</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-253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-275</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-297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-335</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JPM TNAV / share(p)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282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331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388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415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443</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473</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Acquisition expenses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-284</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-306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-340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-367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-387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-406</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r>
      <w:tr w:rsidR="00EC209B" w:rsidRPr="008F7CA4" w:rsidTr="000B18DF">
        <w:tc>
          <w:tcPr>
            <w:tcW w:w="2244"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Underwriting profit </w:t>
            </w:r>
          </w:p>
        </w:tc>
        <w:tc>
          <w:tcPr>
            <w:tcW w:w="793"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162</w:t>
            </w:r>
          </w:p>
        </w:tc>
        <w:tc>
          <w:tcPr>
            <w:tcW w:w="702"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205</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138</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156</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159</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162</w:t>
            </w:r>
          </w:p>
        </w:tc>
        <w:tc>
          <w:tcPr>
            <w:tcW w:w="2052"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P/E x </w:t>
            </w:r>
          </w:p>
        </w:tc>
        <w:tc>
          <w:tcPr>
            <w:tcW w:w="1000"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12.7x</w:t>
            </w:r>
          </w:p>
        </w:tc>
        <w:tc>
          <w:tcPr>
            <w:tcW w:w="951"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11.8x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16.3x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14.5x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13.5x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13.0x</w:t>
            </w:r>
          </w:p>
        </w:tc>
      </w:tr>
      <w:tr w:rsidR="00EC209B" w:rsidRPr="008F7CA4" w:rsidTr="000B18DF">
        <w:tc>
          <w:tcPr>
            <w:tcW w:w="2244"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i/>
                <w:iCs/>
                <w:color w:val="000000"/>
                <w:sz w:val="16"/>
                <w:szCs w:val="20"/>
                <w:lang w:eastAsia="ja-JP"/>
              </w:rPr>
            </w:pPr>
            <w:r w:rsidRPr="008F7CA4">
              <w:rPr>
                <w:rFonts w:ascii="Arial Narrow" w:eastAsia="MS PGothic" w:hAnsi="Arial Narrow" w:cs="Arial"/>
                <w:i/>
                <w:iCs/>
                <w:color w:val="000000"/>
                <w:sz w:val="16"/>
                <w:szCs w:val="20"/>
                <w:lang w:eastAsia="ja-JP"/>
              </w:rPr>
              <w:t xml:space="preserve"> Of which Reserve releases </w:t>
            </w:r>
          </w:p>
        </w:tc>
        <w:tc>
          <w:tcPr>
            <w:tcW w:w="793"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152</w:t>
            </w:r>
          </w:p>
        </w:tc>
        <w:tc>
          <w:tcPr>
            <w:tcW w:w="702"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140</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106</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106</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106</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106</w:t>
            </w:r>
          </w:p>
        </w:tc>
        <w:tc>
          <w:tcPr>
            <w:tcW w:w="2052"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Dividend yield </w:t>
            </w:r>
          </w:p>
        </w:tc>
        <w:tc>
          <w:tcPr>
            <w:tcW w:w="1000"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11.0%</w:t>
            </w:r>
          </w:p>
        </w:tc>
        <w:tc>
          <w:tcPr>
            <w:tcW w:w="951"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8.4%</w:t>
            </w:r>
          </w:p>
        </w:tc>
        <w:tc>
          <w:tcPr>
            <w:tcW w:w="951" w:type="dxa"/>
            <w:shd w:val="clear" w:color="auto" w:fill="auto"/>
            <w:vAlign w:val="bottom"/>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3.3%</w:t>
            </w:r>
          </w:p>
        </w:tc>
        <w:tc>
          <w:tcPr>
            <w:tcW w:w="951" w:type="dxa"/>
            <w:shd w:val="clear" w:color="auto" w:fill="auto"/>
            <w:vAlign w:val="bottom"/>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3.6%</w:t>
            </w:r>
          </w:p>
        </w:tc>
        <w:tc>
          <w:tcPr>
            <w:tcW w:w="951" w:type="dxa"/>
            <w:shd w:val="clear" w:color="auto" w:fill="auto"/>
            <w:vAlign w:val="bottom"/>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3.9%</w:t>
            </w:r>
          </w:p>
        </w:tc>
        <w:tc>
          <w:tcPr>
            <w:tcW w:w="951" w:type="dxa"/>
            <w:shd w:val="clear" w:color="auto" w:fill="auto"/>
            <w:vAlign w:val="bottom"/>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4.0%</w:t>
            </w:r>
          </w:p>
        </w:tc>
      </w:tr>
      <w:tr w:rsidR="00EC209B" w:rsidRPr="008F7CA4" w:rsidTr="000B18DF">
        <w:tc>
          <w:tcPr>
            <w:tcW w:w="2244"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Investment income </w:t>
            </w:r>
          </w:p>
        </w:tc>
        <w:tc>
          <w:tcPr>
            <w:tcW w:w="793"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92</w:t>
            </w:r>
          </w:p>
        </w:tc>
        <w:tc>
          <w:tcPr>
            <w:tcW w:w="702"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60</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38</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39</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49</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51</w:t>
            </w:r>
          </w:p>
        </w:tc>
        <w:tc>
          <w:tcPr>
            <w:tcW w:w="2052"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P/TNAV x </w:t>
            </w:r>
          </w:p>
        </w:tc>
        <w:tc>
          <w:tcPr>
            <w:tcW w:w="1000"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1.5x</w:t>
            </w:r>
          </w:p>
        </w:tc>
        <w:tc>
          <w:tcPr>
            <w:tcW w:w="951"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1.8x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1.7x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1.6x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1.5x</w:t>
            </w:r>
          </w:p>
        </w:tc>
      </w:tr>
      <w:tr w:rsidR="00EC209B" w:rsidRPr="008F7CA4" w:rsidTr="000B18DF">
        <w:tc>
          <w:tcPr>
            <w:tcW w:w="2244"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Other income </w:t>
            </w:r>
          </w:p>
        </w:tc>
        <w:tc>
          <w:tcPr>
            <w:tcW w:w="793"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w:t>
            </w:r>
          </w:p>
        </w:tc>
        <w:tc>
          <w:tcPr>
            <w:tcW w:w="702"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21</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22</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24</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25</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26</w:t>
            </w:r>
          </w:p>
        </w:tc>
        <w:tc>
          <w:tcPr>
            <w:tcW w:w="2052"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RTNAV % </w:t>
            </w:r>
          </w:p>
        </w:tc>
        <w:tc>
          <w:tcPr>
            <w:tcW w:w="1000"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16.6%</w:t>
            </w:r>
          </w:p>
        </w:tc>
        <w:tc>
          <w:tcPr>
            <w:tcW w:w="951"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18.0%</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11.5%</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12.7%</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12.8%</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12.5%</w:t>
            </w:r>
          </w:p>
        </w:tc>
      </w:tr>
      <w:tr w:rsidR="00EC209B" w:rsidRPr="008F7CA4" w:rsidTr="000B18DF">
        <w:tc>
          <w:tcPr>
            <w:tcW w:w="2244"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Other expenses </w:t>
            </w:r>
          </w:p>
        </w:tc>
        <w:tc>
          <w:tcPr>
            <w:tcW w:w="793"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(66)</w:t>
            </w:r>
          </w:p>
        </w:tc>
        <w:tc>
          <w:tcPr>
            <w:tcW w:w="702"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(41)</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(30)</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(30)</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(30)</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(30)</w:t>
            </w:r>
          </w:p>
        </w:tc>
        <w:tc>
          <w:tcPr>
            <w:tcW w:w="2052"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P/ JPM TNAV x </w:t>
            </w:r>
          </w:p>
        </w:tc>
        <w:tc>
          <w:tcPr>
            <w:tcW w:w="1000"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1.8x</w:t>
            </w:r>
          </w:p>
        </w:tc>
        <w:tc>
          <w:tcPr>
            <w:tcW w:w="951"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2.0x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1.9x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1.8x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1.7x</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1.6x</w:t>
            </w:r>
          </w:p>
        </w:tc>
      </w:tr>
      <w:tr w:rsidR="00EC209B" w:rsidRPr="008F7CA4" w:rsidTr="000B18DF">
        <w:tc>
          <w:tcPr>
            <w:tcW w:w="2244"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Earnings before tax </w:t>
            </w:r>
          </w:p>
        </w:tc>
        <w:tc>
          <w:tcPr>
            <w:tcW w:w="793"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218</w:t>
            </w:r>
          </w:p>
        </w:tc>
        <w:tc>
          <w:tcPr>
            <w:tcW w:w="702"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245</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168</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189</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202</w:t>
            </w:r>
          </w:p>
        </w:tc>
        <w:tc>
          <w:tcPr>
            <w:tcW w:w="768"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209</w:t>
            </w:r>
          </w:p>
        </w:tc>
        <w:tc>
          <w:tcPr>
            <w:tcW w:w="2052" w:type="dxa"/>
            <w:shd w:val="clear" w:color="auto" w:fill="auto"/>
          </w:tcPr>
          <w:p w:rsidR="00EC209B" w:rsidRPr="008F7CA4" w:rsidRDefault="00EC209B"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JPM RTNAV % </w:t>
            </w:r>
          </w:p>
        </w:tc>
        <w:tc>
          <w:tcPr>
            <w:tcW w:w="1000"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15.2%</w:t>
            </w:r>
          </w:p>
        </w:tc>
        <w:tc>
          <w:tcPr>
            <w:tcW w:w="951" w:type="dxa"/>
            <w:shd w:val="clear" w:color="auto" w:fill="auto"/>
          </w:tcPr>
          <w:p w:rsidR="00EC209B" w:rsidRPr="008F7CA4" w:rsidRDefault="00EC209B"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19.6%</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12.4%</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13.3%</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13.3%</w:t>
            </w:r>
          </w:p>
        </w:tc>
        <w:tc>
          <w:tcPr>
            <w:tcW w:w="951" w:type="dxa"/>
            <w:shd w:val="clear" w:color="auto" w:fill="auto"/>
            <w:vAlign w:val="center"/>
          </w:tcPr>
          <w:p w:rsidR="00EC209B" w:rsidRPr="00EC209B" w:rsidRDefault="00117CA7">
            <w:pPr>
              <w:jc w:val="right"/>
              <w:rPr>
                <w:rFonts w:ascii="Arial Narrow" w:hAnsi="Arial Narrow" w:cs="Arial"/>
                <w:sz w:val="16"/>
                <w:szCs w:val="16"/>
              </w:rPr>
            </w:pPr>
            <w:r w:rsidRPr="00117CA7">
              <w:rPr>
                <w:rFonts w:ascii="Arial Narrow" w:hAnsi="Arial Narrow" w:cs="Arial"/>
                <w:sz w:val="16"/>
                <w:szCs w:val="16"/>
              </w:rPr>
              <w:t>13.0%</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 change Y/Y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1176%</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Tax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-20</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Debt / Capital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11%</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 Tax rate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4.3%</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10.7%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10.3%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9.4%</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Equity/ GWP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88.0%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82.9%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78.2%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79.7%</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Minorities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Reserves / GWP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165.8%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153.8%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145.2%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137.9%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135.2%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133.4%</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Net Income (Reported)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208</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238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189</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TNAV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1,309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1,337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1,286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1,375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1,470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1,567</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 change Y/Y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877%</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JPM TNAV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1,112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1,162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1,234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1,318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1,409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1,504</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Balance sheet (IFRS)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Ratio Analysis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 in millions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FY12</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FY14e</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FY15e</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FY16e</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FY17e</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Non-life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FY13</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FY14e</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FY15e</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FY16e</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FY17e</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ASSETS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Intangible assets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70</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Loss ratio %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45.0%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40.5%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45.9%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45.7%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45.9%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45.9%</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Investment in associates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Expense ratio %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41.6%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43.6%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44.2%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43.9%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44.1%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44.4%</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Investments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2,406</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2,585</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3,189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3,306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3,454</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3,630</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Combined ratio %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86.5%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84.0%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90.1%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89.7%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90.0%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90.3%</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Loans &amp; rec. incl. ins. rec.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492</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493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516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550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573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597</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Attritional cor %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88.9%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91.3%</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92.1%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91.7%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91.9%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92.0%</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Reinsurance assets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540</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459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453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458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468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482</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Attritional Loss ratio %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47.3%</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47.7%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47.9%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47.8%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47.8%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47.6%</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Other receivables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Reserve release % prem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-10.9%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-6.4%</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DAC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166</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198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207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220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229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239</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Investment yield %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Deferred tax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26</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32</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Large losses % Prem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2.3%</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2.5%</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Cash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658</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564</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590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629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655</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683</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Nat Cat % Premiums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2.1%</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Total Assets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4,386</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4,436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5,093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5,302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5,519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5,773</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i/>
                <w:iCs/>
                <w:color w:val="000000"/>
                <w:sz w:val="16"/>
                <w:szCs w:val="20"/>
                <w:lang w:eastAsia="ja-JP"/>
              </w:rPr>
            </w:pP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i/>
                <w:iCs/>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i/>
                <w:iCs/>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i/>
                <w:iCs/>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i/>
                <w:iCs/>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i/>
                <w:iCs/>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i/>
                <w:iCs/>
                <w:color w:val="000000"/>
                <w:sz w:val="16"/>
                <w:szCs w:val="20"/>
                <w:lang w:eastAsia="ja-JP"/>
              </w:rPr>
            </w:pP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Investment assets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FF0000"/>
                <w:sz w:val="16"/>
                <w:szCs w:val="20"/>
                <w:lang w:eastAsia="ja-JP"/>
              </w:rPr>
            </w:pPr>
            <w:r w:rsidRPr="008F7CA4">
              <w:rPr>
                <w:rFonts w:ascii="Arial Narrow" w:eastAsia="MS PGothic" w:hAnsi="Arial Narrow" w:cs="Arial"/>
                <w:color w:val="FF0000"/>
                <w:sz w:val="16"/>
                <w:szCs w:val="20"/>
                <w:lang w:eastAsia="ja-JP"/>
              </w:rPr>
              <w:t>-</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FF0000"/>
                <w:sz w:val="16"/>
                <w:szCs w:val="20"/>
                <w:lang w:eastAsia="ja-JP"/>
              </w:rPr>
            </w:pPr>
            <w:r w:rsidRPr="008F7CA4">
              <w:rPr>
                <w:rFonts w:ascii="Arial Narrow" w:eastAsia="MS PGothic" w:hAnsi="Arial Narrow" w:cs="Arial"/>
                <w:color w:val="FF0000"/>
                <w:sz w:val="16"/>
                <w:szCs w:val="20"/>
                <w:lang w:eastAsia="ja-JP"/>
              </w:rPr>
              <w:t>-</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FF0000"/>
                <w:sz w:val="16"/>
                <w:szCs w:val="20"/>
                <w:lang w:eastAsia="ja-JP"/>
              </w:rPr>
            </w:pPr>
            <w:r w:rsidRPr="008F7CA4">
              <w:rPr>
                <w:rFonts w:ascii="Arial Narrow" w:eastAsia="MS PGothic" w:hAnsi="Arial Narrow" w:cs="Arial"/>
                <w:color w:val="FF0000"/>
                <w:sz w:val="16"/>
                <w:szCs w:val="20"/>
                <w:lang w:eastAsia="ja-JP"/>
              </w:rPr>
              <w:t>-</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FF0000"/>
                <w:sz w:val="16"/>
                <w:szCs w:val="20"/>
                <w:lang w:eastAsia="ja-JP"/>
              </w:rPr>
            </w:pPr>
            <w:r w:rsidRPr="008F7CA4">
              <w:rPr>
                <w:rFonts w:ascii="Arial Narrow" w:eastAsia="MS PGothic" w:hAnsi="Arial Narrow" w:cs="Arial"/>
                <w:color w:val="FF0000"/>
                <w:sz w:val="16"/>
                <w:szCs w:val="20"/>
                <w:lang w:eastAsia="ja-JP"/>
              </w:rPr>
              <w:t>-</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FF0000"/>
                <w:sz w:val="16"/>
                <w:szCs w:val="20"/>
                <w:lang w:eastAsia="ja-JP"/>
              </w:rPr>
            </w:pPr>
            <w:r w:rsidRPr="008F7CA4">
              <w:rPr>
                <w:rFonts w:ascii="Arial Narrow" w:eastAsia="MS PGothic" w:hAnsi="Arial Narrow" w:cs="Arial"/>
                <w:color w:val="FF0000"/>
                <w:sz w:val="16"/>
                <w:szCs w:val="20"/>
                <w:lang w:eastAsia="ja-JP"/>
              </w:rPr>
              <w:t>-</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FF0000"/>
                <w:sz w:val="16"/>
                <w:szCs w:val="20"/>
                <w:lang w:eastAsia="ja-JP"/>
              </w:rPr>
            </w:pPr>
            <w:r w:rsidRPr="008F7CA4">
              <w:rPr>
                <w:rFonts w:ascii="Arial Narrow" w:eastAsia="MS PGothic" w:hAnsi="Arial Narrow" w:cs="Arial"/>
                <w:color w:val="FF0000"/>
                <w:sz w:val="16"/>
                <w:szCs w:val="20"/>
                <w:lang w:eastAsia="ja-JP"/>
              </w:rPr>
              <w:t>-</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LIABILITIES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Equities/Property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6.2%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7.9%</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8.4%</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Policyholder liabilities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2,597</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2,613</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2,582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2,610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2,666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2,746</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Fixed income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71.8%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74.6%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73.2%</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Debt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0</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0</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0</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Cash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22.0%</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18.4%</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Subordinated debt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Other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Deferred tax liabilities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138</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76</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Pretax split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Creditors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London market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34.7%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33.2%</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32.6%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31.7%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na</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na</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Other liabilities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273</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337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1077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1168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1234</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1312</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UK &amp; Europe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38.1%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38.8%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38.8%</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39.1%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na</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na</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Shareholders' equity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1378</w:t>
            </w: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1409</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1358</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1447</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1542</w:t>
            </w: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1639</w:t>
            </w: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International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25.7%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26.4%</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28.1%</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28.7%</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na</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na</w:t>
            </w:r>
          </w:p>
        </w:tc>
      </w:tr>
      <w:tr w:rsidR="008F7CA4" w:rsidRPr="008F7CA4" w:rsidTr="0009010C">
        <w:tc>
          <w:tcPr>
            <w:tcW w:w="2244"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Minorities </w:t>
            </w:r>
          </w:p>
        </w:tc>
        <w:tc>
          <w:tcPr>
            <w:tcW w:w="793"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02"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768"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2052" w:type="dxa"/>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Other </w:t>
            </w:r>
          </w:p>
        </w:tc>
        <w:tc>
          <w:tcPr>
            <w:tcW w:w="1000"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1.6%</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0.5%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0.5%</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na</w:t>
            </w:r>
          </w:p>
        </w:tc>
        <w:tc>
          <w:tcPr>
            <w:tcW w:w="951" w:type="dxa"/>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na</w:t>
            </w:r>
          </w:p>
        </w:tc>
      </w:tr>
      <w:tr w:rsidR="008F7CA4" w:rsidRPr="008F7CA4" w:rsidTr="0009010C">
        <w:tc>
          <w:tcPr>
            <w:tcW w:w="2244" w:type="dxa"/>
            <w:tcBorders>
              <w:bottom w:val="single" w:sz="6" w:space="0" w:color="auto"/>
            </w:tcBorders>
            <w:shd w:val="clear" w:color="auto" w:fill="auto"/>
          </w:tcPr>
          <w:p w:rsidR="008F7CA4" w:rsidRPr="008F7CA4" w:rsidRDefault="008F7CA4" w:rsidP="008F7CA4">
            <w:pPr>
              <w:keepNext/>
              <w:autoSpaceDE w:val="0"/>
              <w:autoSpaceDN w:val="0"/>
              <w:adjustRightInd w:val="0"/>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 xml:space="preserve"> Total Liabilities </w:t>
            </w:r>
          </w:p>
        </w:tc>
        <w:tc>
          <w:tcPr>
            <w:tcW w:w="793"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4,386</w:t>
            </w:r>
          </w:p>
        </w:tc>
        <w:tc>
          <w:tcPr>
            <w:tcW w:w="702"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4,436</w:t>
            </w:r>
          </w:p>
        </w:tc>
        <w:tc>
          <w:tcPr>
            <w:tcW w:w="768"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5,093</w:t>
            </w:r>
          </w:p>
        </w:tc>
        <w:tc>
          <w:tcPr>
            <w:tcW w:w="768"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5,302</w:t>
            </w:r>
          </w:p>
        </w:tc>
        <w:tc>
          <w:tcPr>
            <w:tcW w:w="768"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5,519</w:t>
            </w:r>
          </w:p>
        </w:tc>
        <w:tc>
          <w:tcPr>
            <w:tcW w:w="768"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b/>
                <w:bCs/>
                <w:color w:val="000000"/>
                <w:sz w:val="16"/>
                <w:szCs w:val="20"/>
                <w:lang w:eastAsia="ja-JP"/>
              </w:rPr>
            </w:pPr>
            <w:r w:rsidRPr="008F7CA4">
              <w:rPr>
                <w:rFonts w:ascii="Arial Narrow" w:eastAsia="MS PGothic" w:hAnsi="Arial Narrow" w:cs="Arial"/>
                <w:b/>
                <w:bCs/>
                <w:color w:val="000000"/>
                <w:sz w:val="16"/>
                <w:szCs w:val="20"/>
                <w:lang w:eastAsia="ja-JP"/>
              </w:rPr>
              <w:t>5,773</w:t>
            </w:r>
          </w:p>
        </w:tc>
        <w:tc>
          <w:tcPr>
            <w:tcW w:w="2052" w:type="dxa"/>
            <w:tcBorders>
              <w:bottom w:val="single" w:sz="6" w:space="0" w:color="auto"/>
            </w:tcBorders>
            <w:shd w:val="clear" w:color="auto" w:fill="auto"/>
          </w:tcPr>
          <w:p w:rsidR="008F7CA4" w:rsidRPr="008F7CA4" w:rsidRDefault="008F7CA4" w:rsidP="008F7CA4">
            <w:pPr>
              <w:keepNext/>
              <w:autoSpaceDE w:val="0"/>
              <w:autoSpaceDN w:val="0"/>
              <w:adjustRightInd w:val="0"/>
              <w:rPr>
                <w:rFonts w:ascii="Arial Narrow" w:eastAsia="MS PGothic" w:hAnsi="Arial Narrow" w:cs="Arial"/>
                <w:color w:val="000000"/>
                <w:sz w:val="16"/>
                <w:szCs w:val="20"/>
                <w:lang w:eastAsia="ja-JP"/>
              </w:rPr>
            </w:pPr>
            <w:r w:rsidRPr="008F7CA4">
              <w:rPr>
                <w:rFonts w:ascii="Arial Narrow" w:eastAsia="MS PGothic" w:hAnsi="Arial Narrow" w:cs="Arial"/>
                <w:color w:val="000000"/>
                <w:sz w:val="16"/>
                <w:szCs w:val="20"/>
                <w:lang w:eastAsia="ja-JP"/>
              </w:rPr>
              <w:t xml:space="preserve"> Check </w:t>
            </w:r>
          </w:p>
        </w:tc>
        <w:tc>
          <w:tcPr>
            <w:tcW w:w="1000"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c>
          <w:tcPr>
            <w:tcW w:w="951" w:type="dxa"/>
            <w:tcBorders>
              <w:bottom w:val="single" w:sz="6" w:space="0" w:color="auto"/>
            </w:tcBorders>
            <w:shd w:val="clear" w:color="auto" w:fill="auto"/>
          </w:tcPr>
          <w:p w:rsidR="008F7CA4" w:rsidRPr="008F7CA4" w:rsidRDefault="008F7CA4" w:rsidP="008F7CA4">
            <w:pPr>
              <w:keepNext/>
              <w:autoSpaceDE w:val="0"/>
              <w:autoSpaceDN w:val="0"/>
              <w:adjustRightInd w:val="0"/>
              <w:jc w:val="right"/>
              <w:rPr>
                <w:rFonts w:ascii="Arial Narrow" w:eastAsia="MS PGothic" w:hAnsi="Arial Narrow" w:cs="Arial"/>
                <w:color w:val="000000"/>
                <w:sz w:val="16"/>
                <w:szCs w:val="20"/>
                <w:lang w:eastAsia="ja-JP"/>
              </w:rPr>
            </w:pPr>
          </w:p>
        </w:tc>
      </w:tr>
    </w:tbl>
    <w:p w:rsidR="005A4250" w:rsidRDefault="008F7CA4" w:rsidP="0009010C">
      <w:pPr>
        <w:pStyle w:val="Source"/>
      </w:pPr>
      <w:r>
        <w:t>Source: J.P. Morgan estimates, Company data.</w:t>
      </w:r>
      <w:r w:rsidR="005A4250">
        <w:t xml:space="preserve">  </w:t>
      </w:r>
    </w:p>
    <w:p w:rsidR="005A4250" w:rsidRDefault="005A4250" w:rsidP="005A4250">
      <w:pPr>
        <w:pStyle w:val="Body"/>
        <w:rPr>
          <w:rFonts w:ascii="Arial Narrow" w:hAnsi="Arial Narrow"/>
          <w:sz w:val="14"/>
        </w:rPr>
      </w:pPr>
      <w:r>
        <w:br w:type="page"/>
      </w:r>
    </w:p>
    <w:p w:rsidR="00F60272" w:rsidRDefault="00F60272" w:rsidP="00382A73">
      <w:pPr>
        <w:pStyle w:val="TableTitle"/>
        <w:spacing w:after="40"/>
      </w:pPr>
    </w:p>
    <w:p w:rsidR="00382A73" w:rsidRDefault="00382A73" w:rsidP="00382A73">
      <w:pPr>
        <w:pStyle w:val="TableTitle"/>
        <w:spacing w:after="40"/>
      </w:pPr>
      <w:r>
        <w:t xml:space="preserve">Table </w:t>
      </w:r>
      <w:fldSimple w:instr=" SEQ Table \* ARABIC ">
        <w:r w:rsidR="00F60272">
          <w:rPr>
            <w:noProof/>
          </w:rPr>
          <w:t>7</w:t>
        </w:r>
      </w:fldSimple>
      <w:r>
        <w:t>: Lancashire</w:t>
      </w:r>
    </w:p>
    <w:tbl>
      <w:tblPr>
        <w:tblW w:w="14540" w:type="dxa"/>
        <w:tblInd w:w="78" w:type="dxa"/>
        <w:tblLayout w:type="fixed"/>
        <w:tblLook w:val="0000"/>
      </w:tblPr>
      <w:tblGrid>
        <w:gridCol w:w="1955"/>
        <w:gridCol w:w="640"/>
        <w:gridCol w:w="640"/>
        <w:gridCol w:w="605"/>
        <w:gridCol w:w="581"/>
        <w:gridCol w:w="617"/>
        <w:gridCol w:w="617"/>
        <w:gridCol w:w="617"/>
        <w:gridCol w:w="617"/>
        <w:gridCol w:w="1623"/>
        <w:gridCol w:w="748"/>
        <w:gridCol w:w="748"/>
        <w:gridCol w:w="739"/>
        <w:gridCol w:w="739"/>
        <w:gridCol w:w="723"/>
        <w:gridCol w:w="777"/>
        <w:gridCol w:w="777"/>
        <w:gridCol w:w="777"/>
      </w:tblGrid>
      <w:tr w:rsidR="00382A73" w:rsidRPr="00382A73" w:rsidTr="000B18DF">
        <w:tc>
          <w:tcPr>
            <w:tcW w:w="2595" w:type="dxa"/>
            <w:gridSpan w:val="2"/>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rPr>
                <w:rFonts w:ascii="Arial Narrow" w:eastAsia="MS PGothic" w:hAnsi="Arial Narrow" w:cs="Arial"/>
                <w:b/>
                <w:color w:val="000000"/>
                <w:sz w:val="16"/>
                <w:szCs w:val="16"/>
                <w:lang w:eastAsia="ja-JP"/>
              </w:rPr>
            </w:pPr>
            <w:r w:rsidRPr="00382A73">
              <w:rPr>
                <w:rFonts w:ascii="Arial Narrow" w:eastAsia="MS PGothic" w:hAnsi="Arial Narrow" w:cs="Arial"/>
                <w:b/>
                <w:bCs/>
                <w:color w:val="000000"/>
                <w:sz w:val="16"/>
                <w:szCs w:val="16"/>
                <w:lang w:eastAsia="ja-JP"/>
              </w:rPr>
              <w:t>Profit and Loss statement (IFRS)</w:t>
            </w:r>
          </w:p>
        </w:tc>
        <w:tc>
          <w:tcPr>
            <w:tcW w:w="640"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605"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581"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617"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617"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617"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617"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1623"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Valuation Multiples</w:t>
            </w:r>
          </w:p>
        </w:tc>
        <w:tc>
          <w:tcPr>
            <w:tcW w:w="748"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748"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739"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739"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723"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777"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777"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c>
          <w:tcPr>
            <w:tcW w:w="777" w:type="dxa"/>
            <w:tcBorders>
              <w:top w:val="single" w:sz="6" w:space="0" w:color="auto"/>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color w:val="000000"/>
                <w:sz w:val="16"/>
                <w:szCs w:val="16"/>
                <w:lang w:eastAsia="ja-JP"/>
              </w:rPr>
            </w:pPr>
          </w:p>
        </w:tc>
      </w:tr>
      <w:tr w:rsidR="00382A73" w:rsidRPr="00382A73" w:rsidTr="00382A73">
        <w:tc>
          <w:tcPr>
            <w:tcW w:w="1955" w:type="dxa"/>
            <w:tcBorders>
              <w:top w:val="single" w:sz="6" w:space="0" w:color="auto"/>
            </w:tcBorders>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 in millions, year-end Dec</w:t>
            </w:r>
          </w:p>
        </w:tc>
        <w:tc>
          <w:tcPr>
            <w:tcW w:w="640"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FY10</w:t>
            </w:r>
          </w:p>
        </w:tc>
        <w:tc>
          <w:tcPr>
            <w:tcW w:w="640"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FY11</w:t>
            </w:r>
          </w:p>
        </w:tc>
        <w:tc>
          <w:tcPr>
            <w:tcW w:w="605"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FY12</w:t>
            </w:r>
          </w:p>
        </w:tc>
        <w:tc>
          <w:tcPr>
            <w:tcW w:w="581"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FY13</w:t>
            </w:r>
          </w:p>
        </w:tc>
        <w:tc>
          <w:tcPr>
            <w:tcW w:w="617"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FY14e</w:t>
            </w:r>
          </w:p>
        </w:tc>
        <w:tc>
          <w:tcPr>
            <w:tcW w:w="617"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FY15e</w:t>
            </w:r>
          </w:p>
        </w:tc>
        <w:tc>
          <w:tcPr>
            <w:tcW w:w="617"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FY16e</w:t>
            </w:r>
          </w:p>
        </w:tc>
        <w:tc>
          <w:tcPr>
            <w:tcW w:w="617"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FY17e</w:t>
            </w:r>
          </w:p>
        </w:tc>
        <w:tc>
          <w:tcPr>
            <w:tcW w:w="1623" w:type="dxa"/>
            <w:tcBorders>
              <w:top w:val="single" w:sz="6" w:space="0" w:color="auto"/>
            </w:tcBorders>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$/p</w:t>
            </w:r>
          </w:p>
        </w:tc>
        <w:tc>
          <w:tcPr>
            <w:tcW w:w="748"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FY10</w:t>
            </w:r>
          </w:p>
        </w:tc>
        <w:tc>
          <w:tcPr>
            <w:tcW w:w="748"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FY11</w:t>
            </w:r>
          </w:p>
        </w:tc>
        <w:tc>
          <w:tcPr>
            <w:tcW w:w="739"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FY12</w:t>
            </w:r>
          </w:p>
        </w:tc>
        <w:tc>
          <w:tcPr>
            <w:tcW w:w="739"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FY13</w:t>
            </w:r>
          </w:p>
        </w:tc>
        <w:tc>
          <w:tcPr>
            <w:tcW w:w="723"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FY14e</w:t>
            </w:r>
          </w:p>
        </w:tc>
        <w:tc>
          <w:tcPr>
            <w:tcW w:w="777"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FY15e</w:t>
            </w:r>
          </w:p>
        </w:tc>
        <w:tc>
          <w:tcPr>
            <w:tcW w:w="777"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FY16e</w:t>
            </w:r>
          </w:p>
        </w:tc>
        <w:tc>
          <w:tcPr>
            <w:tcW w:w="777" w:type="dxa"/>
            <w:tcBorders>
              <w:top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FY17e</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Gross Written Premiums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689</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632</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724</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680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941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956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971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987</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Shares Outstanding</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152</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157</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161</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181</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181</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change Y/Y</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9.8%</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-8.2%</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14.6%</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-6.2%</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38.5%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EPS(diluted)p</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120.8</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75.4</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81.1</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69.8</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58.7</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58.5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58.8</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60.5</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Net Written Premiums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650</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565</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576</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558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796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811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825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839</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change Y/Y</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-38%</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change Y/Y</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12.6%</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-13.0%</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-3.2%</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42.7%</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DPS (p)</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Net Earned premiums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614</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575</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583</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568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828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840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845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861</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DPS incl special (p)</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101</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60</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66</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105</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change Y/Y</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45.8%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change Y/Y</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12.6%</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-40.5%</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58.7%</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-80.1%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-57.1%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Insurance related expenses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(166)</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(182)</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(174)</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(323)</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(332)</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(335)</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Payout ratio</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83.3%</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79.4%</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81.4%</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150.1%</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15.3%</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15.2%</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14.7%</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Admin expenses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(62)</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(71)</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(78)</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(114)</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(114)</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(114)</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(114)</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TNAV / share(p)</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541</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547</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529</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429</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466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524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583</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644</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Acquisition expenses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(106)</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(112)</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(119)</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(179)</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(185)</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JPMC TNAV / share(p)</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485</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493</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482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405</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435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479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529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580</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Underwriting profit</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280</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209</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211</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169</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220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227</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r>
      <w:tr w:rsidR="00195B36" w:rsidRPr="00382A73" w:rsidTr="0012339A">
        <w:tc>
          <w:tcPr>
            <w:tcW w:w="1955"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i/>
                <w:iCs/>
                <w:color w:val="000000"/>
                <w:sz w:val="16"/>
                <w:szCs w:val="16"/>
                <w:lang w:eastAsia="ja-JP"/>
              </w:rPr>
            </w:pPr>
            <w:r w:rsidRPr="00382A73">
              <w:rPr>
                <w:rFonts w:ascii="Arial Narrow" w:eastAsia="MS PGothic" w:hAnsi="Arial Narrow" w:cs="Arial"/>
                <w:i/>
                <w:iCs/>
                <w:color w:val="000000"/>
                <w:sz w:val="16"/>
                <w:szCs w:val="16"/>
                <w:lang w:eastAsia="ja-JP"/>
              </w:rPr>
              <w:t>Of which Reserve releases</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100</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155</w:t>
            </w:r>
          </w:p>
        </w:tc>
        <w:tc>
          <w:tcPr>
            <w:tcW w:w="605"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27</w:t>
            </w:r>
          </w:p>
        </w:tc>
        <w:tc>
          <w:tcPr>
            <w:tcW w:w="581"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28</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31</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31</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31</w:t>
            </w:r>
          </w:p>
        </w:tc>
        <w:tc>
          <w:tcPr>
            <w:tcW w:w="1623"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P/E x</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4.3x</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8.7x</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9.7x</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11.5x</w:t>
            </w:r>
          </w:p>
        </w:tc>
        <w:tc>
          <w:tcPr>
            <w:tcW w:w="723"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11.2x</w:t>
            </w:r>
          </w:p>
        </w:tc>
        <w:tc>
          <w:tcPr>
            <w:tcW w:w="777"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11.3x</w:t>
            </w:r>
          </w:p>
        </w:tc>
        <w:tc>
          <w:tcPr>
            <w:tcW w:w="777"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11.2x</w:t>
            </w:r>
          </w:p>
        </w:tc>
        <w:tc>
          <w:tcPr>
            <w:tcW w:w="777"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10.9x</w:t>
            </w:r>
          </w:p>
        </w:tc>
      </w:tr>
      <w:tr w:rsidR="00195B36" w:rsidRPr="00382A73" w:rsidTr="0012339A">
        <w:tc>
          <w:tcPr>
            <w:tcW w:w="1955"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Investment income</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87</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51</w:t>
            </w:r>
          </w:p>
        </w:tc>
        <w:tc>
          <w:tcPr>
            <w:tcW w:w="605"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45</w:t>
            </w:r>
          </w:p>
        </w:tc>
        <w:tc>
          <w:tcPr>
            <w:tcW w:w="581"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43</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37</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40</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37</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36</w:t>
            </w:r>
          </w:p>
        </w:tc>
        <w:tc>
          <w:tcPr>
            <w:tcW w:w="1623"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Dividend yield</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19.5%</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9.1%</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8.4%</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13.1%</w:t>
            </w:r>
          </w:p>
        </w:tc>
        <w:tc>
          <w:tcPr>
            <w:tcW w:w="723" w:type="dxa"/>
            <w:shd w:val="clear" w:color="auto" w:fill="auto"/>
            <w:vAlign w:val="bottom"/>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3.2%</w:t>
            </w:r>
          </w:p>
        </w:tc>
        <w:tc>
          <w:tcPr>
            <w:tcW w:w="777" w:type="dxa"/>
            <w:shd w:val="clear" w:color="auto" w:fill="auto"/>
            <w:vAlign w:val="bottom"/>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1.4%</w:t>
            </w:r>
          </w:p>
        </w:tc>
        <w:tc>
          <w:tcPr>
            <w:tcW w:w="777" w:type="dxa"/>
            <w:shd w:val="clear" w:color="auto" w:fill="auto"/>
            <w:vAlign w:val="bottom"/>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1.4%</w:t>
            </w:r>
          </w:p>
        </w:tc>
        <w:tc>
          <w:tcPr>
            <w:tcW w:w="777" w:type="dxa"/>
            <w:shd w:val="clear" w:color="auto" w:fill="auto"/>
            <w:vAlign w:val="bottom"/>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1.4%</w:t>
            </w:r>
          </w:p>
        </w:tc>
      </w:tr>
      <w:tr w:rsidR="00195B36" w:rsidRPr="00382A73" w:rsidTr="0012339A">
        <w:tc>
          <w:tcPr>
            <w:tcW w:w="1955"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Other income</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605"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w:t>
            </w:r>
          </w:p>
        </w:tc>
        <w:tc>
          <w:tcPr>
            <w:tcW w:w="581"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32</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w:t>
            </w:r>
          </w:p>
        </w:tc>
        <w:tc>
          <w:tcPr>
            <w:tcW w:w="1623"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P/NAV x</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1.0x</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1.3x</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1.5x</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1.9x</w:t>
            </w:r>
          </w:p>
        </w:tc>
        <w:tc>
          <w:tcPr>
            <w:tcW w:w="723"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1.4x</w:t>
            </w:r>
          </w:p>
        </w:tc>
        <w:tc>
          <w:tcPr>
            <w:tcW w:w="777"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1.3x</w:t>
            </w:r>
          </w:p>
        </w:tc>
        <w:tc>
          <w:tcPr>
            <w:tcW w:w="777"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1.1x</w:t>
            </w:r>
          </w:p>
        </w:tc>
        <w:tc>
          <w:tcPr>
            <w:tcW w:w="777"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1.0x</w:t>
            </w:r>
          </w:p>
        </w:tc>
      </w:tr>
      <w:tr w:rsidR="00195B36" w:rsidRPr="00382A73" w:rsidTr="0012339A">
        <w:tc>
          <w:tcPr>
            <w:tcW w:w="1955"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Other expenses</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(28)</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w:t>
            </w:r>
          </w:p>
        </w:tc>
        <w:tc>
          <w:tcPr>
            <w:tcW w:w="605"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(31)</w:t>
            </w:r>
          </w:p>
        </w:tc>
        <w:tc>
          <w:tcPr>
            <w:tcW w:w="581"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(26)</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w:t>
            </w:r>
          </w:p>
        </w:tc>
        <w:tc>
          <w:tcPr>
            <w:tcW w:w="1623"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RTNAV %</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24.3%</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16.0%</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16.5%</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16.9%</w:t>
            </w:r>
          </w:p>
        </w:tc>
        <w:tc>
          <w:tcPr>
            <w:tcW w:w="723" w:type="dxa"/>
            <w:shd w:val="clear" w:color="auto" w:fill="auto"/>
            <w:vAlign w:val="bottom"/>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15.5%</w:t>
            </w:r>
          </w:p>
        </w:tc>
        <w:tc>
          <w:tcPr>
            <w:tcW w:w="777" w:type="dxa"/>
            <w:shd w:val="clear" w:color="auto" w:fill="auto"/>
            <w:vAlign w:val="bottom"/>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13.7%</w:t>
            </w:r>
          </w:p>
        </w:tc>
        <w:tc>
          <w:tcPr>
            <w:tcW w:w="777" w:type="dxa"/>
            <w:shd w:val="clear" w:color="auto" w:fill="auto"/>
            <w:vAlign w:val="bottom"/>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12.3%</w:t>
            </w:r>
          </w:p>
        </w:tc>
        <w:tc>
          <w:tcPr>
            <w:tcW w:w="777" w:type="dxa"/>
            <w:shd w:val="clear" w:color="auto" w:fill="auto"/>
            <w:vAlign w:val="bottom"/>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11.4%</w:t>
            </w:r>
          </w:p>
        </w:tc>
      </w:tr>
      <w:tr w:rsidR="00195B36" w:rsidRPr="00382A73" w:rsidTr="0012339A">
        <w:tc>
          <w:tcPr>
            <w:tcW w:w="1955"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Earnings before tax</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339</w:t>
            </w:r>
          </w:p>
        </w:tc>
        <w:tc>
          <w:tcPr>
            <w:tcW w:w="640"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219</w:t>
            </w:r>
          </w:p>
        </w:tc>
        <w:tc>
          <w:tcPr>
            <w:tcW w:w="605"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237</w:t>
            </w:r>
          </w:p>
        </w:tc>
        <w:tc>
          <w:tcPr>
            <w:tcW w:w="581"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219</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216</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220</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222</w:t>
            </w:r>
          </w:p>
        </w:tc>
        <w:tc>
          <w:tcPr>
            <w:tcW w:w="617"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228</w:t>
            </w:r>
          </w:p>
        </w:tc>
        <w:tc>
          <w:tcPr>
            <w:tcW w:w="1623" w:type="dxa"/>
            <w:shd w:val="clear" w:color="auto" w:fill="auto"/>
          </w:tcPr>
          <w:p w:rsidR="00195B36" w:rsidRPr="00382A73" w:rsidRDefault="00195B36"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JPMC P/TNAV x</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1.1x</w:t>
            </w:r>
          </w:p>
        </w:tc>
        <w:tc>
          <w:tcPr>
            <w:tcW w:w="748"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1.5x</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1.6x</w:t>
            </w:r>
          </w:p>
        </w:tc>
        <w:tc>
          <w:tcPr>
            <w:tcW w:w="739" w:type="dxa"/>
            <w:shd w:val="clear" w:color="auto" w:fill="auto"/>
          </w:tcPr>
          <w:p w:rsidR="00195B36" w:rsidRPr="00382A73" w:rsidRDefault="00195B36"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2.0x</w:t>
            </w:r>
          </w:p>
        </w:tc>
        <w:tc>
          <w:tcPr>
            <w:tcW w:w="723"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1.5x</w:t>
            </w:r>
          </w:p>
        </w:tc>
        <w:tc>
          <w:tcPr>
            <w:tcW w:w="777"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1.4x</w:t>
            </w:r>
          </w:p>
        </w:tc>
        <w:tc>
          <w:tcPr>
            <w:tcW w:w="777"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1.2x</w:t>
            </w:r>
          </w:p>
        </w:tc>
        <w:tc>
          <w:tcPr>
            <w:tcW w:w="777" w:type="dxa"/>
            <w:shd w:val="clear" w:color="auto" w:fill="auto"/>
            <w:vAlign w:val="center"/>
          </w:tcPr>
          <w:p w:rsidR="00195B36" w:rsidRPr="00195B36" w:rsidRDefault="00195B36">
            <w:pPr>
              <w:jc w:val="right"/>
              <w:rPr>
                <w:rFonts w:ascii="Arial Narrow" w:hAnsi="Arial Narrow" w:cs="Arial"/>
                <w:sz w:val="16"/>
                <w:szCs w:val="16"/>
              </w:rPr>
            </w:pPr>
            <w:r w:rsidRPr="00195B36">
              <w:rPr>
                <w:rFonts w:ascii="Arial Narrow" w:hAnsi="Arial Narrow" w:cs="Arial"/>
                <w:sz w:val="16"/>
                <w:szCs w:val="16"/>
              </w:rPr>
              <w:t>1.1x</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change Y/Y</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-12.7%</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-35.6%</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8.3%</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2.9%</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JPMC RTNAV %</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21.7%</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14.3%</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15.1%</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15.5%</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12.7%</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10.8%</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xml:space="preserve">Tax </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Debt / Capital</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10.3%</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9.4%</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20.6%</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17.2%</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xml:space="preserve">% Tax rate </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2.5%</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2.9%</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0.8%</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2.7%</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4.7%</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4.6%</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Equity/ GWP</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186.8%</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209.8%</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191.6%</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214.8%</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169.5%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185.6%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201.2%</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216.7%</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Minorities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Reserves / GWP</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76.6%</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94.1%</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77.4%</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194.9%</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144.6%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145.0%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146.9%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149.8%</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Net Income (Reported)</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331</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212</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235</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223</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218</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TNAV</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1,287</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1,327</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1,387</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1,283</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1,418</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1,596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1,776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1,961</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change Y/Y</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-14.2%</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-35.9%</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10.7%</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-5.3%</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2.9%</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 change Y/Y</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-6.7%</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3.1%</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4.6%</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-7.6%</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11.2%</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10.4%</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i/>
                <w:iCs/>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JPMC TNAV</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1,467</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1,490</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1,533</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1,428</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1,564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1,721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1,900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2,085</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Balance sheet (IFRS)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Ratio Analysis</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 in millions, year-end Dec</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FY10</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FY11</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FY12</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FY13</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FY14e</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FY15e</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FY16e</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FY17e</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Non-life</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FY10</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FY11</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FY13</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FY14e</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FY15e</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FY16e</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FY17e</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ASSETS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Loss ratio %</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27%</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30%</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39%</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Intangible assets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177</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178</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Expense ratio %</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27%</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34%</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37%</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Investment in associates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51</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82</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Combined ratio %</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54%</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64%</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64%</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70%</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74%</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Investments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1,719</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1,713</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1,875</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2,016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2,577</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2,691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2,790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2,881</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Attritional COR %</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51%</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53%</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46%</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62%</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Insurance receivables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Attritional Loss ratio %</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24%</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25%</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30%</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Reinsurance assets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44</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85</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89</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209</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172</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172</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173</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173</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Reserve rel % prem</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-16%</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-27%</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Other receivables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284</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277</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230</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319</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475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689</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1,017</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1,521</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Investment yield %</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DAC</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61</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61</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68</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74</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37</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Large losses % prem</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Deferred tax</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Nat Cat % Premiums</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29%</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Cash</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513</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312</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296</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403</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657</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834</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886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943</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Total Assets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2,627</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2,508</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2,639</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3,268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4,168</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4,672</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5,152</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5,805</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Investment assets</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Equities/Property</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0.7%</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0.6%</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0.6%</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LIABILITIES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Fixed income</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78.1%</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86.8%</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88.9%</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84.5%</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85.3%</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85.9%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86.4%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86.9%</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Policyholder liabilities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528</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595</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561</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1,324</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1,361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1,386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1,426</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1,478</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Cash</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21.9%</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11.1%</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14.7%</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13.3%</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12.8%</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12.4%</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Debt</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129</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128</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259</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332</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331</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Other</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0.0%</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0.2%</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0.2%</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0.2%</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0.2%</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0.2%</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Subordinated debt</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Deferred tax liabilities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UW result split (excl Cath)</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Creditors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Property</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48.1%</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32.6%</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62.8%</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96.0%</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100.5%</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85.4%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83.4%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80.1%</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Other liabilities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684</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458</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432</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151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881</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1182</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1443</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1859</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Energy</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32.0%</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35.6%</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61.2%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56.1%</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23.4%</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36.0%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36.8%</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38.3%</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Shareholders' equity</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1287</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1327</w:t>
            </w: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1387</w:t>
            </w: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1460</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1595</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1774</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1953</w:t>
            </w: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2138</w:t>
            </w: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Marine</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6.4%</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17.2%</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-1.1%</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-14.9%</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4.2%</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5.3%</w:t>
            </w:r>
          </w:p>
        </w:tc>
      </w:tr>
      <w:tr w:rsidR="00382A73" w:rsidRPr="00382A73" w:rsidTr="00382A73">
        <w:tc>
          <w:tcPr>
            <w:tcW w:w="1955"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Minorities</w:t>
            </w: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40"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05"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581"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61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1623" w:type="dxa"/>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Aviation</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13.5%</w:t>
            </w:r>
          </w:p>
        </w:tc>
        <w:tc>
          <w:tcPr>
            <w:tcW w:w="748"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14.7%</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14.3%</w:t>
            </w:r>
          </w:p>
        </w:tc>
        <w:tc>
          <w:tcPr>
            <w:tcW w:w="739"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8.8%</w:t>
            </w:r>
          </w:p>
        </w:tc>
        <w:tc>
          <w:tcPr>
            <w:tcW w:w="723"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19.1%</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18.9%</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19.0%</w:t>
            </w:r>
          </w:p>
        </w:tc>
        <w:tc>
          <w:tcPr>
            <w:tcW w:w="777" w:type="dxa"/>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r w:rsidRPr="00382A73">
              <w:rPr>
                <w:rFonts w:ascii="Arial Narrow" w:eastAsia="MS PGothic" w:hAnsi="Arial Narrow" w:cs="Arial"/>
                <w:color w:val="000000"/>
                <w:sz w:val="16"/>
                <w:szCs w:val="16"/>
                <w:lang w:eastAsia="ja-JP"/>
              </w:rPr>
              <w:t>18.8%</w:t>
            </w:r>
          </w:p>
        </w:tc>
      </w:tr>
      <w:tr w:rsidR="00382A73" w:rsidRPr="00382A73" w:rsidTr="00382A73">
        <w:tc>
          <w:tcPr>
            <w:tcW w:w="1955" w:type="dxa"/>
            <w:tcBorders>
              <w:bottom w:val="single" w:sz="6" w:space="0" w:color="auto"/>
            </w:tcBorders>
            <w:shd w:val="clear" w:color="auto" w:fill="auto"/>
          </w:tcPr>
          <w:p w:rsidR="00382A73" w:rsidRPr="00382A73" w:rsidRDefault="00382A73" w:rsidP="00382A73">
            <w:pPr>
              <w:keepNext/>
              <w:autoSpaceDE w:val="0"/>
              <w:autoSpaceDN w:val="0"/>
              <w:adjustRightInd w:val="0"/>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TOTAL LIABILITIES</w:t>
            </w:r>
          </w:p>
        </w:tc>
        <w:tc>
          <w:tcPr>
            <w:tcW w:w="640"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2,627</w:t>
            </w:r>
          </w:p>
        </w:tc>
        <w:tc>
          <w:tcPr>
            <w:tcW w:w="640"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2,508</w:t>
            </w:r>
          </w:p>
        </w:tc>
        <w:tc>
          <w:tcPr>
            <w:tcW w:w="605"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2,639</w:t>
            </w:r>
          </w:p>
        </w:tc>
        <w:tc>
          <w:tcPr>
            <w:tcW w:w="581"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3,268</w:t>
            </w:r>
          </w:p>
        </w:tc>
        <w:tc>
          <w:tcPr>
            <w:tcW w:w="617"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4,168</w:t>
            </w:r>
          </w:p>
        </w:tc>
        <w:tc>
          <w:tcPr>
            <w:tcW w:w="617"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4,672</w:t>
            </w:r>
          </w:p>
        </w:tc>
        <w:tc>
          <w:tcPr>
            <w:tcW w:w="617"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5,152</w:t>
            </w:r>
          </w:p>
        </w:tc>
        <w:tc>
          <w:tcPr>
            <w:tcW w:w="617"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b/>
                <w:bCs/>
                <w:color w:val="000000"/>
                <w:sz w:val="16"/>
                <w:szCs w:val="16"/>
                <w:lang w:eastAsia="ja-JP"/>
              </w:rPr>
            </w:pPr>
            <w:r w:rsidRPr="00382A73">
              <w:rPr>
                <w:rFonts w:ascii="Arial Narrow" w:eastAsia="MS PGothic" w:hAnsi="Arial Narrow" w:cs="Arial"/>
                <w:b/>
                <w:bCs/>
                <w:color w:val="000000"/>
                <w:sz w:val="16"/>
                <w:szCs w:val="16"/>
                <w:lang w:eastAsia="ja-JP"/>
              </w:rPr>
              <w:t>5,805</w:t>
            </w:r>
          </w:p>
        </w:tc>
        <w:tc>
          <w:tcPr>
            <w:tcW w:w="1623" w:type="dxa"/>
            <w:tcBorders>
              <w:bottom w:val="single" w:sz="6" w:space="0" w:color="auto"/>
            </w:tcBorders>
            <w:shd w:val="clear" w:color="auto" w:fill="auto"/>
          </w:tcPr>
          <w:p w:rsidR="00382A73" w:rsidRPr="00382A73" w:rsidRDefault="00382A73" w:rsidP="00382A73">
            <w:pPr>
              <w:keepNext/>
              <w:autoSpaceDE w:val="0"/>
              <w:autoSpaceDN w:val="0"/>
              <w:adjustRightInd w:val="0"/>
              <w:rPr>
                <w:rFonts w:ascii="Arial Narrow" w:eastAsia="MS PGothic" w:hAnsi="Arial Narrow" w:cs="Arial"/>
                <w:color w:val="000000"/>
                <w:sz w:val="16"/>
                <w:szCs w:val="16"/>
                <w:lang w:eastAsia="ja-JP"/>
              </w:rPr>
            </w:pPr>
          </w:p>
        </w:tc>
        <w:tc>
          <w:tcPr>
            <w:tcW w:w="748"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48"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39"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23"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c>
          <w:tcPr>
            <w:tcW w:w="777" w:type="dxa"/>
            <w:tcBorders>
              <w:bottom w:val="single" w:sz="6" w:space="0" w:color="auto"/>
            </w:tcBorders>
            <w:shd w:val="clear" w:color="auto" w:fill="auto"/>
          </w:tcPr>
          <w:p w:rsidR="00382A73" w:rsidRPr="00382A73" w:rsidRDefault="00382A73" w:rsidP="00382A73">
            <w:pPr>
              <w:keepNext/>
              <w:autoSpaceDE w:val="0"/>
              <w:autoSpaceDN w:val="0"/>
              <w:adjustRightInd w:val="0"/>
              <w:jc w:val="right"/>
              <w:rPr>
                <w:rFonts w:ascii="Arial Narrow" w:eastAsia="MS PGothic" w:hAnsi="Arial Narrow" w:cs="Arial"/>
                <w:color w:val="000000"/>
                <w:sz w:val="16"/>
                <w:szCs w:val="16"/>
                <w:lang w:eastAsia="ja-JP"/>
              </w:rPr>
            </w:pPr>
          </w:p>
        </w:tc>
      </w:tr>
    </w:tbl>
    <w:p w:rsidR="00833F0F" w:rsidRDefault="00382A73" w:rsidP="00382A73">
      <w:pPr>
        <w:pStyle w:val="Source"/>
      </w:pPr>
      <w:r>
        <w:t xml:space="preserve">Source: J.P. Morgan estimates, Company data. </w:t>
      </w:r>
    </w:p>
    <w:p w:rsidR="00833F0F" w:rsidRDefault="00833F0F" w:rsidP="009513D7">
      <w:pPr>
        <w:pStyle w:val="Units"/>
        <w:sectPr w:rsidR="00833F0F" w:rsidSect="009D5128">
          <w:headerReference w:type="first" r:id="rId53"/>
          <w:footerReference w:type="first" r:id="rId54"/>
          <w:pgSz w:w="15840" w:h="12240" w:orient="landscape" w:code="1"/>
          <w:pgMar w:top="720" w:right="720" w:bottom="720" w:left="720" w:header="936" w:footer="576" w:gutter="0"/>
          <w:cols w:space="720"/>
          <w:formProt w:val="0"/>
          <w:docGrid w:linePitch="360"/>
        </w:sectPr>
      </w:pPr>
    </w:p>
    <w:bookmarkStart w:id="3" w:name="_LegalDisclosure" w:displacedByCustomXml="next"/>
    <w:sdt>
      <w:sdtPr>
        <w:rPr>
          <w:sz w:val="20"/>
        </w:rPr>
        <w:alias w:val="DISCLOSURE"/>
        <w:tag w:val="DISCLOSURE"/>
        <w:id w:val="166324026"/>
        <w:lock w:val="sdtContentLocked"/>
        <w:placeholder>
          <w:docPart w:val="20152BE406514366A86CE80EC99C94BD"/>
        </w:placeholder>
      </w:sdtPr>
      <w:sdtContent>
        <w:p w:rsidR="004A1CEF" w:rsidRDefault="004A1CEF">
          <w:pPr>
            <w:divId w:val="704257382"/>
            <w:rPr>
              <w:rFonts w:eastAsia="Times New Roman"/>
              <w:sz w:val="12"/>
              <w:szCs w:val="12"/>
            </w:rPr>
          </w:pPr>
        </w:p>
        <w:p w:rsidR="004A1CEF" w:rsidRDefault="004A1CEF">
          <w:pPr>
            <w:divId w:val="1933277575"/>
            <w:rPr>
              <w:rFonts w:eastAsia="Times New Roman"/>
              <w:sz w:val="18"/>
              <w:szCs w:val="18"/>
            </w:rPr>
          </w:pPr>
          <w:r>
            <w:rPr>
              <w:rFonts w:eastAsia="Times New Roman"/>
              <w:b/>
              <w:bCs/>
              <w:sz w:val="20"/>
              <w:szCs w:val="20"/>
            </w:rPr>
            <w:t xml:space="preserve">Companies Discussed in This Report </w:t>
          </w:r>
          <w:r>
            <w:rPr>
              <w:rFonts w:eastAsia="Times New Roman"/>
              <w:sz w:val="20"/>
              <w:szCs w:val="20"/>
            </w:rPr>
            <w:t>(all prices in this report as of market close on 04 July 2014)</w:t>
          </w:r>
          <w:r>
            <w:rPr>
              <w:rFonts w:eastAsia="Times New Roman"/>
              <w:sz w:val="20"/>
              <w:szCs w:val="20"/>
            </w:rPr>
            <w:br/>
            <w:t xml:space="preserve">Amlin (AML.L/480p/Underweight), BRIT plc (BRIT.L/248p/Overweight), Beazley Plc (BEZG.L/262p/Neutral), Catlin (CGL.L/545p/Overweight), Hiscox (HSX.L/735p/Neutral), Lancashire (LRE.L/659p/Neutral) </w:t>
          </w:r>
        </w:p>
        <w:p w:rsidR="004A1CEF" w:rsidRDefault="004A1CEF">
          <w:pPr>
            <w:divId w:val="1957831064"/>
            <w:rPr>
              <w:rFonts w:eastAsia="Times New Roman"/>
              <w:sz w:val="12"/>
              <w:szCs w:val="12"/>
            </w:rPr>
          </w:pPr>
        </w:p>
        <w:p w:rsidR="004A1CEF" w:rsidRDefault="004A1CEF">
          <w:pPr>
            <w:divId w:val="1933277575"/>
            <w:rPr>
              <w:rFonts w:eastAsia="Times New Roman"/>
              <w:sz w:val="20"/>
              <w:szCs w:val="20"/>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4A1CEF" w:rsidRDefault="004A1CEF">
          <w:pPr>
            <w:divId w:val="1167096206"/>
            <w:rPr>
              <w:rFonts w:eastAsia="Times New Roman"/>
              <w:sz w:val="12"/>
              <w:szCs w:val="12"/>
            </w:rPr>
          </w:pPr>
        </w:p>
        <w:p w:rsidR="004A1CEF" w:rsidRDefault="004A1CEF" w:rsidP="004A1CEF">
          <w:pPr>
            <w:divId w:val="1933277575"/>
            <w:rPr>
              <w:rFonts w:eastAsia="Times New Roman"/>
              <w:sz w:val="20"/>
              <w:szCs w:val="20"/>
            </w:rPr>
          </w:pPr>
          <w:r>
            <w:rPr>
              <w:rFonts w:eastAsia="Times New Roman"/>
              <w:b/>
              <w:bCs/>
              <w:sz w:val="20"/>
              <w:szCs w:val="20"/>
            </w:rPr>
            <w:t>Important Disclosures</w:t>
          </w:r>
          <w:r>
            <w:rPr>
              <w:rFonts w:eastAsia="Times New Roman"/>
              <w:sz w:val="20"/>
              <w:szCs w:val="20"/>
            </w:rPr>
            <w:t xml:space="preserve"> </w:t>
          </w:r>
        </w:p>
        <w:p w:rsidR="004A1CEF" w:rsidRDefault="004A1CEF" w:rsidP="004A1CEF">
          <w:pPr>
            <w:spacing w:line="100" w:lineRule="auto"/>
            <w:divId w:val="1933277575"/>
            <w:rPr>
              <w:rFonts w:eastAsia="Times New Roman"/>
              <w:sz w:val="20"/>
              <w:szCs w:val="20"/>
            </w:rPr>
          </w:pPr>
          <w:r>
            <w:rPr>
              <w:rFonts w:eastAsia="Times New Roman"/>
              <w:sz w:val="20"/>
              <w:szCs w:val="20"/>
            </w:rPr>
            <w:pict>
              <v:rect id="_x0000_i1034" style="width:0;height:.5pt" o:hralign="center" o:hrstd="t" o:hrnoshade="t" o:hr="t" fillcolor="black" stroked="f"/>
            </w:pict>
          </w:r>
        </w:p>
        <w:p w:rsidR="004A1CEF" w:rsidRDefault="004A1CEF" w:rsidP="004A1CEF">
          <w:pPr>
            <w:divId w:val="1188831816"/>
            <w:rPr>
              <w:rFonts w:eastAsia="Times New Roman"/>
              <w:sz w:val="12"/>
              <w:szCs w:val="12"/>
            </w:rPr>
          </w:pP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Market Maker/ Liquidity Provider: </w:t>
          </w:r>
          <w:r>
            <w:rPr>
              <w:rFonts w:eastAsia="Times New Roman"/>
              <w:sz w:val="18"/>
              <w:szCs w:val="18"/>
            </w:rPr>
            <w:t>J.P. Morgan Securities plc and/or an affiliate is a market maker and/or liquidity provider in Amlin, Beazley Plc, Catlin, Hiscox, Lancashire, BRIT plc.</w:t>
          </w: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Lead or Co-manager: </w:t>
          </w:r>
          <w:r>
            <w:rPr>
              <w:rFonts w:eastAsia="Times New Roman"/>
              <w:sz w:val="18"/>
              <w:szCs w:val="18"/>
            </w:rPr>
            <w:t>J.P. Morgan acted as lead or co-manager in a public offering of equity and/or debt securities for Amlin, Lancashire, BRIT plc within the past 12 months.</w:t>
          </w: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Client:</w:t>
          </w:r>
          <w:r>
            <w:rPr>
              <w:rFonts w:eastAsia="Times New Roman"/>
              <w:sz w:val="18"/>
              <w:szCs w:val="18"/>
            </w:rPr>
            <w:t xml:space="preserve"> J.P. Morgan currently has, or had within the past 12 months, the following company(ies) as clients: Amlin, Beazley Plc, Catlin, Hiscox, Lancashire, BRIT plc.</w:t>
          </w: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Client/Investment Banking: </w:t>
          </w:r>
          <w:r>
            <w:rPr>
              <w:rFonts w:eastAsia="Times New Roman"/>
              <w:sz w:val="18"/>
              <w:szCs w:val="18"/>
            </w:rPr>
            <w:t>J.P. Morgan currently has, or had within the past 12 months, the following company(ies) as investment banking clients: Amlin, Lancashire, BRIT plc.</w:t>
          </w: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Client/Non-Investment Banking, Securities-Related: </w:t>
          </w:r>
          <w:r>
            <w:rPr>
              <w:rFonts w:eastAsia="Times New Roman"/>
              <w:sz w:val="18"/>
              <w:szCs w:val="18"/>
            </w:rPr>
            <w:t>J.P. Morgan currently has, or had within the past 12 months, the following company(ies) as clients, and the services provided were non-investment-banking, securities-related: Amlin, Catlin, Hiscox, BRIT plc.</w:t>
          </w: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Client/Non-Securities-Related: </w:t>
          </w:r>
          <w:r>
            <w:rPr>
              <w:rFonts w:eastAsia="Times New Roman"/>
              <w:sz w:val="18"/>
              <w:szCs w:val="18"/>
            </w:rPr>
            <w:t>J.P. Morgan currently has, or had within the past 12 months, the following company(ies) as clients, and the services provided were non-securities-related: Amlin, Catlin, Lancashire.</w:t>
          </w: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(past 12 months):</w:t>
          </w:r>
          <w:r>
            <w:rPr>
              <w:rFonts w:eastAsia="Times New Roman"/>
              <w:sz w:val="18"/>
              <w:szCs w:val="18"/>
            </w:rPr>
            <w:t xml:space="preserve"> J.P. Morgan received in the past 12 months compensation from investment banking Amlin, Lancashire, BRIT plc.</w:t>
          </w: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(next 3 months):</w:t>
          </w:r>
          <w:r>
            <w:rPr>
              <w:rFonts w:eastAsia="Times New Roman"/>
              <w:sz w:val="18"/>
              <w:szCs w:val="18"/>
            </w:rPr>
            <w:t xml:space="preserve"> J.P. Morgan expects to receive, or intends to seek, compensation for investment banking services in the next three months from Amlin, Beazley Plc, Catlin, Lancashire, BRIT plc.</w:t>
          </w: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Non-Investment Banking Compensation:</w:t>
          </w:r>
          <w:r>
            <w:rPr>
              <w:rFonts w:eastAsia="Times New Roman"/>
              <w:sz w:val="18"/>
              <w:szCs w:val="18"/>
            </w:rPr>
            <w:t xml:space="preserve"> J.P. Morgan has received compensation in the past 12 months for products or services other than investment banking from Amlin, Catlin, Hiscox, BRIT plc.</w:t>
          </w:r>
        </w:p>
        <w:p w:rsidR="004A1CEF" w:rsidRDefault="004A1CEF">
          <w:pPr>
            <w:divId w:val="1933277575"/>
            <w:rPr>
              <w:rFonts w:eastAsia="Times New Roman"/>
            </w:rPr>
          </w:pPr>
          <w:r>
            <w:rPr>
              <w:rFonts w:eastAsia="Times New Roman" w:hAnsi="Symbol"/>
            </w:rPr>
            <w:t></w:t>
          </w:r>
          <w:r>
            <w:rPr>
              <w:rFonts w:eastAsia="Times New Roman"/>
            </w:rPr>
            <w:t xml:space="preserve">  </w:t>
          </w:r>
          <w:r>
            <w:rPr>
              <w:rFonts w:eastAsia="Times New Roman"/>
              <w:b/>
              <w:bCs/>
              <w:sz w:val="18"/>
              <w:szCs w:val="18"/>
            </w:rPr>
            <w:t>Broker:</w:t>
          </w:r>
          <w:r>
            <w:rPr>
              <w:rFonts w:eastAsia="Times New Roman"/>
              <w:sz w:val="18"/>
              <w:szCs w:val="18"/>
            </w:rPr>
            <w:t xml:space="preserve"> J.P. Morgan Securities plc acts as Corporate Broker to Beazley Plc, Catlin, Lancashire, BRIT plc.</w:t>
          </w:r>
        </w:p>
        <w:p w:rsidR="004A1CEF" w:rsidRDefault="004A1CEF">
          <w:pPr>
            <w:divId w:val="1933277575"/>
            <w:rPr>
              <w:rFonts w:eastAsia="Times New Roman"/>
              <w:b/>
              <w:bCs/>
              <w:sz w:val="18"/>
              <w:szCs w:val="18"/>
            </w:rPr>
          </w:pPr>
          <w:r>
            <w:rPr>
              <w:rFonts w:eastAsia="Times New Roman" w:hAnsi="Symbol"/>
            </w:rPr>
            <w:t></w:t>
          </w:r>
          <w:r>
            <w:rPr>
              <w:rFonts w:eastAsia="Times New Roman"/>
            </w:rPr>
            <w:t xml:space="preserve">  </w:t>
          </w:r>
          <w:r>
            <w:rPr>
              <w:rFonts w:eastAsia="Times New Roman"/>
              <w:sz w:val="18"/>
              <w:szCs w:val="18"/>
            </w:rPr>
            <w:t>J.P. Morgan Cazenove is acting as Sole Financial Advisor and Sponsor to Lancashire Holdings Limited on their acquisition of Cathedral Capital as announced on 7th August 2013. J.P. Morgan does not currently have a recommendation for Lancashire Holdings Limited.</w:t>
          </w:r>
        </w:p>
        <w:p w:rsidR="004A1CEF" w:rsidRDefault="004A1CEF">
          <w:pPr>
            <w:divId w:val="1034691152"/>
            <w:rPr>
              <w:rFonts w:eastAsia="Times New Roman"/>
              <w:b/>
              <w:bCs/>
              <w:sz w:val="12"/>
              <w:szCs w:val="12"/>
            </w:rPr>
          </w:pPr>
        </w:p>
        <w:p w:rsidR="004A1CEF" w:rsidRDefault="004A1CEF">
          <w:pPr>
            <w:divId w:val="1933277575"/>
            <w:rPr>
              <w:rFonts w:ascii="Arial" w:eastAsia="Times New Roman" w:hAnsi="Arial" w:cs="Arial"/>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55"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56"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57" w:history="1">
            <w:r>
              <w:rPr>
                <w:rStyle w:val="Hyperlink"/>
                <w:rFonts w:eastAsia="Times New Roman"/>
                <w:sz w:val="18"/>
                <w:szCs w:val="18"/>
              </w:rPr>
              <w:t>research.disclosure.inquiries@jpmorgan.com</w:t>
            </w:r>
          </w:hyperlink>
          <w:r>
            <w:rPr>
              <w:rFonts w:eastAsia="Times New Roman"/>
              <w:sz w:val="18"/>
              <w:szCs w:val="18"/>
            </w:rPr>
            <w:t>.</w:t>
          </w:r>
        </w:p>
        <w:p w:rsidR="004A1CEF" w:rsidRDefault="004A1CEF">
          <w:pPr>
            <w:divId w:val="1904296013"/>
            <w:rPr>
              <w:rFonts w:eastAsia="Times New Roman"/>
              <w:sz w:val="12"/>
              <w:szCs w:val="12"/>
            </w:rPr>
          </w:pPr>
        </w:p>
        <w:p w:rsidR="004A1CEF" w:rsidRDefault="004A1CEF">
          <w:pPr>
            <w:divId w:val="1933277575"/>
            <w:rPr>
              <w:rFonts w:eastAsia="Times New Roman"/>
              <w:sz w:val="18"/>
              <w:szCs w:val="18"/>
            </w:rPr>
          </w:pPr>
          <w:r>
            <w:rPr>
              <w:rFonts w:eastAsia="Times New Roman"/>
              <w:b/>
              <w:bCs/>
              <w:sz w:val="18"/>
              <w:szCs w:val="18"/>
            </w:rPr>
            <w:t xml:space="preserve">Explanation of Equity Research Ratings, Designations and Analyst(s) Coverage Universe: </w:t>
          </w:r>
          <w:r>
            <w:rPr>
              <w:rFonts w:eastAsia="Times New Roman"/>
              <w:b/>
              <w:bCs/>
              <w:sz w:val="18"/>
              <w:szCs w:val="18"/>
            </w:rPr>
            <w:br/>
          </w:r>
          <w:r>
            <w:rPr>
              <w:rFonts w:eastAsia="Times New Roman"/>
              <w:sz w:val="18"/>
              <w:szCs w:val="18"/>
            </w:rPr>
            <w:t xml:space="preserve">J.P. Morgan uses the following rating system: Overweight [Over the next six to twelve months, we expect this stock will outperform the average total return of the stocks in the analyst’s (or the analyst’s team’s) coverage universe.] Neutral [Over the next six to twelve months, we expect this stock will perform in line with the average total return of the stocks in the analyst’s (or the analyst’s team’s) coverage universe.] Underweight [Over the next six to twelve months, we expect this stock will underperform the average total return of the stocks in the analyst’s (or the analyst’s team’s) coverage universe.] Not Rated (NR): J.P. Morgan has removed the rating and, if applicable, the price target, for this stock because of either a lack of a sufficient fundamental basis or for legal, regulatory or policy reasons. The previous rating and, if applicable, the price target, no longer should be relied upon. An NR designation is not a recommendation or a rating. In our Asia (ex-Australia) and U.K. small- and mid-cap equity research, each stock’s expected total return is compared to the expected total return of a benchmark country market index, not to those analysts’ coverage universe. If it does not appear in the Important Disclosures section of this report, the certifying analyst’s coverage universe can be found on J.P. Morgan’s research website, www.jpmorganmarkets.com. </w:t>
          </w:r>
        </w:p>
        <w:p w:rsidR="004A1CEF" w:rsidRDefault="004A1CEF">
          <w:pPr>
            <w:divId w:val="1509130083"/>
            <w:rPr>
              <w:rFonts w:eastAsia="Times New Roman"/>
              <w:sz w:val="12"/>
              <w:szCs w:val="12"/>
            </w:rPr>
          </w:pPr>
        </w:p>
        <w:p w:rsidR="004A1CEF" w:rsidRDefault="004A1CEF">
          <w:pPr>
            <w:divId w:val="1933277575"/>
            <w:rPr>
              <w:rFonts w:eastAsia="Times New Roman"/>
              <w:sz w:val="18"/>
              <w:szCs w:val="18"/>
            </w:rPr>
          </w:pPr>
          <w:r>
            <w:rPr>
              <w:rFonts w:eastAsia="Times New Roman"/>
              <w:b/>
              <w:bCs/>
              <w:sz w:val="18"/>
              <w:szCs w:val="18"/>
            </w:rPr>
            <w:t>Coverage Universe: van Embden, Andreas</w:t>
          </w:r>
          <w:r>
            <w:rPr>
              <w:rFonts w:eastAsia="Times New Roman"/>
              <w:sz w:val="18"/>
              <w:szCs w:val="18"/>
            </w:rPr>
            <w:t>: AXA (AXAF.PA), Admiral Group Plc (ADML.L), Amlin (AML.L), BRIT plc (BRIT.L), Beazley Plc (BEZG.L), Catlin (CGL.L), Direct Line Insurance Group plc (DLG.L), Generali (GASI.MI), Hiscox (HSX.L), JLT (JLT.L), Lancashire (LRE.L), MAPFRE (MAP.MC), RSA (RSA.L), esure (ESUR.L)</w:t>
          </w:r>
        </w:p>
        <w:p w:rsidR="004A1CEF" w:rsidRDefault="004A1CEF">
          <w:pPr>
            <w:divId w:val="749085187"/>
            <w:rPr>
              <w:rFonts w:eastAsia="Times New Roman"/>
              <w:sz w:val="12"/>
              <w:szCs w:val="12"/>
            </w:rPr>
          </w:pPr>
        </w:p>
        <w:p w:rsidR="004A1CEF" w:rsidRDefault="004A1CEF" w:rsidP="004A1CEF">
          <w:pPr>
            <w:keepNext/>
            <w:keepLines/>
            <w:spacing w:before="52" w:after="52"/>
            <w:ind w:left="52" w:right="52"/>
            <w:divId w:val="1933277575"/>
            <w:rPr>
              <w:b/>
              <w:bCs/>
              <w:sz w:val="18"/>
              <w:szCs w:val="18"/>
            </w:rPr>
          </w:pPr>
          <w:r>
            <w:rPr>
              <w:b/>
              <w:bCs/>
              <w:sz w:val="18"/>
              <w:szCs w:val="18"/>
            </w:rPr>
            <w:t>J.P. Morgan Equity Research Ratings Distribution, as of June 30, 2014</w:t>
          </w:r>
        </w:p>
        <w:tbl>
          <w:tblPr>
            <w:tblW w:w="3250" w:type="pct"/>
            <w:tblCellMar>
              <w:left w:w="0" w:type="dxa"/>
              <w:right w:w="0" w:type="dxa"/>
            </w:tblCellMar>
            <w:tblLook w:val="04A0"/>
          </w:tblPr>
          <w:tblGrid>
            <w:gridCol w:w="3762"/>
            <w:gridCol w:w="908"/>
            <w:gridCol w:w="908"/>
            <w:gridCol w:w="908"/>
          </w:tblGrid>
          <w:tr w:rsidR="004A1CEF">
            <w:trPr>
              <w:divId w:val="1933277575"/>
            </w:trPr>
            <w:tc>
              <w:tcPr>
                <w:tcW w:w="2900" w:type="pct"/>
                <w:tcBorders>
                  <w:bottom w:val="single" w:sz="4" w:space="0" w:color="000000"/>
                </w:tcBorders>
                <w:hideMark/>
              </w:tcPr>
              <w:p w:rsidR="004A1CEF" w:rsidRDefault="004A1CEF" w:rsidP="004A1CEF">
                <w:pPr>
                  <w:keepNext/>
                  <w:keepLines/>
                  <w:rPr>
                    <w:rFonts w:eastAsia="Times New Roman"/>
                  </w:rPr>
                </w:pPr>
              </w:p>
            </w:tc>
            <w:tc>
              <w:tcPr>
                <w:tcW w:w="700" w:type="pct"/>
                <w:tcBorders>
                  <w:bottom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b/>
                    <w:bCs/>
                    <w:sz w:val="16"/>
                    <w:szCs w:val="16"/>
                  </w:rPr>
                  <w:t>Overweight</w:t>
                </w:r>
                <w:r>
                  <w:rPr>
                    <w:sz w:val="16"/>
                    <w:szCs w:val="16"/>
                  </w:rPr>
                  <w:br/>
                  <w:t>(buy)</w:t>
                </w:r>
              </w:p>
            </w:tc>
            <w:tc>
              <w:tcPr>
                <w:tcW w:w="700" w:type="pct"/>
                <w:tcBorders>
                  <w:bottom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b/>
                    <w:bCs/>
                    <w:sz w:val="16"/>
                    <w:szCs w:val="16"/>
                  </w:rPr>
                  <w:t>Neutral</w:t>
                </w:r>
                <w:r>
                  <w:rPr>
                    <w:sz w:val="16"/>
                    <w:szCs w:val="16"/>
                  </w:rPr>
                  <w:br/>
                  <w:t>(hold)</w:t>
                </w:r>
              </w:p>
            </w:tc>
            <w:tc>
              <w:tcPr>
                <w:tcW w:w="700" w:type="pct"/>
                <w:tcBorders>
                  <w:bottom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b/>
                    <w:bCs/>
                    <w:sz w:val="16"/>
                    <w:szCs w:val="16"/>
                  </w:rPr>
                  <w:t>Underweight</w:t>
                </w:r>
                <w:r>
                  <w:rPr>
                    <w:sz w:val="16"/>
                    <w:szCs w:val="16"/>
                  </w:rPr>
                  <w:br/>
                  <w:t>(sell)</w:t>
                </w:r>
              </w:p>
            </w:tc>
          </w:tr>
          <w:tr w:rsidR="004A1CEF">
            <w:trPr>
              <w:divId w:val="1933277575"/>
            </w:trPr>
            <w:tc>
              <w:tcPr>
                <w:tcW w:w="0" w:type="auto"/>
                <w:tcBorders>
                  <w:top w:val="single" w:sz="4" w:space="0" w:color="000000"/>
                </w:tcBorders>
                <w:hideMark/>
              </w:tcPr>
              <w:p w:rsidR="004A1CEF" w:rsidRDefault="004A1CEF" w:rsidP="004A1CEF">
                <w:pPr>
                  <w:keepNext/>
                  <w:keepLines/>
                  <w:spacing w:before="100" w:beforeAutospacing="1" w:after="100" w:afterAutospacing="1"/>
                  <w:ind w:left="73"/>
                  <w:rPr>
                    <w:rFonts w:eastAsiaTheme="minorEastAsia"/>
                    <w:sz w:val="16"/>
                    <w:szCs w:val="16"/>
                  </w:rPr>
                </w:pPr>
                <w:r>
                  <w:rPr>
                    <w:sz w:val="16"/>
                    <w:szCs w:val="16"/>
                  </w:rPr>
                  <w:t>J.P. Morgan Global Equity Research Coverage</w:t>
                </w:r>
              </w:p>
            </w:tc>
            <w:tc>
              <w:tcPr>
                <w:tcW w:w="0" w:type="auto"/>
                <w:tcBorders>
                  <w:top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45%</w:t>
                </w:r>
              </w:p>
            </w:tc>
            <w:tc>
              <w:tcPr>
                <w:tcW w:w="0" w:type="auto"/>
                <w:tcBorders>
                  <w:top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43%</w:t>
                </w:r>
              </w:p>
            </w:tc>
            <w:tc>
              <w:tcPr>
                <w:tcW w:w="0" w:type="auto"/>
                <w:tcBorders>
                  <w:top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11%</w:t>
                </w:r>
              </w:p>
            </w:tc>
          </w:tr>
          <w:tr w:rsidR="004A1CEF">
            <w:trPr>
              <w:divId w:val="1933277575"/>
            </w:trPr>
            <w:tc>
              <w:tcPr>
                <w:tcW w:w="0" w:type="auto"/>
                <w:tcBorders>
                  <w:bottom w:val="single" w:sz="4" w:space="0" w:color="000000"/>
                </w:tcBorders>
                <w:hideMark/>
              </w:tcPr>
              <w:p w:rsidR="004A1CEF" w:rsidRDefault="004A1CEF" w:rsidP="004A1CEF">
                <w:pPr>
                  <w:keepNext/>
                  <w:keepLines/>
                  <w:spacing w:before="100" w:beforeAutospacing="1" w:after="100" w:afterAutospacing="1"/>
                  <w:ind w:left="73"/>
                  <w:rPr>
                    <w:rFonts w:eastAsiaTheme="minorEastAsia"/>
                    <w:sz w:val="16"/>
                    <w:szCs w:val="16"/>
                  </w:rPr>
                </w:pPr>
                <w:r>
                  <w:rPr>
                    <w:sz w:val="16"/>
                    <w:szCs w:val="16"/>
                  </w:rPr>
                  <w:t>    IB clients*</w:t>
                </w:r>
              </w:p>
            </w:tc>
            <w:tc>
              <w:tcPr>
                <w:tcW w:w="0" w:type="auto"/>
                <w:tcBorders>
                  <w:bottom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55%</w:t>
                </w:r>
              </w:p>
            </w:tc>
            <w:tc>
              <w:tcPr>
                <w:tcW w:w="0" w:type="auto"/>
                <w:tcBorders>
                  <w:bottom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49%</w:t>
                </w:r>
              </w:p>
            </w:tc>
            <w:tc>
              <w:tcPr>
                <w:tcW w:w="0" w:type="auto"/>
                <w:tcBorders>
                  <w:bottom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34%</w:t>
                </w:r>
              </w:p>
            </w:tc>
          </w:tr>
          <w:tr w:rsidR="004A1CEF">
            <w:trPr>
              <w:divId w:val="1933277575"/>
            </w:trPr>
            <w:tc>
              <w:tcPr>
                <w:tcW w:w="0" w:type="auto"/>
                <w:tcBorders>
                  <w:top w:val="single" w:sz="4" w:space="0" w:color="000000"/>
                </w:tcBorders>
                <w:hideMark/>
              </w:tcPr>
              <w:p w:rsidR="004A1CEF" w:rsidRDefault="004A1CEF" w:rsidP="004A1CEF">
                <w:pPr>
                  <w:keepNext/>
                  <w:keepLines/>
                  <w:spacing w:before="100" w:beforeAutospacing="1" w:after="100" w:afterAutospacing="1"/>
                  <w:ind w:left="73"/>
                  <w:rPr>
                    <w:rFonts w:eastAsiaTheme="minorEastAsia"/>
                    <w:sz w:val="16"/>
                    <w:szCs w:val="16"/>
                  </w:rPr>
                </w:pPr>
                <w:r>
                  <w:rPr>
                    <w:sz w:val="16"/>
                    <w:szCs w:val="16"/>
                  </w:rPr>
                  <w:t>JPMS Equity Research Coverage</w:t>
                </w:r>
              </w:p>
            </w:tc>
            <w:tc>
              <w:tcPr>
                <w:tcW w:w="0" w:type="auto"/>
                <w:tcBorders>
                  <w:top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46%</w:t>
                </w:r>
              </w:p>
            </w:tc>
            <w:tc>
              <w:tcPr>
                <w:tcW w:w="0" w:type="auto"/>
                <w:tcBorders>
                  <w:top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47%</w:t>
                </w:r>
              </w:p>
            </w:tc>
            <w:tc>
              <w:tcPr>
                <w:tcW w:w="0" w:type="auto"/>
                <w:tcBorders>
                  <w:top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7%</w:t>
                </w:r>
              </w:p>
            </w:tc>
          </w:tr>
          <w:tr w:rsidR="004A1CEF">
            <w:trPr>
              <w:divId w:val="1933277575"/>
            </w:trPr>
            <w:tc>
              <w:tcPr>
                <w:tcW w:w="0" w:type="auto"/>
                <w:tcBorders>
                  <w:bottom w:val="single" w:sz="4" w:space="0" w:color="000000"/>
                </w:tcBorders>
                <w:hideMark/>
              </w:tcPr>
              <w:p w:rsidR="004A1CEF" w:rsidRDefault="004A1CEF" w:rsidP="004A1CEF">
                <w:pPr>
                  <w:keepNext/>
                  <w:keepLines/>
                  <w:spacing w:before="100" w:beforeAutospacing="1" w:after="100" w:afterAutospacing="1"/>
                  <w:ind w:left="73"/>
                  <w:rPr>
                    <w:rFonts w:eastAsiaTheme="minorEastAsia"/>
                    <w:sz w:val="16"/>
                    <w:szCs w:val="16"/>
                  </w:rPr>
                </w:pPr>
                <w:r>
                  <w:rPr>
                    <w:sz w:val="16"/>
                    <w:szCs w:val="16"/>
                  </w:rPr>
                  <w:t>    IB clients*</w:t>
                </w:r>
              </w:p>
            </w:tc>
            <w:tc>
              <w:tcPr>
                <w:tcW w:w="0" w:type="auto"/>
                <w:tcBorders>
                  <w:bottom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75%</w:t>
                </w:r>
              </w:p>
            </w:tc>
            <w:tc>
              <w:tcPr>
                <w:tcW w:w="0" w:type="auto"/>
                <w:tcBorders>
                  <w:bottom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66%</w:t>
                </w:r>
              </w:p>
            </w:tc>
            <w:tc>
              <w:tcPr>
                <w:tcW w:w="0" w:type="auto"/>
                <w:tcBorders>
                  <w:bottom w:val="single" w:sz="4" w:space="0" w:color="000000"/>
                </w:tcBorders>
                <w:hideMark/>
              </w:tcPr>
              <w:p w:rsidR="004A1CEF" w:rsidRDefault="004A1CEF" w:rsidP="004A1CEF">
                <w:pPr>
                  <w:keepNext/>
                  <w:keepLines/>
                  <w:spacing w:before="100" w:beforeAutospacing="1" w:after="100" w:afterAutospacing="1"/>
                  <w:rPr>
                    <w:rFonts w:eastAsiaTheme="minorEastAsia"/>
                    <w:sz w:val="16"/>
                    <w:szCs w:val="16"/>
                  </w:rPr>
                </w:pPr>
                <w:r>
                  <w:rPr>
                    <w:sz w:val="16"/>
                    <w:szCs w:val="16"/>
                  </w:rPr>
                  <w:t>54%</w:t>
                </w:r>
              </w:p>
            </w:tc>
          </w:tr>
        </w:tbl>
        <w:p w:rsidR="004A1CEF" w:rsidRDefault="004A1CEF" w:rsidP="004A1CEF">
          <w:pPr>
            <w:keepLines/>
            <w:spacing w:before="52" w:after="52"/>
            <w:ind w:left="52" w:right="52"/>
            <w:divId w:val="1933277575"/>
            <w:rPr>
              <w:rFonts w:eastAsiaTheme="minorEastAsia"/>
              <w:sz w:val="16"/>
              <w:szCs w:val="16"/>
            </w:rPr>
          </w:pPr>
          <w:r>
            <w:rPr>
              <w:sz w:val="16"/>
              <w:szCs w:val="16"/>
            </w:rPr>
            <w:t>*Percentage of investment banking clients in each rating category.</w:t>
          </w:r>
          <w:r>
            <w:rPr>
              <w:sz w:val="16"/>
              <w:szCs w:val="16"/>
            </w:rPr>
            <w:br/>
            <w:t>For purposes only of FINRA/NYSE ratings distribution rules, our Overweight rating falls into a buy rating category; our Neutral rating falls into a hold rating category; and our Underweight rating falls into a sell rating category. Please note that stocks with an NR designation are not included in the table above.</w:t>
          </w:r>
          <w:r>
            <w:rPr>
              <w:sz w:val="16"/>
              <w:szCs w:val="16"/>
            </w:rPr>
            <w:br/>
          </w:r>
        </w:p>
        <w:p w:rsidR="004A1CEF" w:rsidRDefault="004A1CEF">
          <w:pPr>
            <w:divId w:val="1629772840"/>
            <w:rPr>
              <w:rFonts w:eastAsia="Times New Roman"/>
              <w:sz w:val="12"/>
              <w:szCs w:val="12"/>
            </w:rPr>
          </w:pPr>
        </w:p>
        <w:p w:rsidR="004A1CEF" w:rsidRDefault="004A1CEF">
          <w:pPr>
            <w:divId w:val="1933277575"/>
            <w:rPr>
              <w:rFonts w:eastAsia="Times New Roman"/>
              <w:sz w:val="18"/>
              <w:szCs w:val="18"/>
            </w:rPr>
          </w:pPr>
          <w:r>
            <w:rPr>
              <w:rFonts w:eastAsia="Times New Roman"/>
              <w:b/>
              <w:bCs/>
              <w:sz w:val="18"/>
              <w:szCs w:val="18"/>
            </w:rPr>
            <w:t xml:space="preserve">Equity Valuation and Risks: </w:t>
          </w:r>
          <w:r>
            <w:rPr>
              <w:rFonts w:eastAsia="Times New Roman"/>
              <w:sz w:val="18"/>
              <w:szCs w:val="18"/>
            </w:rPr>
            <w:t xml:space="preserve">For valuation methodology and risks associated with covered companies or price targets for covered companies, please see the most recent company-specific research report at </w:t>
          </w:r>
          <w:hyperlink r:id="rId58" w:history="1">
            <w:r>
              <w:rPr>
                <w:rStyle w:val="Hyperlink"/>
                <w:rFonts w:eastAsia="Times New Roman"/>
                <w:sz w:val="18"/>
                <w:szCs w:val="18"/>
              </w:rPr>
              <w:t>http://www.jpmorganmarkets.com</w:t>
            </w:r>
          </w:hyperlink>
          <w:r>
            <w:rPr>
              <w:rFonts w:eastAsia="Times New Roman"/>
              <w:sz w:val="18"/>
              <w:szCs w:val="18"/>
            </w:rPr>
            <w:t xml:space="preserve">, contact the primary analyst or your J.P. Morgan representative, or email </w:t>
          </w:r>
          <w:hyperlink r:id="rId59" w:history="1">
            <w:r>
              <w:rPr>
                <w:rStyle w:val="Hyperlink"/>
                <w:rFonts w:eastAsia="Times New Roman"/>
                <w:sz w:val="18"/>
                <w:szCs w:val="18"/>
              </w:rPr>
              <w:t>research.disclosure.inquiries@jpmorgan.com</w:t>
            </w:r>
          </w:hyperlink>
          <w:r>
            <w:rPr>
              <w:rFonts w:eastAsia="Times New Roman"/>
              <w:sz w:val="18"/>
              <w:szCs w:val="18"/>
            </w:rPr>
            <w:t>.</w:t>
          </w:r>
        </w:p>
        <w:p w:rsidR="004A1CEF" w:rsidRDefault="004A1CEF">
          <w:pPr>
            <w:divId w:val="464006081"/>
            <w:rPr>
              <w:rFonts w:eastAsia="Times New Roman"/>
              <w:sz w:val="12"/>
              <w:szCs w:val="12"/>
            </w:rPr>
          </w:pPr>
        </w:p>
        <w:p w:rsidR="004A1CEF" w:rsidRDefault="004A1CEF">
          <w:pPr>
            <w:divId w:val="1933277575"/>
            <w:rPr>
              <w:rFonts w:eastAsia="Times New Roman"/>
              <w:sz w:val="18"/>
              <w:szCs w:val="18"/>
            </w:rPr>
          </w:pPr>
          <w:r>
            <w:rPr>
              <w:rFonts w:eastAsia="Times New Roman"/>
              <w:b/>
              <w:bCs/>
              <w:sz w:val="18"/>
              <w:szCs w:val="18"/>
            </w:rPr>
            <w:t>Equity Analysts' Compensation:</w:t>
          </w:r>
          <w:r>
            <w:rPr>
              <w:rFonts w:ascii="Arial" w:eastAsia="Times New Roman" w:hAnsi="Arial" w:cs="Arial"/>
              <w:sz w:val="16"/>
              <w:szCs w:val="16"/>
            </w:rPr>
            <w:t xml:space="preserve"> </w:t>
          </w:r>
          <w:r>
            <w:rPr>
              <w:rFonts w:eastAsia="Times New Roman"/>
              <w:sz w:val="18"/>
              <w:szCs w:val="18"/>
            </w:rPr>
            <w:t xml:space="preserve">The equity research analysts responsible for the preparation of this report receive compensation based upon various factors, including the quality and accuracy of research, client feedback, competitive factors, and overall firm revenues. </w:t>
          </w:r>
        </w:p>
        <w:p w:rsidR="004A1CEF" w:rsidRDefault="004A1CEF">
          <w:pPr>
            <w:divId w:val="774323658"/>
            <w:rPr>
              <w:rFonts w:eastAsia="Times New Roman"/>
              <w:sz w:val="12"/>
              <w:szCs w:val="12"/>
            </w:rPr>
          </w:pPr>
        </w:p>
        <w:p w:rsidR="004A1CEF" w:rsidRDefault="004A1CEF">
          <w:pPr>
            <w:divId w:val="1933277575"/>
            <w:rPr>
              <w:rFonts w:eastAsia="Times New Roman"/>
              <w:sz w:val="20"/>
              <w:szCs w:val="20"/>
            </w:rPr>
          </w:pPr>
          <w:r>
            <w:rPr>
              <w:rFonts w:eastAsia="Times New Roman"/>
              <w:b/>
              <w:bCs/>
              <w:sz w:val="18"/>
              <w:szCs w:val="18"/>
            </w:rPr>
            <w:t xml:space="preserve">Registration of non-US Analysts: </w:t>
          </w:r>
          <w:r>
            <w:rPr>
              <w:rFonts w:eastAsia="Times New Roman"/>
              <w:sz w:val="18"/>
              <w:szCs w:val="18"/>
            </w:rPr>
            <w:t>Unless otherwise noted, the non-US analysts listed on the front of this report are employees of non-US affiliates of JPMS, are not registered/qualified as research analysts under NASD/NYSE rules, may not be associated persons of JPMS, and may not be subject to FINRA Rule 2711 and NYSE Rule 472 restrictions on communications with covered companies, public appearances, and trading securities held by a research analyst account.</w:t>
          </w:r>
        </w:p>
        <w:p w:rsidR="004A1CEF" w:rsidRDefault="004A1CEF">
          <w:pPr>
            <w:divId w:val="95177992"/>
            <w:rPr>
              <w:rFonts w:eastAsia="Times New Roman"/>
              <w:sz w:val="12"/>
              <w:szCs w:val="12"/>
            </w:rPr>
          </w:pPr>
        </w:p>
        <w:p w:rsidR="004A1CEF" w:rsidRDefault="004A1CEF" w:rsidP="004A1CEF">
          <w:pPr>
            <w:divId w:val="1933277575"/>
            <w:rPr>
              <w:rFonts w:eastAsia="Times New Roman"/>
              <w:sz w:val="20"/>
              <w:szCs w:val="20"/>
            </w:rPr>
          </w:pPr>
          <w:r>
            <w:rPr>
              <w:rFonts w:eastAsia="Times New Roman"/>
              <w:b/>
              <w:bCs/>
              <w:sz w:val="20"/>
              <w:szCs w:val="20"/>
            </w:rPr>
            <w:t xml:space="preserve">Other Disclosures </w:t>
          </w:r>
        </w:p>
        <w:p w:rsidR="004A1CEF" w:rsidRDefault="004A1CEF" w:rsidP="004A1CEF">
          <w:pPr>
            <w:spacing w:line="100" w:lineRule="auto"/>
            <w:divId w:val="1933277575"/>
            <w:rPr>
              <w:rFonts w:eastAsia="Times New Roman"/>
              <w:sz w:val="20"/>
              <w:szCs w:val="20"/>
            </w:rPr>
          </w:pPr>
          <w:r>
            <w:rPr>
              <w:rFonts w:eastAsia="Times New Roman"/>
              <w:sz w:val="20"/>
              <w:szCs w:val="20"/>
            </w:rPr>
            <w:pict>
              <v:rect id="_x0000_i1035" style="width:0;height:.5pt" o:hralign="center" o:hrstd="t" o:hrnoshade="t" o:hr="t" fillcolor="black" stroked="f"/>
            </w:pict>
          </w:r>
        </w:p>
        <w:p w:rsidR="004A1CEF" w:rsidRDefault="004A1CEF" w:rsidP="004A1CEF">
          <w:pPr>
            <w:divId w:val="1933277575"/>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4A1CEF" w:rsidRDefault="004A1CEF">
          <w:pPr>
            <w:divId w:val="1305810814"/>
            <w:rPr>
              <w:rFonts w:eastAsia="Times New Roman"/>
              <w:sz w:val="12"/>
              <w:szCs w:val="12"/>
            </w:rPr>
          </w:pPr>
        </w:p>
        <w:p w:rsidR="004A1CEF" w:rsidRDefault="004A1CEF">
          <w:pPr>
            <w:divId w:val="1933277575"/>
            <w:rPr>
              <w:rFonts w:eastAsia="Times New Roman"/>
              <w:sz w:val="16"/>
              <w:szCs w:val="16"/>
            </w:rPr>
          </w:pPr>
          <w:r>
            <w:rPr>
              <w:rFonts w:eastAsia="Times New Roman"/>
              <w:sz w:val="16"/>
              <w:szCs w:val="16"/>
            </w:rPr>
            <w:t>All research reports made available to clients are simultaneously available on our client website, J.P. Morgan Markets. Not all research content is redistributed, e-mailed or made available to third-party aggregators. For all research reports available on a particular stock, please contact your sales representative.</w:t>
          </w:r>
        </w:p>
        <w:p w:rsidR="004A1CEF" w:rsidRDefault="004A1CEF">
          <w:pPr>
            <w:divId w:val="1572160938"/>
            <w:rPr>
              <w:rFonts w:eastAsia="Times New Roman"/>
              <w:sz w:val="12"/>
              <w:szCs w:val="12"/>
            </w:rPr>
          </w:pPr>
        </w:p>
        <w:p w:rsidR="004A1CEF" w:rsidRDefault="004A1CEF">
          <w:pPr>
            <w:divId w:val="908344991"/>
            <w:rPr>
              <w:rFonts w:eastAsia="Times New Roman"/>
              <w:sz w:val="12"/>
              <w:szCs w:val="12"/>
            </w:rPr>
          </w:pPr>
        </w:p>
        <w:p w:rsidR="004A1CEF" w:rsidRDefault="004A1CEF">
          <w:pPr>
            <w:divId w:val="1933277575"/>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60" w:history="1">
            <w:r>
              <w:rPr>
                <w:rStyle w:val="Hyperlink"/>
                <w:rFonts w:eastAsia="Times New Roman"/>
                <w:sz w:val="16"/>
                <w:szCs w:val="16"/>
              </w:rPr>
              <w:t xml:space="preserve">http://www.optionsclearing.com/publications/risks/riskstoc.pdf </w:t>
            </w:r>
          </w:hyperlink>
        </w:p>
        <w:p w:rsidR="004A1CEF" w:rsidRDefault="004A1CEF">
          <w:pPr>
            <w:divId w:val="1727799943"/>
            <w:rPr>
              <w:rFonts w:eastAsia="Times New Roman"/>
              <w:sz w:val="12"/>
              <w:szCs w:val="12"/>
            </w:rPr>
          </w:pPr>
        </w:p>
        <w:p w:rsidR="004A1CEF" w:rsidRDefault="004A1CEF">
          <w:pPr>
            <w:divId w:val="1933277575"/>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61"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4A1CEF" w:rsidRDefault="004A1CEF">
          <w:pPr>
            <w:divId w:val="700665404"/>
            <w:rPr>
              <w:rFonts w:eastAsia="Times New Roman"/>
              <w:b/>
              <w:bCs/>
              <w:sz w:val="12"/>
              <w:szCs w:val="12"/>
            </w:rPr>
          </w:pPr>
        </w:p>
        <w:p w:rsidR="004A1CEF" w:rsidRDefault="004A1CEF">
          <w:pPr>
            <w:divId w:val="1933277575"/>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4A1CEF" w:rsidRDefault="004A1CEF">
          <w:pPr>
            <w:divId w:val="1773433652"/>
            <w:rPr>
              <w:rFonts w:eastAsia="Times New Roman"/>
              <w:sz w:val="12"/>
              <w:szCs w:val="12"/>
            </w:rPr>
          </w:pPr>
        </w:p>
        <w:p w:rsidR="004A1CEF" w:rsidRDefault="004A1CEF">
          <w:pPr>
            <w:divId w:val="1933277575"/>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4A1CEF" w:rsidRDefault="004A1CEF">
          <w:pPr>
            <w:divId w:val="930895137"/>
            <w:rPr>
              <w:rFonts w:eastAsia="Times New Roman"/>
              <w:sz w:val="12"/>
              <w:szCs w:val="12"/>
            </w:rPr>
          </w:pPr>
        </w:p>
        <w:p w:rsidR="004A1CEF" w:rsidRDefault="004A1CEF" w:rsidP="004A1CEF">
          <w:pPr>
            <w:divId w:val="1933277575"/>
            <w:rPr>
              <w:rFonts w:eastAsia="Times New Roman"/>
              <w:sz w:val="16"/>
              <w:szCs w:val="16"/>
            </w:rPr>
          </w:pPr>
          <w:r>
            <w:rPr>
              <w:rFonts w:eastAsia="Times New Roman"/>
              <w:sz w:val="16"/>
              <w:szCs w:val="16"/>
            </w:rPr>
            <w:t xml:space="preserve">"Other Disclosures" last revised June 21, 2014. </w:t>
          </w:r>
        </w:p>
        <w:p w:rsidR="004A1CEF" w:rsidRDefault="004A1CEF" w:rsidP="004A1CEF">
          <w:pPr>
            <w:spacing w:line="100" w:lineRule="auto"/>
            <w:divId w:val="1933277575"/>
            <w:rPr>
              <w:rFonts w:eastAsia="Times New Roman"/>
              <w:sz w:val="16"/>
              <w:szCs w:val="16"/>
            </w:rPr>
          </w:pPr>
          <w:r>
            <w:rPr>
              <w:rFonts w:eastAsia="Times New Roman"/>
              <w:sz w:val="16"/>
              <w:szCs w:val="16"/>
            </w:rPr>
            <w:pict>
              <v:rect id="_x0000_i1036" style="width:0;height:.5pt" o:hralign="center" o:hrstd="t" o:hrnoshade="t" o:hr="t" fillcolor="black" stroked="f"/>
            </w:pict>
          </w:r>
        </w:p>
        <w:p w:rsidR="004A1CEF" w:rsidRDefault="004A1CEF" w:rsidP="004A1CEF">
          <w:pPr>
            <w:divId w:val="1933277575"/>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117CA7" w:rsidP="006835DA">
          <w:pPr>
            <w:pStyle w:val="Body"/>
          </w:pPr>
        </w:p>
      </w:sdtContent>
    </w:sdt>
    <w:p w:rsidR="00096996" w:rsidRDefault="00096996" w:rsidP="00096996">
      <w:pPr>
        <w:pStyle w:val="Body"/>
        <w:sectPr w:rsidR="00096996" w:rsidSect="00CD1E8A">
          <w:pgSz w:w="12240" w:h="15840" w:code="1"/>
          <w:pgMar w:top="2376" w:right="1138" w:bottom="936" w:left="1123" w:header="936" w:footer="576" w:gutter="0"/>
          <w:cols w:space="720"/>
          <w:docGrid w:linePitch="360"/>
        </w:sectPr>
      </w:pPr>
    </w:p>
    <w:bookmarkEnd w:id="3"/>
    <w:p w:rsidR="005327F6" w:rsidRDefault="005327F6" w:rsidP="005D2E8C">
      <w:pPr>
        <w:pStyle w:val="Body"/>
        <w:ind w:left="-3125"/>
      </w:pPr>
    </w:p>
    <w:sectPr w:rsidR="005327F6" w:rsidSect="00096996">
      <w:headerReference w:type="first" r:id="rId62"/>
      <w:footerReference w:type="first" r:id="rId63"/>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39A" w:rsidRDefault="0012339A" w:rsidP="00410841">
      <w:r>
        <w:separator/>
      </w:r>
    </w:p>
  </w:endnote>
  <w:endnote w:type="continuationSeparator" w:id="0">
    <w:p w:rsidR="0012339A" w:rsidRDefault="0012339A"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17CA7">
    <w:pPr>
      <w:framePr w:hSpace="180" w:wrap="around" w:vAnchor="text" w:hAnchor="page" w:x="1138" w:y="1"/>
      <w:rPr>
        <w:rStyle w:val="PageNumber"/>
      </w:rPr>
    </w:pPr>
    <w:r>
      <w:rPr>
        <w:rStyle w:val="PageNumber"/>
      </w:rPr>
      <w:fldChar w:fldCharType="begin"/>
    </w:r>
    <w:r w:rsidR="0012339A">
      <w:rPr>
        <w:rStyle w:val="PageNumber"/>
      </w:rPr>
      <w:instrText xml:space="preserve"> PAGE </w:instrText>
    </w:r>
    <w:r>
      <w:rPr>
        <w:rStyle w:val="PageNumber"/>
      </w:rPr>
      <w:fldChar w:fldCharType="separate"/>
    </w:r>
    <w:r w:rsidR="004A1CEF">
      <w:rPr>
        <w:rStyle w:val="PageNumber"/>
        <w:noProof/>
      </w:rPr>
      <w:t>16</w:t>
    </w:r>
    <w:r>
      <w:rPr>
        <w:rStyle w:val="PageNumber"/>
      </w:rPr>
      <w:fldChar w:fldCharType="end"/>
    </w:r>
  </w:p>
  <w:p w:rsidR="0012339A" w:rsidRDefault="0012339A">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17CA7">
    <w:pPr>
      <w:pStyle w:val="Footer"/>
      <w:jc w:val="right"/>
      <w:rPr>
        <w:rStyle w:val="PageNumber"/>
        <w:b w:val="0"/>
        <w:bCs/>
      </w:rPr>
    </w:pPr>
    <w:r>
      <w:rPr>
        <w:rStyle w:val="PageNumber"/>
        <w:b w:val="0"/>
        <w:bCs/>
      </w:rPr>
      <w:fldChar w:fldCharType="begin"/>
    </w:r>
    <w:r w:rsidR="0012339A">
      <w:rPr>
        <w:rStyle w:val="PageNumber"/>
        <w:b w:val="0"/>
        <w:bCs/>
      </w:rPr>
      <w:instrText xml:space="preserve"> PAGE </w:instrText>
    </w:r>
    <w:r>
      <w:rPr>
        <w:rStyle w:val="PageNumber"/>
        <w:b w:val="0"/>
        <w:bCs/>
      </w:rPr>
      <w:fldChar w:fldCharType="separate"/>
    </w:r>
    <w:r w:rsidR="004A1CEF">
      <w:rPr>
        <w:rStyle w:val="PageNumber"/>
        <w:b w:val="0"/>
        <w:bCs/>
        <w:noProof/>
      </w:rPr>
      <w:t>17</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Cs/>
        <w:iCs/>
      </w:rPr>
      <w:alias w:val="FOOTER_FRONT_PAGE"/>
      <w:tag w:val="FOOTER_FRONT_PAGE"/>
      <w:id w:val="82014432"/>
      <w:lock w:val="sdtContentLocked"/>
      <w:placeholder>
        <w:docPart w:val="10206B08C7974A76868A8BB49F2834E9"/>
      </w:placeholder>
    </w:sdtPr>
    <w:sdtEndPr>
      <w:rPr>
        <w:b w:val="0"/>
        <w:spacing w:val="-2"/>
        <w:sz w:val="20"/>
        <w:szCs w:val="18"/>
      </w:rPr>
    </w:sdtEndPr>
    <w:sdtContent>
      <w:p w:rsidR="004A1CEF" w:rsidRDefault="004A1CEF" w:rsidP="004A1CEF">
        <w:pPr>
          <w:pStyle w:val="FooterFrontPage1stLine"/>
          <w:framePr w:wrap="around"/>
        </w:pPr>
        <w:r>
          <w:t>See page 14 for analyst certification and important disclosures, including non-US analyst disclosures.</w:t>
        </w:r>
      </w:p>
      <w:p w:rsidR="0012339A" w:rsidRPr="0094269C" w:rsidRDefault="004A1CEF" w:rsidP="004A1CEF">
        <w:pPr>
          <w:pStyle w:val="FooterFrontPage"/>
          <w:framePr w:wrap="around"/>
        </w:pPr>
        <w: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sdtContent>
  </w:sdt>
  <w:p w:rsidR="0012339A" w:rsidRPr="00D14EE2" w:rsidRDefault="00117CA7" w:rsidP="00D14EE2">
    <w:pPr>
      <w:pStyle w:val="Footer"/>
    </w:pPr>
    <w:r w:rsidRPr="00117CA7">
      <w:rPr>
        <w:noProof/>
      </w:rPr>
      <w:pict>
        <v:shapetype id="_x0000_t202" coordsize="21600,21600" o:spt="202" path="m,l,21600r21600,l21600,xe">
          <v:stroke joinstyle="miter"/>
          <v:path gradientshapeok="t" o:connecttype="rect"/>
        </v:shapetype>
        <v:shape id="_x0000_s4123" type="#_x0000_t202" style="position:absolute;margin-left:366.5pt;margin-top:764.6pt;width:145.45pt;height:13.6pt;z-index:-251648512;mso-position-vertical-relative:page" wrapcoords="0 0" filled="f" stroked="f">
          <v:textbox inset="5.85pt,.7pt,5.85pt,.7pt">
            <w:txbxContent>
              <w:p w:rsidR="0012339A" w:rsidRPr="00D20423" w:rsidRDefault="00117CA7" w:rsidP="00D20423">
                <w:pPr>
                  <w:pStyle w:val="MorganmarketURL"/>
                </w:pPr>
                <w:hyperlink r:id="rId1" w:history="1">
                  <w:r w:rsidR="0012339A" w:rsidRPr="00D20423">
                    <w:rPr>
                      <w:rStyle w:val="Hyperlink"/>
                      <w:color w:val="4E8ABE"/>
                      <w:u w:val="none"/>
                    </w:rPr>
                    <w:t>www.jpmorganmarkets.com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2339A">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2339A">
    <w:pPr>
      <w:pStyle w:val="Footer"/>
      <w:rPr>
        <w:sz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2339A">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39A" w:rsidRDefault="0012339A" w:rsidP="00410841">
      <w:r>
        <w:separator/>
      </w:r>
    </w:p>
  </w:footnote>
  <w:footnote w:type="continuationSeparator" w:id="0">
    <w:p w:rsidR="0012339A" w:rsidRDefault="0012339A"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17CA7">
    <w:pPr>
      <w:pStyle w:val="Header"/>
      <w:spacing w:after="0"/>
    </w:pPr>
    <w:r w:rsidRPr="00117CA7">
      <w:pict>
        <v:shapetype id="_x0000_t202" coordsize="21600,21600" o:spt="202" path="m,l,21600r21600,l21600,xe">
          <v:stroke joinstyle="miter"/>
          <v:path gradientshapeok="t" o:connecttype="rect"/>
        </v:shapetype>
        <v:shape id="BannerEven" o:spid="_x0000_s4128" type="#_x0000_t202" style="position:absolute;margin-left:212.55pt;margin-top:16.2pt;width:368.7pt;height:24pt;z-index:251668992;mso-position-horizontal-relative:page;mso-position-vertical-relative:line" filled="f" stroked="f">
          <v:textbox style="mso-next-textbox:#BannerEven" inset="0,0,0,0">
            <w:txbxContent>
              <w:p w:rsidR="0012339A" w:rsidRPr="00EB6911" w:rsidRDefault="00117CA7" w:rsidP="004234B3">
                <w:pPr>
                  <w:pStyle w:val="Header"/>
                </w:pPr>
                <w:sdt>
                  <w:sdtPr>
                    <w:alias w:val="BANNER_CLAUSE_EVEN"/>
                    <w:tag w:val="BANNER_CLAUSE_EVEN"/>
                    <w:id w:val="9728346"/>
                    <w:lock w:val="contentLocked"/>
                    <w:placeholder>
                      <w:docPart w:val="0FDCD7CA14424585934B16E5749AE2BD"/>
                    </w:placeholder>
                    <w:showingPlcHdr/>
                    <w:text/>
                  </w:sdtPr>
                  <w:sdtContent>
                    <w:r w:rsidR="0012339A" w:rsidRPr="00EB6911">
                      <w:rPr>
                        <w:rStyle w:val="PlaceholderText"/>
                        <w:color w:val="auto"/>
                      </w:rPr>
                      <w:t xml:space="preserve"> </w:t>
                    </w:r>
                  </w:sdtContent>
                </w:sdt>
              </w:p>
              <w:p w:rsidR="0012339A" w:rsidRDefault="0012339A" w:rsidP="004234B3">
                <w:pPr>
                  <w:pStyle w:val="RegionGroupInvisible"/>
                </w:pPr>
              </w:p>
            </w:txbxContent>
          </v:textbox>
          <w10:wrap anchorx="page"/>
          <w10:anchorlock/>
        </v:shape>
      </w:pict>
    </w:r>
    <w:r w:rsidRPr="00117C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4106" type="#_x0000_t75" style="position:absolute;margin-left:13241.85pt;margin-top:46.8pt;width:151.5pt;height:15pt;z-index:251671040;visibility:hidden;mso-position-horizontal:right;mso-position-horizontal-relative:margin;mso-position-vertical-relative:page">
          <v:imagedata r:id="rId1" o:title="Logo2008_JPM_A_RGB%20for%20GPS%20JPM%20only"/>
          <w10:wrap type="square" anchorx="margin" anchory="page"/>
          <w10:anchorlock/>
        </v:shape>
      </w:pict>
    </w:r>
    <w:r w:rsidRPr="00117CA7">
      <w:pict>
        <v:shape id="JPMCazLogoEven" o:spid="_x0000_s4105" type="#_x0000_t75" style="position:absolute;margin-left:13241.85pt;margin-top:46.8pt;width:151.5pt;height:15pt;z-index:251683328;visibility:visible;mso-position-horizontal:right;mso-position-horizontal-relative:margin;mso-position-vertical-relative:page">
          <v:imagedata r:id="rId2" o:title="Logo2010_JPM_Cazenove_A_RGB%20for%20GPS"/>
          <w10:wrap type="square" anchorx="margin" anchory="page"/>
          <w10:anchorlock/>
        </v:shape>
      </w:pict>
    </w:r>
    <w:r w:rsidRPr="00117CA7">
      <w:rPr>
        <w:sz w:val="20"/>
      </w:rPr>
      <w:pict>
        <v:shape id="AnalystEven" o:spid="_x0000_s4110" type="#_x0000_t202" style="position:absolute;margin-left:56.9pt;margin-top:0;width:2in;height:1in;z-index:251662848;mso-position-horizontal-relative:page;mso-position-vertical:top;mso-position-vertical-relative:line" filled="f" stroked="f">
          <v:textbox style="mso-next-textbox:#AnalystEven" inset="0,0,0,0">
            <w:txbxContent>
              <w:p w:rsidR="0012339A" w:rsidRDefault="00117CA7">
                <w:pPr>
                  <w:pStyle w:val="Header"/>
                </w:pPr>
                <w:sdt>
                  <w:sdtPr>
                    <w:alias w:val="ANALYST_NAME_MAIN_EVEN"/>
                    <w:tag w:val="ANALYST_NAME_MAIN_EVEN"/>
                    <w:id w:val="27373893"/>
                    <w:lock w:val="sdtContentLocked"/>
                    <w:placeholder>
                      <w:docPart w:val="19BFABAFFEC346A88EDCE653AD1769AB"/>
                    </w:placeholder>
                    <w:text/>
                  </w:sdtPr>
                  <w:sdtContent>
                    <w:r w:rsidR="004A1CEF">
                      <w:t>Andreas van Embden</w:t>
                    </w:r>
                  </w:sdtContent>
                </w:sdt>
                <w:r w:rsidR="0012339A">
                  <w:br/>
                </w:r>
                <w:sdt>
                  <w:sdtPr>
                    <w:alias w:val="ANALYST_PHONE_MAIN_EVEN"/>
                    <w:tag w:val="ANALYST_PHONE_MAIN_EVEN"/>
                    <w:id w:val="27373866"/>
                    <w:lock w:val="sdtContentLocked"/>
                    <w:placeholder>
                      <w:docPart w:val="6DD421872E8942AD9FCED3047D74EAAA"/>
                    </w:placeholder>
                    <w:text/>
                  </w:sdtPr>
                  <w:sdtContent>
                    <w:r w:rsidR="004A1CEF">
                      <w:t>(44-20) 7134-4574</w:t>
                    </w:r>
                  </w:sdtContent>
                </w:sdt>
                <w:r w:rsidR="0012339A">
                  <w:br/>
                </w:r>
                <w:sdt>
                  <w:sdtPr>
                    <w:alias w:val="ANALYST_EMAIL_MAIN_EVEN"/>
                    <w:tag w:val="ANALYST_EMAIL_MAIN_EVEN"/>
                    <w:id w:val="27373838"/>
                    <w:lock w:val="sdtContentLocked"/>
                    <w:placeholder>
                      <w:docPart w:val="5FCEDD3FCA2245A4819C31F115F3830B"/>
                    </w:placeholder>
                    <w:text/>
                  </w:sdtPr>
                  <w:sdtContent>
                    <w:r w:rsidR="004A1CEF">
                      <w:t>andreas.vanembden@jpmorgan.com</w:t>
                    </w:r>
                  </w:sdtContent>
                </w:sdt>
              </w:p>
              <w:p w:rsidR="0012339A" w:rsidRDefault="00117CA7">
                <w:pPr>
                  <w:pStyle w:val="Header"/>
                </w:pPr>
                <w:sdt>
                  <w:sdtPr>
                    <w:alias w:val="ANALYST_NAME_EVEN"/>
                    <w:tag w:val="ANALYST_NAME_EVEN"/>
                    <w:id w:val="27373811"/>
                    <w:lock w:val="sdtContentLocked"/>
                    <w:placeholder>
                      <w:docPart w:val="1A8F8F133564418BA507C75E261E4AB2"/>
                    </w:placeholder>
                    <w:showingPlcHdr/>
                    <w:text/>
                  </w:sdtPr>
                  <w:sdtContent>
                    <w:r w:rsidR="0012339A">
                      <w:t xml:space="preserve"> </w:t>
                    </w:r>
                  </w:sdtContent>
                </w:sdt>
                <w:r w:rsidR="0012339A">
                  <w:br/>
                </w:r>
                <w:sdt>
                  <w:sdtPr>
                    <w:alias w:val="ANALYST_PHONE_EVEN"/>
                    <w:tag w:val="ANALYST_PHONE_EVEN"/>
                    <w:id w:val="27373784"/>
                    <w:lock w:val="sdtContentLocked"/>
                    <w:placeholder>
                      <w:docPart w:val="58BD7ECB52A945108E4645A7810027A6"/>
                    </w:placeholder>
                    <w:showingPlcHdr/>
                    <w:text/>
                  </w:sdtPr>
                  <w:sdtContent>
                    <w:r w:rsidR="0012339A">
                      <w:t xml:space="preserve"> </w:t>
                    </w:r>
                  </w:sdtContent>
                </w:sdt>
                <w:r w:rsidR="0012339A">
                  <w:br/>
                </w:r>
                <w:sdt>
                  <w:sdtPr>
                    <w:alias w:val="ANALYST_EMAIL_EVEN"/>
                    <w:tag w:val="ANALYST_EMAIL_EVEN"/>
                    <w:id w:val="27373757"/>
                    <w:lock w:val="sdtContentLocked"/>
                    <w:placeholder>
                      <w:docPart w:val="AB8154FE08EA403CB03EDD803873DF86"/>
                    </w:placeholder>
                    <w:showingPlcHdr/>
                    <w:text/>
                  </w:sdtPr>
                  <w:sdtContent>
                    <w:r w:rsidR="0012339A">
                      <w:t xml:space="preserve"> </w:t>
                    </w:r>
                  </w:sdtContent>
                </w:sdt>
              </w:p>
            </w:txbxContent>
          </v:textbox>
          <w10:wrap anchorx="page"/>
          <w10:anchorlock/>
        </v:shape>
      </w:pict>
    </w:r>
    <w:r w:rsidRPr="00117CA7">
      <w:rPr>
        <w:sz w:val="20"/>
      </w:rPr>
      <w:pict>
        <v:shape id="DealDerivativeEven" o:spid="_x0000_s4111" type="#_x0000_t202" style="position:absolute;margin-left:212.4pt;margin-top:18.7pt;width:343.45pt;height:52.55pt;z-index:251663872;visibility:hidden;mso-position-horizontal-relative:page;mso-position-vertical-relative:line" stroked="f">
          <v:textbox style="mso-next-textbox:#DealDerivativeEven" inset="0,0,0,0">
            <w:txbxContent>
              <w:p w:rsidR="0012339A" w:rsidRDefault="0012339A">
                <w:pPr>
                  <w:pStyle w:val="IPOInsidePage"/>
                </w:pPr>
              </w:p>
              <w:p w:rsidR="0012339A" w:rsidRDefault="0012339A">
                <w:pPr>
                  <w:pStyle w:val="RegionGroupInvisible"/>
                </w:pPr>
              </w:p>
            </w:txbxContent>
          </v:textbox>
          <w10:wrap anchorx="page"/>
          <w10:anchorlock/>
        </v:shape>
      </w:pict>
    </w:r>
    <w:r w:rsidRPr="00117CA7">
      <w:rPr>
        <w:sz w:val="20"/>
      </w:rPr>
      <w:pict>
        <v:shape id="RegionGroupEven" o:spid="_x0000_s4107"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12339A" w:rsidRDefault="00117CA7">
                <w:pPr>
                  <w:pStyle w:val="HeaderRegionGroup"/>
                  <w:suppressOverlap/>
                </w:pPr>
                <w:sdt>
                  <w:sdtPr>
                    <w:alias w:val="REGION_EVEN"/>
                    <w:tag w:val="REGION_EVEN"/>
                    <w:id w:val="27373728"/>
                    <w:lock w:val="sdtContentLocked"/>
                    <w:placeholder>
                      <w:docPart w:val="02EDD5ACEBCE49F392D8767C17C8C47B"/>
                    </w:placeholder>
                    <w:text/>
                  </w:sdtPr>
                  <w:sdtContent>
                    <w:r w:rsidR="004A1CEF">
                      <w:t xml:space="preserve">Europe </w:t>
                    </w:r>
                  </w:sdtContent>
                </w:sdt>
                <w:sdt>
                  <w:sdtPr>
                    <w:alias w:val="BUSINESS_GROUP_EVEN"/>
                    <w:tag w:val="BUSINESS_GROUP_EVEN"/>
                    <w:id w:val="27373700"/>
                    <w:lock w:val="sdtContentLocked"/>
                    <w:placeholder>
                      <w:docPart w:val="791DC2AAB2A04F2085241DEE85676BE0"/>
                    </w:placeholder>
                    <w:text/>
                  </w:sdtPr>
                  <w:sdtContent>
                    <w:r w:rsidR="004A1CEF">
                      <w:t>Equity Research</w:t>
                    </w:r>
                  </w:sdtContent>
                </w:sdt>
              </w:p>
              <w:sdt>
                <w:sdtPr>
                  <w:alias w:val="PUBLICATION_DATE_EVEN"/>
                  <w:tag w:val="PUBLICATION_DATE_EVEN"/>
                  <w:id w:val="1330412"/>
                  <w:lock w:val="sdtContentLocked"/>
                  <w:placeholder>
                    <w:docPart w:val="96667F53597F47BA94C77F34F14E112B"/>
                  </w:placeholder>
                  <w:text/>
                </w:sdtPr>
                <w:sdtContent>
                  <w:p w:rsidR="0012339A" w:rsidRDefault="004A1CEF">
                    <w:pPr>
                      <w:pStyle w:val="Header"/>
                    </w:pPr>
                    <w:r>
                      <w:t>07 July 2014</w:t>
                    </w:r>
                  </w:p>
                </w:sdtContent>
              </w:sdt>
              <w:p w:rsidR="0012339A" w:rsidRDefault="0012339A">
                <w:pPr>
                  <w:pStyle w:val="RegionGroupInvisible"/>
                </w:pPr>
              </w:p>
            </w:txbxContent>
          </v:textbox>
          <w10:wrap anchorx="page"/>
          <w10:anchorlock/>
        </v:shape>
      </w:pict>
    </w:r>
  </w:p>
  <w:p w:rsidR="0012339A" w:rsidRDefault="0012339A">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17CA7">
    <w:pPr>
      <w:pStyle w:val="Header"/>
      <w:spacing w:after="0"/>
    </w:pPr>
    <w:r w:rsidRPr="00117CA7">
      <w:pict>
        <v:shapetype id="_x0000_t202" coordsize="21600,21600" o:spt="202" path="m,l,21600r21600,l21600,xe">
          <v:stroke joinstyle="miter"/>
          <v:path gradientshapeok="t" o:connecttype="rect"/>
        </v:shapetype>
        <v:shape id="BannerOdd" o:spid="_x0000_s4129" type="#_x0000_t202" style="position:absolute;margin-left:212.35pt;margin-top:16.15pt;width:368.7pt;height:24pt;z-index:251670016;mso-position-horizontal-relative:page;mso-position-vertical-relative:line" filled="f" stroked="f">
          <v:textbox style="mso-next-textbox:#BannerOdd" inset="0,0,0,0">
            <w:txbxContent>
              <w:p w:rsidR="0012339A" w:rsidRPr="003D1683" w:rsidRDefault="00117CA7" w:rsidP="004234B3">
                <w:pPr>
                  <w:pStyle w:val="Header"/>
                </w:pPr>
                <w:sdt>
                  <w:sdtPr>
                    <w:alias w:val="BANNER_CLAUSE_ODD"/>
                    <w:tag w:val="BANNER_CLAUSE_ODD"/>
                    <w:id w:val="17119566"/>
                    <w:lock w:val="contentLocked"/>
                    <w:placeholder>
                      <w:docPart w:val="25F18112EF9441C4BA05F772A7E38958"/>
                    </w:placeholder>
                    <w:showingPlcHdr/>
                    <w:text/>
                  </w:sdtPr>
                  <w:sdtContent>
                    <w:r w:rsidR="0012339A" w:rsidRPr="003D1683">
                      <w:t xml:space="preserve"> </w:t>
                    </w:r>
                  </w:sdtContent>
                </w:sdt>
              </w:p>
              <w:p w:rsidR="0012339A" w:rsidRDefault="0012339A" w:rsidP="004234B3">
                <w:pPr>
                  <w:pStyle w:val="RegionGroupInvisible"/>
                </w:pPr>
              </w:p>
            </w:txbxContent>
          </v:textbox>
          <w10:wrap anchorx="page"/>
          <w10:anchorlock/>
        </v:shape>
      </w:pict>
    </w:r>
    <w:r w:rsidRPr="00117C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4102" type="#_x0000_t75" style="position:absolute;margin-left:13241.85pt;margin-top:46.8pt;width:151.5pt;height:15pt;z-index:251672064;visibility:hidden;mso-position-horizontal:right;mso-position-horizontal-relative:margin;mso-position-vertical-relative:page">
          <v:imagedata r:id="rId1" o:title="Logo2008_JPM_A_RGB%20for%20GPS%20JPM%20only"/>
          <w10:wrap type="square" anchorx="margin" anchory="page"/>
          <w10:anchorlock/>
        </v:shape>
      </w:pict>
    </w:r>
    <w:r w:rsidRPr="00117CA7">
      <w:pict>
        <v:shape id="JPMCazLogoPrimary" o:spid="_x0000_s4101" type="#_x0000_t75" style="position:absolute;margin-left:13241.85pt;margin-top:46.8pt;width:151.5pt;height:15pt;z-index:251682304;visibility:visible;mso-position-horizontal:right;mso-position-horizontal-relative:margin;mso-position-vertical-relative:page">
          <v:imagedata r:id="rId2" o:title="Logo2010_JPM_Cazenove_A_RGB%20for%20GPS"/>
          <w10:wrap type="square" anchorx="margin" anchory="page"/>
          <w10:anchorlock/>
        </v:shape>
      </w:pict>
    </w:r>
    <w:r w:rsidRPr="00117CA7">
      <w:rPr>
        <w:sz w:val="20"/>
      </w:rPr>
      <w:pict>
        <v:shape id="DealDerivativePrimary" o:spid="_x0000_s4112"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12339A" w:rsidRDefault="0012339A">
                <w:pPr>
                  <w:pStyle w:val="IPOInsidePage"/>
                </w:pPr>
              </w:p>
              <w:p w:rsidR="0012339A" w:rsidRDefault="0012339A">
                <w:pPr>
                  <w:pStyle w:val="RegionGroupInvisible"/>
                </w:pPr>
              </w:p>
            </w:txbxContent>
          </v:textbox>
          <w10:wrap anchorx="page"/>
          <w10:anchorlock/>
        </v:shape>
      </w:pict>
    </w:r>
    <w:r w:rsidRPr="00117CA7">
      <w:rPr>
        <w:sz w:val="20"/>
      </w:rPr>
      <w:pict>
        <v:shape id="AnalystPrimary" o:spid="_x0000_s4109"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12339A" w:rsidRDefault="00117CA7">
                <w:pPr>
                  <w:pStyle w:val="Header"/>
                </w:pPr>
                <w:sdt>
                  <w:sdtPr>
                    <w:alias w:val="ANALYST_NAME_MAIN_ODD"/>
                    <w:tag w:val="ANALYST_NAME_MAIN_ODD"/>
                    <w:id w:val="31622201"/>
                    <w:lock w:val="sdtContentLocked"/>
                    <w:placeholder>
                      <w:docPart w:val="C1D0B2851FBA49ED8D694B54EEE38070"/>
                    </w:placeholder>
                    <w:text/>
                  </w:sdtPr>
                  <w:sdtContent>
                    <w:r w:rsidR="004A1CEF">
                      <w:t>Andreas van Embden</w:t>
                    </w:r>
                  </w:sdtContent>
                </w:sdt>
                <w:r w:rsidR="0012339A">
                  <w:br/>
                </w:r>
                <w:sdt>
                  <w:sdtPr>
                    <w:alias w:val="ANALYST_PHONE_MAIN_ODD"/>
                    <w:tag w:val="ANALYST_PHONE_MAIN_ODD"/>
                    <w:id w:val="31622174"/>
                    <w:lock w:val="sdtContentLocked"/>
                    <w:placeholder>
                      <w:docPart w:val="9973C0A821194D19B8BBC30B2BBD7AA5"/>
                    </w:placeholder>
                    <w:text/>
                  </w:sdtPr>
                  <w:sdtContent>
                    <w:r w:rsidR="004A1CEF">
                      <w:t>(44-20) 7134-4574</w:t>
                    </w:r>
                  </w:sdtContent>
                </w:sdt>
                <w:r w:rsidR="0012339A">
                  <w:br/>
                </w:r>
                <w:sdt>
                  <w:sdtPr>
                    <w:alias w:val="ANALYST_EMAIL_MAIN_ODD"/>
                    <w:tag w:val="ANALYST_EMAIL_MAIN_ODD"/>
                    <w:id w:val="31622147"/>
                    <w:lock w:val="sdtContentLocked"/>
                    <w:placeholder>
                      <w:docPart w:val="A74AD7A2F1C54C12ACCBF9B1A741F918"/>
                    </w:placeholder>
                    <w:text/>
                  </w:sdtPr>
                  <w:sdtContent>
                    <w:r w:rsidR="004A1CEF">
                      <w:t>andreas.vanembden@jpmorgan.com</w:t>
                    </w:r>
                  </w:sdtContent>
                </w:sdt>
              </w:p>
              <w:p w:rsidR="0012339A" w:rsidRDefault="00117CA7">
                <w:pPr>
                  <w:pStyle w:val="Header"/>
                </w:pPr>
                <w:sdt>
                  <w:sdtPr>
                    <w:alias w:val="ANALYST_NAME_ODD"/>
                    <w:tag w:val="ANALYST_NAME_ODD"/>
                    <w:id w:val="31622120"/>
                    <w:lock w:val="sdtContentLocked"/>
                    <w:placeholder>
                      <w:docPart w:val="43BBB399B6484AD9B835422CCE9091CA"/>
                    </w:placeholder>
                    <w:showingPlcHdr/>
                    <w:text/>
                  </w:sdtPr>
                  <w:sdtContent>
                    <w:r w:rsidR="0012339A">
                      <w:t xml:space="preserve"> </w:t>
                    </w:r>
                  </w:sdtContent>
                </w:sdt>
                <w:r w:rsidR="0012339A">
                  <w:br/>
                </w:r>
                <w:sdt>
                  <w:sdtPr>
                    <w:alias w:val="ANALYST_PHONE_ODD"/>
                    <w:tag w:val="ANALYST_PHONE_ODD"/>
                    <w:id w:val="31622093"/>
                    <w:lock w:val="sdtContentLocked"/>
                    <w:placeholder>
                      <w:docPart w:val="2B06382F5C484D8794781B2A2F303EFC"/>
                    </w:placeholder>
                    <w:showingPlcHdr/>
                    <w:text/>
                  </w:sdtPr>
                  <w:sdtContent>
                    <w:r w:rsidR="0012339A">
                      <w:t xml:space="preserve"> </w:t>
                    </w:r>
                  </w:sdtContent>
                </w:sdt>
                <w:r w:rsidR="0012339A">
                  <w:br/>
                </w:r>
                <w:sdt>
                  <w:sdtPr>
                    <w:alias w:val="ANALYST_EMAIL_ODD"/>
                    <w:tag w:val="ANALYST_EMAIL_ODD"/>
                    <w:id w:val="31622066"/>
                    <w:lock w:val="sdtContentLocked"/>
                    <w:placeholder>
                      <w:docPart w:val="991004DBBE354027A00F98ADD87A3C63"/>
                    </w:placeholder>
                    <w:showingPlcHdr/>
                    <w:text/>
                  </w:sdtPr>
                  <w:sdtContent>
                    <w:r w:rsidR="0012339A">
                      <w:t xml:space="preserve"> </w:t>
                    </w:r>
                  </w:sdtContent>
                </w:sdt>
              </w:p>
            </w:txbxContent>
          </v:textbox>
          <w10:wrap anchorx="page"/>
          <w10:anchorlock/>
        </v:shape>
      </w:pict>
    </w:r>
    <w:r w:rsidRPr="00117CA7">
      <w:rPr>
        <w:sz w:val="20"/>
      </w:rPr>
      <w:pict>
        <v:shape id="RegionGroupPrimary" o:spid="_x0000_s4108"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12339A" w:rsidRDefault="00117CA7">
                <w:pPr>
                  <w:pStyle w:val="HeaderRegionGroup"/>
                  <w:suppressOverlap/>
                </w:pPr>
                <w:sdt>
                  <w:sdtPr>
                    <w:alias w:val="REGION_ODD"/>
                    <w:tag w:val="REGION_ODD"/>
                    <w:id w:val="31622039"/>
                    <w:lock w:val="sdtContentLocked"/>
                    <w:placeholder>
                      <w:docPart w:val="5CCA85C597054782984255A8881651EB"/>
                    </w:placeholder>
                    <w:text/>
                  </w:sdtPr>
                  <w:sdtContent>
                    <w:r w:rsidR="004A1CEF">
                      <w:t xml:space="preserve">Europe </w:t>
                    </w:r>
                  </w:sdtContent>
                </w:sdt>
                <w:sdt>
                  <w:sdtPr>
                    <w:alias w:val="BUSINESS_GROUP_ODD"/>
                    <w:tag w:val="BUSINESS_GROUP_ODD"/>
                    <w:id w:val="31622012"/>
                    <w:lock w:val="sdtContentLocked"/>
                    <w:placeholder>
                      <w:docPart w:val="6851AF7DA88F4E0EBB6ECCF81DE7EC88"/>
                    </w:placeholder>
                    <w:text/>
                  </w:sdtPr>
                  <w:sdtContent>
                    <w:r w:rsidR="004A1CEF">
                      <w:t>Equity Research</w:t>
                    </w:r>
                  </w:sdtContent>
                </w:sdt>
              </w:p>
              <w:sdt>
                <w:sdtPr>
                  <w:alias w:val="PUBLICATION_DATE_ODD"/>
                  <w:tag w:val="PUBLICATION_DATE_ODD"/>
                  <w:id w:val="1330448"/>
                  <w:lock w:val="sdtContentLocked"/>
                  <w:placeholder>
                    <w:docPart w:val="BB01FD47494C40B19908026B7B791A34"/>
                  </w:placeholder>
                  <w:text/>
                </w:sdtPr>
                <w:sdtContent>
                  <w:p w:rsidR="0012339A" w:rsidRDefault="004A1CEF">
                    <w:pPr>
                      <w:pStyle w:val="Header"/>
                    </w:pPr>
                    <w:r>
                      <w:t>07 July 2014</w:t>
                    </w:r>
                  </w:p>
                </w:sdtContent>
              </w:sdt>
            </w:txbxContent>
          </v:textbox>
          <w10:wrap anchorx="page"/>
          <w10:anchorlock/>
        </v:shape>
      </w:pict>
    </w:r>
  </w:p>
  <w:p w:rsidR="0012339A" w:rsidRDefault="0012339A">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12339A">
      <w:trPr>
        <w:trHeight w:val="15825"/>
      </w:trPr>
      <w:tc>
        <w:tcPr>
          <w:tcW w:w="1440" w:type="dxa"/>
          <w:shd w:val="clear" w:color="auto" w:fill="auto"/>
        </w:tcPr>
        <w:p w:rsidR="0012339A" w:rsidRDefault="0012339A" w:rsidP="009D5128">
          <w:pPr>
            <w:tabs>
              <w:tab w:val="left" w:pos="6360"/>
            </w:tabs>
            <w:spacing w:after="120"/>
          </w:pPr>
        </w:p>
      </w:tc>
    </w:tr>
  </w:tbl>
  <w:p w:rsidR="0012339A" w:rsidRDefault="00117CA7" w:rsidP="001C3457">
    <w:pPr>
      <w:pStyle w:val="RegionGroup"/>
    </w:pPr>
    <w:sdt>
      <w:sdtPr>
        <w:alias w:val="REGION"/>
        <w:tag w:val="REGION"/>
        <w:id w:val="164905360"/>
        <w:lock w:val="sdtLocked"/>
        <w:placeholder>
          <w:docPart w:val="0DC70BBC2E9145AF8225F06B3DFDFFF1"/>
        </w:placeholder>
        <w:comboBox>
          <w:listItem w:displayText="Asia Pacific" w:value="Asia Pacific"/>
          <w:listItem w:displayText="Japan" w:value="Japan"/>
          <w:listItem w:displayText="Global" w:value="Global"/>
          <w:listItem w:displayText="Europe" w:value="Europe"/>
        </w:comboBox>
      </w:sdtPr>
      <w:sdtContent>
        <w:r w:rsidR="004A1CEF">
          <w:t xml:space="preserve">Europe </w:t>
        </w:r>
      </w:sdtContent>
    </w:sdt>
    <w:sdt>
      <w:sdtPr>
        <w:alias w:val="BUSINESS_GROUP"/>
        <w:tag w:val="BUSINESS_GROUP"/>
        <w:id w:val="164905373"/>
        <w:lock w:val="sdtLocked"/>
        <w:placeholder>
          <w:docPart w:val="86F20485B5694695A66629880C83CBA1"/>
        </w:placeholder>
        <w:comboBox>
          <w:listItem w:displayText="Equity Research" w:value="Equity Research"/>
          <w:listItem w:displayText="Corporate Research" w:value="Corporate Research"/>
        </w:comboBox>
      </w:sdtPr>
      <w:sdtContent>
        <w:r w:rsidR="004A1CEF">
          <w:t>Equity Research</w:t>
        </w:r>
      </w:sdtContent>
    </w:sdt>
  </w:p>
  <w:p w:rsidR="0012339A" w:rsidRPr="00491D29" w:rsidRDefault="00117CA7" w:rsidP="00491D29">
    <w:pPr>
      <w:pStyle w:val="PublishDate"/>
    </w:pPr>
    <w:sdt>
      <w:sdtPr>
        <w:alias w:val="PUBLICATION_DATE"/>
        <w:tag w:val="PUBLICATION_DATE"/>
        <w:id w:val="1330385"/>
        <w:lock w:val="sdtContentLocked"/>
        <w:placeholder>
          <w:docPart w:val="DBCC2AA95E814A6089B548DA9BD61BE4"/>
        </w:placeholder>
        <w:text/>
      </w:sdtPr>
      <w:sdtContent>
        <w:r w:rsidR="004A1CEF">
          <w:t>07 July 2014</w:t>
        </w:r>
      </w:sdtContent>
    </w:sdt>
    <w:r w:rsidRPr="00117C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4103" type="#_x0000_t75" style="position:absolute;left:0;text-align:left;margin-left:79.2pt;margin-top:17.3pt;width:259.5pt;height:36pt;z-index:251684352;visibility:visible;mso-position-horizontal-relative:page;mso-position-vertical-relative:page">
          <v:imagedata r:id="rId1" o:title="JPMCaz-pp1"/>
          <w10:wrap type="square" anchorx="page" anchory="page"/>
          <w10:anchorlock/>
        </v:shape>
      </w:pict>
    </w:r>
    <w:r w:rsidRPr="00117CA7">
      <w:pict>
        <v:shape id="JPMLogo_Cover" o:spid="_x0000_s4104" type="#_x0000_t75" style="position:absolute;left:0;text-align:left;margin-left:79.2pt;margin-top:17.3pt;width:259.5pt;height:36pt;z-index:251654656;visibility:hidden;mso-position-horizontal-relative:page;mso-position-vertical-relative:page">
          <v:imagedata r:id="rId2" o:title="JPM-pp1"/>
          <w10:wrap type="square" anchorx="page" anchory="page"/>
          <w10:anchorlock/>
        </v:shape>
      </w:pict>
    </w:r>
    <w:r w:rsidRPr="00117CA7">
      <w:pict>
        <v:shape id="JPMSpine" o:spid="_x0000_s4114" type="#_x0000_t75" style="position:absolute;left:0;text-align:left;margin-left:-93.5pt;margin-top:-39.15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12339A" w:rsidTr="009D5128">
      <w:trPr>
        <w:cantSplit/>
        <w:trHeight w:hRule="exact" w:val="23"/>
      </w:trPr>
      <w:sdt>
        <w:sdtPr>
          <w:alias w:val="FRONT_PAGE_BANNER_RETRACT"/>
          <w:tag w:val="FRONT_PAGE_BANNER_RETRACT"/>
          <w:id w:val="465380612"/>
          <w:lock w:val="contentLocked"/>
          <w:placeholder>
            <w:docPart w:val="3376F2783CEF4E0FB338F94CAFF56EAF"/>
          </w:placeholder>
          <w:showingPlcHdr/>
          <w:text/>
        </w:sdtPr>
        <w:sdtContent>
          <w:tc>
            <w:tcPr>
              <w:tcW w:w="9979" w:type="dxa"/>
              <w:gridSpan w:val="3"/>
              <w:tcMar>
                <w:top w:w="29" w:type="dxa"/>
                <w:left w:w="29" w:type="dxa"/>
                <w:bottom w:w="29" w:type="dxa"/>
                <w:right w:w="432" w:type="dxa"/>
              </w:tcMar>
              <w:vAlign w:val="bottom"/>
            </w:tcPr>
            <w:p w:rsidR="0012339A" w:rsidRDefault="0012339A" w:rsidP="009D5128">
              <w:pPr>
                <w:pStyle w:val="ReportType"/>
                <w:framePr w:hSpace="0" w:wrap="auto" w:vAnchor="margin" w:xAlign="left" w:yAlign="inline"/>
              </w:pPr>
              <w:r>
                <w:t xml:space="preserve"> </w:t>
              </w:r>
            </w:p>
          </w:tc>
        </w:sdtContent>
      </w:sdt>
    </w:tr>
    <w:tr w:rsidR="0012339A" w:rsidTr="00577713">
      <w:trPr>
        <w:cantSplit/>
        <w:trHeight w:hRule="exact" w:val="23"/>
      </w:trPr>
      <w:sdt>
        <w:sdtPr>
          <w:alias w:val="FRONT_PAGE_BANNER"/>
          <w:tag w:val="FRONT_PAGE_BANNER"/>
          <w:id w:val="93880344"/>
          <w:lock w:val="sdtContentLocked"/>
          <w:placeholder>
            <w:docPart w:val="738EF6F70B104E61ACF19F67F60F7D7C"/>
          </w:placeholder>
          <w:showingPlcHdr/>
          <w:text/>
        </w:sdtPr>
        <w:sdtContent>
          <w:tc>
            <w:tcPr>
              <w:tcW w:w="9979" w:type="dxa"/>
              <w:gridSpan w:val="3"/>
              <w:tcMar>
                <w:top w:w="29" w:type="dxa"/>
                <w:left w:w="29" w:type="dxa"/>
                <w:bottom w:w="29" w:type="dxa"/>
                <w:right w:w="432" w:type="dxa"/>
              </w:tcMar>
              <w:vAlign w:val="bottom"/>
            </w:tcPr>
            <w:p w:rsidR="0012339A" w:rsidRDefault="0012339A" w:rsidP="009D5128">
              <w:pPr>
                <w:pStyle w:val="ReportType"/>
                <w:framePr w:hSpace="0" w:wrap="auto" w:vAnchor="margin" w:xAlign="left" w:yAlign="inline"/>
              </w:pPr>
              <w:r>
                <w:t xml:space="preserve"> </w:t>
              </w:r>
            </w:p>
          </w:tc>
        </w:sdtContent>
      </w:sdt>
    </w:tr>
    <w:tr w:rsidR="0012339A" w:rsidTr="00577713">
      <w:trPr>
        <w:cantSplit/>
      </w:trPr>
      <w:tc>
        <w:tcPr>
          <w:tcW w:w="6750" w:type="dxa"/>
          <w:tcMar>
            <w:top w:w="29" w:type="dxa"/>
            <w:left w:w="29" w:type="dxa"/>
            <w:bottom w:w="29" w:type="dxa"/>
            <w:right w:w="432" w:type="dxa"/>
          </w:tcMar>
          <w:vAlign w:val="bottom"/>
        </w:tcPr>
        <w:p w:rsidR="0012339A" w:rsidRDefault="00117CA7" w:rsidP="00C27FE1">
          <w:pPr>
            <w:pStyle w:val="FPTitleCompany"/>
            <w:framePr w:hSpace="0" w:wrap="auto" w:vAnchor="margin" w:xAlign="left" w:yAlign="inline"/>
          </w:pPr>
          <w:sdt>
            <w:sdtPr>
              <w:alias w:val="TITLE"/>
              <w:tag w:val="TITLE"/>
              <w:id w:val="840452"/>
              <w:lock w:val="sdtContentLocked"/>
              <w:placeholder>
                <w:docPart w:val="CB54F80BC34B425FA67C985048C85AC8"/>
              </w:placeholder>
              <w:text/>
            </w:sdtPr>
            <w:sdtContent>
              <w:r w:rsidR="0012339A">
                <w:t>Lloyd's Insurers</w:t>
              </w:r>
            </w:sdtContent>
          </w:sdt>
        </w:p>
      </w:tc>
      <w:tc>
        <w:tcPr>
          <w:tcW w:w="344" w:type="dxa"/>
        </w:tcPr>
        <w:p w:rsidR="0012339A" w:rsidRPr="008C1005" w:rsidRDefault="0012339A" w:rsidP="00D14EE2">
          <w:pPr>
            <w:pStyle w:val="RatingChangeArrow"/>
            <w:framePr w:hSpace="0" w:wrap="auto" w:vAnchor="margin" w:xAlign="left" w:yAlign="inline"/>
          </w:pPr>
        </w:p>
      </w:tc>
      <w:tc>
        <w:tcPr>
          <w:tcW w:w="2885" w:type="dxa"/>
          <w:vAlign w:val="bottom"/>
        </w:tcPr>
        <w:p w:rsidR="0012339A" w:rsidRPr="00EF5DA4" w:rsidRDefault="0012339A" w:rsidP="00A35CD6">
          <w:pPr>
            <w:pStyle w:val="ReportType"/>
            <w:framePr w:hSpace="0" w:wrap="auto" w:vAnchor="margin" w:xAlign="left" w:yAlign="inline"/>
          </w:pPr>
        </w:p>
      </w:tc>
    </w:tr>
    <w:tr w:rsidR="0012339A" w:rsidTr="00577713">
      <w:trPr>
        <w:cantSplit/>
      </w:trPr>
      <w:tc>
        <w:tcPr>
          <w:tcW w:w="6750" w:type="dxa"/>
          <w:tcMar>
            <w:right w:w="432" w:type="dxa"/>
          </w:tcMar>
        </w:tcPr>
        <w:p w:rsidR="0012339A" w:rsidRDefault="00117CA7" w:rsidP="00D8401F">
          <w:pPr>
            <w:pStyle w:val="SubTitle"/>
          </w:pPr>
          <w:sdt>
            <w:sdtPr>
              <w:alias w:val="SUBTITLE"/>
              <w:tag w:val="SUBTITLE"/>
              <w:id w:val="840455"/>
              <w:lock w:val="sdtLocked"/>
              <w:placeholder>
                <w:docPart w:val="4B3C83A355F54EE8A9AC57EDBE69D71E"/>
              </w:placeholder>
              <w:text/>
            </w:sdtPr>
            <w:sdtContent>
              <w:r w:rsidR="0012339A">
                <w:t>Valuation sheet &amp; recent developments</w:t>
              </w:r>
            </w:sdtContent>
          </w:sdt>
        </w:p>
      </w:tc>
      <w:tc>
        <w:tcPr>
          <w:tcW w:w="344" w:type="dxa"/>
        </w:tcPr>
        <w:p w:rsidR="0012339A" w:rsidRPr="00F22CA1" w:rsidRDefault="0012339A" w:rsidP="00D14EE2">
          <w:pPr>
            <w:pStyle w:val="PTChangeArrow"/>
            <w:framePr w:hSpace="0" w:wrap="auto" w:vAnchor="margin" w:xAlign="left" w:yAlign="inline"/>
          </w:pPr>
        </w:p>
      </w:tc>
      <w:tc>
        <w:tcPr>
          <w:tcW w:w="2885" w:type="dxa"/>
        </w:tcPr>
        <w:p w:rsidR="0012339A" w:rsidRPr="00EF2AB4" w:rsidRDefault="0012339A" w:rsidP="00A35CD6">
          <w:pPr>
            <w:pStyle w:val="PriceDual"/>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12339A" w:rsidTr="009D5128">
      <w:trPr>
        <w:cantSplit/>
      </w:trPr>
      <w:tc>
        <w:tcPr>
          <w:tcW w:w="2880" w:type="dxa"/>
          <w:vAlign w:val="center"/>
        </w:tcPr>
        <w:p w:rsidR="0012339A" w:rsidRPr="00D14EE2" w:rsidRDefault="00117CA7" w:rsidP="004A1CEF">
          <w:pPr>
            <w:pStyle w:val="GroupName"/>
          </w:pPr>
          <w:sdt>
            <w:sdtPr>
              <w:alias w:val="INDUSTRY"/>
              <w:tag w:val="INDUSTRY"/>
              <w:id w:val="840458"/>
              <w:lock w:val="sdtContentLocked"/>
              <w:placeholder>
                <w:docPart w:val="F74B31936ADA479080BD9C058499921F"/>
              </w:placeholder>
              <w:text/>
            </w:sdtPr>
            <w:sdtContent>
              <w:r w:rsidR="004A1CEF">
                <w:t>Insurance - Non-life</w:t>
              </w:r>
            </w:sdtContent>
          </w:sdt>
        </w:p>
        <w:sdt>
          <w:sdtPr>
            <w:alias w:val="ANALYST_DETAILS"/>
            <w:tag w:val="ANALYST_DETAILS"/>
            <w:id w:val="189518047"/>
            <w:lock w:val="sdtContentLocked"/>
            <w:placeholder>
              <w:docPart w:val="CAF12255DA4E4F5894BCD64F65CC75B5"/>
            </w:placeholder>
          </w:sdtPr>
          <w:sdtEndPr>
            <w:rPr>
              <w:b w:val="0"/>
              <w:color w:val="000000"/>
              <w:sz w:val="14"/>
              <w:szCs w:val="14"/>
            </w:rPr>
          </w:sdtEndPr>
          <w:sdtContent>
            <w:p w:rsidR="004A1CEF" w:rsidRDefault="004A1CEF" w:rsidP="004A1CEF">
              <w:pPr>
                <w:pStyle w:val="Name"/>
                <w:rPr>
                  <w:rStyle w:val="ComplianceMark"/>
                </w:rPr>
              </w:pPr>
              <w:r>
                <w:t xml:space="preserve">Andreas van Embden </w:t>
              </w:r>
              <w:r w:rsidRPr="004A1CEF">
                <w:rPr>
                  <w:rStyle w:val="ComplianceMark"/>
                </w:rPr>
                <w:t>AC</w:t>
              </w:r>
            </w:p>
            <w:p w:rsidR="004A1CEF" w:rsidRDefault="004A1CEF" w:rsidP="004A1CEF">
              <w:pPr>
                <w:pStyle w:val="Phone"/>
              </w:pPr>
              <w:r>
                <w:t>(44-20) 7134-4574</w:t>
              </w:r>
            </w:p>
            <w:p w:rsidR="004A1CEF" w:rsidRDefault="004A1CEF" w:rsidP="004A1CEF">
              <w:pPr>
                <w:pStyle w:val="EMail"/>
              </w:pPr>
              <w:r>
                <w:t>andreas.vanembden@jpmorgan.com</w:t>
              </w:r>
            </w:p>
            <w:p w:rsidR="004A1CEF" w:rsidRDefault="004A1CEF" w:rsidP="004A1CEF">
              <w:pPr>
                <w:pStyle w:val="BBGValue"/>
              </w:pPr>
              <w:r w:rsidRPr="004A1CEF">
                <w:rPr>
                  <w:b/>
                </w:rPr>
                <w:t>Bloomberg</w:t>
              </w:r>
              <w:r>
                <w:t xml:space="preserve"> JPMA VANEMBDEN &lt;GO&gt;</w:t>
              </w:r>
            </w:p>
            <w:p w:rsidR="0012339A" w:rsidRDefault="004A1CEF" w:rsidP="004A1CEF">
              <w:pPr>
                <w:pStyle w:val="FPLegalEntityName"/>
              </w:pPr>
              <w:r>
                <w:t>J.P. Morgan Securities plc</w:t>
              </w:r>
            </w:p>
          </w:sdtContent>
        </w:sdt>
        <w:p w:rsidR="0012339A" w:rsidRPr="001A39BA" w:rsidRDefault="0012339A" w:rsidP="001A39BA">
          <w:pPr>
            <w:pStyle w:val="Phone"/>
          </w:pPr>
        </w:p>
      </w:tc>
    </w:tr>
    <w:tr w:rsidR="0012339A" w:rsidTr="009D5128">
      <w:trPr>
        <w:cantSplit/>
      </w:trPr>
      <w:tc>
        <w:tcPr>
          <w:tcW w:w="2880" w:type="dxa"/>
          <w:vAlign w:val="center"/>
        </w:tcPr>
        <w:p w:rsidR="0012339A" w:rsidRDefault="0012339A" w:rsidP="001F26FC">
          <w:pPr>
            <w:pStyle w:val="GroupName"/>
            <w:pBdr>
              <w:top w:val="none" w:sz="0" w:space="0" w:color="auto"/>
            </w:pBdr>
          </w:pPr>
        </w:p>
      </w:tc>
    </w:tr>
  </w:tbl>
  <w:p w:rsidR="0012339A" w:rsidRPr="00F534AB" w:rsidRDefault="0012339A" w:rsidP="009D5128">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2339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2339A">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A" w:rsidRDefault="00117CA7">
    <w:pPr>
      <w:pStyle w:val="Header"/>
      <w:spacing w:after="0"/>
    </w:pPr>
    <w:r w:rsidRPr="00117CA7">
      <w:rPr>
        <w:sz w:val="20"/>
      </w:rPr>
      <w:pict>
        <v:shapetype id="_x0000_t202" coordsize="21600,21600" o:spt="202" path="m,l,21600r21600,l21600,xe">
          <v:stroke joinstyle="miter"/>
          <v:path gradientshapeok="t" o:connecttype="rect"/>
        </v:shapetype>
        <v:shape id="DealDerivativeFirst" o:spid="_x0000_s411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12339A" w:rsidRDefault="0012339A">
                <w:pPr>
                  <w:pStyle w:val="IPOInsidePage"/>
                </w:pPr>
              </w:p>
              <w:p w:rsidR="0012339A" w:rsidRDefault="0012339A">
                <w:pPr>
                  <w:pStyle w:val="RegionGroupInvisible"/>
                </w:pPr>
              </w:p>
            </w:txbxContent>
          </v:textbox>
          <w10:wrap anchorx="page"/>
          <w10:anchorlock/>
        </v:shape>
      </w:pict>
    </w:r>
    <w:r w:rsidRPr="00117C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4119" type="#_x0000_t75" style="position:absolute;margin-left:52in;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117CA7">
      <w:rPr>
        <w:sz w:val="20"/>
      </w:rPr>
      <w:pict>
        <v:shape id="TrapezoidBackCover" o:spid="_x0000_s4117" style="position:absolute;margin-left:6917.1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117CA7">
      <w:rPr>
        <w:sz w:val="20"/>
      </w:rPr>
      <w:pict>
        <v:shape id="RegionGroupFirst" o:spid="_x0000_s4116" type="#_x0000_t202" style="position:absolute;margin-left:212.4pt;margin-top:0;width:156.25pt;height:16pt;z-index:251651584;mso-position-horizontal-relative:page;mso-position-vertical:top;mso-position-vertical-relative:line" stroked="f">
          <v:textbox style="mso-next-textbox:#RegionGroupFirst" inset="0,0,0,0">
            <w:txbxContent>
              <w:p w:rsidR="0012339A" w:rsidRDefault="0012339A">
                <w:pPr>
                  <w:pStyle w:val="HeaderRegionGroup"/>
                  <w:suppressOverlap/>
                </w:pPr>
                <w:r>
                  <w:t>Region Group</w:t>
                </w:r>
              </w:p>
              <w:p w:rsidR="0012339A" w:rsidRDefault="0012339A">
                <w:pPr>
                  <w:pStyle w:val="Header"/>
                </w:pPr>
                <w:r>
                  <w:t>Publish Date</w:t>
                </w:r>
              </w:p>
            </w:txbxContent>
          </v:textbox>
          <w10:wrap anchorx="page"/>
          <w10:anchorlock/>
        </v:shape>
      </w:pict>
    </w:r>
    <w:r w:rsidRPr="00117CA7">
      <w:rPr>
        <w:sz w:val="20"/>
      </w:rPr>
      <w:pict>
        <v:shape id="AnalystFirst" o:spid="_x0000_s4115" type="#_x0000_t202" style="position:absolute;margin-left:56.9pt;margin-top:0;width:2in;height:1in;z-index:251649536;mso-position-horizontal-relative:page;mso-position-vertical:top;mso-position-vertical-relative:line" stroked="f">
          <v:textbox style="mso-next-textbox:#AnalystFirst" inset="0,0,0,0">
            <w:txbxContent>
              <w:p w:rsidR="0012339A" w:rsidRDefault="0012339A">
                <w:pPr>
                  <w:pStyle w:val="Header"/>
                </w:pPr>
                <w:r>
                  <w:t>Analyst Name Main</w:t>
                </w:r>
                <w:r>
                  <w:br/>
                  <w:t>Analyst Phone Main</w:t>
                </w:r>
                <w:r>
                  <w:br/>
                  <w:t xml:space="preserve">Analyst Email </w:t>
                </w:r>
                <w:smartTag w:uri="urn:schemas-microsoft-com:office:smarttags" w:element="place">
                  <w:r>
                    <w:t>Main</w:t>
                  </w:r>
                </w:smartTag>
              </w:p>
              <w:p w:rsidR="0012339A" w:rsidRDefault="0012339A">
                <w:pPr>
                  <w:pStyle w:val="Header"/>
                </w:pPr>
                <w:r>
                  <w:t>Analyst Name</w:t>
                </w:r>
                <w:r>
                  <w:br/>
                  <w:t>Analyst Phone</w:t>
                </w:r>
                <w:r>
                  <w:br/>
                  <w:t>Analyst Email</w:t>
                </w:r>
              </w:p>
            </w:txbxContent>
          </v:textbox>
          <w10:wrap anchorx="page"/>
          <w10:anchorlock/>
        </v:shape>
      </w:pict>
    </w:r>
  </w:p>
  <w:p w:rsidR="0012339A" w:rsidRDefault="0012339A">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74C6D63"/>
    <w:multiLevelType w:val="hybridMultilevel"/>
    <w:tmpl w:val="00FE8FDE"/>
    <w:lvl w:ilvl="0" w:tplc="BD96BFD0">
      <w:start w:val="1"/>
      <w:numFmt w:val="bullet"/>
      <w:pStyle w:val="Bullet-la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D627FEB"/>
    <w:multiLevelType w:val="hybridMultilevel"/>
    <w:tmpl w:val="D13EB26E"/>
    <w:lvl w:ilvl="0" w:tplc="9EEAEF24">
      <w:start w:val="1"/>
      <w:numFmt w:val="bullet"/>
      <w:pStyle w:val="Bullet-fir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7">
    <w:nsid w:val="2EAD5669"/>
    <w:multiLevelType w:val="hybridMultilevel"/>
    <w:tmpl w:val="0A1ACF70"/>
    <w:lvl w:ilvl="0" w:tplc="94D6570E">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8">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0">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2">
    <w:nsid w:val="48E24BA3"/>
    <w:multiLevelType w:val="multilevel"/>
    <w:tmpl w:val="BE28B6A2"/>
    <w:lvl w:ilvl="0">
      <w:start w:val="1"/>
      <w:numFmt w:val="decimal"/>
      <w:pStyle w:val="52807BB80E4E409F9A162793A918D5C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4F9C56DB"/>
    <w:multiLevelType w:val="multilevel"/>
    <w:tmpl w:val="D46E1E2E"/>
    <w:lvl w:ilvl="0">
      <w:start w:val="1"/>
      <w:numFmt w:val="bullet"/>
      <w:pStyle w:val="TradeBullet"/>
      <w:lvlText w:val=""/>
      <w:lvlJc w:val="left"/>
      <w:pPr>
        <w:tabs>
          <w:tab w:val="num" w:pos="360"/>
        </w:tabs>
        <w:ind w:left="357" w:hanging="357"/>
      </w:pPr>
      <w:rPr>
        <w:rFonts w:ascii="Symbol" w:hAnsi="Symbol" w:hint="default"/>
        <w:color w:val="4E8AB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5">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A5E12BF"/>
    <w:multiLevelType w:val="hybridMultilevel"/>
    <w:tmpl w:val="9904D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6BD3BC7"/>
    <w:multiLevelType w:val="hybridMultilevel"/>
    <w:tmpl w:val="00F6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9">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9"/>
  </w:num>
  <w:num w:numId="3">
    <w:abstractNumId w:val="19"/>
  </w:num>
  <w:num w:numId="4">
    <w:abstractNumId w:val="12"/>
  </w:num>
  <w:num w:numId="5">
    <w:abstractNumId w:val="16"/>
  </w:num>
  <w:num w:numId="6">
    <w:abstractNumId w:val="15"/>
  </w:num>
  <w:num w:numId="7">
    <w:abstractNumId w:val="14"/>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28"/>
  </w:num>
  <w:num w:numId="23">
    <w:abstractNumId w:val="22"/>
  </w:num>
  <w:num w:numId="24">
    <w:abstractNumId w:val="23"/>
  </w:num>
  <w:num w:numId="25">
    <w:abstractNumId w:val="17"/>
  </w:num>
  <w:num w:numId="26">
    <w:abstractNumId w:val="13"/>
  </w:num>
  <w:num w:numId="27">
    <w:abstractNumId w:val="20"/>
  </w:num>
  <w:num w:numId="28">
    <w:abstractNumId w:val="11"/>
  </w:num>
  <w:num w:numId="29">
    <w:abstractNumId w:val="30"/>
  </w:num>
  <w:num w:numId="30">
    <w:abstractNumId w:val="24"/>
  </w:num>
  <w:num w:numId="31">
    <w:abstractNumId w:val="27"/>
  </w:num>
  <w:num w:numId="32">
    <w:abstractNumId w:val="2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bordersDoNotSurroundHeader/>
  <w:bordersDoNotSurroundFooter/>
  <w:attachedTemplate r:id="rId1"/>
  <w:revisionView w:markup="0" w:formatting="0"/>
  <w:defaultTabStop w:val="720"/>
  <w:evenAndOddHeaders/>
  <w:drawingGridHorizontalSpacing w:val="120"/>
  <w:displayHorizontalDrawingGridEvery w:val="2"/>
  <w:displayVerticalDrawingGridEvery w:val="2"/>
  <w:characterSpacingControl w:val="doNotCompress"/>
  <w:hdrShapeDefaults>
    <o:shapedefaults v:ext="edit" spidmax="4134">
      <v:textbox inset="5.85pt,.7pt,5.85pt,.7pt"/>
    </o:shapedefaults>
    <o:shapelayout v:ext="edit">
      <o:idmap v:ext="edit" data="4"/>
    </o:shapelayout>
  </w:hdrShapeDefaults>
  <w:footnotePr>
    <w:footnote w:id="-1"/>
    <w:footnote w:id="0"/>
  </w:footnotePr>
  <w:endnotePr>
    <w:endnote w:id="-1"/>
    <w:endnote w:id="0"/>
  </w:endnotePr>
  <w:compat>
    <w:useFELayout/>
  </w:compat>
  <w:docVars>
    <w:docVar w:name="GPS" w:val="GPS"/>
    <w:docVar w:name="IsGPSTemplate" w:val="좴㊑펀௏⎰"/>
    <w:docVar w:name="ShapeAltTextReset" w:val="True"/>
  </w:docVars>
  <w:rsids>
    <w:rsidRoot w:val="00DE2F27"/>
    <w:rsid w:val="00012AD3"/>
    <w:rsid w:val="000169EC"/>
    <w:rsid w:val="00017296"/>
    <w:rsid w:val="00017CE0"/>
    <w:rsid w:val="00020E13"/>
    <w:rsid w:val="00032890"/>
    <w:rsid w:val="00032F88"/>
    <w:rsid w:val="00045341"/>
    <w:rsid w:val="00046835"/>
    <w:rsid w:val="00050B51"/>
    <w:rsid w:val="0005401A"/>
    <w:rsid w:val="0006538E"/>
    <w:rsid w:val="00067617"/>
    <w:rsid w:val="000761FF"/>
    <w:rsid w:val="00080584"/>
    <w:rsid w:val="00080A5D"/>
    <w:rsid w:val="00082263"/>
    <w:rsid w:val="0008441D"/>
    <w:rsid w:val="00084E96"/>
    <w:rsid w:val="0009010C"/>
    <w:rsid w:val="00096996"/>
    <w:rsid w:val="000A0E66"/>
    <w:rsid w:val="000A2661"/>
    <w:rsid w:val="000A76DC"/>
    <w:rsid w:val="000B18DF"/>
    <w:rsid w:val="000B1A53"/>
    <w:rsid w:val="000B422D"/>
    <w:rsid w:val="000C4A21"/>
    <w:rsid w:val="000C70B3"/>
    <w:rsid w:val="000E00D3"/>
    <w:rsid w:val="000F0A7D"/>
    <w:rsid w:val="00105B40"/>
    <w:rsid w:val="00107907"/>
    <w:rsid w:val="00117CA7"/>
    <w:rsid w:val="0012339A"/>
    <w:rsid w:val="00125B98"/>
    <w:rsid w:val="00127E47"/>
    <w:rsid w:val="00134EF4"/>
    <w:rsid w:val="00136AFF"/>
    <w:rsid w:val="0015071F"/>
    <w:rsid w:val="001509FE"/>
    <w:rsid w:val="001544F8"/>
    <w:rsid w:val="00155912"/>
    <w:rsid w:val="001576E3"/>
    <w:rsid w:val="0016152E"/>
    <w:rsid w:val="00161891"/>
    <w:rsid w:val="001702FE"/>
    <w:rsid w:val="001717CE"/>
    <w:rsid w:val="00173256"/>
    <w:rsid w:val="00174A0D"/>
    <w:rsid w:val="00184BB7"/>
    <w:rsid w:val="001879EC"/>
    <w:rsid w:val="00192377"/>
    <w:rsid w:val="001944B8"/>
    <w:rsid w:val="00195B36"/>
    <w:rsid w:val="001A39BA"/>
    <w:rsid w:val="001A4A3E"/>
    <w:rsid w:val="001A4EED"/>
    <w:rsid w:val="001A54F9"/>
    <w:rsid w:val="001A7EA7"/>
    <w:rsid w:val="001C1776"/>
    <w:rsid w:val="001C3457"/>
    <w:rsid w:val="001C509D"/>
    <w:rsid w:val="001E2147"/>
    <w:rsid w:val="001E5214"/>
    <w:rsid w:val="001F0E2A"/>
    <w:rsid w:val="001F26FC"/>
    <w:rsid w:val="001F403E"/>
    <w:rsid w:val="002022ED"/>
    <w:rsid w:val="00206555"/>
    <w:rsid w:val="00207CF8"/>
    <w:rsid w:val="00213DFD"/>
    <w:rsid w:val="00226701"/>
    <w:rsid w:val="00231F67"/>
    <w:rsid w:val="00241D02"/>
    <w:rsid w:val="00243927"/>
    <w:rsid w:val="002441C5"/>
    <w:rsid w:val="00257541"/>
    <w:rsid w:val="002608A5"/>
    <w:rsid w:val="00262504"/>
    <w:rsid w:val="002670B5"/>
    <w:rsid w:val="0027343D"/>
    <w:rsid w:val="002745A6"/>
    <w:rsid w:val="00284D74"/>
    <w:rsid w:val="002851A1"/>
    <w:rsid w:val="0028680D"/>
    <w:rsid w:val="00291392"/>
    <w:rsid w:val="002A74BA"/>
    <w:rsid w:val="002C724F"/>
    <w:rsid w:val="002D12DE"/>
    <w:rsid w:val="002D1A13"/>
    <w:rsid w:val="002D47F5"/>
    <w:rsid w:val="002D4C8B"/>
    <w:rsid w:val="002E5578"/>
    <w:rsid w:val="002E6C5A"/>
    <w:rsid w:val="002E7496"/>
    <w:rsid w:val="002E7760"/>
    <w:rsid w:val="002F3F59"/>
    <w:rsid w:val="002F743F"/>
    <w:rsid w:val="0030001F"/>
    <w:rsid w:val="00301D8E"/>
    <w:rsid w:val="00305837"/>
    <w:rsid w:val="00307EF1"/>
    <w:rsid w:val="00310973"/>
    <w:rsid w:val="00313D4E"/>
    <w:rsid w:val="00316AFF"/>
    <w:rsid w:val="00340C95"/>
    <w:rsid w:val="003411A7"/>
    <w:rsid w:val="003478D4"/>
    <w:rsid w:val="00350756"/>
    <w:rsid w:val="003553B4"/>
    <w:rsid w:val="0035639A"/>
    <w:rsid w:val="00357AA4"/>
    <w:rsid w:val="00370DBF"/>
    <w:rsid w:val="00376DEC"/>
    <w:rsid w:val="003813A3"/>
    <w:rsid w:val="00382A73"/>
    <w:rsid w:val="0038357F"/>
    <w:rsid w:val="00385FBE"/>
    <w:rsid w:val="00392812"/>
    <w:rsid w:val="003A1C33"/>
    <w:rsid w:val="003A4A06"/>
    <w:rsid w:val="003A539D"/>
    <w:rsid w:val="003B2FCC"/>
    <w:rsid w:val="003D3497"/>
    <w:rsid w:val="003D492E"/>
    <w:rsid w:val="003E049F"/>
    <w:rsid w:val="003E184B"/>
    <w:rsid w:val="003E2CEF"/>
    <w:rsid w:val="003E2FFD"/>
    <w:rsid w:val="003E4143"/>
    <w:rsid w:val="003E5020"/>
    <w:rsid w:val="003E5BF5"/>
    <w:rsid w:val="00410841"/>
    <w:rsid w:val="00412830"/>
    <w:rsid w:val="0041347C"/>
    <w:rsid w:val="00413766"/>
    <w:rsid w:val="00416087"/>
    <w:rsid w:val="004234B3"/>
    <w:rsid w:val="004243F5"/>
    <w:rsid w:val="004252A3"/>
    <w:rsid w:val="004275AD"/>
    <w:rsid w:val="004301B9"/>
    <w:rsid w:val="00430D82"/>
    <w:rsid w:val="004334B0"/>
    <w:rsid w:val="00442998"/>
    <w:rsid w:val="004472B9"/>
    <w:rsid w:val="00447B81"/>
    <w:rsid w:val="0046342A"/>
    <w:rsid w:val="004651B1"/>
    <w:rsid w:val="004746A6"/>
    <w:rsid w:val="00475ACC"/>
    <w:rsid w:val="00480441"/>
    <w:rsid w:val="00480625"/>
    <w:rsid w:val="00491D29"/>
    <w:rsid w:val="004956EA"/>
    <w:rsid w:val="004A1A6C"/>
    <w:rsid w:val="004A1CEF"/>
    <w:rsid w:val="004A4CA4"/>
    <w:rsid w:val="004A6AAF"/>
    <w:rsid w:val="004B33CB"/>
    <w:rsid w:val="004D3D0B"/>
    <w:rsid w:val="004E0CBE"/>
    <w:rsid w:val="004E44E5"/>
    <w:rsid w:val="004E7435"/>
    <w:rsid w:val="004F6086"/>
    <w:rsid w:val="0050420D"/>
    <w:rsid w:val="00504FB3"/>
    <w:rsid w:val="005062C8"/>
    <w:rsid w:val="005068FE"/>
    <w:rsid w:val="00507387"/>
    <w:rsid w:val="00507D8F"/>
    <w:rsid w:val="0051022F"/>
    <w:rsid w:val="0052368A"/>
    <w:rsid w:val="00523B59"/>
    <w:rsid w:val="00530B85"/>
    <w:rsid w:val="00530E34"/>
    <w:rsid w:val="005327F6"/>
    <w:rsid w:val="005428E4"/>
    <w:rsid w:val="005560C7"/>
    <w:rsid w:val="00570A95"/>
    <w:rsid w:val="0057362B"/>
    <w:rsid w:val="00577713"/>
    <w:rsid w:val="00585C54"/>
    <w:rsid w:val="005A1363"/>
    <w:rsid w:val="005A1ACE"/>
    <w:rsid w:val="005A4250"/>
    <w:rsid w:val="005B281F"/>
    <w:rsid w:val="005B3FE7"/>
    <w:rsid w:val="005C163A"/>
    <w:rsid w:val="005C37FA"/>
    <w:rsid w:val="005C3C4B"/>
    <w:rsid w:val="005C3C51"/>
    <w:rsid w:val="005D1C67"/>
    <w:rsid w:val="005D2E8C"/>
    <w:rsid w:val="005E126D"/>
    <w:rsid w:val="005E2062"/>
    <w:rsid w:val="005E7D1A"/>
    <w:rsid w:val="005F2683"/>
    <w:rsid w:val="005F3E16"/>
    <w:rsid w:val="006004F7"/>
    <w:rsid w:val="0061336B"/>
    <w:rsid w:val="00616D12"/>
    <w:rsid w:val="00616D8C"/>
    <w:rsid w:val="00624D90"/>
    <w:rsid w:val="006250FD"/>
    <w:rsid w:val="00625AA6"/>
    <w:rsid w:val="00633A4C"/>
    <w:rsid w:val="006347E8"/>
    <w:rsid w:val="00636AE1"/>
    <w:rsid w:val="006403C8"/>
    <w:rsid w:val="00641382"/>
    <w:rsid w:val="00642856"/>
    <w:rsid w:val="00661613"/>
    <w:rsid w:val="006630D5"/>
    <w:rsid w:val="0067246E"/>
    <w:rsid w:val="00674389"/>
    <w:rsid w:val="00674A61"/>
    <w:rsid w:val="00676AFF"/>
    <w:rsid w:val="006835DA"/>
    <w:rsid w:val="00686996"/>
    <w:rsid w:val="006A7641"/>
    <w:rsid w:val="006C2BC5"/>
    <w:rsid w:val="006C3ABB"/>
    <w:rsid w:val="006C610B"/>
    <w:rsid w:val="006D2D34"/>
    <w:rsid w:val="006D3CD9"/>
    <w:rsid w:val="006E1D0B"/>
    <w:rsid w:val="006E7618"/>
    <w:rsid w:val="006F3A4E"/>
    <w:rsid w:val="0070093B"/>
    <w:rsid w:val="00702ACF"/>
    <w:rsid w:val="007235DB"/>
    <w:rsid w:val="007235DF"/>
    <w:rsid w:val="00724273"/>
    <w:rsid w:val="00726D57"/>
    <w:rsid w:val="00727457"/>
    <w:rsid w:val="00730602"/>
    <w:rsid w:val="00732D26"/>
    <w:rsid w:val="007344F1"/>
    <w:rsid w:val="00734627"/>
    <w:rsid w:val="00740878"/>
    <w:rsid w:val="007416E8"/>
    <w:rsid w:val="00742326"/>
    <w:rsid w:val="00743F95"/>
    <w:rsid w:val="00753D97"/>
    <w:rsid w:val="00754994"/>
    <w:rsid w:val="00770884"/>
    <w:rsid w:val="00775EED"/>
    <w:rsid w:val="00796713"/>
    <w:rsid w:val="007A088C"/>
    <w:rsid w:val="007A1A4C"/>
    <w:rsid w:val="007D0F3C"/>
    <w:rsid w:val="007D22EF"/>
    <w:rsid w:val="007E1E43"/>
    <w:rsid w:val="007E3B95"/>
    <w:rsid w:val="007E4D4D"/>
    <w:rsid w:val="00807AB8"/>
    <w:rsid w:val="00810E2F"/>
    <w:rsid w:val="00811ACB"/>
    <w:rsid w:val="008210C6"/>
    <w:rsid w:val="00827916"/>
    <w:rsid w:val="00831484"/>
    <w:rsid w:val="00833F0F"/>
    <w:rsid w:val="0083458C"/>
    <w:rsid w:val="00841DD9"/>
    <w:rsid w:val="00842E8C"/>
    <w:rsid w:val="00850957"/>
    <w:rsid w:val="0085671D"/>
    <w:rsid w:val="00871411"/>
    <w:rsid w:val="00876C3E"/>
    <w:rsid w:val="008815AC"/>
    <w:rsid w:val="0088594D"/>
    <w:rsid w:val="008874D0"/>
    <w:rsid w:val="00891B20"/>
    <w:rsid w:val="008A0286"/>
    <w:rsid w:val="008A05EC"/>
    <w:rsid w:val="008A44F7"/>
    <w:rsid w:val="008A5E01"/>
    <w:rsid w:val="008A5F47"/>
    <w:rsid w:val="008C133A"/>
    <w:rsid w:val="008C3FC8"/>
    <w:rsid w:val="008D0749"/>
    <w:rsid w:val="008D757E"/>
    <w:rsid w:val="008E2C47"/>
    <w:rsid w:val="008F7CA4"/>
    <w:rsid w:val="00904B4F"/>
    <w:rsid w:val="0090598E"/>
    <w:rsid w:val="00905C02"/>
    <w:rsid w:val="009130D4"/>
    <w:rsid w:val="0092168B"/>
    <w:rsid w:val="0092551C"/>
    <w:rsid w:val="00926398"/>
    <w:rsid w:val="00943C05"/>
    <w:rsid w:val="00943E0D"/>
    <w:rsid w:val="009513D7"/>
    <w:rsid w:val="00952E60"/>
    <w:rsid w:val="00956EC4"/>
    <w:rsid w:val="00972992"/>
    <w:rsid w:val="0098119F"/>
    <w:rsid w:val="00983264"/>
    <w:rsid w:val="00987DAD"/>
    <w:rsid w:val="009B0B49"/>
    <w:rsid w:val="009B2AD2"/>
    <w:rsid w:val="009B2F8F"/>
    <w:rsid w:val="009B30AE"/>
    <w:rsid w:val="009B37CB"/>
    <w:rsid w:val="009C0C93"/>
    <w:rsid w:val="009C2D42"/>
    <w:rsid w:val="009C7576"/>
    <w:rsid w:val="009C77DE"/>
    <w:rsid w:val="009D47AA"/>
    <w:rsid w:val="009D5128"/>
    <w:rsid w:val="009D5DD1"/>
    <w:rsid w:val="009E0FA3"/>
    <w:rsid w:val="009F59FE"/>
    <w:rsid w:val="00A16F6D"/>
    <w:rsid w:val="00A23BB6"/>
    <w:rsid w:val="00A31F59"/>
    <w:rsid w:val="00A35CD6"/>
    <w:rsid w:val="00A47FF7"/>
    <w:rsid w:val="00A76D5D"/>
    <w:rsid w:val="00A809D4"/>
    <w:rsid w:val="00A841E9"/>
    <w:rsid w:val="00A916B7"/>
    <w:rsid w:val="00A95596"/>
    <w:rsid w:val="00AA2F55"/>
    <w:rsid w:val="00AB02C0"/>
    <w:rsid w:val="00AB3C3C"/>
    <w:rsid w:val="00AB4D48"/>
    <w:rsid w:val="00AD447F"/>
    <w:rsid w:val="00AE0BFD"/>
    <w:rsid w:val="00AF1A5B"/>
    <w:rsid w:val="00AF6FEC"/>
    <w:rsid w:val="00B0371C"/>
    <w:rsid w:val="00B06ADA"/>
    <w:rsid w:val="00B11ED5"/>
    <w:rsid w:val="00B12924"/>
    <w:rsid w:val="00B12975"/>
    <w:rsid w:val="00B31266"/>
    <w:rsid w:val="00B3474D"/>
    <w:rsid w:val="00B43607"/>
    <w:rsid w:val="00B63AF7"/>
    <w:rsid w:val="00B64F1B"/>
    <w:rsid w:val="00B711CA"/>
    <w:rsid w:val="00B74628"/>
    <w:rsid w:val="00B757D4"/>
    <w:rsid w:val="00B83C5D"/>
    <w:rsid w:val="00B8619E"/>
    <w:rsid w:val="00B86505"/>
    <w:rsid w:val="00B86A24"/>
    <w:rsid w:val="00B9119F"/>
    <w:rsid w:val="00B9760F"/>
    <w:rsid w:val="00BA2384"/>
    <w:rsid w:val="00BA558B"/>
    <w:rsid w:val="00BA5827"/>
    <w:rsid w:val="00BB66C3"/>
    <w:rsid w:val="00BC115D"/>
    <w:rsid w:val="00BD2BB9"/>
    <w:rsid w:val="00BD66E7"/>
    <w:rsid w:val="00BE1373"/>
    <w:rsid w:val="00BE2738"/>
    <w:rsid w:val="00C05427"/>
    <w:rsid w:val="00C07B8A"/>
    <w:rsid w:val="00C1029A"/>
    <w:rsid w:val="00C11F99"/>
    <w:rsid w:val="00C120EC"/>
    <w:rsid w:val="00C1442D"/>
    <w:rsid w:val="00C15552"/>
    <w:rsid w:val="00C16986"/>
    <w:rsid w:val="00C2011E"/>
    <w:rsid w:val="00C21B1D"/>
    <w:rsid w:val="00C25C85"/>
    <w:rsid w:val="00C27FE1"/>
    <w:rsid w:val="00C35DE7"/>
    <w:rsid w:val="00C43C5F"/>
    <w:rsid w:val="00C64C03"/>
    <w:rsid w:val="00C80AD1"/>
    <w:rsid w:val="00C81CAC"/>
    <w:rsid w:val="00C822B9"/>
    <w:rsid w:val="00C85825"/>
    <w:rsid w:val="00C85B88"/>
    <w:rsid w:val="00C90529"/>
    <w:rsid w:val="00C9137F"/>
    <w:rsid w:val="00C93217"/>
    <w:rsid w:val="00C935B6"/>
    <w:rsid w:val="00CB1733"/>
    <w:rsid w:val="00CB4180"/>
    <w:rsid w:val="00CB5AB9"/>
    <w:rsid w:val="00CD1E8A"/>
    <w:rsid w:val="00CE02D8"/>
    <w:rsid w:val="00CE0DA9"/>
    <w:rsid w:val="00CE3739"/>
    <w:rsid w:val="00CE3EE1"/>
    <w:rsid w:val="00CE4DB7"/>
    <w:rsid w:val="00CE5F23"/>
    <w:rsid w:val="00CF2FBF"/>
    <w:rsid w:val="00CF3081"/>
    <w:rsid w:val="00D00CF8"/>
    <w:rsid w:val="00D00D34"/>
    <w:rsid w:val="00D066D1"/>
    <w:rsid w:val="00D14EE2"/>
    <w:rsid w:val="00D20423"/>
    <w:rsid w:val="00D213EA"/>
    <w:rsid w:val="00D26520"/>
    <w:rsid w:val="00D33AA6"/>
    <w:rsid w:val="00D37266"/>
    <w:rsid w:val="00D47CBE"/>
    <w:rsid w:val="00D521C6"/>
    <w:rsid w:val="00D63410"/>
    <w:rsid w:val="00D638B3"/>
    <w:rsid w:val="00D7249B"/>
    <w:rsid w:val="00D7529E"/>
    <w:rsid w:val="00D755BE"/>
    <w:rsid w:val="00D831D5"/>
    <w:rsid w:val="00D8401F"/>
    <w:rsid w:val="00D86F51"/>
    <w:rsid w:val="00D90B7E"/>
    <w:rsid w:val="00DA2100"/>
    <w:rsid w:val="00DA30D0"/>
    <w:rsid w:val="00DB4CDA"/>
    <w:rsid w:val="00DB78E6"/>
    <w:rsid w:val="00DB7C15"/>
    <w:rsid w:val="00DC0C84"/>
    <w:rsid w:val="00DC16B7"/>
    <w:rsid w:val="00DC237C"/>
    <w:rsid w:val="00DC5165"/>
    <w:rsid w:val="00DC5D2B"/>
    <w:rsid w:val="00DD4E99"/>
    <w:rsid w:val="00DE1EDE"/>
    <w:rsid w:val="00DE2F27"/>
    <w:rsid w:val="00DE3463"/>
    <w:rsid w:val="00DE4A45"/>
    <w:rsid w:val="00DE60FE"/>
    <w:rsid w:val="00DF33AD"/>
    <w:rsid w:val="00DF56B2"/>
    <w:rsid w:val="00E02214"/>
    <w:rsid w:val="00E0403B"/>
    <w:rsid w:val="00E05AE5"/>
    <w:rsid w:val="00E1025B"/>
    <w:rsid w:val="00E112F3"/>
    <w:rsid w:val="00E24914"/>
    <w:rsid w:val="00E26615"/>
    <w:rsid w:val="00E27EEB"/>
    <w:rsid w:val="00E40095"/>
    <w:rsid w:val="00E4017A"/>
    <w:rsid w:val="00E47205"/>
    <w:rsid w:val="00E51A4C"/>
    <w:rsid w:val="00E55E81"/>
    <w:rsid w:val="00E56009"/>
    <w:rsid w:val="00E74240"/>
    <w:rsid w:val="00E81F6D"/>
    <w:rsid w:val="00E90CFE"/>
    <w:rsid w:val="00E91237"/>
    <w:rsid w:val="00EA2C2B"/>
    <w:rsid w:val="00EB05A0"/>
    <w:rsid w:val="00EB3811"/>
    <w:rsid w:val="00EB3B60"/>
    <w:rsid w:val="00EB5DAD"/>
    <w:rsid w:val="00EB5FB9"/>
    <w:rsid w:val="00EB7B4A"/>
    <w:rsid w:val="00EC209B"/>
    <w:rsid w:val="00EC6A84"/>
    <w:rsid w:val="00ED61D0"/>
    <w:rsid w:val="00EE28F9"/>
    <w:rsid w:val="00EF2AB4"/>
    <w:rsid w:val="00EF5DA4"/>
    <w:rsid w:val="00EF7680"/>
    <w:rsid w:val="00F00F4C"/>
    <w:rsid w:val="00F06B2D"/>
    <w:rsid w:val="00F1242D"/>
    <w:rsid w:val="00F17C28"/>
    <w:rsid w:val="00F22245"/>
    <w:rsid w:val="00F230E8"/>
    <w:rsid w:val="00F24771"/>
    <w:rsid w:val="00F24EB4"/>
    <w:rsid w:val="00F25918"/>
    <w:rsid w:val="00F33780"/>
    <w:rsid w:val="00F43A78"/>
    <w:rsid w:val="00F558CC"/>
    <w:rsid w:val="00F60272"/>
    <w:rsid w:val="00F60607"/>
    <w:rsid w:val="00F6660E"/>
    <w:rsid w:val="00F67C65"/>
    <w:rsid w:val="00F70C81"/>
    <w:rsid w:val="00F735D3"/>
    <w:rsid w:val="00F74780"/>
    <w:rsid w:val="00F81739"/>
    <w:rsid w:val="00F8656E"/>
    <w:rsid w:val="00F86DED"/>
    <w:rsid w:val="00F93E55"/>
    <w:rsid w:val="00F9697A"/>
    <w:rsid w:val="00FA4449"/>
    <w:rsid w:val="00FB1508"/>
    <w:rsid w:val="00FB33B0"/>
    <w:rsid w:val="00FC026D"/>
    <w:rsid w:val="00FC6C27"/>
    <w:rsid w:val="00FC783F"/>
    <w:rsid w:val="00FF229B"/>
    <w:rsid w:val="00FF49BE"/>
    <w:rsid w:val="00FF5C9B"/>
    <w:rsid w:val="00FF5E1D"/>
    <w:rsid w:val="00FF7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41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40" w:line="240" w:lineRule="atLeast"/>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lsdException w:name="Emphasis" w:semiHidden="0" w:unhideWhenUsed="0"/>
    <w:lsdException w:name="HTML Top of Form" w:uiPriority="99"/>
    <w:lsdException w:name="HTML Bottom of Form" w:uiPriority="99"/>
    <w:lsdException w:name="Normal (Web)" w:uiPriority="99"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A1CEF"/>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4A1CEF"/>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4A1CEF"/>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4A1CEF"/>
    <w:pPr>
      <w:keepNext/>
      <w:spacing w:after="40"/>
      <w:outlineLvl w:val="2"/>
    </w:pPr>
    <w:rPr>
      <w:rFonts w:cs="Arial"/>
      <w:b/>
      <w:bCs/>
      <w:szCs w:val="26"/>
    </w:rPr>
  </w:style>
  <w:style w:type="paragraph" w:styleId="Heading4">
    <w:name w:val="heading 4"/>
    <w:basedOn w:val="Body"/>
    <w:next w:val="Body"/>
    <w:link w:val="Heading4Char"/>
    <w:rsid w:val="004A1CEF"/>
    <w:pPr>
      <w:keepNext/>
      <w:spacing w:after="0"/>
      <w:outlineLvl w:val="3"/>
    </w:pPr>
    <w:rPr>
      <w:bCs/>
      <w:i/>
      <w:szCs w:val="28"/>
    </w:rPr>
  </w:style>
  <w:style w:type="paragraph" w:styleId="Heading5">
    <w:name w:val="heading 5"/>
    <w:basedOn w:val="Heading4"/>
    <w:next w:val="Body"/>
    <w:link w:val="Heading5Char"/>
    <w:rsid w:val="004A1CEF"/>
    <w:pPr>
      <w:spacing w:after="40"/>
      <w:outlineLvl w:val="4"/>
    </w:pPr>
    <w:rPr>
      <w:b/>
      <w:bCs w:val="0"/>
      <w:i w:val="0"/>
      <w:color w:val="000080"/>
      <w:sz w:val="144"/>
      <w:szCs w:val="144"/>
    </w:rPr>
  </w:style>
  <w:style w:type="paragraph" w:styleId="Heading6">
    <w:name w:val="heading 6"/>
    <w:basedOn w:val="Heading1"/>
    <w:next w:val="Normal"/>
    <w:link w:val="Heading6Char"/>
    <w:rsid w:val="004A1CEF"/>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4A1CEF"/>
    <w:pPr>
      <w:keepNext/>
      <w:keepLines/>
      <w:spacing w:after="100"/>
      <w:outlineLvl w:val="6"/>
    </w:pPr>
    <w:rPr>
      <w:color w:val="000080"/>
      <w:sz w:val="144"/>
      <w:szCs w:val="144"/>
    </w:rPr>
  </w:style>
  <w:style w:type="paragraph" w:styleId="Heading8">
    <w:name w:val="heading 8"/>
    <w:basedOn w:val="Normal"/>
    <w:next w:val="Normal"/>
    <w:link w:val="Heading8Char"/>
    <w:rsid w:val="004A1CEF"/>
    <w:pPr>
      <w:spacing w:before="240" w:after="60"/>
      <w:outlineLvl w:val="7"/>
    </w:pPr>
    <w:rPr>
      <w:i/>
      <w:iCs/>
    </w:rPr>
  </w:style>
  <w:style w:type="paragraph" w:styleId="Heading9">
    <w:name w:val="heading 9"/>
    <w:basedOn w:val="Normal"/>
    <w:next w:val="Normal"/>
    <w:link w:val="Heading9Char"/>
    <w:rsid w:val="004A1CEF"/>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4A1CE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A1CEF"/>
  </w:style>
  <w:style w:type="paragraph" w:styleId="Header">
    <w:name w:val="header"/>
    <w:basedOn w:val="Normal"/>
    <w:link w:val="HeaderChar"/>
    <w:rsid w:val="004A1CEF"/>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4A1CEF"/>
    <w:rPr>
      <w:rFonts w:ascii="Arial" w:eastAsia="MS Mincho" w:hAnsi="Arial" w:cs="Times New Roman"/>
      <w:noProof/>
      <w:kern w:val="20"/>
      <w:sz w:val="14"/>
      <w:szCs w:val="24"/>
      <w:lang w:val="en-US" w:eastAsia="en-US"/>
    </w:rPr>
  </w:style>
  <w:style w:type="paragraph" w:styleId="Footer">
    <w:name w:val="footer"/>
    <w:basedOn w:val="Normal"/>
    <w:link w:val="FooterChar"/>
    <w:rsid w:val="004A1CEF"/>
    <w:pPr>
      <w:tabs>
        <w:tab w:val="left" w:pos="6552"/>
      </w:tabs>
      <w:spacing w:before="240"/>
    </w:pPr>
    <w:rPr>
      <w:rFonts w:ascii="Arial" w:hAnsi="Arial"/>
      <w:b/>
      <w:sz w:val="14"/>
    </w:rPr>
  </w:style>
  <w:style w:type="character" w:customStyle="1" w:styleId="FooterChar">
    <w:name w:val="Footer Char"/>
    <w:basedOn w:val="DefaultParagraphFont"/>
    <w:link w:val="Footer"/>
    <w:rsid w:val="004A1CEF"/>
    <w:rPr>
      <w:rFonts w:ascii="Arial" w:eastAsia="MS Mincho" w:hAnsi="Arial" w:cs="Times New Roman"/>
      <w:b/>
      <w:sz w:val="14"/>
      <w:szCs w:val="24"/>
      <w:lang w:val="en-US" w:eastAsia="en-US"/>
    </w:rPr>
  </w:style>
  <w:style w:type="paragraph" w:styleId="BalloonText">
    <w:name w:val="Balloon Text"/>
    <w:basedOn w:val="Normal"/>
    <w:link w:val="BalloonTextChar"/>
    <w:semiHidden/>
    <w:rsid w:val="004A1CEF"/>
    <w:rPr>
      <w:rFonts w:ascii="Tahoma" w:hAnsi="Tahoma" w:cs="Tahoma"/>
      <w:sz w:val="16"/>
      <w:szCs w:val="16"/>
    </w:rPr>
  </w:style>
  <w:style w:type="character" w:customStyle="1" w:styleId="BalloonTextChar">
    <w:name w:val="Balloon Text Char"/>
    <w:basedOn w:val="DefaultParagraphFont"/>
    <w:link w:val="BalloonText"/>
    <w:semiHidden/>
    <w:rsid w:val="004A1CEF"/>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4A1CEF"/>
    <w:rPr>
      <w:color w:val="808080"/>
    </w:rPr>
  </w:style>
  <w:style w:type="paragraph" w:customStyle="1" w:styleId="Body">
    <w:name w:val="Body"/>
    <w:basedOn w:val="Normal"/>
    <w:link w:val="BodyChar"/>
    <w:qFormat/>
    <w:rsid w:val="004A1CEF"/>
    <w:pPr>
      <w:spacing w:after="240"/>
    </w:pPr>
    <w:rPr>
      <w:sz w:val="20"/>
    </w:rPr>
  </w:style>
  <w:style w:type="paragraph" w:customStyle="1" w:styleId="FooterFrontPage">
    <w:name w:val="FooterFrontPage"/>
    <w:basedOn w:val="Normal"/>
    <w:rsid w:val="004A1CEF"/>
    <w:pPr>
      <w:framePr w:wrap="around" w:hAnchor="text" w:yAlign="bottom"/>
      <w:spacing w:line="216" w:lineRule="atLeast"/>
      <w:jc w:val="both"/>
    </w:pPr>
    <w:rPr>
      <w:rFonts w:ascii="Arial Narrow" w:hAnsi="Arial Narrow"/>
      <w:bCs/>
      <w:iCs/>
      <w:noProof/>
      <w:spacing w:val="-2"/>
      <w:sz w:val="20"/>
      <w:szCs w:val="18"/>
    </w:rPr>
  </w:style>
  <w:style w:type="paragraph" w:customStyle="1" w:styleId="Industry">
    <w:name w:val="Industry"/>
    <w:basedOn w:val="Body"/>
    <w:next w:val="Body"/>
    <w:rsid w:val="004A1CEF"/>
    <w:pPr>
      <w:pBdr>
        <w:top w:val="single" w:sz="2" w:space="4" w:color="auto"/>
      </w:pBdr>
      <w:spacing w:after="90"/>
    </w:pPr>
    <w:rPr>
      <w:rFonts w:ascii="Arial" w:hAnsi="Arial"/>
      <w:b/>
      <w:noProof/>
      <w:sz w:val="17"/>
      <w:szCs w:val="17"/>
    </w:rPr>
  </w:style>
  <w:style w:type="paragraph" w:customStyle="1" w:styleId="FPTitleCompany">
    <w:name w:val="FPTitleCompany"/>
    <w:basedOn w:val="DocTitle"/>
    <w:rsid w:val="004A1CEF"/>
    <w:pPr>
      <w:framePr w:hSpace="187" w:wrap="around" w:vAnchor="text" w:hAnchor="text" w:xAlign="right" w:y="1"/>
      <w:spacing w:line="240" w:lineRule="auto"/>
    </w:pPr>
    <w:rPr>
      <w:color w:val="4E8ABE"/>
    </w:rPr>
  </w:style>
  <w:style w:type="paragraph" w:customStyle="1" w:styleId="HeaderRegionGroup">
    <w:name w:val="HeaderRegionGroup"/>
    <w:basedOn w:val="Header"/>
    <w:rsid w:val="004A1CEF"/>
    <w:pPr>
      <w:spacing w:after="0"/>
    </w:pPr>
    <w:rPr>
      <w:b/>
      <w:color w:val="4E8ABE"/>
      <w:szCs w:val="14"/>
    </w:rPr>
  </w:style>
  <w:style w:type="paragraph" w:customStyle="1" w:styleId="IPOInsidePage">
    <w:name w:val="IPOInsidePage"/>
    <w:basedOn w:val="IPO"/>
    <w:rsid w:val="004A1CEF"/>
    <w:pPr>
      <w:spacing w:before="120" w:after="50"/>
      <w:ind w:right="0"/>
    </w:pPr>
    <w:rPr>
      <w:sz w:val="18"/>
    </w:rPr>
  </w:style>
  <w:style w:type="character" w:styleId="PageNumber">
    <w:name w:val="page number"/>
    <w:basedOn w:val="DefaultParagraphFont"/>
    <w:rsid w:val="004A1CEF"/>
    <w:rPr>
      <w:rFonts w:ascii="Arial" w:hAnsi="Arial"/>
      <w:sz w:val="14"/>
    </w:rPr>
  </w:style>
  <w:style w:type="paragraph" w:customStyle="1" w:styleId="PriceDual">
    <w:name w:val="PriceDual"/>
    <w:basedOn w:val="RatingDual"/>
    <w:next w:val="Body"/>
    <w:rsid w:val="004A1CEF"/>
    <w:pPr>
      <w:framePr w:wrap="around"/>
    </w:pPr>
    <w:rPr>
      <w:b/>
    </w:rPr>
  </w:style>
  <w:style w:type="paragraph" w:customStyle="1" w:styleId="PTChangeArrow">
    <w:name w:val="PTChangeArrow"/>
    <w:basedOn w:val="FPTitleCompany"/>
    <w:rsid w:val="004A1CEF"/>
    <w:pPr>
      <w:framePr w:wrap="auto"/>
      <w:spacing w:before="260" w:after="300"/>
    </w:pPr>
    <w:rPr>
      <w:color w:val="616265"/>
      <w:sz w:val="20"/>
      <w:szCs w:val="20"/>
    </w:rPr>
  </w:style>
  <w:style w:type="paragraph" w:customStyle="1" w:styleId="PublishDate">
    <w:name w:val="PublishDate"/>
    <w:basedOn w:val="Normal"/>
    <w:rsid w:val="004A1CEF"/>
    <w:pPr>
      <w:spacing w:after="260" w:line="200" w:lineRule="atLeast"/>
      <w:ind w:left="7114"/>
    </w:pPr>
    <w:rPr>
      <w:rFonts w:ascii="Arial" w:hAnsi="Arial"/>
      <w:noProof/>
      <w:sz w:val="16"/>
    </w:rPr>
  </w:style>
  <w:style w:type="paragraph" w:customStyle="1" w:styleId="RatingChangeArrow">
    <w:name w:val="RatingChangeArrow"/>
    <w:basedOn w:val="FPTitleCompany"/>
    <w:rsid w:val="004A1CEF"/>
    <w:pPr>
      <w:framePr w:wrap="auto"/>
      <w:spacing w:before="120" w:after="480"/>
    </w:pPr>
    <w:rPr>
      <w:color w:val="616265"/>
      <w:sz w:val="28"/>
      <w:szCs w:val="28"/>
    </w:rPr>
  </w:style>
  <w:style w:type="paragraph" w:customStyle="1" w:styleId="RegionGroup">
    <w:name w:val="RegionGroup"/>
    <w:basedOn w:val="Body"/>
    <w:next w:val="PublishDate"/>
    <w:rsid w:val="004A1CEF"/>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4A1CEF"/>
    <w:pPr>
      <w:spacing w:before="1440"/>
    </w:pPr>
    <w:rPr>
      <w:color w:val="FFFFFF"/>
    </w:rPr>
  </w:style>
  <w:style w:type="paragraph" w:customStyle="1" w:styleId="ReportType">
    <w:name w:val="ReportType"/>
    <w:basedOn w:val="RatingDual"/>
    <w:rsid w:val="004A1CEF"/>
    <w:pPr>
      <w:framePr w:wrap="around"/>
    </w:pPr>
    <w:rPr>
      <w:b/>
      <w:sz w:val="18"/>
    </w:rPr>
  </w:style>
  <w:style w:type="paragraph" w:customStyle="1" w:styleId="SubTitle">
    <w:name w:val="SubTitle"/>
    <w:basedOn w:val="Body"/>
    <w:next w:val="Body"/>
    <w:rsid w:val="004A1CEF"/>
    <w:pPr>
      <w:spacing w:before="60" w:after="120"/>
    </w:pPr>
    <w:rPr>
      <w:rFonts w:ascii="Arial" w:hAnsi="Arial"/>
      <w:sz w:val="26"/>
    </w:rPr>
  </w:style>
  <w:style w:type="table" w:styleId="TableGrid">
    <w:name w:val="Table Grid"/>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4A1CEF"/>
    <w:pPr>
      <w:numPr>
        <w:numId w:val="1"/>
      </w:numPr>
    </w:pPr>
  </w:style>
  <w:style w:type="numbering" w:styleId="1ai">
    <w:name w:val="Outline List 1"/>
    <w:basedOn w:val="NoList"/>
    <w:rsid w:val="004A1CEF"/>
    <w:pPr>
      <w:numPr>
        <w:numId w:val="2"/>
      </w:numPr>
    </w:pPr>
  </w:style>
  <w:style w:type="paragraph" w:customStyle="1" w:styleId="AbstractRP">
    <w:name w:val="AbstractRP"/>
    <w:basedOn w:val="Body"/>
    <w:semiHidden/>
    <w:rsid w:val="004A1CEF"/>
  </w:style>
  <w:style w:type="paragraph" w:styleId="CommentText">
    <w:name w:val="annotation text"/>
    <w:basedOn w:val="Normal"/>
    <w:link w:val="CommentTextChar"/>
    <w:semiHidden/>
    <w:rsid w:val="004A1CEF"/>
    <w:rPr>
      <w:sz w:val="20"/>
    </w:rPr>
  </w:style>
  <w:style w:type="character" w:customStyle="1" w:styleId="CommentTextChar">
    <w:name w:val="Comment Text Char"/>
    <w:basedOn w:val="DefaultParagraphFont"/>
    <w:link w:val="CommentText"/>
    <w:semiHidden/>
    <w:rsid w:val="004A1CEF"/>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4A1CEF"/>
    <w:rPr>
      <w:rFonts w:ascii="Arial" w:hAnsi="Arial"/>
      <w:i/>
      <w:sz w:val="16"/>
    </w:rPr>
  </w:style>
  <w:style w:type="paragraph" w:customStyle="1" w:styleId="AgencyRating">
    <w:name w:val="AgencyRating"/>
    <w:basedOn w:val="Body"/>
    <w:rsid w:val="004A1CEF"/>
    <w:pPr>
      <w:spacing w:after="0"/>
    </w:pPr>
    <w:rPr>
      <w:rFonts w:ascii="Arial Narrow" w:hAnsi="Arial Narrow"/>
      <w:sz w:val="18"/>
      <w:szCs w:val="18"/>
    </w:rPr>
  </w:style>
  <w:style w:type="paragraph" w:styleId="BodyText">
    <w:name w:val="Body Text"/>
    <w:basedOn w:val="Normal"/>
    <w:link w:val="BodyTextChar"/>
    <w:rsid w:val="004A1CEF"/>
    <w:pPr>
      <w:spacing w:after="120"/>
    </w:pPr>
  </w:style>
  <w:style w:type="character" w:customStyle="1" w:styleId="BodyTextChar">
    <w:name w:val="Body Text Char"/>
    <w:basedOn w:val="DefaultParagraphFont"/>
    <w:link w:val="BodyText"/>
    <w:rsid w:val="004A1CEF"/>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4A1CEF"/>
    <w:pPr>
      <w:ind w:left="-3125"/>
    </w:pPr>
    <w:rPr>
      <w:sz w:val="20"/>
    </w:rPr>
  </w:style>
  <w:style w:type="paragraph" w:customStyle="1" w:styleId="AnalystCertificationHead">
    <w:name w:val="AnalystCertificationHead"/>
    <w:basedOn w:val="Normal"/>
    <w:rsid w:val="004A1CEF"/>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4A1CEF"/>
    <w:pPr>
      <w:spacing w:after="40"/>
    </w:pPr>
    <w:rPr>
      <w:rFonts w:ascii="Arial Narrow" w:hAnsi="Arial Narrow"/>
      <w:sz w:val="18"/>
      <w:szCs w:val="18"/>
    </w:rPr>
  </w:style>
  <w:style w:type="paragraph" w:customStyle="1" w:styleId="AnchorLETable">
    <w:name w:val="AnchorLETable"/>
    <w:basedOn w:val="FooterFrontPage"/>
    <w:rsid w:val="004A1CEF"/>
    <w:pPr>
      <w:framePr w:wrap="around"/>
    </w:pPr>
    <w:rPr>
      <w:rFonts w:ascii="Arial" w:hAnsi="Arial"/>
    </w:rPr>
  </w:style>
  <w:style w:type="paragraph" w:customStyle="1" w:styleId="AnchorPriceData">
    <w:name w:val="AnchorPriceData"/>
    <w:basedOn w:val="FooterFrontPage"/>
    <w:rsid w:val="004A1CEF"/>
    <w:pPr>
      <w:framePr w:wrap="around"/>
    </w:pPr>
  </w:style>
  <w:style w:type="character" w:customStyle="1" w:styleId="Heading1Char">
    <w:name w:val="Heading 1 Char"/>
    <w:basedOn w:val="DefaultParagraphFont"/>
    <w:link w:val="Heading1"/>
    <w:rsid w:val="004A1CEF"/>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4A1CEF"/>
    <w:pPr>
      <w:numPr>
        <w:numId w:val="3"/>
      </w:numPr>
    </w:pPr>
  </w:style>
  <w:style w:type="character" w:customStyle="1" w:styleId="Heading2Char">
    <w:name w:val="Heading 2 Char"/>
    <w:basedOn w:val="DefaultParagraphFont"/>
    <w:link w:val="Heading2"/>
    <w:rsid w:val="004A1CEF"/>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4A1CEF"/>
  </w:style>
  <w:style w:type="character" w:customStyle="1" w:styleId="Heading3Char">
    <w:name w:val="Heading 3 Char"/>
    <w:basedOn w:val="DefaultParagraphFont"/>
    <w:link w:val="Heading3"/>
    <w:rsid w:val="004A1CEF"/>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4A1CEF"/>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4A1CEF"/>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4A1CEF"/>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4A1CEF"/>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4A1CEF"/>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4A1CEF"/>
    <w:rPr>
      <w:rFonts w:ascii="Arial" w:eastAsia="MS Mincho" w:hAnsi="Arial" w:cs="Arial"/>
      <w:sz w:val="24"/>
      <w:lang w:val="en-US" w:eastAsia="en-US"/>
    </w:rPr>
  </w:style>
  <w:style w:type="numbering" w:styleId="ArticleSection">
    <w:name w:val="Outline List 3"/>
    <w:basedOn w:val="NoList"/>
    <w:rsid w:val="004A1CEF"/>
    <w:pPr>
      <w:numPr>
        <w:numId w:val="4"/>
      </w:numPr>
    </w:pPr>
  </w:style>
  <w:style w:type="paragraph" w:styleId="BlockText">
    <w:name w:val="Block Text"/>
    <w:basedOn w:val="Normal"/>
    <w:rsid w:val="004A1CEF"/>
    <w:pPr>
      <w:spacing w:after="120"/>
      <w:ind w:left="1440" w:right="1440"/>
    </w:pPr>
  </w:style>
  <w:style w:type="paragraph" w:styleId="BodyText2">
    <w:name w:val="Body Text 2"/>
    <w:basedOn w:val="Normal"/>
    <w:link w:val="BodyText2Char"/>
    <w:rsid w:val="004A1CEF"/>
    <w:pPr>
      <w:spacing w:after="120" w:line="480" w:lineRule="auto"/>
    </w:pPr>
  </w:style>
  <w:style w:type="character" w:customStyle="1" w:styleId="BodyText2Char">
    <w:name w:val="Body Text 2 Char"/>
    <w:basedOn w:val="DefaultParagraphFont"/>
    <w:link w:val="BodyText2"/>
    <w:rsid w:val="004A1CEF"/>
    <w:rPr>
      <w:rFonts w:ascii="Times New Roman" w:eastAsia="MS Mincho" w:hAnsi="Times New Roman" w:cs="Times New Roman"/>
      <w:sz w:val="24"/>
      <w:szCs w:val="24"/>
      <w:lang w:val="en-US" w:eastAsia="en-US"/>
    </w:rPr>
  </w:style>
  <w:style w:type="paragraph" w:styleId="BodyText3">
    <w:name w:val="Body Text 3"/>
    <w:basedOn w:val="Normal"/>
    <w:link w:val="BodyText3Char"/>
    <w:rsid w:val="004A1CEF"/>
    <w:pPr>
      <w:spacing w:after="120"/>
    </w:pPr>
    <w:rPr>
      <w:sz w:val="16"/>
      <w:szCs w:val="16"/>
    </w:rPr>
  </w:style>
  <w:style w:type="character" w:customStyle="1" w:styleId="BodyText3Char">
    <w:name w:val="Body Text 3 Char"/>
    <w:basedOn w:val="DefaultParagraphFont"/>
    <w:link w:val="BodyText3"/>
    <w:rsid w:val="004A1CEF"/>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4A1CEF"/>
    <w:pPr>
      <w:ind w:firstLine="210"/>
    </w:pPr>
  </w:style>
  <w:style w:type="character" w:customStyle="1" w:styleId="BodyTextFirstIndentChar">
    <w:name w:val="Body Text First Indent Char"/>
    <w:basedOn w:val="BodyTextChar"/>
    <w:link w:val="BodyTextFirstIndent"/>
    <w:rsid w:val="004A1CEF"/>
  </w:style>
  <w:style w:type="paragraph" w:styleId="BodyTextIndent">
    <w:name w:val="Body Text Indent"/>
    <w:basedOn w:val="Normal"/>
    <w:link w:val="BodyTextIndentChar"/>
    <w:rsid w:val="004A1CEF"/>
    <w:pPr>
      <w:spacing w:after="120"/>
      <w:ind w:left="360"/>
    </w:pPr>
  </w:style>
  <w:style w:type="character" w:customStyle="1" w:styleId="BodyTextIndentChar">
    <w:name w:val="Body Text Indent Char"/>
    <w:basedOn w:val="DefaultParagraphFont"/>
    <w:link w:val="BodyTextIndent"/>
    <w:rsid w:val="004A1CEF"/>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4A1CEF"/>
    <w:pPr>
      <w:ind w:firstLine="210"/>
    </w:pPr>
  </w:style>
  <w:style w:type="character" w:customStyle="1" w:styleId="BodyTextFirstIndent2Char">
    <w:name w:val="Body Text First Indent 2 Char"/>
    <w:basedOn w:val="BodyTextIndentChar"/>
    <w:link w:val="BodyTextFirstIndent2"/>
    <w:rsid w:val="004A1CEF"/>
  </w:style>
  <w:style w:type="paragraph" w:styleId="BodyTextIndent2">
    <w:name w:val="Body Text Indent 2"/>
    <w:basedOn w:val="Normal"/>
    <w:link w:val="BodyTextIndent2Char"/>
    <w:rsid w:val="004A1CEF"/>
    <w:pPr>
      <w:spacing w:after="120" w:line="480" w:lineRule="auto"/>
      <w:ind w:left="360"/>
    </w:pPr>
  </w:style>
  <w:style w:type="character" w:customStyle="1" w:styleId="BodyTextIndent2Char">
    <w:name w:val="Body Text Indent 2 Char"/>
    <w:basedOn w:val="DefaultParagraphFont"/>
    <w:link w:val="BodyTextIndent2"/>
    <w:rsid w:val="004A1CEF"/>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4A1CEF"/>
    <w:pPr>
      <w:spacing w:after="120"/>
      <w:ind w:left="360"/>
    </w:pPr>
    <w:rPr>
      <w:sz w:val="16"/>
      <w:szCs w:val="16"/>
    </w:rPr>
  </w:style>
  <w:style w:type="character" w:customStyle="1" w:styleId="BodyTextIndent3Char">
    <w:name w:val="Body Text Indent 3 Char"/>
    <w:basedOn w:val="DefaultParagraphFont"/>
    <w:link w:val="BodyTextIndent3"/>
    <w:rsid w:val="004A1CEF"/>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4A1CEF"/>
    <w:pPr>
      <w:spacing w:after="120"/>
    </w:pPr>
    <w:rPr>
      <w:rFonts w:ascii="Arial Narrow" w:hAnsi="Arial Narrow"/>
      <w:noProof/>
      <w:sz w:val="18"/>
    </w:rPr>
  </w:style>
  <w:style w:type="paragraph" w:customStyle="1" w:styleId="Bullet">
    <w:name w:val="Bullet"/>
    <w:basedOn w:val="Body"/>
    <w:qFormat/>
    <w:rsid w:val="004A1CEF"/>
    <w:pPr>
      <w:numPr>
        <w:numId w:val="21"/>
      </w:numPr>
      <w:tabs>
        <w:tab w:val="left" w:pos="288"/>
      </w:tabs>
      <w:spacing w:after="120"/>
    </w:pPr>
  </w:style>
  <w:style w:type="paragraph" w:customStyle="1" w:styleId="Bullettext">
    <w:name w:val="Bullet text"/>
    <w:basedOn w:val="Normal"/>
    <w:rsid w:val="004A1CEF"/>
    <w:pPr>
      <w:spacing w:after="240" w:line="240" w:lineRule="exact"/>
    </w:pPr>
    <w:rPr>
      <w:color w:val="000000"/>
      <w:sz w:val="20"/>
      <w:szCs w:val="20"/>
    </w:rPr>
  </w:style>
  <w:style w:type="paragraph" w:customStyle="1" w:styleId="BulletAsia">
    <w:name w:val="BulletAsia"/>
    <w:basedOn w:val="Body"/>
    <w:rsid w:val="004A1CEF"/>
    <w:pPr>
      <w:numPr>
        <w:numId w:val="5"/>
      </w:numPr>
      <w:tabs>
        <w:tab w:val="left" w:pos="170"/>
      </w:tabs>
      <w:spacing w:after="120"/>
    </w:pPr>
  </w:style>
  <w:style w:type="paragraph" w:customStyle="1" w:styleId="Bullet-first">
    <w:name w:val="Bullet-first"/>
    <w:basedOn w:val="Normal"/>
    <w:rsid w:val="004A1CEF"/>
    <w:pPr>
      <w:numPr>
        <w:numId w:val="6"/>
      </w:numPr>
      <w:pBdr>
        <w:top w:val="single" w:sz="4" w:space="3" w:color="auto"/>
      </w:pBdr>
      <w:spacing w:before="420" w:after="120"/>
    </w:pPr>
    <w:rPr>
      <w:b/>
      <w:sz w:val="20"/>
    </w:rPr>
  </w:style>
  <w:style w:type="paragraph" w:customStyle="1" w:styleId="Bullet-middle">
    <w:name w:val="Bullet-middle"/>
    <w:basedOn w:val="Bullet-first"/>
    <w:rsid w:val="004A1CEF"/>
    <w:pPr>
      <w:pBdr>
        <w:top w:val="none" w:sz="0" w:space="0" w:color="auto"/>
      </w:pBdr>
      <w:spacing w:before="0"/>
    </w:pPr>
  </w:style>
  <w:style w:type="paragraph" w:customStyle="1" w:styleId="Bullet-last">
    <w:name w:val="Bullet-last"/>
    <w:basedOn w:val="Normal"/>
    <w:rsid w:val="004A1CEF"/>
    <w:pPr>
      <w:numPr>
        <w:numId w:val="7"/>
      </w:numPr>
      <w:pBdr>
        <w:bottom w:val="single" w:sz="4" w:space="1" w:color="auto"/>
      </w:pBdr>
      <w:spacing w:after="360"/>
    </w:pPr>
    <w:rPr>
      <w:b/>
      <w:sz w:val="20"/>
    </w:rPr>
  </w:style>
  <w:style w:type="paragraph" w:customStyle="1" w:styleId="BulletRP">
    <w:name w:val="BulletRP"/>
    <w:basedOn w:val="Normal"/>
    <w:rsid w:val="004A1CEF"/>
    <w:pPr>
      <w:spacing w:after="180" w:line="240" w:lineRule="atLeast"/>
      <w:jc w:val="both"/>
    </w:pPr>
    <w:rPr>
      <w:sz w:val="22"/>
      <w:szCs w:val="22"/>
    </w:rPr>
  </w:style>
  <w:style w:type="paragraph" w:customStyle="1" w:styleId="TableTitle">
    <w:name w:val="Table Title"/>
    <w:basedOn w:val="Body"/>
    <w:next w:val="Normal"/>
    <w:rsid w:val="004A1CEF"/>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4A1CEF"/>
    <w:rPr>
      <w:bCs/>
    </w:rPr>
  </w:style>
  <w:style w:type="paragraph" w:customStyle="1" w:styleId="Chartsubtitle">
    <w:name w:val="Chart subtitle"/>
    <w:basedOn w:val="Normal"/>
    <w:rsid w:val="004A1CEF"/>
    <w:rPr>
      <w:rFonts w:ascii="Arial Narrow" w:hAnsi="Arial Narrow"/>
      <w:sz w:val="16"/>
    </w:rPr>
  </w:style>
  <w:style w:type="paragraph" w:customStyle="1" w:styleId="Charttitle">
    <w:name w:val="Chart title"/>
    <w:basedOn w:val="Normal"/>
    <w:rsid w:val="004A1CEF"/>
    <w:rPr>
      <w:rFonts w:ascii="Arial Narrow" w:hAnsi="Arial Narrow"/>
      <w:b/>
      <w:color w:val="4E8ABE"/>
      <w:sz w:val="18"/>
      <w:szCs w:val="18"/>
    </w:rPr>
  </w:style>
  <w:style w:type="paragraph" w:styleId="Closing">
    <w:name w:val="Closing"/>
    <w:basedOn w:val="Normal"/>
    <w:link w:val="ClosingChar"/>
    <w:rsid w:val="004A1CEF"/>
    <w:pPr>
      <w:ind w:left="4320"/>
    </w:pPr>
  </w:style>
  <w:style w:type="character" w:customStyle="1" w:styleId="ClosingChar">
    <w:name w:val="Closing Char"/>
    <w:basedOn w:val="DefaultParagraphFont"/>
    <w:link w:val="Closing"/>
    <w:rsid w:val="004A1CEF"/>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4A1CEF"/>
    <w:rPr>
      <w:sz w:val="16"/>
      <w:szCs w:val="16"/>
    </w:rPr>
  </w:style>
  <w:style w:type="paragraph" w:styleId="CommentSubject">
    <w:name w:val="annotation subject"/>
    <w:basedOn w:val="CommentText"/>
    <w:next w:val="CommentText"/>
    <w:link w:val="CommentSubjectChar"/>
    <w:semiHidden/>
    <w:rsid w:val="004A1CEF"/>
    <w:rPr>
      <w:b/>
      <w:bCs/>
      <w:szCs w:val="20"/>
    </w:rPr>
  </w:style>
  <w:style w:type="character" w:customStyle="1" w:styleId="CommentSubjectChar">
    <w:name w:val="Comment Subject Char"/>
    <w:basedOn w:val="CommentTextChar"/>
    <w:link w:val="CommentSubject"/>
    <w:semiHidden/>
    <w:rsid w:val="004A1CEF"/>
    <w:rPr>
      <w:b/>
      <w:bCs/>
      <w:szCs w:val="20"/>
    </w:rPr>
  </w:style>
  <w:style w:type="paragraph" w:customStyle="1" w:styleId="CompanyDescription">
    <w:name w:val="CompanyDescription"/>
    <w:basedOn w:val="Body"/>
    <w:qFormat/>
    <w:rsid w:val="004A1CEF"/>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4A1CEF"/>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4A1CEF"/>
    <w:rPr>
      <w:rFonts w:ascii="Arial" w:hAnsi="Arial"/>
      <w:b/>
      <w:sz w:val="18"/>
      <w:szCs w:val="18"/>
      <w:vertAlign w:val="superscript"/>
    </w:rPr>
  </w:style>
  <w:style w:type="paragraph" w:customStyle="1" w:styleId="Country">
    <w:name w:val="Country"/>
    <w:basedOn w:val="Industry"/>
    <w:rsid w:val="004A1CEF"/>
    <w:pPr>
      <w:spacing w:after="40"/>
    </w:pPr>
  </w:style>
  <w:style w:type="paragraph" w:customStyle="1" w:styleId="CoverContentsTitle">
    <w:name w:val="Cover Contents Title"/>
    <w:next w:val="Normal"/>
    <w:rsid w:val="004A1CEF"/>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4A1CEF"/>
    <w:pPr>
      <w:spacing w:after="0"/>
    </w:pPr>
    <w:rPr>
      <w:rFonts w:ascii="Arial" w:hAnsi="Arial"/>
      <w:sz w:val="16"/>
      <w:szCs w:val="16"/>
    </w:rPr>
  </w:style>
  <w:style w:type="paragraph" w:customStyle="1" w:styleId="CreditAnalystTickerValue">
    <w:name w:val="CreditAnalystTickerValue"/>
    <w:basedOn w:val="Body"/>
    <w:rsid w:val="004A1CEF"/>
    <w:pPr>
      <w:spacing w:after="0"/>
    </w:pPr>
    <w:rPr>
      <w:rFonts w:ascii="Arial" w:hAnsi="Arial"/>
      <w:b/>
      <w:sz w:val="22"/>
      <w:szCs w:val="22"/>
    </w:rPr>
  </w:style>
  <w:style w:type="paragraph" w:styleId="Date">
    <w:name w:val="Date"/>
    <w:basedOn w:val="Normal"/>
    <w:next w:val="Normal"/>
    <w:link w:val="DateChar"/>
    <w:rsid w:val="004A1CEF"/>
  </w:style>
  <w:style w:type="character" w:customStyle="1" w:styleId="DateChar">
    <w:name w:val="Date Char"/>
    <w:basedOn w:val="DefaultParagraphFont"/>
    <w:link w:val="Date"/>
    <w:rsid w:val="004A1CEF"/>
    <w:rPr>
      <w:rFonts w:ascii="Times New Roman" w:eastAsia="MS Mincho" w:hAnsi="Times New Roman" w:cs="Times New Roman"/>
      <w:sz w:val="24"/>
      <w:szCs w:val="24"/>
      <w:lang w:val="en-US" w:eastAsia="en-US"/>
    </w:rPr>
  </w:style>
  <w:style w:type="paragraph" w:customStyle="1" w:styleId="Disclosure">
    <w:name w:val="Disclosure"/>
    <w:basedOn w:val="Body"/>
    <w:rsid w:val="004A1CEF"/>
    <w:pPr>
      <w:spacing w:after="50" w:line="175" w:lineRule="exact"/>
      <w:ind w:left="-3125"/>
    </w:pPr>
    <w:rPr>
      <w:bCs/>
      <w:noProof/>
      <w:sz w:val="16"/>
    </w:rPr>
  </w:style>
  <w:style w:type="paragraph" w:customStyle="1" w:styleId="DiscClause">
    <w:name w:val="DiscClause"/>
    <w:basedOn w:val="Disclosure"/>
    <w:rsid w:val="004A1CEF"/>
    <w:rPr>
      <w:b/>
    </w:rPr>
  </w:style>
  <w:style w:type="paragraph" w:customStyle="1" w:styleId="Disclaimer">
    <w:name w:val="Disclaimer"/>
    <w:basedOn w:val="Normal"/>
    <w:rsid w:val="004A1CEF"/>
    <w:pPr>
      <w:numPr>
        <w:numId w:val="8"/>
      </w:numPr>
    </w:pPr>
    <w:rPr>
      <w:snapToGrid w:val="0"/>
      <w:color w:val="000000"/>
      <w:sz w:val="18"/>
    </w:rPr>
  </w:style>
  <w:style w:type="paragraph" w:customStyle="1" w:styleId="DisclaimerBP">
    <w:name w:val="DisclaimerBP"/>
    <w:basedOn w:val="Normal"/>
    <w:rsid w:val="004A1CEF"/>
    <w:pPr>
      <w:keepNext/>
      <w:spacing w:after="240"/>
      <w:ind w:left="-3125"/>
    </w:pPr>
    <w:rPr>
      <w:b/>
      <w:snapToGrid w:val="0"/>
      <w:color w:val="000000"/>
      <w:sz w:val="20"/>
    </w:rPr>
  </w:style>
  <w:style w:type="paragraph" w:customStyle="1" w:styleId="DisclaimerHeading">
    <w:name w:val="DisclaimerHeading"/>
    <w:basedOn w:val="Heading1"/>
    <w:rsid w:val="004A1CEF"/>
    <w:pPr>
      <w:ind w:left="-3119"/>
    </w:pPr>
    <w:rPr>
      <w:sz w:val="16"/>
      <w:szCs w:val="16"/>
    </w:rPr>
  </w:style>
  <w:style w:type="paragraph" w:customStyle="1" w:styleId="DisclaimerText">
    <w:name w:val="DisclaimerText"/>
    <w:basedOn w:val="Normal"/>
    <w:rsid w:val="004A1CEF"/>
    <w:pPr>
      <w:ind w:left="-3125"/>
    </w:pPr>
    <w:rPr>
      <w:snapToGrid w:val="0"/>
      <w:color w:val="000000"/>
      <w:sz w:val="16"/>
    </w:rPr>
  </w:style>
  <w:style w:type="paragraph" w:customStyle="1" w:styleId="DisclosureDistribution">
    <w:name w:val="DisclosureDistribution"/>
    <w:basedOn w:val="Disclosure"/>
    <w:rsid w:val="004A1CEF"/>
    <w:pPr>
      <w:spacing w:after="0"/>
    </w:pPr>
    <w:rPr>
      <w:b/>
      <w:bCs w:val="0"/>
      <w:sz w:val="18"/>
    </w:rPr>
  </w:style>
  <w:style w:type="paragraph" w:customStyle="1" w:styleId="DisclosureFreeText">
    <w:name w:val="DisclosureFreeText"/>
    <w:basedOn w:val="FooterFrontPage"/>
    <w:rsid w:val="004A1CEF"/>
    <w:pPr>
      <w:framePr w:wrap="around"/>
    </w:pPr>
    <w:rPr>
      <w:rFonts w:ascii="Times New Roman" w:hAnsi="Times New Roman"/>
      <w:b/>
    </w:rPr>
  </w:style>
  <w:style w:type="paragraph" w:customStyle="1" w:styleId="DisclosureHead">
    <w:name w:val="DisclosureHead"/>
    <w:basedOn w:val="Disclosure"/>
    <w:rsid w:val="004A1CEF"/>
    <w:pPr>
      <w:keepNext/>
      <w:pBdr>
        <w:top w:val="single" w:sz="4" w:space="1" w:color="auto"/>
      </w:pBdr>
    </w:pPr>
    <w:rPr>
      <w:b/>
    </w:rPr>
  </w:style>
  <w:style w:type="paragraph" w:customStyle="1" w:styleId="DocTitle">
    <w:name w:val="DocTitle"/>
    <w:basedOn w:val="Body"/>
    <w:next w:val="Body"/>
    <w:rsid w:val="004A1CEF"/>
    <w:pPr>
      <w:spacing w:after="0" w:line="480" w:lineRule="atLeast"/>
    </w:pPr>
    <w:rPr>
      <w:rFonts w:ascii="Arial" w:hAnsi="Arial"/>
      <w:b/>
      <w:sz w:val="40"/>
    </w:rPr>
  </w:style>
  <w:style w:type="paragraph" w:styleId="DocumentMap">
    <w:name w:val="Document Map"/>
    <w:basedOn w:val="Normal"/>
    <w:link w:val="DocumentMapChar"/>
    <w:semiHidden/>
    <w:rsid w:val="004A1CEF"/>
    <w:pPr>
      <w:shd w:val="clear" w:color="auto" w:fill="000080"/>
    </w:pPr>
    <w:rPr>
      <w:rFonts w:ascii="Tahoma" w:hAnsi="Tahoma" w:cs="Tahoma"/>
    </w:rPr>
  </w:style>
  <w:style w:type="character" w:customStyle="1" w:styleId="DocumentMapChar">
    <w:name w:val="Document Map Char"/>
    <w:basedOn w:val="DefaultParagraphFont"/>
    <w:link w:val="DocumentMap"/>
    <w:semiHidden/>
    <w:rsid w:val="004A1CEF"/>
    <w:rPr>
      <w:rFonts w:ascii="Tahoma" w:eastAsia="MS Mincho" w:hAnsi="Tahoma" w:cs="Tahoma"/>
      <w:sz w:val="24"/>
      <w:szCs w:val="24"/>
      <w:shd w:val="clear" w:color="auto" w:fill="000080"/>
      <w:lang w:val="en-US" w:eastAsia="en-US"/>
    </w:rPr>
  </w:style>
  <w:style w:type="paragraph" w:customStyle="1" w:styleId="DraftMark">
    <w:name w:val="DraftMark"/>
    <w:rsid w:val="004A1CEF"/>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4A1CEF"/>
    <w:pPr>
      <w:ind w:left="-3125"/>
    </w:pPr>
    <w:rPr>
      <w:sz w:val="20"/>
    </w:rPr>
  </w:style>
  <w:style w:type="paragraph" w:customStyle="1" w:styleId="EarningsCover">
    <w:name w:val="EarningsCover"/>
    <w:basedOn w:val="Footer"/>
    <w:next w:val="Normal"/>
    <w:semiHidden/>
    <w:rsid w:val="004A1CEF"/>
    <w:pPr>
      <w:framePr w:wrap="around" w:hAnchor="text" w:yAlign="bottom"/>
      <w:spacing w:before="0"/>
    </w:pPr>
  </w:style>
  <w:style w:type="paragraph" w:customStyle="1" w:styleId="Phone">
    <w:name w:val="Phone"/>
    <w:basedOn w:val="Body"/>
    <w:next w:val="Normal"/>
    <w:rsid w:val="004A1CEF"/>
    <w:pPr>
      <w:spacing w:after="40"/>
    </w:pPr>
    <w:rPr>
      <w:rFonts w:ascii="Arial" w:hAnsi="Arial"/>
      <w:noProof/>
      <w:sz w:val="14"/>
    </w:rPr>
  </w:style>
  <w:style w:type="paragraph" w:customStyle="1" w:styleId="EMail">
    <w:name w:val="EMail"/>
    <w:basedOn w:val="Phone"/>
    <w:next w:val="Normal"/>
    <w:rsid w:val="004A1CEF"/>
    <w:pPr>
      <w:spacing w:after="60"/>
    </w:pPr>
  </w:style>
  <w:style w:type="paragraph" w:styleId="E-mailSignature">
    <w:name w:val="E-mail Signature"/>
    <w:basedOn w:val="Normal"/>
    <w:link w:val="E-mailSignatureChar"/>
    <w:rsid w:val="004A1CEF"/>
  </w:style>
  <w:style w:type="character" w:customStyle="1" w:styleId="E-mailSignatureChar">
    <w:name w:val="E-mail Signature Char"/>
    <w:basedOn w:val="DefaultParagraphFont"/>
    <w:link w:val="E-mailSignature"/>
    <w:rsid w:val="004A1CEF"/>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4A1CEF"/>
    <w:pPr>
      <w:framePr w:w="2520" w:hSpace="187" w:vSpace="187" w:wrap="around" w:vAnchor="text" w:hAnchor="margin" w:x="-3124" w:y="1"/>
    </w:pPr>
  </w:style>
  <w:style w:type="character" w:styleId="Emphasis">
    <w:name w:val="Emphasis"/>
    <w:basedOn w:val="DefaultParagraphFont"/>
    <w:rsid w:val="004A1CEF"/>
    <w:rPr>
      <w:i/>
      <w:iCs/>
    </w:rPr>
  </w:style>
  <w:style w:type="character" w:styleId="EndnoteReference">
    <w:name w:val="endnote reference"/>
    <w:basedOn w:val="DefaultParagraphFont"/>
    <w:semiHidden/>
    <w:rsid w:val="004A1CEF"/>
    <w:rPr>
      <w:vertAlign w:val="superscript"/>
    </w:rPr>
  </w:style>
  <w:style w:type="paragraph" w:styleId="EndnoteText">
    <w:name w:val="endnote text"/>
    <w:basedOn w:val="Normal"/>
    <w:link w:val="EndnoteTextChar"/>
    <w:semiHidden/>
    <w:rsid w:val="004A1CEF"/>
    <w:rPr>
      <w:sz w:val="20"/>
    </w:rPr>
  </w:style>
  <w:style w:type="character" w:customStyle="1" w:styleId="EndnoteTextChar">
    <w:name w:val="Endnote Text Char"/>
    <w:basedOn w:val="DefaultParagraphFont"/>
    <w:link w:val="EndnoteText"/>
    <w:semiHidden/>
    <w:rsid w:val="004A1CEF"/>
    <w:rPr>
      <w:rFonts w:ascii="Times New Roman" w:eastAsia="MS Mincho" w:hAnsi="Times New Roman" w:cs="Times New Roman"/>
      <w:sz w:val="20"/>
      <w:szCs w:val="24"/>
      <w:lang w:val="en-US" w:eastAsia="en-US"/>
    </w:rPr>
  </w:style>
  <w:style w:type="paragraph" w:styleId="EnvelopeAddress">
    <w:name w:val="envelope address"/>
    <w:basedOn w:val="Normal"/>
    <w:rsid w:val="004A1CE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A1CEF"/>
    <w:rPr>
      <w:rFonts w:ascii="Arial" w:hAnsi="Arial" w:cs="Arial"/>
      <w:sz w:val="20"/>
    </w:rPr>
  </w:style>
  <w:style w:type="paragraph" w:customStyle="1" w:styleId="ESTableCaption">
    <w:name w:val="ESTableCaption"/>
    <w:next w:val="Normal"/>
    <w:semiHidden/>
    <w:rsid w:val="004A1CEF"/>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4A1CEF"/>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4A1CEF"/>
    <w:rPr>
      <w:sz w:val="14"/>
    </w:rPr>
  </w:style>
  <w:style w:type="character" w:customStyle="1" w:styleId="FASB123">
    <w:name w:val="FASB123"/>
    <w:basedOn w:val="DefaultParagraphFont"/>
    <w:rsid w:val="004A1CEF"/>
    <w:rPr>
      <w:rFonts w:ascii="Arial Narrow" w:hAnsi="Arial Narrow"/>
      <w:b/>
      <w:dstrike w:val="0"/>
      <w:sz w:val="18"/>
      <w:szCs w:val="18"/>
      <w:vertAlign w:val="superscript"/>
    </w:rPr>
  </w:style>
  <w:style w:type="paragraph" w:customStyle="1" w:styleId="FigureTitle">
    <w:name w:val="FigureTitle"/>
    <w:basedOn w:val="Body"/>
    <w:next w:val="Body"/>
    <w:rsid w:val="004A1CEF"/>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4A1CEF"/>
    <w:rPr>
      <w:color w:val="800080"/>
      <w:u w:val="single"/>
    </w:rPr>
  </w:style>
  <w:style w:type="character" w:styleId="FootnoteReference">
    <w:name w:val="footnote reference"/>
    <w:basedOn w:val="DefaultParagraphFont"/>
    <w:semiHidden/>
    <w:rsid w:val="004A1CEF"/>
    <w:rPr>
      <w:sz w:val="20"/>
      <w:vertAlign w:val="superscript"/>
    </w:rPr>
  </w:style>
  <w:style w:type="paragraph" w:styleId="FootnoteText">
    <w:name w:val="footnote text"/>
    <w:basedOn w:val="Normal"/>
    <w:link w:val="FootnoteTextChar"/>
    <w:semiHidden/>
    <w:rsid w:val="004A1CEF"/>
    <w:rPr>
      <w:sz w:val="18"/>
    </w:rPr>
  </w:style>
  <w:style w:type="character" w:customStyle="1" w:styleId="FootnoteTextChar">
    <w:name w:val="Footnote Text Char"/>
    <w:basedOn w:val="DefaultParagraphFont"/>
    <w:link w:val="FootnoteText"/>
    <w:semiHidden/>
    <w:rsid w:val="004A1CEF"/>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4A1CEF"/>
    <w:pPr>
      <w:spacing w:before="20" w:after="0"/>
    </w:pPr>
    <w:rPr>
      <w:noProof/>
      <w:sz w:val="12"/>
    </w:rPr>
  </w:style>
  <w:style w:type="paragraph" w:customStyle="1" w:styleId="FPBody">
    <w:name w:val="FPBody"/>
    <w:basedOn w:val="Body"/>
    <w:rsid w:val="004A1CEF"/>
    <w:pPr>
      <w:spacing w:after="180"/>
      <w:ind w:right="3272"/>
      <w:jc w:val="both"/>
    </w:pPr>
    <w:rPr>
      <w:sz w:val="22"/>
    </w:rPr>
  </w:style>
  <w:style w:type="paragraph" w:customStyle="1" w:styleId="FPBodyNala">
    <w:name w:val="FPBodyNala"/>
    <w:basedOn w:val="FPBody"/>
    <w:next w:val="Normal"/>
    <w:rsid w:val="004A1CEF"/>
  </w:style>
  <w:style w:type="paragraph" w:customStyle="1" w:styleId="FPBulletBold">
    <w:name w:val="FPBulletBold"/>
    <w:basedOn w:val="Normal"/>
    <w:rsid w:val="004A1CEF"/>
    <w:pPr>
      <w:spacing w:after="180" w:line="240" w:lineRule="atLeast"/>
      <w:ind w:left="187" w:hanging="187"/>
      <w:jc w:val="both"/>
    </w:pPr>
    <w:rPr>
      <w:b/>
      <w:sz w:val="20"/>
      <w:szCs w:val="22"/>
    </w:rPr>
  </w:style>
  <w:style w:type="paragraph" w:customStyle="1" w:styleId="FPLegalEntityName">
    <w:name w:val="FPLegalEntityName"/>
    <w:basedOn w:val="EMail"/>
    <w:rsid w:val="004A1CEF"/>
    <w:pPr>
      <w:pBdr>
        <w:bottom w:val="single" w:sz="2" w:space="4" w:color="auto"/>
      </w:pBdr>
    </w:pPr>
    <w:rPr>
      <w:color w:val="000000"/>
      <w:szCs w:val="14"/>
    </w:rPr>
  </w:style>
  <w:style w:type="table" w:customStyle="1" w:styleId="GPSDisclosureTable">
    <w:name w:val="GPSDisclosureTable"/>
    <w:basedOn w:val="TableNormal"/>
    <w:rsid w:val="004A1CEF"/>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4A1CEF"/>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4A1CEF"/>
    <w:pPr>
      <w:spacing w:after="60"/>
    </w:pPr>
  </w:style>
  <w:style w:type="table" w:customStyle="1" w:styleId="HeaderDetailsTable">
    <w:name w:val="HeaderDetailsTable"/>
    <w:basedOn w:val="TableNormal"/>
    <w:rsid w:val="004A1CEF"/>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4A1CEF"/>
  </w:style>
  <w:style w:type="paragraph" w:customStyle="1" w:styleId="Heading2-NoTOC">
    <w:name w:val="Heading 2 -No TOC"/>
    <w:basedOn w:val="Heading2"/>
    <w:qFormat/>
    <w:rsid w:val="004A1CEF"/>
  </w:style>
  <w:style w:type="paragraph" w:customStyle="1" w:styleId="HeadingVR">
    <w:name w:val="Heading VR"/>
    <w:basedOn w:val="Heading2"/>
    <w:rsid w:val="004A1CEF"/>
    <w:pPr>
      <w:spacing w:before="120" w:after="80" w:line="160" w:lineRule="atLeast"/>
    </w:pPr>
  </w:style>
  <w:style w:type="character" w:customStyle="1" w:styleId="HeadingVRRatingPT">
    <w:name w:val="Heading VR (Rating/PT)"/>
    <w:basedOn w:val="DefaultParagraphFont"/>
    <w:rsid w:val="004A1CEF"/>
    <w:rPr>
      <w:rFonts w:ascii="Arial" w:hAnsi="Arial"/>
      <w:b/>
      <w:i/>
      <w:sz w:val="20"/>
      <w:szCs w:val="20"/>
    </w:rPr>
  </w:style>
  <w:style w:type="paragraph" w:customStyle="1" w:styleId="Heading1Abstract">
    <w:name w:val="Heading1Abstract"/>
    <w:basedOn w:val="Heading1"/>
    <w:semiHidden/>
    <w:rsid w:val="004A1CEF"/>
    <w:pPr>
      <w:outlineLvl w:val="9"/>
    </w:pPr>
  </w:style>
  <w:style w:type="paragraph" w:customStyle="1" w:styleId="HeadlineRPText">
    <w:name w:val="HeadlineRPText"/>
    <w:basedOn w:val="Body"/>
    <w:semiHidden/>
    <w:rsid w:val="004A1CEF"/>
    <w:pPr>
      <w:spacing w:after="0"/>
      <w:ind w:left="-3125"/>
    </w:pPr>
  </w:style>
  <w:style w:type="paragraph" w:customStyle="1" w:styleId="HeadlineRPHangingIndent">
    <w:name w:val="HeadlineRPHangingIndent"/>
    <w:basedOn w:val="HeadlineRPText"/>
    <w:semiHidden/>
    <w:rsid w:val="004A1CEF"/>
    <w:pPr>
      <w:ind w:left="-1685" w:hanging="1440"/>
    </w:pPr>
  </w:style>
  <w:style w:type="paragraph" w:customStyle="1" w:styleId="HeadlineRPSubject">
    <w:name w:val="HeadlineRPSubject"/>
    <w:basedOn w:val="Heading2"/>
    <w:semiHidden/>
    <w:rsid w:val="004A1CEF"/>
    <w:pPr>
      <w:outlineLvl w:val="9"/>
    </w:pPr>
  </w:style>
  <w:style w:type="character" w:customStyle="1" w:styleId="HiddenFieldRP">
    <w:name w:val="HiddenFieldRP"/>
    <w:basedOn w:val="DefaultParagraphFont"/>
    <w:semiHidden/>
    <w:rsid w:val="004A1CEF"/>
    <w:rPr>
      <w:rFonts w:ascii="Arial" w:hAnsi="Arial"/>
      <w:vanish/>
      <w:color w:val="FFFFFF"/>
      <w:sz w:val="2"/>
    </w:rPr>
  </w:style>
  <w:style w:type="character" w:styleId="HTMLAcronym">
    <w:name w:val="HTML Acronym"/>
    <w:basedOn w:val="DefaultParagraphFont"/>
    <w:rsid w:val="004A1CEF"/>
  </w:style>
  <w:style w:type="paragraph" w:styleId="HTMLAddress">
    <w:name w:val="HTML Address"/>
    <w:basedOn w:val="Normal"/>
    <w:link w:val="HTMLAddressChar"/>
    <w:rsid w:val="004A1CEF"/>
    <w:rPr>
      <w:i/>
      <w:iCs/>
    </w:rPr>
  </w:style>
  <w:style w:type="character" w:customStyle="1" w:styleId="HTMLAddressChar">
    <w:name w:val="HTML Address Char"/>
    <w:basedOn w:val="DefaultParagraphFont"/>
    <w:link w:val="HTMLAddress"/>
    <w:rsid w:val="004A1CEF"/>
    <w:rPr>
      <w:rFonts w:ascii="Times New Roman" w:eastAsia="MS Mincho" w:hAnsi="Times New Roman" w:cs="Times New Roman"/>
      <w:i/>
      <w:iCs/>
      <w:sz w:val="24"/>
      <w:szCs w:val="24"/>
      <w:lang w:val="en-US" w:eastAsia="en-US"/>
    </w:rPr>
  </w:style>
  <w:style w:type="character" w:styleId="HTMLCite">
    <w:name w:val="HTML Cite"/>
    <w:basedOn w:val="DefaultParagraphFont"/>
    <w:rsid w:val="004A1CEF"/>
    <w:rPr>
      <w:i/>
      <w:iCs/>
    </w:rPr>
  </w:style>
  <w:style w:type="character" w:styleId="HTMLCode">
    <w:name w:val="HTML Code"/>
    <w:basedOn w:val="DefaultParagraphFont"/>
    <w:rsid w:val="004A1CEF"/>
    <w:rPr>
      <w:rFonts w:ascii="Courier New" w:hAnsi="Courier New"/>
      <w:sz w:val="20"/>
      <w:szCs w:val="20"/>
    </w:rPr>
  </w:style>
  <w:style w:type="character" w:styleId="HTMLDefinition">
    <w:name w:val="HTML Definition"/>
    <w:basedOn w:val="DefaultParagraphFont"/>
    <w:rsid w:val="004A1CEF"/>
    <w:rPr>
      <w:i/>
      <w:iCs/>
    </w:rPr>
  </w:style>
  <w:style w:type="character" w:styleId="HTMLKeyboard">
    <w:name w:val="HTML Keyboard"/>
    <w:basedOn w:val="DefaultParagraphFont"/>
    <w:rsid w:val="004A1CEF"/>
    <w:rPr>
      <w:rFonts w:ascii="Courier New" w:hAnsi="Courier New"/>
      <w:sz w:val="20"/>
      <w:szCs w:val="20"/>
    </w:rPr>
  </w:style>
  <w:style w:type="paragraph" w:styleId="HTMLPreformatted">
    <w:name w:val="HTML Preformatted"/>
    <w:basedOn w:val="Normal"/>
    <w:link w:val="HTMLPreformattedChar"/>
    <w:rsid w:val="004A1CEF"/>
    <w:rPr>
      <w:rFonts w:ascii="Courier New" w:hAnsi="Courier New" w:cs="Courier New"/>
      <w:sz w:val="20"/>
    </w:rPr>
  </w:style>
  <w:style w:type="character" w:customStyle="1" w:styleId="HTMLPreformattedChar">
    <w:name w:val="HTML Preformatted Char"/>
    <w:basedOn w:val="DefaultParagraphFont"/>
    <w:link w:val="HTMLPreformatted"/>
    <w:rsid w:val="004A1CEF"/>
    <w:rPr>
      <w:rFonts w:ascii="Courier New" w:eastAsia="MS Mincho" w:hAnsi="Courier New" w:cs="Courier New"/>
      <w:sz w:val="20"/>
      <w:szCs w:val="24"/>
      <w:lang w:val="en-US" w:eastAsia="en-US"/>
    </w:rPr>
  </w:style>
  <w:style w:type="character" w:styleId="HTMLSample">
    <w:name w:val="HTML Sample"/>
    <w:basedOn w:val="DefaultParagraphFont"/>
    <w:rsid w:val="004A1CEF"/>
    <w:rPr>
      <w:rFonts w:ascii="Courier New" w:hAnsi="Courier New"/>
    </w:rPr>
  </w:style>
  <w:style w:type="character" w:styleId="HTMLTypewriter">
    <w:name w:val="HTML Typewriter"/>
    <w:basedOn w:val="DefaultParagraphFont"/>
    <w:rsid w:val="004A1CEF"/>
    <w:rPr>
      <w:rFonts w:ascii="Courier New" w:hAnsi="Courier New"/>
      <w:sz w:val="20"/>
      <w:szCs w:val="20"/>
    </w:rPr>
  </w:style>
  <w:style w:type="character" w:styleId="HTMLVariable">
    <w:name w:val="HTML Variable"/>
    <w:basedOn w:val="DefaultParagraphFont"/>
    <w:rsid w:val="004A1CEF"/>
    <w:rPr>
      <w:i/>
      <w:iCs/>
    </w:rPr>
  </w:style>
  <w:style w:type="character" w:styleId="Hyperlink">
    <w:name w:val="Hyperlink"/>
    <w:basedOn w:val="DefaultParagraphFont"/>
    <w:uiPriority w:val="99"/>
    <w:rsid w:val="004A1CEF"/>
    <w:rPr>
      <w:color w:val="0000FF"/>
      <w:u w:val="single"/>
    </w:rPr>
  </w:style>
  <w:style w:type="paragraph" w:styleId="Index1">
    <w:name w:val="index 1"/>
    <w:basedOn w:val="Normal"/>
    <w:next w:val="Normal"/>
    <w:autoRedefine/>
    <w:semiHidden/>
    <w:rsid w:val="004A1CEF"/>
    <w:pPr>
      <w:ind w:left="240" w:hanging="240"/>
    </w:pPr>
  </w:style>
  <w:style w:type="paragraph" w:styleId="Index2">
    <w:name w:val="index 2"/>
    <w:basedOn w:val="Normal"/>
    <w:next w:val="Normal"/>
    <w:autoRedefine/>
    <w:semiHidden/>
    <w:rsid w:val="004A1CEF"/>
    <w:pPr>
      <w:ind w:left="480" w:hanging="240"/>
    </w:pPr>
  </w:style>
  <w:style w:type="paragraph" w:styleId="Index3">
    <w:name w:val="index 3"/>
    <w:basedOn w:val="Normal"/>
    <w:next w:val="Normal"/>
    <w:autoRedefine/>
    <w:semiHidden/>
    <w:rsid w:val="004A1CEF"/>
    <w:pPr>
      <w:ind w:left="720" w:hanging="240"/>
    </w:pPr>
  </w:style>
  <w:style w:type="paragraph" w:styleId="Index4">
    <w:name w:val="index 4"/>
    <w:basedOn w:val="Normal"/>
    <w:next w:val="Normal"/>
    <w:autoRedefine/>
    <w:semiHidden/>
    <w:rsid w:val="004A1CEF"/>
    <w:pPr>
      <w:ind w:left="960" w:hanging="240"/>
    </w:pPr>
  </w:style>
  <w:style w:type="paragraph" w:styleId="Index5">
    <w:name w:val="index 5"/>
    <w:basedOn w:val="Normal"/>
    <w:next w:val="Normal"/>
    <w:autoRedefine/>
    <w:semiHidden/>
    <w:rsid w:val="004A1CEF"/>
    <w:pPr>
      <w:ind w:left="1200" w:hanging="240"/>
    </w:pPr>
  </w:style>
  <w:style w:type="paragraph" w:styleId="Index6">
    <w:name w:val="index 6"/>
    <w:basedOn w:val="Normal"/>
    <w:next w:val="Normal"/>
    <w:autoRedefine/>
    <w:semiHidden/>
    <w:rsid w:val="004A1CEF"/>
    <w:pPr>
      <w:ind w:left="1440" w:hanging="240"/>
    </w:pPr>
  </w:style>
  <w:style w:type="paragraph" w:styleId="Index7">
    <w:name w:val="index 7"/>
    <w:basedOn w:val="Normal"/>
    <w:next w:val="Normal"/>
    <w:autoRedefine/>
    <w:semiHidden/>
    <w:rsid w:val="004A1CEF"/>
    <w:pPr>
      <w:ind w:left="1680" w:hanging="240"/>
    </w:pPr>
  </w:style>
  <w:style w:type="paragraph" w:styleId="Index8">
    <w:name w:val="index 8"/>
    <w:basedOn w:val="Normal"/>
    <w:next w:val="Normal"/>
    <w:autoRedefine/>
    <w:semiHidden/>
    <w:rsid w:val="004A1CEF"/>
    <w:pPr>
      <w:ind w:left="1920" w:hanging="240"/>
    </w:pPr>
  </w:style>
  <w:style w:type="paragraph" w:styleId="Index9">
    <w:name w:val="index 9"/>
    <w:basedOn w:val="Normal"/>
    <w:next w:val="Normal"/>
    <w:autoRedefine/>
    <w:semiHidden/>
    <w:rsid w:val="004A1CEF"/>
    <w:pPr>
      <w:ind w:left="2160" w:hanging="240"/>
    </w:pPr>
  </w:style>
  <w:style w:type="paragraph" w:styleId="IndexHeading">
    <w:name w:val="index heading"/>
    <w:basedOn w:val="Normal"/>
    <w:next w:val="Index1"/>
    <w:semiHidden/>
    <w:rsid w:val="004A1CEF"/>
    <w:rPr>
      <w:rFonts w:ascii="Arial" w:hAnsi="Arial" w:cs="Arial"/>
      <w:b/>
      <w:bCs/>
    </w:rPr>
  </w:style>
  <w:style w:type="paragraph" w:customStyle="1" w:styleId="IPO">
    <w:name w:val="IPO"/>
    <w:basedOn w:val="DiscClause"/>
    <w:rsid w:val="004A1CEF"/>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4A1CEF"/>
    <w:pPr>
      <w:ind w:left="3125"/>
    </w:pPr>
  </w:style>
  <w:style w:type="paragraph" w:customStyle="1" w:styleId="ipubnormal">
    <w:name w:val="ipubnormal"/>
    <w:rsid w:val="004A1CEF"/>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4A1CEF"/>
    <w:pPr>
      <w:spacing w:before="20" w:after="0" w:line="160" w:lineRule="atLeast"/>
    </w:pPr>
    <w:rPr>
      <w:rFonts w:ascii="Arial Narrow" w:hAnsi="Arial Narrow"/>
      <w:sz w:val="12"/>
    </w:rPr>
  </w:style>
  <w:style w:type="paragraph" w:customStyle="1" w:styleId="LegalEntityName">
    <w:name w:val="LegalEntityName"/>
    <w:basedOn w:val="FooterFrontPage"/>
    <w:rsid w:val="004A1CEF"/>
    <w:pPr>
      <w:framePr w:wrap="around"/>
      <w:spacing w:line="240" w:lineRule="auto"/>
      <w:jc w:val="right"/>
    </w:pPr>
    <w:rPr>
      <w:rFonts w:ascii="Arial" w:hAnsi="Arial"/>
      <w:b/>
      <w:szCs w:val="20"/>
    </w:rPr>
  </w:style>
  <w:style w:type="table" w:customStyle="1" w:styleId="LegalEntityTable">
    <w:name w:val="LegalEntityTable"/>
    <w:basedOn w:val="TableNormal"/>
    <w:rsid w:val="004A1CEF"/>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4A1CEF"/>
  </w:style>
  <w:style w:type="paragraph" w:styleId="List">
    <w:name w:val="List"/>
    <w:basedOn w:val="Normal"/>
    <w:rsid w:val="004A1CEF"/>
    <w:pPr>
      <w:ind w:left="360" w:hanging="360"/>
    </w:pPr>
  </w:style>
  <w:style w:type="paragraph" w:styleId="List2">
    <w:name w:val="List 2"/>
    <w:basedOn w:val="Normal"/>
    <w:rsid w:val="004A1CEF"/>
    <w:pPr>
      <w:ind w:left="720" w:hanging="360"/>
    </w:pPr>
  </w:style>
  <w:style w:type="paragraph" w:styleId="List3">
    <w:name w:val="List 3"/>
    <w:basedOn w:val="Normal"/>
    <w:rsid w:val="004A1CEF"/>
    <w:pPr>
      <w:ind w:left="1080" w:hanging="360"/>
    </w:pPr>
  </w:style>
  <w:style w:type="paragraph" w:styleId="List4">
    <w:name w:val="List 4"/>
    <w:basedOn w:val="Normal"/>
    <w:rsid w:val="004A1CEF"/>
    <w:pPr>
      <w:ind w:left="1440" w:hanging="360"/>
    </w:pPr>
  </w:style>
  <w:style w:type="paragraph" w:styleId="List5">
    <w:name w:val="List 5"/>
    <w:basedOn w:val="Normal"/>
    <w:rsid w:val="004A1CEF"/>
    <w:pPr>
      <w:ind w:left="1800" w:hanging="360"/>
    </w:pPr>
  </w:style>
  <w:style w:type="paragraph" w:styleId="ListBullet">
    <w:name w:val="List Bullet"/>
    <w:basedOn w:val="Normal"/>
    <w:autoRedefine/>
    <w:rsid w:val="004A1CEF"/>
    <w:pPr>
      <w:numPr>
        <w:numId w:val="9"/>
      </w:numPr>
    </w:pPr>
  </w:style>
  <w:style w:type="paragraph" w:styleId="ListBullet2">
    <w:name w:val="List Bullet 2"/>
    <w:basedOn w:val="Normal"/>
    <w:autoRedefine/>
    <w:rsid w:val="004A1CEF"/>
    <w:pPr>
      <w:numPr>
        <w:numId w:val="10"/>
      </w:numPr>
    </w:pPr>
  </w:style>
  <w:style w:type="paragraph" w:styleId="ListBullet3">
    <w:name w:val="List Bullet 3"/>
    <w:basedOn w:val="Normal"/>
    <w:autoRedefine/>
    <w:rsid w:val="004A1CEF"/>
    <w:pPr>
      <w:numPr>
        <w:numId w:val="11"/>
      </w:numPr>
    </w:pPr>
  </w:style>
  <w:style w:type="paragraph" w:styleId="ListBullet4">
    <w:name w:val="List Bullet 4"/>
    <w:basedOn w:val="Normal"/>
    <w:autoRedefine/>
    <w:rsid w:val="004A1CEF"/>
    <w:pPr>
      <w:numPr>
        <w:numId w:val="12"/>
      </w:numPr>
    </w:pPr>
  </w:style>
  <w:style w:type="paragraph" w:styleId="ListBullet5">
    <w:name w:val="List Bullet 5"/>
    <w:basedOn w:val="Normal"/>
    <w:autoRedefine/>
    <w:rsid w:val="004A1CEF"/>
    <w:pPr>
      <w:numPr>
        <w:numId w:val="13"/>
      </w:numPr>
    </w:pPr>
  </w:style>
  <w:style w:type="paragraph" w:styleId="ListContinue">
    <w:name w:val="List Continue"/>
    <w:basedOn w:val="Normal"/>
    <w:rsid w:val="004A1CEF"/>
    <w:pPr>
      <w:spacing w:after="120"/>
      <w:ind w:left="360"/>
    </w:pPr>
  </w:style>
  <w:style w:type="paragraph" w:styleId="ListContinue2">
    <w:name w:val="List Continue 2"/>
    <w:basedOn w:val="Normal"/>
    <w:rsid w:val="004A1CEF"/>
    <w:pPr>
      <w:spacing w:after="120"/>
      <w:ind w:left="720"/>
    </w:pPr>
  </w:style>
  <w:style w:type="paragraph" w:styleId="ListContinue3">
    <w:name w:val="List Continue 3"/>
    <w:basedOn w:val="Normal"/>
    <w:rsid w:val="004A1CEF"/>
    <w:pPr>
      <w:spacing w:after="120"/>
      <w:ind w:left="1080"/>
    </w:pPr>
  </w:style>
  <w:style w:type="paragraph" w:styleId="ListContinue4">
    <w:name w:val="List Continue 4"/>
    <w:basedOn w:val="Normal"/>
    <w:rsid w:val="004A1CEF"/>
    <w:pPr>
      <w:spacing w:after="120"/>
      <w:ind w:left="1440"/>
    </w:pPr>
  </w:style>
  <w:style w:type="paragraph" w:styleId="ListContinue5">
    <w:name w:val="List Continue 5"/>
    <w:basedOn w:val="Normal"/>
    <w:rsid w:val="004A1CEF"/>
    <w:pPr>
      <w:spacing w:after="120"/>
      <w:ind w:left="1800"/>
    </w:pPr>
  </w:style>
  <w:style w:type="paragraph" w:styleId="ListNumber">
    <w:name w:val="List Number"/>
    <w:basedOn w:val="Normal"/>
    <w:rsid w:val="004A1CEF"/>
    <w:pPr>
      <w:numPr>
        <w:numId w:val="14"/>
      </w:numPr>
    </w:pPr>
  </w:style>
  <w:style w:type="paragraph" w:styleId="ListNumber2">
    <w:name w:val="List Number 2"/>
    <w:basedOn w:val="Normal"/>
    <w:rsid w:val="004A1CEF"/>
    <w:pPr>
      <w:numPr>
        <w:numId w:val="15"/>
      </w:numPr>
    </w:pPr>
  </w:style>
  <w:style w:type="paragraph" w:styleId="ListNumber3">
    <w:name w:val="List Number 3"/>
    <w:basedOn w:val="Normal"/>
    <w:rsid w:val="004A1CEF"/>
    <w:pPr>
      <w:numPr>
        <w:numId w:val="16"/>
      </w:numPr>
    </w:pPr>
  </w:style>
  <w:style w:type="paragraph" w:styleId="ListNumber4">
    <w:name w:val="List Number 4"/>
    <w:basedOn w:val="Normal"/>
    <w:rsid w:val="004A1CEF"/>
    <w:pPr>
      <w:numPr>
        <w:numId w:val="17"/>
      </w:numPr>
    </w:pPr>
  </w:style>
  <w:style w:type="paragraph" w:styleId="ListNumber5">
    <w:name w:val="List Number 5"/>
    <w:basedOn w:val="Normal"/>
    <w:rsid w:val="004A1CEF"/>
    <w:pPr>
      <w:numPr>
        <w:numId w:val="18"/>
      </w:numPr>
    </w:pPr>
  </w:style>
  <w:style w:type="paragraph" w:styleId="MacroText">
    <w:name w:val="macro"/>
    <w:link w:val="MacroTextChar"/>
    <w:semiHidden/>
    <w:rsid w:val="004A1CE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4A1CEF"/>
    <w:rPr>
      <w:rFonts w:ascii="Courier New" w:eastAsia="MS Mincho" w:hAnsi="Courier New" w:cs="Courier New"/>
      <w:sz w:val="20"/>
      <w:szCs w:val="20"/>
      <w:lang w:val="en-US" w:eastAsia="en-US"/>
    </w:rPr>
  </w:style>
  <w:style w:type="paragraph" w:styleId="MessageHeader">
    <w:name w:val="Message Header"/>
    <w:basedOn w:val="Normal"/>
    <w:link w:val="MessageHeaderChar"/>
    <w:rsid w:val="004A1CE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4A1CEF"/>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4A1CEF"/>
    <w:pPr>
      <w:framePr w:wrap="around"/>
      <w:spacing w:line="240" w:lineRule="auto"/>
    </w:pPr>
    <w:rPr>
      <w:rFonts w:ascii="Arial" w:hAnsi="Arial"/>
      <w:b/>
      <w:color w:val="4E8ABE"/>
      <w:szCs w:val="20"/>
    </w:rPr>
  </w:style>
  <w:style w:type="paragraph" w:customStyle="1" w:styleId="Name">
    <w:name w:val="Name"/>
    <w:basedOn w:val="Body"/>
    <w:next w:val="Phone"/>
    <w:rsid w:val="004A1CEF"/>
    <w:pPr>
      <w:spacing w:after="40"/>
    </w:pPr>
    <w:rPr>
      <w:rFonts w:ascii="Arial" w:hAnsi="Arial"/>
      <w:b/>
      <w:noProof/>
      <w:sz w:val="17"/>
    </w:rPr>
  </w:style>
  <w:style w:type="paragraph" w:customStyle="1" w:styleId="NameSide">
    <w:name w:val="NameSide"/>
    <w:basedOn w:val="Name"/>
    <w:next w:val="Normal"/>
    <w:rsid w:val="004A1CEF"/>
    <w:pPr>
      <w:framePr w:w="2520" w:hSpace="187" w:vSpace="187" w:wrap="around" w:vAnchor="text" w:hAnchor="margin" w:x="-3124" w:y="1"/>
    </w:pPr>
  </w:style>
  <w:style w:type="character" w:customStyle="1" w:styleId="NCOComplianceMark">
    <w:name w:val="NCO_ComplianceMark"/>
    <w:basedOn w:val="DefaultParagraphFont"/>
    <w:rsid w:val="004A1CEF"/>
    <w:rPr>
      <w:rFonts w:ascii="Arial" w:hAnsi="Arial"/>
      <w:b/>
      <w:dstrike w:val="0"/>
      <w:sz w:val="14"/>
      <w:szCs w:val="14"/>
      <w:vertAlign w:val="superscript"/>
    </w:rPr>
  </w:style>
  <w:style w:type="paragraph" w:customStyle="1" w:styleId="NCOEmail">
    <w:name w:val="NCO_Email"/>
    <w:basedOn w:val="EMail"/>
    <w:rsid w:val="004A1CEF"/>
  </w:style>
  <w:style w:type="table" w:customStyle="1" w:styleId="NCOFrontPageFooterTable">
    <w:name w:val="NCO_FrontPageFooterTable"/>
    <w:basedOn w:val="TableNormal"/>
    <w:rsid w:val="004A1CEF"/>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4A1CEF"/>
    <w:pPr>
      <w:framePr w:wrap="around"/>
      <w:jc w:val="left"/>
    </w:pPr>
    <w:rPr>
      <w:sz w:val="14"/>
    </w:rPr>
  </w:style>
  <w:style w:type="paragraph" w:customStyle="1" w:styleId="NCOLocation">
    <w:name w:val="NCO_Location"/>
    <w:basedOn w:val="Body"/>
    <w:rsid w:val="004A1CEF"/>
    <w:pPr>
      <w:spacing w:before="40" w:after="0" w:line="0" w:lineRule="atLeast"/>
    </w:pPr>
    <w:rPr>
      <w:rFonts w:ascii="Arial" w:hAnsi="Arial"/>
      <w:sz w:val="14"/>
    </w:rPr>
  </w:style>
  <w:style w:type="paragraph" w:customStyle="1" w:styleId="NCOName">
    <w:name w:val="NCO_Name"/>
    <w:basedOn w:val="Name"/>
    <w:rsid w:val="004A1CEF"/>
    <w:rPr>
      <w:sz w:val="14"/>
    </w:rPr>
  </w:style>
  <w:style w:type="character" w:customStyle="1" w:styleId="NCOPhone">
    <w:name w:val="NCO_Phone"/>
    <w:basedOn w:val="DefaultParagraphFont"/>
    <w:rsid w:val="004A1CEF"/>
    <w:rPr>
      <w:rFonts w:ascii="Arial" w:hAnsi="Arial"/>
      <w:noProof/>
      <w:sz w:val="14"/>
      <w:szCs w:val="14"/>
    </w:rPr>
  </w:style>
  <w:style w:type="paragraph" w:customStyle="1" w:styleId="NextToSource">
    <w:name w:val="NextToSource"/>
    <w:basedOn w:val="Normal"/>
    <w:next w:val="Body"/>
    <w:rsid w:val="004A1CEF"/>
    <w:pPr>
      <w:keepLines/>
      <w:spacing w:line="180" w:lineRule="atLeast"/>
    </w:pPr>
    <w:rPr>
      <w:rFonts w:ascii="Arial Narrow" w:hAnsi="Arial Narrow"/>
      <w:sz w:val="14"/>
    </w:rPr>
  </w:style>
  <w:style w:type="paragraph" w:styleId="NormalWeb">
    <w:name w:val="Normal (Web)"/>
    <w:basedOn w:val="Normal"/>
    <w:uiPriority w:val="99"/>
    <w:qFormat/>
    <w:rsid w:val="004A1CEF"/>
    <w:rPr>
      <w:sz w:val="20"/>
      <w:szCs w:val="20"/>
    </w:rPr>
  </w:style>
  <w:style w:type="paragraph" w:styleId="NormalIndent">
    <w:name w:val="Normal Indent"/>
    <w:basedOn w:val="Normal"/>
    <w:rsid w:val="004A1CEF"/>
    <w:pPr>
      <w:ind w:left="720"/>
    </w:pPr>
  </w:style>
  <w:style w:type="paragraph" w:styleId="NoteHeading">
    <w:name w:val="Note Heading"/>
    <w:basedOn w:val="Normal"/>
    <w:next w:val="Normal"/>
    <w:link w:val="NoteHeadingChar"/>
    <w:rsid w:val="004A1CEF"/>
  </w:style>
  <w:style w:type="character" w:customStyle="1" w:styleId="NoteHeadingChar">
    <w:name w:val="Note Heading Char"/>
    <w:basedOn w:val="DefaultParagraphFont"/>
    <w:link w:val="NoteHeading"/>
    <w:rsid w:val="004A1CEF"/>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4A1CEF"/>
    <w:rPr>
      <w:rFonts w:ascii="Arial" w:hAnsi="Arial"/>
      <w:sz w:val="20"/>
      <w:szCs w:val="20"/>
      <w:vertAlign w:val="superscript"/>
    </w:rPr>
  </w:style>
  <w:style w:type="paragraph" w:customStyle="1" w:styleId="NotSeries8687QualifiedMessage">
    <w:name w:val="NotSeries8687QualifiedMessage"/>
    <w:basedOn w:val="FooterFrontPage"/>
    <w:rsid w:val="004A1CEF"/>
    <w:pPr>
      <w:framePr w:wrap="around"/>
      <w:spacing w:line="226" w:lineRule="atLeast"/>
    </w:pPr>
  </w:style>
  <w:style w:type="paragraph" w:customStyle="1" w:styleId="NumberBullet">
    <w:name w:val="NumberBullet"/>
    <w:qFormat/>
    <w:rsid w:val="004A1CEF"/>
    <w:pPr>
      <w:numPr>
        <w:numId w:val="22"/>
      </w:numPr>
      <w:spacing w:after="120"/>
    </w:pPr>
    <w:rPr>
      <w:rFonts w:ascii="Times New Roman" w:eastAsia="MS Mincho" w:hAnsi="Times New Roman" w:cs="Times New Roman"/>
      <w:sz w:val="20"/>
      <w:szCs w:val="20"/>
      <w:lang w:val="en-US" w:eastAsia="en-US"/>
    </w:rPr>
  </w:style>
  <w:style w:type="paragraph" w:customStyle="1" w:styleId="PerfSource">
    <w:name w:val="PerfSource"/>
    <w:basedOn w:val="Normal"/>
    <w:rsid w:val="004A1CEF"/>
    <w:pPr>
      <w:keepLines/>
    </w:pPr>
    <w:rPr>
      <w:rFonts w:ascii="Arial Narrow" w:hAnsi="Arial Narrow"/>
      <w:noProof/>
      <w:sz w:val="14"/>
    </w:rPr>
  </w:style>
  <w:style w:type="paragraph" w:customStyle="1" w:styleId="PerfChart">
    <w:name w:val="PerfChart"/>
    <w:basedOn w:val="PerfSource"/>
    <w:rsid w:val="004A1CEF"/>
  </w:style>
  <w:style w:type="paragraph" w:customStyle="1" w:styleId="PhoneSide">
    <w:name w:val="PhoneSide"/>
    <w:basedOn w:val="Phone"/>
    <w:next w:val="EmailSide"/>
    <w:rsid w:val="004A1CEF"/>
    <w:pPr>
      <w:framePr w:w="2520" w:hSpace="187" w:vSpace="187" w:wrap="around" w:vAnchor="text" w:hAnchor="margin" w:x="-3124" w:y="1"/>
    </w:pPr>
  </w:style>
  <w:style w:type="paragraph" w:styleId="PlainText">
    <w:name w:val="Plain Text"/>
    <w:basedOn w:val="Normal"/>
    <w:link w:val="PlainTextChar"/>
    <w:rsid w:val="004A1CEF"/>
    <w:rPr>
      <w:rFonts w:ascii="Courier New" w:hAnsi="Courier New" w:cs="Courier New"/>
      <w:sz w:val="20"/>
      <w:szCs w:val="20"/>
    </w:rPr>
  </w:style>
  <w:style w:type="character" w:customStyle="1" w:styleId="PlainTextChar">
    <w:name w:val="Plain Text Char"/>
    <w:basedOn w:val="DefaultParagraphFont"/>
    <w:link w:val="PlainText"/>
    <w:rsid w:val="004A1CEF"/>
    <w:rPr>
      <w:rFonts w:ascii="Courier New" w:eastAsia="MS Mincho" w:hAnsi="Courier New" w:cs="Courier New"/>
      <w:sz w:val="20"/>
      <w:szCs w:val="20"/>
      <w:lang w:val="en-US" w:eastAsia="en-US"/>
    </w:rPr>
  </w:style>
  <w:style w:type="paragraph" w:customStyle="1" w:styleId="Price">
    <w:name w:val="Price"/>
    <w:basedOn w:val="Normal"/>
    <w:next w:val="Body"/>
    <w:rsid w:val="004A1CEF"/>
    <w:pPr>
      <w:framePr w:hSpace="187" w:wrap="around" w:vAnchor="page" w:hAnchor="text" w:xAlign="right" w:y="2161"/>
    </w:pPr>
    <w:rPr>
      <w:rFonts w:ascii="Arial" w:hAnsi="Arial"/>
      <w:noProof/>
      <w:sz w:val="16"/>
    </w:rPr>
  </w:style>
  <w:style w:type="paragraph" w:customStyle="1" w:styleId="Target">
    <w:name w:val="Target"/>
    <w:basedOn w:val="Normal"/>
    <w:next w:val="Body"/>
    <w:rsid w:val="004A1CEF"/>
    <w:pPr>
      <w:spacing w:line="200" w:lineRule="atLeast"/>
    </w:pPr>
    <w:rPr>
      <w:rFonts w:ascii="Arial" w:hAnsi="Arial"/>
      <w:sz w:val="16"/>
    </w:rPr>
  </w:style>
  <w:style w:type="paragraph" w:customStyle="1" w:styleId="PriceDate">
    <w:name w:val="PriceDate"/>
    <w:basedOn w:val="Target"/>
    <w:rsid w:val="004A1CEF"/>
    <w:pPr>
      <w:framePr w:hSpace="187" w:wrap="around" w:vAnchor="page" w:hAnchor="text" w:xAlign="right" w:y="2161"/>
      <w:spacing w:before="120" w:line="240" w:lineRule="auto"/>
    </w:pPr>
    <w:rPr>
      <w:b/>
      <w:noProof/>
    </w:rPr>
  </w:style>
  <w:style w:type="paragraph" w:customStyle="1" w:styleId="PriceDateDual">
    <w:name w:val="PriceDateDual"/>
    <w:basedOn w:val="Target"/>
    <w:rsid w:val="004A1CEF"/>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4A1CEF"/>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4A1CEF"/>
    <w:pPr>
      <w:framePr w:wrap="around"/>
    </w:pPr>
  </w:style>
  <w:style w:type="paragraph" w:customStyle="1" w:styleId="PriceTargetPrior">
    <w:name w:val="PriceTargetPrior"/>
    <w:basedOn w:val="PriceDate"/>
    <w:rsid w:val="004A1CEF"/>
    <w:pPr>
      <w:framePr w:wrap="around"/>
      <w:spacing w:before="0"/>
    </w:pPr>
    <w:rPr>
      <w:b w:val="0"/>
    </w:rPr>
  </w:style>
  <w:style w:type="paragraph" w:customStyle="1" w:styleId="PriorRecommendation">
    <w:name w:val="Prior Recommendation"/>
    <w:basedOn w:val="Body"/>
    <w:rsid w:val="004A1CEF"/>
    <w:pPr>
      <w:spacing w:after="0" w:line="200" w:lineRule="atLeast"/>
    </w:pPr>
    <w:rPr>
      <w:rFonts w:ascii="Arial" w:hAnsi="Arial"/>
      <w:noProof/>
      <w:sz w:val="16"/>
    </w:rPr>
  </w:style>
  <w:style w:type="paragraph" w:customStyle="1" w:styleId="ProductData1">
    <w:name w:val="ProductData1"/>
    <w:basedOn w:val="Body"/>
    <w:next w:val="Normal"/>
    <w:rsid w:val="004A1CEF"/>
    <w:pPr>
      <w:spacing w:after="0" w:line="200" w:lineRule="atLeast"/>
    </w:pPr>
    <w:rPr>
      <w:rFonts w:ascii="Arial" w:hAnsi="Arial"/>
      <w:b/>
      <w:sz w:val="18"/>
      <w:szCs w:val="18"/>
    </w:rPr>
  </w:style>
  <w:style w:type="paragraph" w:customStyle="1" w:styleId="ProductData2">
    <w:name w:val="ProductData2"/>
    <w:basedOn w:val="Body"/>
    <w:next w:val="Normal"/>
    <w:rsid w:val="004A1CEF"/>
    <w:pPr>
      <w:spacing w:after="0" w:line="200" w:lineRule="atLeast"/>
    </w:pPr>
    <w:rPr>
      <w:rFonts w:ascii="Arial" w:hAnsi="Arial"/>
      <w:b/>
      <w:sz w:val="14"/>
    </w:rPr>
  </w:style>
  <w:style w:type="paragraph" w:customStyle="1" w:styleId="ProductData3">
    <w:name w:val="ProductData3"/>
    <w:basedOn w:val="ProductData2"/>
    <w:rsid w:val="004A1CEF"/>
  </w:style>
  <w:style w:type="paragraph" w:customStyle="1" w:styleId="ProductOfJPMSI">
    <w:name w:val="ProductOfJPMSI"/>
    <w:basedOn w:val="DisclaimerBP"/>
    <w:next w:val="Body"/>
    <w:rsid w:val="004A1CEF"/>
  </w:style>
  <w:style w:type="paragraph" w:customStyle="1" w:styleId="Rating">
    <w:name w:val="Rating"/>
    <w:basedOn w:val="Body"/>
    <w:next w:val="Body"/>
    <w:rsid w:val="004A1CEF"/>
    <w:pPr>
      <w:spacing w:after="0"/>
    </w:pPr>
    <w:rPr>
      <w:rFonts w:ascii="Arial" w:hAnsi="Arial"/>
      <w:b/>
      <w:noProof/>
      <w:sz w:val="28"/>
    </w:rPr>
  </w:style>
  <w:style w:type="paragraph" w:customStyle="1" w:styleId="RatingPrior">
    <w:name w:val="RatingPrior"/>
    <w:basedOn w:val="Body"/>
    <w:rsid w:val="004A1CEF"/>
    <w:pPr>
      <w:spacing w:after="0"/>
    </w:pPr>
    <w:rPr>
      <w:rFonts w:ascii="Arial" w:hAnsi="Arial"/>
      <w:noProof/>
      <w:sz w:val="16"/>
    </w:rPr>
  </w:style>
  <w:style w:type="paragraph" w:customStyle="1" w:styleId="RatingPriorDual">
    <w:name w:val="RatingPriorDual"/>
    <w:basedOn w:val="Body"/>
    <w:rsid w:val="004A1CEF"/>
    <w:pPr>
      <w:framePr w:hSpace="187" w:wrap="around" w:vAnchor="page" w:hAnchor="text" w:xAlign="right" w:y="2161"/>
      <w:spacing w:after="0"/>
    </w:pPr>
    <w:rPr>
      <w:rFonts w:ascii="Arial" w:hAnsi="Arial"/>
      <w:b/>
      <w:noProof/>
      <w:sz w:val="12"/>
    </w:rPr>
  </w:style>
  <w:style w:type="paragraph" w:customStyle="1" w:styleId="RatingPriorSide">
    <w:name w:val="RatingPriorSide"/>
    <w:basedOn w:val="RatingPriorDual"/>
    <w:next w:val="NameSide"/>
    <w:rsid w:val="004A1CEF"/>
    <w:pPr>
      <w:framePr w:w="2520" w:vSpace="187" w:wrap="around" w:vAnchor="text" w:hAnchor="margin" w:x="-3124" w:y="1"/>
    </w:pPr>
    <w:rPr>
      <w:b w:val="0"/>
    </w:rPr>
  </w:style>
  <w:style w:type="paragraph" w:customStyle="1" w:styleId="RatingsDistributionTableHead">
    <w:name w:val="RatingsDistributionTableHead"/>
    <w:basedOn w:val="Normal"/>
    <w:rsid w:val="004A1CEF"/>
    <w:pPr>
      <w:spacing w:before="100" w:beforeAutospacing="1" w:after="100" w:afterAutospacing="1"/>
    </w:pPr>
    <w:rPr>
      <w:b/>
      <w:bCs/>
      <w:sz w:val="16"/>
      <w:szCs w:val="16"/>
    </w:rPr>
  </w:style>
  <w:style w:type="paragraph" w:customStyle="1" w:styleId="RatingSide">
    <w:name w:val="RatingSide"/>
    <w:basedOn w:val="RatingDual"/>
    <w:next w:val="NameSide"/>
    <w:rsid w:val="004A1CEF"/>
    <w:pPr>
      <w:framePr w:w="2520" w:vSpace="187" w:wrap="around" w:vAnchor="text" w:hAnchor="margin" w:x="-3124" w:y="1"/>
    </w:pPr>
    <w:rPr>
      <w:b/>
    </w:rPr>
  </w:style>
  <w:style w:type="paragraph" w:styleId="Salutation">
    <w:name w:val="Salutation"/>
    <w:basedOn w:val="Normal"/>
    <w:next w:val="Normal"/>
    <w:link w:val="SalutationChar"/>
    <w:rsid w:val="004A1CEF"/>
  </w:style>
  <w:style w:type="character" w:customStyle="1" w:styleId="SalutationChar">
    <w:name w:val="Salutation Char"/>
    <w:basedOn w:val="DefaultParagraphFont"/>
    <w:link w:val="Salutation"/>
    <w:rsid w:val="004A1CEF"/>
    <w:rPr>
      <w:rFonts w:ascii="Times New Roman" w:eastAsia="MS Mincho" w:hAnsi="Times New Roman" w:cs="Times New Roman"/>
      <w:sz w:val="24"/>
      <w:szCs w:val="24"/>
      <w:lang w:val="en-US" w:eastAsia="en-US"/>
    </w:rPr>
  </w:style>
  <w:style w:type="paragraph" w:customStyle="1" w:styleId="SCFigureTitle">
    <w:name w:val="SCFigureTitle"/>
    <w:basedOn w:val="Normal"/>
    <w:rsid w:val="004A1CEF"/>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4A1CEF"/>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4A1CEF"/>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4A1CEF"/>
    <w:pPr>
      <w:pBdr>
        <w:top w:val="single" w:sz="6" w:space="3" w:color="C0C0C0"/>
        <w:bottom w:val="single" w:sz="6" w:space="3" w:color="C0C0C0"/>
      </w:pBdr>
      <w:spacing w:before="180" w:after="80"/>
    </w:pPr>
    <w:rPr>
      <w:rFonts w:ascii="Arial" w:hAnsi="Arial"/>
      <w:b/>
      <w:color w:val="4E8ABE"/>
      <w:szCs w:val="20"/>
    </w:rPr>
  </w:style>
  <w:style w:type="paragraph" w:customStyle="1" w:styleId="Sector">
    <w:name w:val="Sector"/>
    <w:basedOn w:val="Body"/>
    <w:next w:val="Body"/>
    <w:rsid w:val="004A1CEF"/>
    <w:pPr>
      <w:spacing w:after="0" w:line="220" w:lineRule="atLeast"/>
    </w:pPr>
    <w:rPr>
      <w:rFonts w:ascii="Arial" w:hAnsi="Arial"/>
      <w:b/>
      <w:sz w:val="18"/>
      <w:szCs w:val="18"/>
    </w:rPr>
  </w:style>
  <w:style w:type="paragraph" w:customStyle="1" w:styleId="Sidecomments">
    <w:name w:val="Sidecomments"/>
    <w:basedOn w:val="Body"/>
    <w:qFormat/>
    <w:rsid w:val="004A1CEF"/>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4A1CEF"/>
    <w:pPr>
      <w:framePr w:wrap="around"/>
    </w:pPr>
    <w:rPr>
      <w:color w:val="4E8ABE"/>
      <w:sz w:val="24"/>
    </w:rPr>
  </w:style>
  <w:style w:type="paragraph" w:customStyle="1" w:styleId="SideCommentRating">
    <w:name w:val="SideCommentRating"/>
    <w:basedOn w:val="Sidecomments"/>
    <w:qFormat/>
    <w:rsid w:val="004A1CEF"/>
    <w:pPr>
      <w:framePr w:wrap="around"/>
    </w:pPr>
    <w:rPr>
      <w:color w:val="4E8ABE"/>
      <w:sz w:val="18"/>
      <w:szCs w:val="18"/>
    </w:rPr>
  </w:style>
  <w:style w:type="paragraph" w:styleId="Signature">
    <w:name w:val="Signature"/>
    <w:basedOn w:val="Normal"/>
    <w:link w:val="SignatureChar"/>
    <w:rsid w:val="004A1CEF"/>
    <w:pPr>
      <w:ind w:left="4320"/>
    </w:pPr>
  </w:style>
  <w:style w:type="character" w:customStyle="1" w:styleId="SignatureChar">
    <w:name w:val="Signature Char"/>
    <w:basedOn w:val="DefaultParagraphFont"/>
    <w:link w:val="Signature"/>
    <w:rsid w:val="004A1CEF"/>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4A1CEF"/>
    <w:pPr>
      <w:keepLines/>
      <w:spacing w:before="40" w:line="180" w:lineRule="atLeast"/>
    </w:pPr>
    <w:rPr>
      <w:rFonts w:ascii="Arial Narrow" w:hAnsi="Arial Narrow"/>
      <w:sz w:val="14"/>
    </w:rPr>
  </w:style>
  <w:style w:type="character" w:styleId="Strong">
    <w:name w:val="Strong"/>
    <w:basedOn w:val="DefaultParagraphFont"/>
    <w:rsid w:val="004A1CEF"/>
    <w:rPr>
      <w:b/>
      <w:bCs/>
    </w:rPr>
  </w:style>
  <w:style w:type="paragraph" w:customStyle="1" w:styleId="StyleArial8ptBoldTopSinglesolidlineAuto05ptLin">
    <w:name w:val="Style Arial 8 pt Bold Top: (Single solid line Auto  0.5 pt Lin..."/>
    <w:basedOn w:val="ESTableRow"/>
    <w:next w:val="ESTableRow"/>
    <w:rsid w:val="004A1CEF"/>
    <w:pPr>
      <w:pBdr>
        <w:top w:val="single" w:sz="4" w:space="0" w:color="auto"/>
        <w:bottom w:val="single" w:sz="4" w:space="0" w:color="auto"/>
      </w:pBdr>
    </w:pPr>
    <w:rPr>
      <w:b/>
      <w:bCs/>
      <w:szCs w:val="20"/>
    </w:rPr>
  </w:style>
  <w:style w:type="paragraph" w:styleId="Subtitle0">
    <w:name w:val="Subtitle"/>
    <w:basedOn w:val="Normal"/>
    <w:link w:val="SubtitleChar"/>
    <w:rsid w:val="004A1CEF"/>
    <w:pPr>
      <w:spacing w:after="60"/>
      <w:jc w:val="center"/>
      <w:outlineLvl w:val="1"/>
    </w:pPr>
    <w:rPr>
      <w:rFonts w:ascii="Arial" w:hAnsi="Arial" w:cs="Arial"/>
    </w:rPr>
  </w:style>
  <w:style w:type="character" w:customStyle="1" w:styleId="SubtitleChar">
    <w:name w:val="Subtitle Char"/>
    <w:basedOn w:val="DefaultParagraphFont"/>
    <w:link w:val="Subtitle0"/>
    <w:rsid w:val="004A1CEF"/>
    <w:rPr>
      <w:rFonts w:ascii="Arial" w:eastAsia="MS Mincho" w:hAnsi="Arial" w:cs="Arial"/>
      <w:sz w:val="24"/>
      <w:szCs w:val="24"/>
      <w:lang w:val="en-US" w:eastAsia="en-US"/>
    </w:rPr>
  </w:style>
  <w:style w:type="paragraph" w:customStyle="1" w:styleId="SubTitleRP">
    <w:name w:val="SubTitleRP"/>
    <w:basedOn w:val="SubTitle"/>
    <w:next w:val="Body"/>
    <w:rsid w:val="004A1CEF"/>
    <w:pPr>
      <w:spacing w:after="0" w:line="0" w:lineRule="atLeast"/>
      <w:ind w:left="-3125"/>
    </w:pPr>
  </w:style>
  <w:style w:type="table" w:styleId="Table3Deffects1">
    <w:name w:val="Table 3D effects 1"/>
    <w:basedOn w:val="TableNormal"/>
    <w:rsid w:val="004A1CEF"/>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A1CEF"/>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A1CEF"/>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4A1CEF"/>
    <w:pPr>
      <w:keepNext/>
      <w:keepLines/>
      <w:spacing w:after="7" w:line="200" w:lineRule="atLeast"/>
      <w:jc w:val="right"/>
    </w:pPr>
    <w:rPr>
      <w:rFonts w:ascii="Arial Narrow" w:hAnsi="Arial Narrow"/>
      <w:sz w:val="16"/>
    </w:rPr>
  </w:style>
  <w:style w:type="table" w:styleId="TableClassic1">
    <w:name w:val="Table Classic 1"/>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A1CEF"/>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A1CEF"/>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A1CEF"/>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A1CEF"/>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A1CEF"/>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A1CEF"/>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A1CEF"/>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A1CEF"/>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A1CEF"/>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A1CEF"/>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A1CEF"/>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A1CEF"/>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4A1CEF"/>
    <w:pPr>
      <w:keepNext/>
      <w:keepLines/>
      <w:jc w:val="center"/>
    </w:pPr>
    <w:rPr>
      <w:b/>
      <w:sz w:val="16"/>
      <w:szCs w:val="20"/>
    </w:rPr>
  </w:style>
  <w:style w:type="paragraph" w:customStyle="1" w:styleId="TableHeadBorder">
    <w:name w:val="Table Head Border"/>
    <w:basedOn w:val="Normal"/>
    <w:rsid w:val="004A1CEF"/>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4A1CEF"/>
    <w:pPr>
      <w:keepNext/>
      <w:keepLines/>
      <w:spacing w:before="7" w:after="7" w:line="180" w:lineRule="atLeast"/>
      <w:jc w:val="center"/>
    </w:pPr>
    <w:rPr>
      <w:rFonts w:ascii="Arial Narrow" w:hAnsi="Arial Narrow"/>
      <w:b/>
      <w:sz w:val="16"/>
    </w:rPr>
  </w:style>
  <w:style w:type="table" w:styleId="TableList1">
    <w:name w:val="Table List 1"/>
    <w:basedOn w:val="TableNormal"/>
    <w:rsid w:val="004A1CEF"/>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A1CEF"/>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A1CEF"/>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A1CEF"/>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A1CEF"/>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A1CEF"/>
    <w:pPr>
      <w:ind w:left="240" w:hanging="240"/>
    </w:pPr>
  </w:style>
  <w:style w:type="paragraph" w:styleId="TableofFigures">
    <w:name w:val="table of figures"/>
    <w:basedOn w:val="Normal"/>
    <w:next w:val="Normal"/>
    <w:semiHidden/>
    <w:rsid w:val="004A1CEF"/>
    <w:pPr>
      <w:ind w:left="480" w:hanging="480"/>
    </w:pPr>
  </w:style>
  <w:style w:type="table" w:styleId="TableProfessional">
    <w:name w:val="Table Professional"/>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4A1CEF"/>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A1CEF"/>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A1CEF"/>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A1CEF"/>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A1CEF"/>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A1CEF"/>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A1CEF"/>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4A1CEF"/>
    <w:pPr>
      <w:framePr w:wrap="around"/>
      <w:spacing w:before="120"/>
    </w:pPr>
    <w:rPr>
      <w:b/>
      <w:sz w:val="16"/>
      <w:szCs w:val="16"/>
    </w:rPr>
  </w:style>
  <w:style w:type="paragraph" w:customStyle="1" w:styleId="Tiny">
    <w:name w:val="Tiny"/>
    <w:basedOn w:val="Body"/>
    <w:rsid w:val="004A1CEF"/>
    <w:pPr>
      <w:spacing w:after="0" w:line="14" w:lineRule="exact"/>
    </w:pPr>
    <w:rPr>
      <w:sz w:val="2"/>
    </w:rPr>
  </w:style>
  <w:style w:type="paragraph" w:styleId="Title">
    <w:name w:val="Title"/>
    <w:basedOn w:val="Normal"/>
    <w:link w:val="TitleChar"/>
    <w:rsid w:val="004A1CEF"/>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4A1CEF"/>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4A1CEF"/>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4A1CEF"/>
    <w:pPr>
      <w:spacing w:before="120" w:after="120"/>
    </w:pPr>
    <w:rPr>
      <w:rFonts w:ascii="Arial" w:hAnsi="Arial"/>
      <w:color w:val="4E8ABE"/>
      <w:sz w:val="36"/>
      <w:szCs w:val="36"/>
    </w:rPr>
  </w:style>
  <w:style w:type="paragraph" w:styleId="TOAHeading">
    <w:name w:val="toa heading"/>
    <w:basedOn w:val="Normal"/>
    <w:next w:val="Normal"/>
    <w:semiHidden/>
    <w:rsid w:val="004A1CEF"/>
    <w:pPr>
      <w:spacing w:before="120"/>
    </w:pPr>
    <w:rPr>
      <w:rFonts w:ascii="Arial" w:hAnsi="Arial" w:cs="Arial"/>
      <w:b/>
      <w:bCs/>
    </w:rPr>
  </w:style>
  <w:style w:type="paragraph" w:styleId="TOC1">
    <w:name w:val="toc 1"/>
    <w:basedOn w:val="Heading2"/>
    <w:next w:val="Body"/>
    <w:autoRedefine/>
    <w:semiHidden/>
    <w:rsid w:val="004A1CEF"/>
    <w:pPr>
      <w:tabs>
        <w:tab w:val="left" w:leader="dot" w:pos="0"/>
        <w:tab w:val="right" w:leader="dot" w:pos="6840"/>
      </w:tabs>
      <w:spacing w:line="240" w:lineRule="auto"/>
      <w:outlineLvl w:val="0"/>
    </w:pPr>
  </w:style>
  <w:style w:type="paragraph" w:styleId="TOC2">
    <w:name w:val="toc 2"/>
    <w:basedOn w:val="Body"/>
    <w:next w:val="Body"/>
    <w:autoRedefine/>
    <w:semiHidden/>
    <w:rsid w:val="004A1CEF"/>
    <w:pPr>
      <w:tabs>
        <w:tab w:val="left" w:pos="0"/>
        <w:tab w:val="right" w:leader="dot" w:pos="6840"/>
      </w:tabs>
      <w:spacing w:after="40"/>
    </w:pPr>
  </w:style>
  <w:style w:type="paragraph" w:styleId="TOC3">
    <w:name w:val="toc 3"/>
    <w:basedOn w:val="Body"/>
    <w:next w:val="Body"/>
    <w:autoRedefine/>
    <w:semiHidden/>
    <w:rsid w:val="004A1CEF"/>
    <w:pPr>
      <w:tabs>
        <w:tab w:val="left" w:pos="0"/>
      </w:tabs>
      <w:ind w:left="-340"/>
    </w:pPr>
  </w:style>
  <w:style w:type="paragraph" w:styleId="TOC4">
    <w:name w:val="toc 4"/>
    <w:basedOn w:val="Body"/>
    <w:next w:val="Body"/>
    <w:autoRedefine/>
    <w:semiHidden/>
    <w:rsid w:val="004A1CEF"/>
    <w:pPr>
      <w:tabs>
        <w:tab w:val="left" w:pos="0"/>
      </w:tabs>
      <w:ind w:left="-340"/>
    </w:pPr>
  </w:style>
  <w:style w:type="paragraph" w:styleId="TOC5">
    <w:name w:val="toc 5"/>
    <w:basedOn w:val="Body"/>
    <w:next w:val="Body"/>
    <w:autoRedefine/>
    <w:semiHidden/>
    <w:rsid w:val="004A1CEF"/>
    <w:pPr>
      <w:tabs>
        <w:tab w:val="left" w:pos="0"/>
      </w:tabs>
      <w:ind w:left="-340"/>
    </w:pPr>
  </w:style>
  <w:style w:type="paragraph" w:styleId="TOC6">
    <w:name w:val="toc 6"/>
    <w:basedOn w:val="TOC3"/>
    <w:next w:val="Normal"/>
    <w:autoRedefine/>
    <w:semiHidden/>
    <w:rsid w:val="004A1CEF"/>
    <w:rPr>
      <w:b/>
    </w:rPr>
  </w:style>
  <w:style w:type="paragraph" w:styleId="TOC7">
    <w:name w:val="toc 7"/>
    <w:basedOn w:val="TOC1"/>
    <w:next w:val="Normal"/>
    <w:autoRedefine/>
    <w:semiHidden/>
    <w:rsid w:val="004A1CEF"/>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4A1CEF"/>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4A1CEF"/>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4A1CEF"/>
    <w:rPr>
      <w:color w:val="auto"/>
    </w:rPr>
  </w:style>
  <w:style w:type="paragraph" w:customStyle="1" w:styleId="TOCHeading2">
    <w:name w:val="TOC Heading 2"/>
    <w:basedOn w:val="Heading2"/>
    <w:next w:val="Body"/>
    <w:rsid w:val="004A1CEF"/>
    <w:pPr>
      <w:spacing w:before="120" w:line="260" w:lineRule="atLeast"/>
    </w:pPr>
  </w:style>
  <w:style w:type="paragraph" w:customStyle="1" w:styleId="TPR">
    <w:name w:val="TPR"/>
    <w:basedOn w:val="BodyTextIndent"/>
    <w:rsid w:val="004A1CEF"/>
    <w:pPr>
      <w:ind w:left="-3125" w:right="-14"/>
    </w:pPr>
    <w:rPr>
      <w:bCs/>
      <w:sz w:val="20"/>
      <w:szCs w:val="16"/>
    </w:rPr>
  </w:style>
  <w:style w:type="paragraph" w:customStyle="1" w:styleId="TPRHead">
    <w:name w:val="TPRHead"/>
    <w:basedOn w:val="TPR"/>
    <w:rsid w:val="004A1CEF"/>
    <w:pPr>
      <w:keepNext/>
      <w:spacing w:after="0"/>
    </w:pPr>
    <w:rPr>
      <w:b/>
    </w:rPr>
  </w:style>
  <w:style w:type="paragraph" w:customStyle="1" w:styleId="Tradedetail">
    <w:name w:val="Trade detail"/>
    <w:basedOn w:val="Bullettext"/>
    <w:rsid w:val="004A1CEF"/>
    <w:pPr>
      <w:numPr>
        <w:numId w:val="19"/>
      </w:numPr>
      <w:spacing w:after="0"/>
    </w:pPr>
  </w:style>
  <w:style w:type="paragraph" w:customStyle="1" w:styleId="Tradeinnertext">
    <w:name w:val="Trade inner text"/>
    <w:basedOn w:val="CommentText"/>
    <w:rsid w:val="004A1CEF"/>
    <w:pPr>
      <w:tabs>
        <w:tab w:val="left" w:pos="216"/>
      </w:tabs>
      <w:spacing w:line="240" w:lineRule="exact"/>
      <w:ind w:left="216"/>
    </w:pPr>
  </w:style>
  <w:style w:type="paragraph" w:customStyle="1" w:styleId="Underline">
    <w:name w:val="Underline"/>
    <w:basedOn w:val="Normal"/>
    <w:rsid w:val="004A1CEF"/>
    <w:pPr>
      <w:keepNext/>
      <w:spacing w:before="20" w:after="60" w:line="60" w:lineRule="atLeast"/>
      <w:ind w:left="-3125"/>
    </w:pPr>
    <w:rPr>
      <w:sz w:val="16"/>
    </w:rPr>
  </w:style>
  <w:style w:type="paragraph" w:customStyle="1" w:styleId="Units">
    <w:name w:val="Units"/>
    <w:basedOn w:val="Body"/>
    <w:rsid w:val="004A1CEF"/>
    <w:pPr>
      <w:keepNext/>
      <w:keepLines/>
      <w:spacing w:after="50" w:line="200" w:lineRule="atLeast"/>
    </w:pPr>
    <w:rPr>
      <w:rFonts w:ascii="Arial Narrow" w:hAnsi="Arial Narrow"/>
      <w:spacing w:val="5"/>
      <w:sz w:val="16"/>
    </w:rPr>
  </w:style>
  <w:style w:type="paragraph" w:customStyle="1" w:styleId="units0">
    <w:name w:val="units"/>
    <w:basedOn w:val="Normal"/>
    <w:rsid w:val="004A1CEF"/>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4A1CEF"/>
    <w:pPr>
      <w:spacing w:after="0"/>
    </w:pPr>
    <w:rPr>
      <w:rFonts w:ascii="Arial Narrow" w:hAnsi="Arial Narrow"/>
      <w:b/>
      <w:color w:val="4E8ABE"/>
      <w:sz w:val="16"/>
      <w:szCs w:val="16"/>
    </w:rPr>
  </w:style>
  <w:style w:type="character" w:customStyle="1" w:styleId="SourceChar">
    <w:name w:val="Source Char"/>
    <w:basedOn w:val="DefaultParagraphFont"/>
    <w:link w:val="Source"/>
    <w:rsid w:val="004A1CEF"/>
    <w:rPr>
      <w:rFonts w:ascii="Arial Narrow" w:eastAsia="MS Mincho" w:hAnsi="Arial Narrow" w:cs="Times New Roman"/>
      <w:sz w:val="14"/>
      <w:szCs w:val="24"/>
      <w:lang w:val="en-US" w:eastAsia="en-US"/>
    </w:rPr>
  </w:style>
  <w:style w:type="paragraph" w:customStyle="1" w:styleId="TableText">
    <w:name w:val="Table Text"/>
    <w:basedOn w:val="Normal"/>
    <w:rsid w:val="004A1CEF"/>
    <w:pPr>
      <w:keepNext/>
      <w:keepLines/>
    </w:pPr>
    <w:rPr>
      <w:rFonts w:eastAsia="Times New Roman"/>
      <w:sz w:val="16"/>
      <w:szCs w:val="20"/>
    </w:rPr>
  </w:style>
  <w:style w:type="paragraph" w:customStyle="1" w:styleId="TableFootnotes">
    <w:name w:val="Table Footnotes"/>
    <w:basedOn w:val="Normal"/>
    <w:next w:val="Normal"/>
    <w:rsid w:val="004A1CEF"/>
    <w:rPr>
      <w:rFonts w:eastAsia="Times New Roman"/>
      <w:sz w:val="16"/>
      <w:lang w:val="en-GB"/>
    </w:rPr>
  </w:style>
  <w:style w:type="paragraph" w:customStyle="1" w:styleId="FooterFrontPage1stLine">
    <w:name w:val="FooterFrontPage1stLine"/>
    <w:basedOn w:val="Normal"/>
    <w:rsid w:val="004A1CEF"/>
    <w:pPr>
      <w:framePr w:wrap="around" w:hAnchor="text" w:yAlign="bottom"/>
      <w:spacing w:line="216" w:lineRule="atLeast"/>
    </w:pPr>
    <w:rPr>
      <w:rFonts w:ascii="Arial Narrow" w:hAnsi="Arial Narrow"/>
      <w:b/>
      <w:noProof/>
      <w:sz w:val="22"/>
    </w:rPr>
  </w:style>
  <w:style w:type="paragraph" w:customStyle="1" w:styleId="ShiftFPBullet">
    <w:name w:val="Shift FPBullet"/>
    <w:basedOn w:val="FPBullet"/>
    <w:qFormat/>
    <w:rsid w:val="004A1CEF"/>
    <w:pPr>
      <w:tabs>
        <w:tab w:val="clear" w:pos="0"/>
      </w:tabs>
      <w:ind w:left="2707" w:right="518"/>
    </w:pPr>
  </w:style>
  <w:style w:type="paragraph" w:customStyle="1" w:styleId="ShiftFPBody">
    <w:name w:val="Shift FPBody"/>
    <w:basedOn w:val="FPBody"/>
    <w:rsid w:val="004A1CEF"/>
    <w:pPr>
      <w:ind w:left="2520" w:right="518"/>
    </w:pPr>
  </w:style>
  <w:style w:type="paragraph" w:customStyle="1" w:styleId="Heading1-PBBefore">
    <w:name w:val="Heading 1 -PB Before"/>
    <w:basedOn w:val="Heading1"/>
    <w:qFormat/>
    <w:rsid w:val="004A1CEF"/>
    <w:pPr>
      <w:pageBreakBefore/>
      <w:spacing w:before="0"/>
    </w:pPr>
  </w:style>
  <w:style w:type="paragraph" w:customStyle="1" w:styleId="FPBullet">
    <w:name w:val="FPBullet"/>
    <w:basedOn w:val="Body"/>
    <w:link w:val="FPBulletChar"/>
    <w:rsid w:val="004A1CEF"/>
    <w:pPr>
      <w:numPr>
        <w:numId w:val="20"/>
      </w:numPr>
      <w:spacing w:after="180"/>
      <w:ind w:left="187" w:right="3269" w:hanging="187"/>
      <w:jc w:val="both"/>
    </w:pPr>
    <w:rPr>
      <w:sz w:val="22"/>
    </w:rPr>
  </w:style>
  <w:style w:type="paragraph" w:customStyle="1" w:styleId="52807BB80E4E409F9A162793A918D5C65">
    <w:name w:val="52807BB80E4E409F9A162793A918D5C65"/>
    <w:rsid w:val="004A1CEF"/>
    <w:pPr>
      <w:numPr>
        <w:numId w:val="23"/>
      </w:numPr>
      <w:tabs>
        <w:tab w:val="num" w:pos="0"/>
      </w:tabs>
      <w:spacing w:after="180"/>
      <w:ind w:left="187" w:right="3272" w:hanging="187"/>
      <w:jc w:val="both"/>
    </w:pPr>
    <w:rPr>
      <w:rFonts w:ascii="Times New Roman" w:eastAsia="MS Mincho" w:hAnsi="Times New Roman" w:cs="Times New Roman"/>
      <w:lang w:val="en-US" w:eastAsia="en-US"/>
    </w:rPr>
  </w:style>
  <w:style w:type="paragraph" w:customStyle="1" w:styleId="TradeBullet">
    <w:name w:val="Trade Bullet"/>
    <w:next w:val="Tradeinner"/>
    <w:rsid w:val="004A1CEF"/>
    <w:pPr>
      <w:numPr>
        <w:numId w:val="24"/>
      </w:numPr>
      <w:tabs>
        <w:tab w:val="clear" w:pos="360"/>
      </w:tabs>
      <w:spacing w:after="0" w:line="240" w:lineRule="auto"/>
      <w:ind w:left="216" w:hanging="216"/>
    </w:pPr>
    <w:rPr>
      <w:rFonts w:ascii="Times New Roman" w:eastAsia="MS Mincho" w:hAnsi="Times New Roman" w:cs="Times New Roman"/>
      <w:b/>
      <w:sz w:val="20"/>
      <w:szCs w:val="24"/>
      <w:lang w:val="en-US" w:eastAsia="en-US"/>
    </w:rPr>
  </w:style>
  <w:style w:type="paragraph" w:customStyle="1" w:styleId="Tradeinner">
    <w:name w:val="Trade inner"/>
    <w:basedOn w:val="TradeBullet"/>
    <w:rsid w:val="004A1CEF"/>
    <w:pPr>
      <w:numPr>
        <w:numId w:val="0"/>
      </w:numPr>
      <w:ind w:left="181"/>
    </w:pPr>
    <w:rPr>
      <w:b w:val="0"/>
    </w:rPr>
  </w:style>
  <w:style w:type="paragraph" w:customStyle="1" w:styleId="Source-NoSpacingAfter">
    <w:name w:val="Source-NoSpacingAfter"/>
    <w:basedOn w:val="Source"/>
    <w:next w:val="Body"/>
    <w:rsid w:val="004A1CEF"/>
    <w:pPr>
      <w:spacing w:after="0"/>
    </w:pPr>
  </w:style>
  <w:style w:type="paragraph" w:customStyle="1" w:styleId="BBGText">
    <w:name w:val="BBGText"/>
    <w:next w:val="Normal"/>
    <w:rsid w:val="004A1CEF"/>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rsid w:val="004A1CEF"/>
    <w:pPr>
      <w:spacing w:before="40" w:after="60" w:line="240" w:lineRule="auto"/>
    </w:pPr>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4A1CEF"/>
    <w:pPr>
      <w:spacing w:after="90"/>
    </w:pPr>
    <w:rPr>
      <w:color w:val="000000" w:themeColor="text1"/>
    </w:rPr>
  </w:style>
  <w:style w:type="paragraph" w:customStyle="1" w:styleId="LastBullet">
    <w:name w:val="Last Bullet"/>
    <w:basedOn w:val="Bullet"/>
    <w:link w:val="LastBulletChar"/>
    <w:rsid w:val="004A1CEF"/>
    <w:pPr>
      <w:spacing w:after="240"/>
    </w:pPr>
  </w:style>
  <w:style w:type="character" w:customStyle="1" w:styleId="BodyChar">
    <w:name w:val="Body Char"/>
    <w:basedOn w:val="DefaultParagraphFont"/>
    <w:link w:val="Body"/>
    <w:rsid w:val="004A1CEF"/>
    <w:rPr>
      <w:rFonts w:ascii="Times New Roman" w:eastAsia="MS Mincho" w:hAnsi="Times New Roman" w:cs="Times New Roman"/>
      <w:sz w:val="20"/>
      <w:szCs w:val="24"/>
      <w:lang w:val="en-US" w:eastAsia="en-US"/>
    </w:rPr>
  </w:style>
  <w:style w:type="character" w:customStyle="1" w:styleId="FPBulletChar">
    <w:name w:val="FPBullet Char"/>
    <w:basedOn w:val="BodyChar"/>
    <w:link w:val="FPBullet"/>
    <w:rsid w:val="004A1CEF"/>
  </w:style>
  <w:style w:type="character" w:customStyle="1" w:styleId="LastBulletChar">
    <w:name w:val="Last Bullet Char"/>
    <w:basedOn w:val="FPBulletChar"/>
    <w:link w:val="LastBullet"/>
    <w:rsid w:val="004A1CEF"/>
    <w:rPr>
      <w:sz w:val="20"/>
    </w:rPr>
  </w:style>
</w:styles>
</file>

<file path=word/webSettings.xml><?xml version="1.0" encoding="utf-8"?>
<w:webSettings xmlns:r="http://schemas.openxmlformats.org/officeDocument/2006/relationships" xmlns:w="http://schemas.openxmlformats.org/wordprocessingml/2006/main">
  <w:divs>
    <w:div w:id="321741365">
      <w:bodyDiv w:val="1"/>
      <w:marLeft w:val="0"/>
      <w:marRight w:val="0"/>
      <w:marTop w:val="0"/>
      <w:marBottom w:val="0"/>
      <w:divBdr>
        <w:top w:val="none" w:sz="0" w:space="0" w:color="auto"/>
        <w:left w:val="none" w:sz="0" w:space="0" w:color="auto"/>
        <w:bottom w:val="none" w:sz="0" w:space="0" w:color="auto"/>
        <w:right w:val="none" w:sz="0" w:space="0" w:color="auto"/>
      </w:divBdr>
      <w:divsChild>
        <w:div w:id="1027949658">
          <w:marLeft w:val="0"/>
          <w:marRight w:val="0"/>
          <w:marTop w:val="0"/>
          <w:marBottom w:val="0"/>
          <w:divBdr>
            <w:top w:val="none" w:sz="0" w:space="0" w:color="auto"/>
            <w:left w:val="none" w:sz="0" w:space="0" w:color="auto"/>
            <w:bottom w:val="none" w:sz="0" w:space="0" w:color="auto"/>
            <w:right w:val="none" w:sz="0" w:space="0" w:color="auto"/>
          </w:divBdr>
        </w:div>
        <w:div w:id="988217409">
          <w:marLeft w:val="0"/>
          <w:marRight w:val="0"/>
          <w:marTop w:val="0"/>
          <w:marBottom w:val="0"/>
          <w:divBdr>
            <w:top w:val="none" w:sz="0" w:space="0" w:color="auto"/>
            <w:left w:val="none" w:sz="0" w:space="0" w:color="auto"/>
            <w:bottom w:val="none" w:sz="0" w:space="0" w:color="auto"/>
            <w:right w:val="none" w:sz="0" w:space="0" w:color="auto"/>
          </w:divBdr>
        </w:div>
        <w:div w:id="404300789">
          <w:marLeft w:val="0"/>
          <w:marRight w:val="0"/>
          <w:marTop w:val="0"/>
          <w:marBottom w:val="0"/>
          <w:divBdr>
            <w:top w:val="none" w:sz="0" w:space="0" w:color="auto"/>
            <w:left w:val="none" w:sz="0" w:space="0" w:color="auto"/>
            <w:bottom w:val="none" w:sz="0" w:space="0" w:color="auto"/>
            <w:right w:val="none" w:sz="0" w:space="0" w:color="auto"/>
          </w:divBdr>
        </w:div>
        <w:div w:id="2091386640">
          <w:marLeft w:val="0"/>
          <w:marRight w:val="0"/>
          <w:marTop w:val="0"/>
          <w:marBottom w:val="0"/>
          <w:divBdr>
            <w:top w:val="none" w:sz="0" w:space="0" w:color="auto"/>
            <w:left w:val="none" w:sz="0" w:space="0" w:color="auto"/>
            <w:bottom w:val="none" w:sz="0" w:space="0" w:color="auto"/>
            <w:right w:val="none" w:sz="0" w:space="0" w:color="auto"/>
          </w:divBdr>
        </w:div>
        <w:div w:id="2107269493">
          <w:marLeft w:val="0"/>
          <w:marRight w:val="0"/>
          <w:marTop w:val="0"/>
          <w:marBottom w:val="0"/>
          <w:divBdr>
            <w:top w:val="none" w:sz="0" w:space="0" w:color="auto"/>
            <w:left w:val="none" w:sz="0" w:space="0" w:color="auto"/>
            <w:bottom w:val="none" w:sz="0" w:space="0" w:color="auto"/>
            <w:right w:val="none" w:sz="0" w:space="0" w:color="auto"/>
          </w:divBdr>
        </w:div>
        <w:div w:id="1888057169">
          <w:marLeft w:val="0"/>
          <w:marRight w:val="0"/>
          <w:marTop w:val="0"/>
          <w:marBottom w:val="0"/>
          <w:divBdr>
            <w:top w:val="none" w:sz="0" w:space="0" w:color="auto"/>
            <w:left w:val="none" w:sz="0" w:space="0" w:color="auto"/>
            <w:bottom w:val="none" w:sz="0" w:space="0" w:color="auto"/>
            <w:right w:val="none" w:sz="0" w:space="0" w:color="auto"/>
          </w:divBdr>
        </w:div>
        <w:div w:id="485169180">
          <w:marLeft w:val="0"/>
          <w:marRight w:val="0"/>
          <w:marTop w:val="0"/>
          <w:marBottom w:val="0"/>
          <w:divBdr>
            <w:top w:val="none" w:sz="0" w:space="0" w:color="auto"/>
            <w:left w:val="none" w:sz="0" w:space="0" w:color="auto"/>
            <w:bottom w:val="none" w:sz="0" w:space="0" w:color="auto"/>
            <w:right w:val="none" w:sz="0" w:space="0" w:color="auto"/>
          </w:divBdr>
        </w:div>
        <w:div w:id="88891768">
          <w:marLeft w:val="0"/>
          <w:marRight w:val="0"/>
          <w:marTop w:val="0"/>
          <w:marBottom w:val="0"/>
          <w:divBdr>
            <w:top w:val="none" w:sz="0" w:space="0" w:color="auto"/>
            <w:left w:val="none" w:sz="0" w:space="0" w:color="auto"/>
            <w:bottom w:val="none" w:sz="0" w:space="0" w:color="auto"/>
            <w:right w:val="none" w:sz="0" w:space="0" w:color="auto"/>
          </w:divBdr>
        </w:div>
        <w:div w:id="1816873876">
          <w:marLeft w:val="0"/>
          <w:marRight w:val="0"/>
          <w:marTop w:val="0"/>
          <w:marBottom w:val="0"/>
          <w:divBdr>
            <w:top w:val="none" w:sz="0" w:space="0" w:color="auto"/>
            <w:left w:val="none" w:sz="0" w:space="0" w:color="auto"/>
            <w:bottom w:val="none" w:sz="0" w:space="0" w:color="auto"/>
            <w:right w:val="none" w:sz="0" w:space="0" w:color="auto"/>
          </w:divBdr>
        </w:div>
        <w:div w:id="433717816">
          <w:marLeft w:val="0"/>
          <w:marRight w:val="0"/>
          <w:marTop w:val="0"/>
          <w:marBottom w:val="0"/>
          <w:divBdr>
            <w:top w:val="none" w:sz="0" w:space="0" w:color="auto"/>
            <w:left w:val="none" w:sz="0" w:space="0" w:color="auto"/>
            <w:bottom w:val="none" w:sz="0" w:space="0" w:color="auto"/>
            <w:right w:val="none" w:sz="0" w:space="0" w:color="auto"/>
          </w:divBdr>
        </w:div>
        <w:div w:id="923687133">
          <w:marLeft w:val="0"/>
          <w:marRight w:val="0"/>
          <w:marTop w:val="0"/>
          <w:marBottom w:val="0"/>
          <w:divBdr>
            <w:top w:val="none" w:sz="0" w:space="0" w:color="auto"/>
            <w:left w:val="none" w:sz="0" w:space="0" w:color="auto"/>
            <w:bottom w:val="none" w:sz="0" w:space="0" w:color="auto"/>
            <w:right w:val="none" w:sz="0" w:space="0" w:color="auto"/>
          </w:divBdr>
        </w:div>
        <w:div w:id="1057246323">
          <w:marLeft w:val="0"/>
          <w:marRight w:val="0"/>
          <w:marTop w:val="0"/>
          <w:marBottom w:val="0"/>
          <w:divBdr>
            <w:top w:val="none" w:sz="0" w:space="0" w:color="auto"/>
            <w:left w:val="none" w:sz="0" w:space="0" w:color="auto"/>
            <w:bottom w:val="none" w:sz="0" w:space="0" w:color="auto"/>
            <w:right w:val="none" w:sz="0" w:space="0" w:color="auto"/>
          </w:divBdr>
        </w:div>
        <w:div w:id="1875078719">
          <w:marLeft w:val="0"/>
          <w:marRight w:val="0"/>
          <w:marTop w:val="0"/>
          <w:marBottom w:val="0"/>
          <w:divBdr>
            <w:top w:val="none" w:sz="0" w:space="0" w:color="auto"/>
            <w:left w:val="none" w:sz="0" w:space="0" w:color="auto"/>
            <w:bottom w:val="none" w:sz="0" w:space="0" w:color="auto"/>
            <w:right w:val="none" w:sz="0" w:space="0" w:color="auto"/>
          </w:divBdr>
        </w:div>
        <w:div w:id="150798760">
          <w:marLeft w:val="0"/>
          <w:marRight w:val="0"/>
          <w:marTop w:val="0"/>
          <w:marBottom w:val="0"/>
          <w:divBdr>
            <w:top w:val="none" w:sz="0" w:space="0" w:color="auto"/>
            <w:left w:val="none" w:sz="0" w:space="0" w:color="auto"/>
            <w:bottom w:val="none" w:sz="0" w:space="0" w:color="auto"/>
            <w:right w:val="none" w:sz="0" w:space="0" w:color="auto"/>
          </w:divBdr>
        </w:div>
        <w:div w:id="468014645">
          <w:marLeft w:val="0"/>
          <w:marRight w:val="0"/>
          <w:marTop w:val="0"/>
          <w:marBottom w:val="0"/>
          <w:divBdr>
            <w:top w:val="none" w:sz="0" w:space="0" w:color="auto"/>
            <w:left w:val="none" w:sz="0" w:space="0" w:color="auto"/>
            <w:bottom w:val="none" w:sz="0" w:space="0" w:color="auto"/>
            <w:right w:val="none" w:sz="0" w:space="0" w:color="auto"/>
          </w:divBdr>
        </w:div>
        <w:div w:id="1610620170">
          <w:marLeft w:val="0"/>
          <w:marRight w:val="0"/>
          <w:marTop w:val="0"/>
          <w:marBottom w:val="0"/>
          <w:divBdr>
            <w:top w:val="none" w:sz="0" w:space="0" w:color="auto"/>
            <w:left w:val="none" w:sz="0" w:space="0" w:color="auto"/>
            <w:bottom w:val="none" w:sz="0" w:space="0" w:color="auto"/>
            <w:right w:val="none" w:sz="0" w:space="0" w:color="auto"/>
          </w:divBdr>
        </w:div>
        <w:div w:id="336809277">
          <w:marLeft w:val="0"/>
          <w:marRight w:val="0"/>
          <w:marTop w:val="0"/>
          <w:marBottom w:val="0"/>
          <w:divBdr>
            <w:top w:val="none" w:sz="0" w:space="0" w:color="auto"/>
            <w:left w:val="none" w:sz="0" w:space="0" w:color="auto"/>
            <w:bottom w:val="none" w:sz="0" w:space="0" w:color="auto"/>
            <w:right w:val="none" w:sz="0" w:space="0" w:color="auto"/>
          </w:divBdr>
        </w:div>
        <w:div w:id="931813896">
          <w:marLeft w:val="0"/>
          <w:marRight w:val="0"/>
          <w:marTop w:val="0"/>
          <w:marBottom w:val="0"/>
          <w:divBdr>
            <w:top w:val="none" w:sz="0" w:space="0" w:color="auto"/>
            <w:left w:val="none" w:sz="0" w:space="0" w:color="auto"/>
            <w:bottom w:val="none" w:sz="0" w:space="0" w:color="auto"/>
            <w:right w:val="none" w:sz="0" w:space="0" w:color="auto"/>
          </w:divBdr>
        </w:div>
      </w:divsChild>
    </w:div>
    <w:div w:id="1031489564">
      <w:bodyDiv w:val="1"/>
      <w:marLeft w:val="0"/>
      <w:marRight w:val="0"/>
      <w:marTop w:val="0"/>
      <w:marBottom w:val="0"/>
      <w:divBdr>
        <w:top w:val="none" w:sz="0" w:space="0" w:color="auto"/>
        <w:left w:val="none" w:sz="0" w:space="0" w:color="auto"/>
        <w:bottom w:val="none" w:sz="0" w:space="0" w:color="auto"/>
        <w:right w:val="none" w:sz="0" w:space="0" w:color="auto"/>
      </w:divBdr>
      <w:divsChild>
        <w:div w:id="1972055473">
          <w:marLeft w:val="0"/>
          <w:marRight w:val="0"/>
          <w:marTop w:val="0"/>
          <w:marBottom w:val="0"/>
          <w:divBdr>
            <w:top w:val="none" w:sz="0" w:space="0" w:color="auto"/>
            <w:left w:val="none" w:sz="0" w:space="0" w:color="auto"/>
            <w:bottom w:val="none" w:sz="0" w:space="0" w:color="auto"/>
            <w:right w:val="none" w:sz="0" w:space="0" w:color="auto"/>
          </w:divBdr>
        </w:div>
        <w:div w:id="2071730903">
          <w:marLeft w:val="0"/>
          <w:marRight w:val="0"/>
          <w:marTop w:val="0"/>
          <w:marBottom w:val="0"/>
          <w:divBdr>
            <w:top w:val="none" w:sz="0" w:space="0" w:color="auto"/>
            <w:left w:val="none" w:sz="0" w:space="0" w:color="auto"/>
            <w:bottom w:val="none" w:sz="0" w:space="0" w:color="auto"/>
            <w:right w:val="none" w:sz="0" w:space="0" w:color="auto"/>
          </w:divBdr>
        </w:div>
        <w:div w:id="1087111866">
          <w:marLeft w:val="0"/>
          <w:marRight w:val="0"/>
          <w:marTop w:val="0"/>
          <w:marBottom w:val="0"/>
          <w:divBdr>
            <w:top w:val="none" w:sz="0" w:space="0" w:color="auto"/>
            <w:left w:val="none" w:sz="0" w:space="0" w:color="auto"/>
            <w:bottom w:val="none" w:sz="0" w:space="0" w:color="auto"/>
            <w:right w:val="none" w:sz="0" w:space="0" w:color="auto"/>
          </w:divBdr>
        </w:div>
        <w:div w:id="177306401">
          <w:marLeft w:val="0"/>
          <w:marRight w:val="0"/>
          <w:marTop w:val="0"/>
          <w:marBottom w:val="0"/>
          <w:divBdr>
            <w:top w:val="none" w:sz="0" w:space="0" w:color="auto"/>
            <w:left w:val="none" w:sz="0" w:space="0" w:color="auto"/>
            <w:bottom w:val="none" w:sz="0" w:space="0" w:color="auto"/>
            <w:right w:val="none" w:sz="0" w:space="0" w:color="auto"/>
          </w:divBdr>
        </w:div>
        <w:div w:id="1229878229">
          <w:marLeft w:val="0"/>
          <w:marRight w:val="0"/>
          <w:marTop w:val="0"/>
          <w:marBottom w:val="0"/>
          <w:divBdr>
            <w:top w:val="none" w:sz="0" w:space="0" w:color="auto"/>
            <w:left w:val="none" w:sz="0" w:space="0" w:color="auto"/>
            <w:bottom w:val="none" w:sz="0" w:space="0" w:color="auto"/>
            <w:right w:val="none" w:sz="0" w:space="0" w:color="auto"/>
          </w:divBdr>
        </w:div>
        <w:div w:id="1564830173">
          <w:marLeft w:val="0"/>
          <w:marRight w:val="0"/>
          <w:marTop w:val="0"/>
          <w:marBottom w:val="0"/>
          <w:divBdr>
            <w:top w:val="none" w:sz="0" w:space="0" w:color="auto"/>
            <w:left w:val="none" w:sz="0" w:space="0" w:color="auto"/>
            <w:bottom w:val="none" w:sz="0" w:space="0" w:color="auto"/>
            <w:right w:val="none" w:sz="0" w:space="0" w:color="auto"/>
          </w:divBdr>
        </w:div>
        <w:div w:id="1726954655">
          <w:marLeft w:val="0"/>
          <w:marRight w:val="0"/>
          <w:marTop w:val="0"/>
          <w:marBottom w:val="0"/>
          <w:divBdr>
            <w:top w:val="none" w:sz="0" w:space="0" w:color="auto"/>
            <w:left w:val="none" w:sz="0" w:space="0" w:color="auto"/>
            <w:bottom w:val="none" w:sz="0" w:space="0" w:color="auto"/>
            <w:right w:val="none" w:sz="0" w:space="0" w:color="auto"/>
          </w:divBdr>
        </w:div>
        <w:div w:id="870341978">
          <w:marLeft w:val="0"/>
          <w:marRight w:val="0"/>
          <w:marTop w:val="0"/>
          <w:marBottom w:val="0"/>
          <w:divBdr>
            <w:top w:val="none" w:sz="0" w:space="0" w:color="auto"/>
            <w:left w:val="none" w:sz="0" w:space="0" w:color="auto"/>
            <w:bottom w:val="none" w:sz="0" w:space="0" w:color="auto"/>
            <w:right w:val="none" w:sz="0" w:space="0" w:color="auto"/>
          </w:divBdr>
        </w:div>
        <w:div w:id="1603300899">
          <w:marLeft w:val="0"/>
          <w:marRight w:val="0"/>
          <w:marTop w:val="0"/>
          <w:marBottom w:val="0"/>
          <w:divBdr>
            <w:top w:val="none" w:sz="0" w:space="0" w:color="auto"/>
            <w:left w:val="none" w:sz="0" w:space="0" w:color="auto"/>
            <w:bottom w:val="none" w:sz="0" w:space="0" w:color="auto"/>
            <w:right w:val="none" w:sz="0" w:space="0" w:color="auto"/>
          </w:divBdr>
        </w:div>
        <w:div w:id="1676150603">
          <w:marLeft w:val="0"/>
          <w:marRight w:val="0"/>
          <w:marTop w:val="0"/>
          <w:marBottom w:val="0"/>
          <w:divBdr>
            <w:top w:val="none" w:sz="0" w:space="0" w:color="auto"/>
            <w:left w:val="none" w:sz="0" w:space="0" w:color="auto"/>
            <w:bottom w:val="none" w:sz="0" w:space="0" w:color="auto"/>
            <w:right w:val="none" w:sz="0" w:space="0" w:color="auto"/>
          </w:divBdr>
        </w:div>
        <w:div w:id="1378358238">
          <w:marLeft w:val="0"/>
          <w:marRight w:val="0"/>
          <w:marTop w:val="0"/>
          <w:marBottom w:val="0"/>
          <w:divBdr>
            <w:top w:val="none" w:sz="0" w:space="0" w:color="auto"/>
            <w:left w:val="none" w:sz="0" w:space="0" w:color="auto"/>
            <w:bottom w:val="none" w:sz="0" w:space="0" w:color="auto"/>
            <w:right w:val="none" w:sz="0" w:space="0" w:color="auto"/>
          </w:divBdr>
        </w:div>
        <w:div w:id="692464109">
          <w:marLeft w:val="0"/>
          <w:marRight w:val="0"/>
          <w:marTop w:val="0"/>
          <w:marBottom w:val="0"/>
          <w:divBdr>
            <w:top w:val="none" w:sz="0" w:space="0" w:color="auto"/>
            <w:left w:val="none" w:sz="0" w:space="0" w:color="auto"/>
            <w:bottom w:val="none" w:sz="0" w:space="0" w:color="auto"/>
            <w:right w:val="none" w:sz="0" w:space="0" w:color="auto"/>
          </w:divBdr>
        </w:div>
        <w:div w:id="1837958504">
          <w:marLeft w:val="0"/>
          <w:marRight w:val="0"/>
          <w:marTop w:val="0"/>
          <w:marBottom w:val="0"/>
          <w:divBdr>
            <w:top w:val="none" w:sz="0" w:space="0" w:color="auto"/>
            <w:left w:val="none" w:sz="0" w:space="0" w:color="auto"/>
            <w:bottom w:val="none" w:sz="0" w:space="0" w:color="auto"/>
            <w:right w:val="none" w:sz="0" w:space="0" w:color="auto"/>
          </w:divBdr>
        </w:div>
        <w:div w:id="1904497">
          <w:marLeft w:val="0"/>
          <w:marRight w:val="0"/>
          <w:marTop w:val="0"/>
          <w:marBottom w:val="0"/>
          <w:divBdr>
            <w:top w:val="none" w:sz="0" w:space="0" w:color="auto"/>
            <w:left w:val="none" w:sz="0" w:space="0" w:color="auto"/>
            <w:bottom w:val="none" w:sz="0" w:space="0" w:color="auto"/>
            <w:right w:val="none" w:sz="0" w:space="0" w:color="auto"/>
          </w:divBdr>
        </w:div>
        <w:div w:id="2129424878">
          <w:marLeft w:val="0"/>
          <w:marRight w:val="0"/>
          <w:marTop w:val="0"/>
          <w:marBottom w:val="0"/>
          <w:divBdr>
            <w:top w:val="none" w:sz="0" w:space="0" w:color="auto"/>
            <w:left w:val="none" w:sz="0" w:space="0" w:color="auto"/>
            <w:bottom w:val="none" w:sz="0" w:space="0" w:color="auto"/>
            <w:right w:val="none" w:sz="0" w:space="0" w:color="auto"/>
          </w:divBdr>
        </w:div>
        <w:div w:id="1419132603">
          <w:marLeft w:val="0"/>
          <w:marRight w:val="0"/>
          <w:marTop w:val="0"/>
          <w:marBottom w:val="0"/>
          <w:divBdr>
            <w:top w:val="none" w:sz="0" w:space="0" w:color="auto"/>
            <w:left w:val="none" w:sz="0" w:space="0" w:color="auto"/>
            <w:bottom w:val="none" w:sz="0" w:space="0" w:color="auto"/>
            <w:right w:val="none" w:sz="0" w:space="0" w:color="auto"/>
          </w:divBdr>
        </w:div>
        <w:div w:id="613177791">
          <w:marLeft w:val="0"/>
          <w:marRight w:val="0"/>
          <w:marTop w:val="0"/>
          <w:marBottom w:val="0"/>
          <w:divBdr>
            <w:top w:val="none" w:sz="0" w:space="0" w:color="auto"/>
            <w:left w:val="none" w:sz="0" w:space="0" w:color="auto"/>
            <w:bottom w:val="none" w:sz="0" w:space="0" w:color="auto"/>
            <w:right w:val="none" w:sz="0" w:space="0" w:color="auto"/>
          </w:divBdr>
        </w:div>
        <w:div w:id="327711746">
          <w:marLeft w:val="0"/>
          <w:marRight w:val="0"/>
          <w:marTop w:val="0"/>
          <w:marBottom w:val="0"/>
          <w:divBdr>
            <w:top w:val="none" w:sz="0" w:space="0" w:color="auto"/>
            <w:left w:val="none" w:sz="0" w:space="0" w:color="auto"/>
            <w:bottom w:val="none" w:sz="0" w:space="0" w:color="auto"/>
            <w:right w:val="none" w:sz="0" w:space="0" w:color="auto"/>
          </w:divBdr>
        </w:div>
        <w:div w:id="1968270358">
          <w:marLeft w:val="0"/>
          <w:marRight w:val="0"/>
          <w:marTop w:val="0"/>
          <w:marBottom w:val="0"/>
          <w:divBdr>
            <w:top w:val="none" w:sz="0" w:space="0" w:color="auto"/>
            <w:left w:val="none" w:sz="0" w:space="0" w:color="auto"/>
            <w:bottom w:val="none" w:sz="0" w:space="0" w:color="auto"/>
            <w:right w:val="none" w:sz="0" w:space="0" w:color="auto"/>
          </w:divBdr>
        </w:div>
      </w:divsChild>
    </w:div>
    <w:div w:id="1066488289">
      <w:bodyDiv w:val="1"/>
      <w:marLeft w:val="0"/>
      <w:marRight w:val="0"/>
      <w:marTop w:val="0"/>
      <w:marBottom w:val="0"/>
      <w:divBdr>
        <w:top w:val="none" w:sz="0" w:space="0" w:color="auto"/>
        <w:left w:val="none" w:sz="0" w:space="0" w:color="auto"/>
        <w:bottom w:val="none" w:sz="0" w:space="0" w:color="auto"/>
        <w:right w:val="none" w:sz="0" w:space="0" w:color="auto"/>
      </w:divBdr>
      <w:divsChild>
        <w:div w:id="1176967791">
          <w:marLeft w:val="0"/>
          <w:marRight w:val="0"/>
          <w:marTop w:val="0"/>
          <w:marBottom w:val="0"/>
          <w:divBdr>
            <w:top w:val="none" w:sz="0" w:space="0" w:color="auto"/>
            <w:left w:val="none" w:sz="0" w:space="0" w:color="auto"/>
            <w:bottom w:val="none" w:sz="0" w:space="0" w:color="auto"/>
            <w:right w:val="none" w:sz="0" w:space="0" w:color="auto"/>
          </w:divBdr>
        </w:div>
        <w:div w:id="370616091">
          <w:marLeft w:val="0"/>
          <w:marRight w:val="0"/>
          <w:marTop w:val="0"/>
          <w:marBottom w:val="0"/>
          <w:divBdr>
            <w:top w:val="none" w:sz="0" w:space="0" w:color="auto"/>
            <w:left w:val="none" w:sz="0" w:space="0" w:color="auto"/>
            <w:bottom w:val="none" w:sz="0" w:space="0" w:color="auto"/>
            <w:right w:val="none" w:sz="0" w:space="0" w:color="auto"/>
          </w:divBdr>
        </w:div>
        <w:div w:id="1041514683">
          <w:marLeft w:val="0"/>
          <w:marRight w:val="0"/>
          <w:marTop w:val="0"/>
          <w:marBottom w:val="0"/>
          <w:divBdr>
            <w:top w:val="none" w:sz="0" w:space="0" w:color="auto"/>
            <w:left w:val="none" w:sz="0" w:space="0" w:color="auto"/>
            <w:bottom w:val="none" w:sz="0" w:space="0" w:color="auto"/>
            <w:right w:val="none" w:sz="0" w:space="0" w:color="auto"/>
          </w:divBdr>
        </w:div>
        <w:div w:id="1737387609">
          <w:marLeft w:val="0"/>
          <w:marRight w:val="0"/>
          <w:marTop w:val="0"/>
          <w:marBottom w:val="0"/>
          <w:divBdr>
            <w:top w:val="none" w:sz="0" w:space="0" w:color="auto"/>
            <w:left w:val="none" w:sz="0" w:space="0" w:color="auto"/>
            <w:bottom w:val="none" w:sz="0" w:space="0" w:color="auto"/>
            <w:right w:val="none" w:sz="0" w:space="0" w:color="auto"/>
          </w:divBdr>
        </w:div>
        <w:div w:id="1971470885">
          <w:marLeft w:val="0"/>
          <w:marRight w:val="0"/>
          <w:marTop w:val="0"/>
          <w:marBottom w:val="0"/>
          <w:divBdr>
            <w:top w:val="none" w:sz="0" w:space="0" w:color="auto"/>
            <w:left w:val="none" w:sz="0" w:space="0" w:color="auto"/>
            <w:bottom w:val="none" w:sz="0" w:space="0" w:color="auto"/>
            <w:right w:val="none" w:sz="0" w:space="0" w:color="auto"/>
          </w:divBdr>
        </w:div>
        <w:div w:id="696656760">
          <w:marLeft w:val="0"/>
          <w:marRight w:val="0"/>
          <w:marTop w:val="0"/>
          <w:marBottom w:val="0"/>
          <w:divBdr>
            <w:top w:val="none" w:sz="0" w:space="0" w:color="auto"/>
            <w:left w:val="none" w:sz="0" w:space="0" w:color="auto"/>
            <w:bottom w:val="none" w:sz="0" w:space="0" w:color="auto"/>
            <w:right w:val="none" w:sz="0" w:space="0" w:color="auto"/>
          </w:divBdr>
        </w:div>
        <w:div w:id="1430394937">
          <w:marLeft w:val="0"/>
          <w:marRight w:val="0"/>
          <w:marTop w:val="0"/>
          <w:marBottom w:val="0"/>
          <w:divBdr>
            <w:top w:val="none" w:sz="0" w:space="0" w:color="auto"/>
            <w:left w:val="none" w:sz="0" w:space="0" w:color="auto"/>
            <w:bottom w:val="none" w:sz="0" w:space="0" w:color="auto"/>
            <w:right w:val="none" w:sz="0" w:space="0" w:color="auto"/>
          </w:divBdr>
        </w:div>
        <w:div w:id="1328246447">
          <w:marLeft w:val="0"/>
          <w:marRight w:val="0"/>
          <w:marTop w:val="0"/>
          <w:marBottom w:val="0"/>
          <w:divBdr>
            <w:top w:val="none" w:sz="0" w:space="0" w:color="auto"/>
            <w:left w:val="none" w:sz="0" w:space="0" w:color="auto"/>
            <w:bottom w:val="none" w:sz="0" w:space="0" w:color="auto"/>
            <w:right w:val="none" w:sz="0" w:space="0" w:color="auto"/>
          </w:divBdr>
        </w:div>
        <w:div w:id="1470904290">
          <w:marLeft w:val="0"/>
          <w:marRight w:val="0"/>
          <w:marTop w:val="0"/>
          <w:marBottom w:val="0"/>
          <w:divBdr>
            <w:top w:val="none" w:sz="0" w:space="0" w:color="auto"/>
            <w:left w:val="none" w:sz="0" w:space="0" w:color="auto"/>
            <w:bottom w:val="none" w:sz="0" w:space="0" w:color="auto"/>
            <w:right w:val="none" w:sz="0" w:space="0" w:color="auto"/>
          </w:divBdr>
        </w:div>
        <w:div w:id="2025016698">
          <w:marLeft w:val="0"/>
          <w:marRight w:val="0"/>
          <w:marTop w:val="0"/>
          <w:marBottom w:val="0"/>
          <w:divBdr>
            <w:top w:val="none" w:sz="0" w:space="0" w:color="auto"/>
            <w:left w:val="none" w:sz="0" w:space="0" w:color="auto"/>
            <w:bottom w:val="none" w:sz="0" w:space="0" w:color="auto"/>
            <w:right w:val="none" w:sz="0" w:space="0" w:color="auto"/>
          </w:divBdr>
        </w:div>
        <w:div w:id="1850215846">
          <w:marLeft w:val="0"/>
          <w:marRight w:val="0"/>
          <w:marTop w:val="0"/>
          <w:marBottom w:val="0"/>
          <w:divBdr>
            <w:top w:val="none" w:sz="0" w:space="0" w:color="auto"/>
            <w:left w:val="none" w:sz="0" w:space="0" w:color="auto"/>
            <w:bottom w:val="none" w:sz="0" w:space="0" w:color="auto"/>
            <w:right w:val="none" w:sz="0" w:space="0" w:color="auto"/>
          </w:divBdr>
        </w:div>
        <w:div w:id="495455887">
          <w:marLeft w:val="0"/>
          <w:marRight w:val="0"/>
          <w:marTop w:val="0"/>
          <w:marBottom w:val="0"/>
          <w:divBdr>
            <w:top w:val="none" w:sz="0" w:space="0" w:color="auto"/>
            <w:left w:val="none" w:sz="0" w:space="0" w:color="auto"/>
            <w:bottom w:val="none" w:sz="0" w:space="0" w:color="auto"/>
            <w:right w:val="none" w:sz="0" w:space="0" w:color="auto"/>
          </w:divBdr>
        </w:div>
        <w:div w:id="323168031">
          <w:marLeft w:val="0"/>
          <w:marRight w:val="0"/>
          <w:marTop w:val="0"/>
          <w:marBottom w:val="0"/>
          <w:divBdr>
            <w:top w:val="none" w:sz="0" w:space="0" w:color="auto"/>
            <w:left w:val="none" w:sz="0" w:space="0" w:color="auto"/>
            <w:bottom w:val="none" w:sz="0" w:space="0" w:color="auto"/>
            <w:right w:val="none" w:sz="0" w:space="0" w:color="auto"/>
          </w:divBdr>
        </w:div>
        <w:div w:id="1978097997">
          <w:marLeft w:val="0"/>
          <w:marRight w:val="0"/>
          <w:marTop w:val="0"/>
          <w:marBottom w:val="0"/>
          <w:divBdr>
            <w:top w:val="none" w:sz="0" w:space="0" w:color="auto"/>
            <w:left w:val="none" w:sz="0" w:space="0" w:color="auto"/>
            <w:bottom w:val="none" w:sz="0" w:space="0" w:color="auto"/>
            <w:right w:val="none" w:sz="0" w:space="0" w:color="auto"/>
          </w:divBdr>
        </w:div>
        <w:div w:id="2075657374">
          <w:marLeft w:val="0"/>
          <w:marRight w:val="0"/>
          <w:marTop w:val="0"/>
          <w:marBottom w:val="0"/>
          <w:divBdr>
            <w:top w:val="none" w:sz="0" w:space="0" w:color="auto"/>
            <w:left w:val="none" w:sz="0" w:space="0" w:color="auto"/>
            <w:bottom w:val="none" w:sz="0" w:space="0" w:color="auto"/>
            <w:right w:val="none" w:sz="0" w:space="0" w:color="auto"/>
          </w:divBdr>
        </w:div>
        <w:div w:id="839463891">
          <w:marLeft w:val="0"/>
          <w:marRight w:val="0"/>
          <w:marTop w:val="0"/>
          <w:marBottom w:val="0"/>
          <w:divBdr>
            <w:top w:val="none" w:sz="0" w:space="0" w:color="auto"/>
            <w:left w:val="none" w:sz="0" w:space="0" w:color="auto"/>
            <w:bottom w:val="none" w:sz="0" w:space="0" w:color="auto"/>
            <w:right w:val="none" w:sz="0" w:space="0" w:color="auto"/>
          </w:divBdr>
        </w:div>
        <w:div w:id="1181317634">
          <w:marLeft w:val="0"/>
          <w:marRight w:val="0"/>
          <w:marTop w:val="0"/>
          <w:marBottom w:val="0"/>
          <w:divBdr>
            <w:top w:val="none" w:sz="0" w:space="0" w:color="auto"/>
            <w:left w:val="none" w:sz="0" w:space="0" w:color="auto"/>
            <w:bottom w:val="none" w:sz="0" w:space="0" w:color="auto"/>
            <w:right w:val="none" w:sz="0" w:space="0" w:color="auto"/>
          </w:divBdr>
        </w:div>
        <w:div w:id="1167284692">
          <w:marLeft w:val="0"/>
          <w:marRight w:val="0"/>
          <w:marTop w:val="0"/>
          <w:marBottom w:val="0"/>
          <w:divBdr>
            <w:top w:val="none" w:sz="0" w:space="0" w:color="auto"/>
            <w:left w:val="none" w:sz="0" w:space="0" w:color="auto"/>
            <w:bottom w:val="none" w:sz="0" w:space="0" w:color="auto"/>
            <w:right w:val="none" w:sz="0" w:space="0" w:color="auto"/>
          </w:divBdr>
        </w:div>
        <w:div w:id="813565287">
          <w:marLeft w:val="0"/>
          <w:marRight w:val="0"/>
          <w:marTop w:val="0"/>
          <w:marBottom w:val="0"/>
          <w:divBdr>
            <w:top w:val="none" w:sz="0" w:space="0" w:color="auto"/>
            <w:left w:val="none" w:sz="0" w:space="0" w:color="auto"/>
            <w:bottom w:val="none" w:sz="0" w:space="0" w:color="auto"/>
            <w:right w:val="none" w:sz="0" w:space="0" w:color="auto"/>
          </w:divBdr>
        </w:div>
      </w:divsChild>
    </w:div>
    <w:div w:id="1279725798">
      <w:bodyDiv w:val="1"/>
      <w:marLeft w:val="0"/>
      <w:marRight w:val="0"/>
      <w:marTop w:val="0"/>
      <w:marBottom w:val="0"/>
      <w:divBdr>
        <w:top w:val="none" w:sz="0" w:space="0" w:color="auto"/>
        <w:left w:val="none" w:sz="0" w:space="0" w:color="auto"/>
        <w:bottom w:val="none" w:sz="0" w:space="0" w:color="auto"/>
        <w:right w:val="none" w:sz="0" w:space="0" w:color="auto"/>
      </w:divBdr>
      <w:divsChild>
        <w:div w:id="755976071">
          <w:marLeft w:val="0"/>
          <w:marRight w:val="0"/>
          <w:marTop w:val="0"/>
          <w:marBottom w:val="0"/>
          <w:divBdr>
            <w:top w:val="none" w:sz="0" w:space="0" w:color="auto"/>
            <w:left w:val="none" w:sz="0" w:space="0" w:color="auto"/>
            <w:bottom w:val="none" w:sz="0" w:space="0" w:color="auto"/>
            <w:right w:val="none" w:sz="0" w:space="0" w:color="auto"/>
          </w:divBdr>
        </w:div>
        <w:div w:id="573396324">
          <w:marLeft w:val="0"/>
          <w:marRight w:val="0"/>
          <w:marTop w:val="0"/>
          <w:marBottom w:val="0"/>
          <w:divBdr>
            <w:top w:val="none" w:sz="0" w:space="0" w:color="auto"/>
            <w:left w:val="none" w:sz="0" w:space="0" w:color="auto"/>
            <w:bottom w:val="none" w:sz="0" w:space="0" w:color="auto"/>
            <w:right w:val="none" w:sz="0" w:space="0" w:color="auto"/>
          </w:divBdr>
        </w:div>
        <w:div w:id="82847510">
          <w:marLeft w:val="0"/>
          <w:marRight w:val="0"/>
          <w:marTop w:val="0"/>
          <w:marBottom w:val="0"/>
          <w:divBdr>
            <w:top w:val="none" w:sz="0" w:space="0" w:color="auto"/>
            <w:left w:val="none" w:sz="0" w:space="0" w:color="auto"/>
            <w:bottom w:val="none" w:sz="0" w:space="0" w:color="auto"/>
            <w:right w:val="none" w:sz="0" w:space="0" w:color="auto"/>
          </w:divBdr>
        </w:div>
        <w:div w:id="319698161">
          <w:marLeft w:val="0"/>
          <w:marRight w:val="0"/>
          <w:marTop w:val="0"/>
          <w:marBottom w:val="0"/>
          <w:divBdr>
            <w:top w:val="none" w:sz="0" w:space="0" w:color="auto"/>
            <w:left w:val="none" w:sz="0" w:space="0" w:color="auto"/>
            <w:bottom w:val="none" w:sz="0" w:space="0" w:color="auto"/>
            <w:right w:val="none" w:sz="0" w:space="0" w:color="auto"/>
          </w:divBdr>
        </w:div>
        <w:div w:id="508251180">
          <w:marLeft w:val="0"/>
          <w:marRight w:val="0"/>
          <w:marTop w:val="0"/>
          <w:marBottom w:val="0"/>
          <w:divBdr>
            <w:top w:val="none" w:sz="0" w:space="0" w:color="auto"/>
            <w:left w:val="none" w:sz="0" w:space="0" w:color="auto"/>
            <w:bottom w:val="none" w:sz="0" w:space="0" w:color="auto"/>
            <w:right w:val="none" w:sz="0" w:space="0" w:color="auto"/>
          </w:divBdr>
        </w:div>
        <w:div w:id="1330868874">
          <w:marLeft w:val="0"/>
          <w:marRight w:val="0"/>
          <w:marTop w:val="0"/>
          <w:marBottom w:val="0"/>
          <w:divBdr>
            <w:top w:val="none" w:sz="0" w:space="0" w:color="auto"/>
            <w:left w:val="none" w:sz="0" w:space="0" w:color="auto"/>
            <w:bottom w:val="none" w:sz="0" w:space="0" w:color="auto"/>
            <w:right w:val="none" w:sz="0" w:space="0" w:color="auto"/>
          </w:divBdr>
        </w:div>
        <w:div w:id="1283147247">
          <w:marLeft w:val="0"/>
          <w:marRight w:val="0"/>
          <w:marTop w:val="0"/>
          <w:marBottom w:val="0"/>
          <w:divBdr>
            <w:top w:val="none" w:sz="0" w:space="0" w:color="auto"/>
            <w:left w:val="none" w:sz="0" w:space="0" w:color="auto"/>
            <w:bottom w:val="none" w:sz="0" w:space="0" w:color="auto"/>
            <w:right w:val="none" w:sz="0" w:space="0" w:color="auto"/>
          </w:divBdr>
        </w:div>
        <w:div w:id="265190280">
          <w:marLeft w:val="0"/>
          <w:marRight w:val="0"/>
          <w:marTop w:val="0"/>
          <w:marBottom w:val="0"/>
          <w:divBdr>
            <w:top w:val="none" w:sz="0" w:space="0" w:color="auto"/>
            <w:left w:val="none" w:sz="0" w:space="0" w:color="auto"/>
            <w:bottom w:val="none" w:sz="0" w:space="0" w:color="auto"/>
            <w:right w:val="none" w:sz="0" w:space="0" w:color="auto"/>
          </w:divBdr>
        </w:div>
        <w:div w:id="990135878">
          <w:marLeft w:val="0"/>
          <w:marRight w:val="0"/>
          <w:marTop w:val="0"/>
          <w:marBottom w:val="0"/>
          <w:divBdr>
            <w:top w:val="none" w:sz="0" w:space="0" w:color="auto"/>
            <w:left w:val="none" w:sz="0" w:space="0" w:color="auto"/>
            <w:bottom w:val="none" w:sz="0" w:space="0" w:color="auto"/>
            <w:right w:val="none" w:sz="0" w:space="0" w:color="auto"/>
          </w:divBdr>
        </w:div>
        <w:div w:id="2117286738">
          <w:marLeft w:val="0"/>
          <w:marRight w:val="0"/>
          <w:marTop w:val="0"/>
          <w:marBottom w:val="0"/>
          <w:divBdr>
            <w:top w:val="none" w:sz="0" w:space="0" w:color="auto"/>
            <w:left w:val="none" w:sz="0" w:space="0" w:color="auto"/>
            <w:bottom w:val="none" w:sz="0" w:space="0" w:color="auto"/>
            <w:right w:val="none" w:sz="0" w:space="0" w:color="auto"/>
          </w:divBdr>
        </w:div>
        <w:div w:id="1683312024">
          <w:marLeft w:val="0"/>
          <w:marRight w:val="0"/>
          <w:marTop w:val="0"/>
          <w:marBottom w:val="0"/>
          <w:divBdr>
            <w:top w:val="none" w:sz="0" w:space="0" w:color="auto"/>
            <w:left w:val="none" w:sz="0" w:space="0" w:color="auto"/>
            <w:bottom w:val="none" w:sz="0" w:space="0" w:color="auto"/>
            <w:right w:val="none" w:sz="0" w:space="0" w:color="auto"/>
          </w:divBdr>
        </w:div>
        <w:div w:id="1335644330">
          <w:marLeft w:val="0"/>
          <w:marRight w:val="0"/>
          <w:marTop w:val="0"/>
          <w:marBottom w:val="0"/>
          <w:divBdr>
            <w:top w:val="none" w:sz="0" w:space="0" w:color="auto"/>
            <w:left w:val="none" w:sz="0" w:space="0" w:color="auto"/>
            <w:bottom w:val="none" w:sz="0" w:space="0" w:color="auto"/>
            <w:right w:val="none" w:sz="0" w:space="0" w:color="auto"/>
          </w:divBdr>
        </w:div>
        <w:div w:id="412750264">
          <w:marLeft w:val="0"/>
          <w:marRight w:val="0"/>
          <w:marTop w:val="0"/>
          <w:marBottom w:val="0"/>
          <w:divBdr>
            <w:top w:val="none" w:sz="0" w:space="0" w:color="auto"/>
            <w:left w:val="none" w:sz="0" w:space="0" w:color="auto"/>
            <w:bottom w:val="none" w:sz="0" w:space="0" w:color="auto"/>
            <w:right w:val="none" w:sz="0" w:space="0" w:color="auto"/>
          </w:divBdr>
        </w:div>
        <w:div w:id="1316490424">
          <w:marLeft w:val="0"/>
          <w:marRight w:val="0"/>
          <w:marTop w:val="0"/>
          <w:marBottom w:val="0"/>
          <w:divBdr>
            <w:top w:val="none" w:sz="0" w:space="0" w:color="auto"/>
            <w:left w:val="none" w:sz="0" w:space="0" w:color="auto"/>
            <w:bottom w:val="none" w:sz="0" w:space="0" w:color="auto"/>
            <w:right w:val="none" w:sz="0" w:space="0" w:color="auto"/>
          </w:divBdr>
        </w:div>
        <w:div w:id="2030838607">
          <w:marLeft w:val="0"/>
          <w:marRight w:val="0"/>
          <w:marTop w:val="0"/>
          <w:marBottom w:val="0"/>
          <w:divBdr>
            <w:top w:val="none" w:sz="0" w:space="0" w:color="auto"/>
            <w:left w:val="none" w:sz="0" w:space="0" w:color="auto"/>
            <w:bottom w:val="none" w:sz="0" w:space="0" w:color="auto"/>
            <w:right w:val="none" w:sz="0" w:space="0" w:color="auto"/>
          </w:divBdr>
        </w:div>
        <w:div w:id="291710620">
          <w:marLeft w:val="0"/>
          <w:marRight w:val="0"/>
          <w:marTop w:val="0"/>
          <w:marBottom w:val="0"/>
          <w:divBdr>
            <w:top w:val="none" w:sz="0" w:space="0" w:color="auto"/>
            <w:left w:val="none" w:sz="0" w:space="0" w:color="auto"/>
            <w:bottom w:val="none" w:sz="0" w:space="0" w:color="auto"/>
            <w:right w:val="none" w:sz="0" w:space="0" w:color="auto"/>
          </w:divBdr>
        </w:div>
        <w:div w:id="1175220423">
          <w:marLeft w:val="0"/>
          <w:marRight w:val="0"/>
          <w:marTop w:val="0"/>
          <w:marBottom w:val="0"/>
          <w:divBdr>
            <w:top w:val="none" w:sz="0" w:space="0" w:color="auto"/>
            <w:left w:val="none" w:sz="0" w:space="0" w:color="auto"/>
            <w:bottom w:val="none" w:sz="0" w:space="0" w:color="auto"/>
            <w:right w:val="none" w:sz="0" w:space="0" w:color="auto"/>
          </w:divBdr>
        </w:div>
        <w:div w:id="1002702794">
          <w:marLeft w:val="0"/>
          <w:marRight w:val="0"/>
          <w:marTop w:val="0"/>
          <w:marBottom w:val="0"/>
          <w:divBdr>
            <w:top w:val="none" w:sz="0" w:space="0" w:color="auto"/>
            <w:left w:val="none" w:sz="0" w:space="0" w:color="auto"/>
            <w:bottom w:val="none" w:sz="0" w:space="0" w:color="auto"/>
            <w:right w:val="none" w:sz="0" w:space="0" w:color="auto"/>
          </w:divBdr>
        </w:div>
      </w:divsChild>
    </w:div>
    <w:div w:id="1312254684">
      <w:bodyDiv w:val="1"/>
      <w:marLeft w:val="0"/>
      <w:marRight w:val="0"/>
      <w:marTop w:val="0"/>
      <w:marBottom w:val="0"/>
      <w:divBdr>
        <w:top w:val="none" w:sz="0" w:space="0" w:color="auto"/>
        <w:left w:val="none" w:sz="0" w:space="0" w:color="auto"/>
        <w:bottom w:val="none" w:sz="0" w:space="0" w:color="auto"/>
        <w:right w:val="none" w:sz="0" w:space="0" w:color="auto"/>
      </w:divBdr>
      <w:divsChild>
        <w:div w:id="305092541">
          <w:marLeft w:val="0"/>
          <w:marRight w:val="0"/>
          <w:marTop w:val="0"/>
          <w:marBottom w:val="0"/>
          <w:divBdr>
            <w:top w:val="none" w:sz="0" w:space="0" w:color="auto"/>
            <w:left w:val="none" w:sz="0" w:space="0" w:color="auto"/>
            <w:bottom w:val="none" w:sz="0" w:space="0" w:color="auto"/>
            <w:right w:val="none" w:sz="0" w:space="0" w:color="auto"/>
          </w:divBdr>
        </w:div>
        <w:div w:id="390735213">
          <w:marLeft w:val="0"/>
          <w:marRight w:val="0"/>
          <w:marTop w:val="0"/>
          <w:marBottom w:val="0"/>
          <w:divBdr>
            <w:top w:val="none" w:sz="0" w:space="0" w:color="auto"/>
            <w:left w:val="none" w:sz="0" w:space="0" w:color="auto"/>
            <w:bottom w:val="none" w:sz="0" w:space="0" w:color="auto"/>
            <w:right w:val="none" w:sz="0" w:space="0" w:color="auto"/>
          </w:divBdr>
        </w:div>
        <w:div w:id="1458984740">
          <w:marLeft w:val="0"/>
          <w:marRight w:val="0"/>
          <w:marTop w:val="0"/>
          <w:marBottom w:val="0"/>
          <w:divBdr>
            <w:top w:val="none" w:sz="0" w:space="0" w:color="auto"/>
            <w:left w:val="none" w:sz="0" w:space="0" w:color="auto"/>
            <w:bottom w:val="none" w:sz="0" w:space="0" w:color="auto"/>
            <w:right w:val="none" w:sz="0" w:space="0" w:color="auto"/>
          </w:divBdr>
        </w:div>
        <w:div w:id="883639764">
          <w:marLeft w:val="0"/>
          <w:marRight w:val="0"/>
          <w:marTop w:val="0"/>
          <w:marBottom w:val="0"/>
          <w:divBdr>
            <w:top w:val="none" w:sz="0" w:space="0" w:color="auto"/>
            <w:left w:val="none" w:sz="0" w:space="0" w:color="auto"/>
            <w:bottom w:val="none" w:sz="0" w:space="0" w:color="auto"/>
            <w:right w:val="none" w:sz="0" w:space="0" w:color="auto"/>
          </w:divBdr>
        </w:div>
        <w:div w:id="2024478984">
          <w:marLeft w:val="0"/>
          <w:marRight w:val="0"/>
          <w:marTop w:val="0"/>
          <w:marBottom w:val="0"/>
          <w:divBdr>
            <w:top w:val="none" w:sz="0" w:space="0" w:color="auto"/>
            <w:left w:val="none" w:sz="0" w:space="0" w:color="auto"/>
            <w:bottom w:val="none" w:sz="0" w:space="0" w:color="auto"/>
            <w:right w:val="none" w:sz="0" w:space="0" w:color="auto"/>
          </w:divBdr>
        </w:div>
        <w:div w:id="1214849044">
          <w:marLeft w:val="0"/>
          <w:marRight w:val="0"/>
          <w:marTop w:val="0"/>
          <w:marBottom w:val="0"/>
          <w:divBdr>
            <w:top w:val="none" w:sz="0" w:space="0" w:color="auto"/>
            <w:left w:val="none" w:sz="0" w:space="0" w:color="auto"/>
            <w:bottom w:val="none" w:sz="0" w:space="0" w:color="auto"/>
            <w:right w:val="none" w:sz="0" w:space="0" w:color="auto"/>
          </w:divBdr>
        </w:div>
        <w:div w:id="1137718748">
          <w:marLeft w:val="0"/>
          <w:marRight w:val="0"/>
          <w:marTop w:val="0"/>
          <w:marBottom w:val="0"/>
          <w:divBdr>
            <w:top w:val="none" w:sz="0" w:space="0" w:color="auto"/>
            <w:left w:val="none" w:sz="0" w:space="0" w:color="auto"/>
            <w:bottom w:val="none" w:sz="0" w:space="0" w:color="auto"/>
            <w:right w:val="none" w:sz="0" w:space="0" w:color="auto"/>
          </w:divBdr>
        </w:div>
        <w:div w:id="1169053530">
          <w:marLeft w:val="0"/>
          <w:marRight w:val="0"/>
          <w:marTop w:val="0"/>
          <w:marBottom w:val="0"/>
          <w:divBdr>
            <w:top w:val="none" w:sz="0" w:space="0" w:color="auto"/>
            <w:left w:val="none" w:sz="0" w:space="0" w:color="auto"/>
            <w:bottom w:val="none" w:sz="0" w:space="0" w:color="auto"/>
            <w:right w:val="none" w:sz="0" w:space="0" w:color="auto"/>
          </w:divBdr>
        </w:div>
        <w:div w:id="655652651">
          <w:marLeft w:val="0"/>
          <w:marRight w:val="0"/>
          <w:marTop w:val="0"/>
          <w:marBottom w:val="0"/>
          <w:divBdr>
            <w:top w:val="none" w:sz="0" w:space="0" w:color="auto"/>
            <w:left w:val="none" w:sz="0" w:space="0" w:color="auto"/>
            <w:bottom w:val="none" w:sz="0" w:space="0" w:color="auto"/>
            <w:right w:val="none" w:sz="0" w:space="0" w:color="auto"/>
          </w:divBdr>
        </w:div>
        <w:div w:id="1471434905">
          <w:marLeft w:val="0"/>
          <w:marRight w:val="0"/>
          <w:marTop w:val="0"/>
          <w:marBottom w:val="0"/>
          <w:divBdr>
            <w:top w:val="none" w:sz="0" w:space="0" w:color="auto"/>
            <w:left w:val="none" w:sz="0" w:space="0" w:color="auto"/>
            <w:bottom w:val="none" w:sz="0" w:space="0" w:color="auto"/>
            <w:right w:val="none" w:sz="0" w:space="0" w:color="auto"/>
          </w:divBdr>
        </w:div>
        <w:div w:id="340351864">
          <w:marLeft w:val="0"/>
          <w:marRight w:val="0"/>
          <w:marTop w:val="0"/>
          <w:marBottom w:val="0"/>
          <w:divBdr>
            <w:top w:val="none" w:sz="0" w:space="0" w:color="auto"/>
            <w:left w:val="none" w:sz="0" w:space="0" w:color="auto"/>
            <w:bottom w:val="none" w:sz="0" w:space="0" w:color="auto"/>
            <w:right w:val="none" w:sz="0" w:space="0" w:color="auto"/>
          </w:divBdr>
        </w:div>
        <w:div w:id="943880526">
          <w:marLeft w:val="0"/>
          <w:marRight w:val="0"/>
          <w:marTop w:val="0"/>
          <w:marBottom w:val="0"/>
          <w:divBdr>
            <w:top w:val="none" w:sz="0" w:space="0" w:color="auto"/>
            <w:left w:val="none" w:sz="0" w:space="0" w:color="auto"/>
            <w:bottom w:val="none" w:sz="0" w:space="0" w:color="auto"/>
            <w:right w:val="none" w:sz="0" w:space="0" w:color="auto"/>
          </w:divBdr>
        </w:div>
        <w:div w:id="1613047333">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630891543">
          <w:marLeft w:val="0"/>
          <w:marRight w:val="0"/>
          <w:marTop w:val="0"/>
          <w:marBottom w:val="0"/>
          <w:divBdr>
            <w:top w:val="none" w:sz="0" w:space="0" w:color="auto"/>
            <w:left w:val="none" w:sz="0" w:space="0" w:color="auto"/>
            <w:bottom w:val="none" w:sz="0" w:space="0" w:color="auto"/>
            <w:right w:val="none" w:sz="0" w:space="0" w:color="auto"/>
          </w:divBdr>
        </w:div>
        <w:div w:id="239682834">
          <w:marLeft w:val="0"/>
          <w:marRight w:val="0"/>
          <w:marTop w:val="0"/>
          <w:marBottom w:val="0"/>
          <w:divBdr>
            <w:top w:val="none" w:sz="0" w:space="0" w:color="auto"/>
            <w:left w:val="none" w:sz="0" w:space="0" w:color="auto"/>
            <w:bottom w:val="none" w:sz="0" w:space="0" w:color="auto"/>
            <w:right w:val="none" w:sz="0" w:space="0" w:color="auto"/>
          </w:divBdr>
        </w:div>
        <w:div w:id="1744138415">
          <w:marLeft w:val="0"/>
          <w:marRight w:val="0"/>
          <w:marTop w:val="0"/>
          <w:marBottom w:val="0"/>
          <w:divBdr>
            <w:top w:val="none" w:sz="0" w:space="0" w:color="auto"/>
            <w:left w:val="none" w:sz="0" w:space="0" w:color="auto"/>
            <w:bottom w:val="none" w:sz="0" w:space="0" w:color="auto"/>
            <w:right w:val="none" w:sz="0" w:space="0" w:color="auto"/>
          </w:divBdr>
        </w:div>
        <w:div w:id="63576765">
          <w:marLeft w:val="0"/>
          <w:marRight w:val="0"/>
          <w:marTop w:val="0"/>
          <w:marBottom w:val="0"/>
          <w:divBdr>
            <w:top w:val="none" w:sz="0" w:space="0" w:color="auto"/>
            <w:left w:val="none" w:sz="0" w:space="0" w:color="auto"/>
            <w:bottom w:val="none" w:sz="0" w:space="0" w:color="auto"/>
            <w:right w:val="none" w:sz="0" w:space="0" w:color="auto"/>
          </w:divBdr>
        </w:div>
        <w:div w:id="1452895261">
          <w:marLeft w:val="0"/>
          <w:marRight w:val="0"/>
          <w:marTop w:val="0"/>
          <w:marBottom w:val="0"/>
          <w:divBdr>
            <w:top w:val="none" w:sz="0" w:space="0" w:color="auto"/>
            <w:left w:val="none" w:sz="0" w:space="0" w:color="auto"/>
            <w:bottom w:val="none" w:sz="0" w:space="0" w:color="auto"/>
            <w:right w:val="none" w:sz="0" w:space="0" w:color="auto"/>
          </w:divBdr>
        </w:div>
      </w:divsChild>
    </w:div>
    <w:div w:id="1933277575">
      <w:bodyDiv w:val="1"/>
      <w:marLeft w:val="0"/>
      <w:marRight w:val="0"/>
      <w:marTop w:val="0"/>
      <w:marBottom w:val="0"/>
      <w:divBdr>
        <w:top w:val="none" w:sz="0" w:space="0" w:color="auto"/>
        <w:left w:val="none" w:sz="0" w:space="0" w:color="auto"/>
        <w:bottom w:val="none" w:sz="0" w:space="0" w:color="auto"/>
        <w:right w:val="none" w:sz="0" w:space="0" w:color="auto"/>
      </w:divBdr>
      <w:divsChild>
        <w:div w:id="704257382">
          <w:marLeft w:val="0"/>
          <w:marRight w:val="0"/>
          <w:marTop w:val="0"/>
          <w:marBottom w:val="0"/>
          <w:divBdr>
            <w:top w:val="none" w:sz="0" w:space="0" w:color="auto"/>
            <w:left w:val="none" w:sz="0" w:space="0" w:color="auto"/>
            <w:bottom w:val="none" w:sz="0" w:space="0" w:color="auto"/>
            <w:right w:val="none" w:sz="0" w:space="0" w:color="auto"/>
          </w:divBdr>
        </w:div>
        <w:div w:id="1957831064">
          <w:marLeft w:val="0"/>
          <w:marRight w:val="0"/>
          <w:marTop w:val="0"/>
          <w:marBottom w:val="0"/>
          <w:divBdr>
            <w:top w:val="none" w:sz="0" w:space="0" w:color="auto"/>
            <w:left w:val="none" w:sz="0" w:space="0" w:color="auto"/>
            <w:bottom w:val="none" w:sz="0" w:space="0" w:color="auto"/>
            <w:right w:val="none" w:sz="0" w:space="0" w:color="auto"/>
          </w:divBdr>
        </w:div>
        <w:div w:id="1167096206">
          <w:marLeft w:val="0"/>
          <w:marRight w:val="0"/>
          <w:marTop w:val="0"/>
          <w:marBottom w:val="0"/>
          <w:divBdr>
            <w:top w:val="none" w:sz="0" w:space="0" w:color="auto"/>
            <w:left w:val="none" w:sz="0" w:space="0" w:color="auto"/>
            <w:bottom w:val="none" w:sz="0" w:space="0" w:color="auto"/>
            <w:right w:val="none" w:sz="0" w:space="0" w:color="auto"/>
          </w:divBdr>
        </w:div>
        <w:div w:id="1188831816">
          <w:marLeft w:val="0"/>
          <w:marRight w:val="0"/>
          <w:marTop w:val="0"/>
          <w:marBottom w:val="0"/>
          <w:divBdr>
            <w:top w:val="none" w:sz="0" w:space="0" w:color="auto"/>
            <w:left w:val="none" w:sz="0" w:space="0" w:color="auto"/>
            <w:bottom w:val="none" w:sz="0" w:space="0" w:color="auto"/>
            <w:right w:val="none" w:sz="0" w:space="0" w:color="auto"/>
          </w:divBdr>
        </w:div>
        <w:div w:id="1034691152">
          <w:marLeft w:val="0"/>
          <w:marRight w:val="0"/>
          <w:marTop w:val="0"/>
          <w:marBottom w:val="0"/>
          <w:divBdr>
            <w:top w:val="none" w:sz="0" w:space="0" w:color="auto"/>
            <w:left w:val="none" w:sz="0" w:space="0" w:color="auto"/>
            <w:bottom w:val="none" w:sz="0" w:space="0" w:color="auto"/>
            <w:right w:val="none" w:sz="0" w:space="0" w:color="auto"/>
          </w:divBdr>
        </w:div>
        <w:div w:id="1904296013">
          <w:marLeft w:val="0"/>
          <w:marRight w:val="0"/>
          <w:marTop w:val="0"/>
          <w:marBottom w:val="0"/>
          <w:divBdr>
            <w:top w:val="none" w:sz="0" w:space="0" w:color="auto"/>
            <w:left w:val="none" w:sz="0" w:space="0" w:color="auto"/>
            <w:bottom w:val="none" w:sz="0" w:space="0" w:color="auto"/>
            <w:right w:val="none" w:sz="0" w:space="0" w:color="auto"/>
          </w:divBdr>
        </w:div>
        <w:div w:id="1509130083">
          <w:marLeft w:val="0"/>
          <w:marRight w:val="0"/>
          <w:marTop w:val="0"/>
          <w:marBottom w:val="0"/>
          <w:divBdr>
            <w:top w:val="none" w:sz="0" w:space="0" w:color="auto"/>
            <w:left w:val="none" w:sz="0" w:space="0" w:color="auto"/>
            <w:bottom w:val="none" w:sz="0" w:space="0" w:color="auto"/>
            <w:right w:val="none" w:sz="0" w:space="0" w:color="auto"/>
          </w:divBdr>
        </w:div>
        <w:div w:id="749085187">
          <w:marLeft w:val="0"/>
          <w:marRight w:val="0"/>
          <w:marTop w:val="0"/>
          <w:marBottom w:val="0"/>
          <w:divBdr>
            <w:top w:val="none" w:sz="0" w:space="0" w:color="auto"/>
            <w:left w:val="none" w:sz="0" w:space="0" w:color="auto"/>
            <w:bottom w:val="none" w:sz="0" w:space="0" w:color="auto"/>
            <w:right w:val="none" w:sz="0" w:space="0" w:color="auto"/>
          </w:divBdr>
        </w:div>
        <w:div w:id="1629772840">
          <w:marLeft w:val="0"/>
          <w:marRight w:val="0"/>
          <w:marTop w:val="0"/>
          <w:marBottom w:val="0"/>
          <w:divBdr>
            <w:top w:val="none" w:sz="0" w:space="0" w:color="auto"/>
            <w:left w:val="none" w:sz="0" w:space="0" w:color="auto"/>
            <w:bottom w:val="none" w:sz="0" w:space="0" w:color="auto"/>
            <w:right w:val="none" w:sz="0" w:space="0" w:color="auto"/>
          </w:divBdr>
        </w:div>
        <w:div w:id="464006081">
          <w:marLeft w:val="0"/>
          <w:marRight w:val="0"/>
          <w:marTop w:val="0"/>
          <w:marBottom w:val="0"/>
          <w:divBdr>
            <w:top w:val="none" w:sz="0" w:space="0" w:color="auto"/>
            <w:left w:val="none" w:sz="0" w:space="0" w:color="auto"/>
            <w:bottom w:val="none" w:sz="0" w:space="0" w:color="auto"/>
            <w:right w:val="none" w:sz="0" w:space="0" w:color="auto"/>
          </w:divBdr>
        </w:div>
        <w:div w:id="774323658">
          <w:marLeft w:val="0"/>
          <w:marRight w:val="0"/>
          <w:marTop w:val="0"/>
          <w:marBottom w:val="0"/>
          <w:divBdr>
            <w:top w:val="none" w:sz="0" w:space="0" w:color="auto"/>
            <w:left w:val="none" w:sz="0" w:space="0" w:color="auto"/>
            <w:bottom w:val="none" w:sz="0" w:space="0" w:color="auto"/>
            <w:right w:val="none" w:sz="0" w:space="0" w:color="auto"/>
          </w:divBdr>
        </w:div>
        <w:div w:id="95177992">
          <w:marLeft w:val="0"/>
          <w:marRight w:val="0"/>
          <w:marTop w:val="0"/>
          <w:marBottom w:val="0"/>
          <w:divBdr>
            <w:top w:val="none" w:sz="0" w:space="0" w:color="auto"/>
            <w:left w:val="none" w:sz="0" w:space="0" w:color="auto"/>
            <w:bottom w:val="none" w:sz="0" w:space="0" w:color="auto"/>
            <w:right w:val="none" w:sz="0" w:space="0" w:color="auto"/>
          </w:divBdr>
        </w:div>
        <w:div w:id="1305810814">
          <w:marLeft w:val="0"/>
          <w:marRight w:val="0"/>
          <w:marTop w:val="0"/>
          <w:marBottom w:val="0"/>
          <w:divBdr>
            <w:top w:val="none" w:sz="0" w:space="0" w:color="auto"/>
            <w:left w:val="none" w:sz="0" w:space="0" w:color="auto"/>
            <w:bottom w:val="none" w:sz="0" w:space="0" w:color="auto"/>
            <w:right w:val="none" w:sz="0" w:space="0" w:color="auto"/>
          </w:divBdr>
        </w:div>
        <w:div w:id="1572160938">
          <w:marLeft w:val="0"/>
          <w:marRight w:val="0"/>
          <w:marTop w:val="0"/>
          <w:marBottom w:val="0"/>
          <w:divBdr>
            <w:top w:val="none" w:sz="0" w:space="0" w:color="auto"/>
            <w:left w:val="none" w:sz="0" w:space="0" w:color="auto"/>
            <w:bottom w:val="none" w:sz="0" w:space="0" w:color="auto"/>
            <w:right w:val="none" w:sz="0" w:space="0" w:color="auto"/>
          </w:divBdr>
        </w:div>
        <w:div w:id="908344991">
          <w:marLeft w:val="0"/>
          <w:marRight w:val="0"/>
          <w:marTop w:val="0"/>
          <w:marBottom w:val="0"/>
          <w:divBdr>
            <w:top w:val="none" w:sz="0" w:space="0" w:color="auto"/>
            <w:left w:val="none" w:sz="0" w:space="0" w:color="auto"/>
            <w:bottom w:val="none" w:sz="0" w:space="0" w:color="auto"/>
            <w:right w:val="none" w:sz="0" w:space="0" w:color="auto"/>
          </w:divBdr>
        </w:div>
        <w:div w:id="1727799943">
          <w:marLeft w:val="0"/>
          <w:marRight w:val="0"/>
          <w:marTop w:val="0"/>
          <w:marBottom w:val="0"/>
          <w:divBdr>
            <w:top w:val="none" w:sz="0" w:space="0" w:color="auto"/>
            <w:left w:val="none" w:sz="0" w:space="0" w:color="auto"/>
            <w:bottom w:val="none" w:sz="0" w:space="0" w:color="auto"/>
            <w:right w:val="none" w:sz="0" w:space="0" w:color="auto"/>
          </w:divBdr>
        </w:div>
        <w:div w:id="700665404">
          <w:marLeft w:val="0"/>
          <w:marRight w:val="0"/>
          <w:marTop w:val="0"/>
          <w:marBottom w:val="0"/>
          <w:divBdr>
            <w:top w:val="none" w:sz="0" w:space="0" w:color="auto"/>
            <w:left w:val="none" w:sz="0" w:space="0" w:color="auto"/>
            <w:bottom w:val="none" w:sz="0" w:space="0" w:color="auto"/>
            <w:right w:val="none" w:sz="0" w:space="0" w:color="auto"/>
          </w:divBdr>
        </w:div>
        <w:div w:id="1773433652">
          <w:marLeft w:val="0"/>
          <w:marRight w:val="0"/>
          <w:marTop w:val="0"/>
          <w:marBottom w:val="0"/>
          <w:divBdr>
            <w:top w:val="none" w:sz="0" w:space="0" w:color="auto"/>
            <w:left w:val="none" w:sz="0" w:space="0" w:color="auto"/>
            <w:bottom w:val="none" w:sz="0" w:space="0" w:color="auto"/>
            <w:right w:val="none" w:sz="0" w:space="0" w:color="auto"/>
          </w:divBdr>
        </w:div>
        <w:div w:id="930895137">
          <w:marLeft w:val="0"/>
          <w:marRight w:val="0"/>
          <w:marTop w:val="0"/>
          <w:marBottom w:val="0"/>
          <w:divBdr>
            <w:top w:val="none" w:sz="0" w:space="0" w:color="auto"/>
            <w:left w:val="none" w:sz="0" w:space="0" w:color="auto"/>
            <w:bottom w:val="none" w:sz="0" w:space="0" w:color="auto"/>
            <w:right w:val="none" w:sz="0" w:space="0" w:color="auto"/>
          </w:divBdr>
        </w:div>
      </w:divsChild>
    </w:div>
    <w:div w:id="1990282133">
      <w:bodyDiv w:val="1"/>
      <w:marLeft w:val="0"/>
      <w:marRight w:val="0"/>
      <w:marTop w:val="0"/>
      <w:marBottom w:val="0"/>
      <w:divBdr>
        <w:top w:val="none" w:sz="0" w:space="0" w:color="auto"/>
        <w:left w:val="none" w:sz="0" w:space="0" w:color="auto"/>
        <w:bottom w:val="none" w:sz="0" w:space="0" w:color="auto"/>
        <w:right w:val="none" w:sz="0" w:space="0" w:color="auto"/>
      </w:divBdr>
      <w:divsChild>
        <w:div w:id="1336611709">
          <w:marLeft w:val="0"/>
          <w:marRight w:val="0"/>
          <w:marTop w:val="0"/>
          <w:marBottom w:val="0"/>
          <w:divBdr>
            <w:top w:val="none" w:sz="0" w:space="0" w:color="auto"/>
            <w:left w:val="none" w:sz="0" w:space="0" w:color="auto"/>
            <w:bottom w:val="none" w:sz="0" w:space="0" w:color="auto"/>
            <w:right w:val="none" w:sz="0" w:space="0" w:color="auto"/>
          </w:divBdr>
        </w:div>
        <w:div w:id="789128987">
          <w:marLeft w:val="0"/>
          <w:marRight w:val="0"/>
          <w:marTop w:val="0"/>
          <w:marBottom w:val="0"/>
          <w:divBdr>
            <w:top w:val="none" w:sz="0" w:space="0" w:color="auto"/>
            <w:left w:val="none" w:sz="0" w:space="0" w:color="auto"/>
            <w:bottom w:val="none" w:sz="0" w:space="0" w:color="auto"/>
            <w:right w:val="none" w:sz="0" w:space="0" w:color="auto"/>
          </w:divBdr>
        </w:div>
        <w:div w:id="1314484597">
          <w:marLeft w:val="0"/>
          <w:marRight w:val="0"/>
          <w:marTop w:val="0"/>
          <w:marBottom w:val="0"/>
          <w:divBdr>
            <w:top w:val="none" w:sz="0" w:space="0" w:color="auto"/>
            <w:left w:val="none" w:sz="0" w:space="0" w:color="auto"/>
            <w:bottom w:val="none" w:sz="0" w:space="0" w:color="auto"/>
            <w:right w:val="none" w:sz="0" w:space="0" w:color="auto"/>
          </w:divBdr>
        </w:div>
        <w:div w:id="1411196915">
          <w:marLeft w:val="0"/>
          <w:marRight w:val="0"/>
          <w:marTop w:val="0"/>
          <w:marBottom w:val="0"/>
          <w:divBdr>
            <w:top w:val="none" w:sz="0" w:space="0" w:color="auto"/>
            <w:left w:val="none" w:sz="0" w:space="0" w:color="auto"/>
            <w:bottom w:val="none" w:sz="0" w:space="0" w:color="auto"/>
            <w:right w:val="none" w:sz="0" w:space="0" w:color="auto"/>
          </w:divBdr>
        </w:div>
        <w:div w:id="838617087">
          <w:marLeft w:val="0"/>
          <w:marRight w:val="0"/>
          <w:marTop w:val="0"/>
          <w:marBottom w:val="0"/>
          <w:divBdr>
            <w:top w:val="none" w:sz="0" w:space="0" w:color="auto"/>
            <w:left w:val="none" w:sz="0" w:space="0" w:color="auto"/>
            <w:bottom w:val="none" w:sz="0" w:space="0" w:color="auto"/>
            <w:right w:val="none" w:sz="0" w:space="0" w:color="auto"/>
          </w:divBdr>
        </w:div>
        <w:div w:id="409348193">
          <w:marLeft w:val="0"/>
          <w:marRight w:val="0"/>
          <w:marTop w:val="0"/>
          <w:marBottom w:val="0"/>
          <w:divBdr>
            <w:top w:val="none" w:sz="0" w:space="0" w:color="auto"/>
            <w:left w:val="none" w:sz="0" w:space="0" w:color="auto"/>
            <w:bottom w:val="none" w:sz="0" w:space="0" w:color="auto"/>
            <w:right w:val="none" w:sz="0" w:space="0" w:color="auto"/>
          </w:divBdr>
        </w:div>
        <w:div w:id="310913711">
          <w:marLeft w:val="0"/>
          <w:marRight w:val="0"/>
          <w:marTop w:val="0"/>
          <w:marBottom w:val="0"/>
          <w:divBdr>
            <w:top w:val="none" w:sz="0" w:space="0" w:color="auto"/>
            <w:left w:val="none" w:sz="0" w:space="0" w:color="auto"/>
            <w:bottom w:val="none" w:sz="0" w:space="0" w:color="auto"/>
            <w:right w:val="none" w:sz="0" w:space="0" w:color="auto"/>
          </w:divBdr>
        </w:div>
        <w:div w:id="425346081">
          <w:marLeft w:val="0"/>
          <w:marRight w:val="0"/>
          <w:marTop w:val="0"/>
          <w:marBottom w:val="0"/>
          <w:divBdr>
            <w:top w:val="none" w:sz="0" w:space="0" w:color="auto"/>
            <w:left w:val="none" w:sz="0" w:space="0" w:color="auto"/>
            <w:bottom w:val="none" w:sz="0" w:space="0" w:color="auto"/>
            <w:right w:val="none" w:sz="0" w:space="0" w:color="auto"/>
          </w:divBdr>
        </w:div>
        <w:div w:id="1375034752">
          <w:marLeft w:val="0"/>
          <w:marRight w:val="0"/>
          <w:marTop w:val="0"/>
          <w:marBottom w:val="0"/>
          <w:divBdr>
            <w:top w:val="none" w:sz="0" w:space="0" w:color="auto"/>
            <w:left w:val="none" w:sz="0" w:space="0" w:color="auto"/>
            <w:bottom w:val="none" w:sz="0" w:space="0" w:color="auto"/>
            <w:right w:val="none" w:sz="0" w:space="0" w:color="auto"/>
          </w:divBdr>
        </w:div>
        <w:div w:id="525102356">
          <w:marLeft w:val="0"/>
          <w:marRight w:val="0"/>
          <w:marTop w:val="0"/>
          <w:marBottom w:val="0"/>
          <w:divBdr>
            <w:top w:val="none" w:sz="0" w:space="0" w:color="auto"/>
            <w:left w:val="none" w:sz="0" w:space="0" w:color="auto"/>
            <w:bottom w:val="none" w:sz="0" w:space="0" w:color="auto"/>
            <w:right w:val="none" w:sz="0" w:space="0" w:color="auto"/>
          </w:divBdr>
        </w:div>
        <w:div w:id="771972504">
          <w:marLeft w:val="0"/>
          <w:marRight w:val="0"/>
          <w:marTop w:val="0"/>
          <w:marBottom w:val="0"/>
          <w:divBdr>
            <w:top w:val="none" w:sz="0" w:space="0" w:color="auto"/>
            <w:left w:val="none" w:sz="0" w:space="0" w:color="auto"/>
            <w:bottom w:val="none" w:sz="0" w:space="0" w:color="auto"/>
            <w:right w:val="none" w:sz="0" w:space="0" w:color="auto"/>
          </w:divBdr>
        </w:div>
        <w:div w:id="883173854">
          <w:marLeft w:val="0"/>
          <w:marRight w:val="0"/>
          <w:marTop w:val="0"/>
          <w:marBottom w:val="0"/>
          <w:divBdr>
            <w:top w:val="none" w:sz="0" w:space="0" w:color="auto"/>
            <w:left w:val="none" w:sz="0" w:space="0" w:color="auto"/>
            <w:bottom w:val="none" w:sz="0" w:space="0" w:color="auto"/>
            <w:right w:val="none" w:sz="0" w:space="0" w:color="auto"/>
          </w:divBdr>
        </w:div>
        <w:div w:id="849836761">
          <w:marLeft w:val="0"/>
          <w:marRight w:val="0"/>
          <w:marTop w:val="0"/>
          <w:marBottom w:val="0"/>
          <w:divBdr>
            <w:top w:val="none" w:sz="0" w:space="0" w:color="auto"/>
            <w:left w:val="none" w:sz="0" w:space="0" w:color="auto"/>
            <w:bottom w:val="none" w:sz="0" w:space="0" w:color="auto"/>
            <w:right w:val="none" w:sz="0" w:space="0" w:color="auto"/>
          </w:divBdr>
        </w:div>
        <w:div w:id="1888637932">
          <w:marLeft w:val="0"/>
          <w:marRight w:val="0"/>
          <w:marTop w:val="0"/>
          <w:marBottom w:val="0"/>
          <w:divBdr>
            <w:top w:val="none" w:sz="0" w:space="0" w:color="auto"/>
            <w:left w:val="none" w:sz="0" w:space="0" w:color="auto"/>
            <w:bottom w:val="none" w:sz="0" w:space="0" w:color="auto"/>
            <w:right w:val="none" w:sz="0" w:space="0" w:color="auto"/>
          </w:divBdr>
        </w:div>
        <w:div w:id="456532498">
          <w:marLeft w:val="0"/>
          <w:marRight w:val="0"/>
          <w:marTop w:val="0"/>
          <w:marBottom w:val="0"/>
          <w:divBdr>
            <w:top w:val="none" w:sz="0" w:space="0" w:color="auto"/>
            <w:left w:val="none" w:sz="0" w:space="0" w:color="auto"/>
            <w:bottom w:val="none" w:sz="0" w:space="0" w:color="auto"/>
            <w:right w:val="none" w:sz="0" w:space="0" w:color="auto"/>
          </w:divBdr>
        </w:div>
        <w:div w:id="532619839">
          <w:marLeft w:val="0"/>
          <w:marRight w:val="0"/>
          <w:marTop w:val="0"/>
          <w:marBottom w:val="0"/>
          <w:divBdr>
            <w:top w:val="none" w:sz="0" w:space="0" w:color="auto"/>
            <w:left w:val="none" w:sz="0" w:space="0" w:color="auto"/>
            <w:bottom w:val="none" w:sz="0" w:space="0" w:color="auto"/>
            <w:right w:val="none" w:sz="0" w:space="0" w:color="auto"/>
          </w:divBdr>
        </w:div>
        <w:div w:id="1713652936">
          <w:marLeft w:val="0"/>
          <w:marRight w:val="0"/>
          <w:marTop w:val="0"/>
          <w:marBottom w:val="0"/>
          <w:divBdr>
            <w:top w:val="none" w:sz="0" w:space="0" w:color="auto"/>
            <w:left w:val="none" w:sz="0" w:space="0" w:color="auto"/>
            <w:bottom w:val="none" w:sz="0" w:space="0" w:color="auto"/>
            <w:right w:val="none" w:sz="0" w:space="0" w:color="auto"/>
          </w:divBdr>
        </w:div>
        <w:div w:id="1461877314">
          <w:marLeft w:val="0"/>
          <w:marRight w:val="0"/>
          <w:marTop w:val="0"/>
          <w:marBottom w:val="0"/>
          <w:divBdr>
            <w:top w:val="none" w:sz="0" w:space="0" w:color="auto"/>
            <w:left w:val="none" w:sz="0" w:space="0" w:color="auto"/>
            <w:bottom w:val="none" w:sz="0" w:space="0" w:color="auto"/>
            <w:right w:val="none" w:sz="0" w:space="0" w:color="auto"/>
          </w:divBdr>
        </w:div>
        <w:div w:id="163880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wmf" Id="rId13" /><Relationship Type="http://schemas.openxmlformats.org/officeDocument/2006/relationships/footer" Target="footer2.xml" Id="rId18" /><Relationship Type="http://schemas.openxmlformats.org/officeDocument/2006/relationships/image" Target="media/image11.emf" Id="rId26" /><Relationship Type="http://schemas.openxmlformats.org/officeDocument/2006/relationships/image" Target="media/image24.emf" Id="rId39" /><Relationship Type="http://schemas.openxmlformats.org/officeDocument/2006/relationships/header" Target="header4.xml" Id="rId21" /><Relationship Type="http://schemas.openxmlformats.org/officeDocument/2006/relationships/image" Target="media/image19.emf" Id="rId34" /><Relationship Type="http://schemas.openxmlformats.org/officeDocument/2006/relationships/image" Target="media/image27.emf" Id="rId42" /><Relationship Type="http://schemas.openxmlformats.org/officeDocument/2006/relationships/image" Target="media/image32.emf" Id="rId47" /><Relationship Type="http://schemas.openxmlformats.org/officeDocument/2006/relationships/image" Target="media/image35.emf" Id="rId50" /><Relationship Type="http://schemas.openxmlformats.org/officeDocument/2006/relationships/hyperlink" Target="https://jpmm.com/research/disclosures" TargetMode="External" Id="rId55" /><Relationship Type="http://schemas.openxmlformats.org/officeDocument/2006/relationships/footer" Target="footer6.xml" Id="rId63" /><Relationship Type="http://schemas.openxmlformats.org/officeDocument/2006/relationships/numbering" Target="numbering.xml" Id="rId7"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image" Target="media/image14.emf" Id="rId29" /><Relationship Type="http://schemas.openxmlformats.org/officeDocument/2006/relationships/image" Target="media/image26.emf" Id="rId41" /><Relationship Type="http://schemas.openxmlformats.org/officeDocument/2006/relationships/footer" Target="footer5.xml" Id="rId54" /><Relationship Type="http://schemas.openxmlformats.org/officeDocument/2006/relationships/header" Target="header6.xml" Id="rId62"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image" Target="media/image9.emf" Id="rId24" /><Relationship Type="http://schemas.openxmlformats.org/officeDocument/2006/relationships/image" Target="media/image17.emf" Id="rId32" /><Relationship Type="http://schemas.openxmlformats.org/officeDocument/2006/relationships/image" Target="media/image22.emf" Id="rId37" /><Relationship Type="http://schemas.openxmlformats.org/officeDocument/2006/relationships/image" Target="media/image25.emf" Id="rId40" /><Relationship Type="http://schemas.openxmlformats.org/officeDocument/2006/relationships/image" Target="media/image30.emf" Id="rId45" /><Relationship Type="http://schemas.openxmlformats.org/officeDocument/2006/relationships/header" Target="header5.xml" Id="rId53" /><Relationship Type="http://schemas.openxmlformats.org/officeDocument/2006/relationships/hyperlink" Target="http://www.jpmorganmarkets.com" TargetMode="External" Id="rId58" /><Relationship Type="http://schemas.openxmlformats.org/officeDocument/2006/relationships/theme" Target="theme/theme1.xml" Id="rId66" /><Relationship Type="http://schemas.openxmlformats.org/officeDocument/2006/relationships/header" Target="header1.xml" Id="rId15" /><Relationship Type="http://schemas.openxmlformats.org/officeDocument/2006/relationships/image" Target="media/image8.emf" Id="rId23" /><Relationship Type="http://schemas.openxmlformats.org/officeDocument/2006/relationships/image" Target="media/image13.emf" Id="rId28" /><Relationship Type="http://schemas.openxmlformats.org/officeDocument/2006/relationships/image" Target="media/image21.emf" Id="rId36" /><Relationship Type="http://schemas.openxmlformats.org/officeDocument/2006/relationships/image" Target="media/image34.emf" Id="rId49" /><Relationship Type="http://schemas.openxmlformats.org/officeDocument/2006/relationships/hyperlink" Target="mailto:research.disclosure.inquiries@jpmorgan.com" TargetMode="External" Id="rId57" /><Relationship Type="http://schemas.openxmlformats.org/officeDocument/2006/relationships/hyperlink" Target="http://www.jpmipl.com" TargetMode="External" Id="rId61" /><Relationship Type="http://schemas.openxmlformats.org/officeDocument/2006/relationships/webSettings" Target="webSettings.xml" Id="rId10" /><Relationship Type="http://schemas.openxmlformats.org/officeDocument/2006/relationships/header" Target="header3.xml" Id="rId19" /><Relationship Type="http://schemas.openxmlformats.org/officeDocument/2006/relationships/image" Target="media/image16.emf" Id="rId31" /><Relationship Type="http://schemas.openxmlformats.org/officeDocument/2006/relationships/image" Target="media/image29.emf" Id="rId44" /><Relationship Type="http://schemas.openxmlformats.org/officeDocument/2006/relationships/image" Target="media/image37.emf" Id="rId52" /><Relationship Type="http://schemas.openxmlformats.org/officeDocument/2006/relationships/hyperlink" Target="http://www.optionsclearing.com/publications/risks/riskstoc.pdf" TargetMode="External" Id="rId60" /><Relationship Type="http://schemas.openxmlformats.org/officeDocument/2006/relationships/glossaryDocument" Target="glossary/document.xml" Id="rId65" /><Relationship Type="http://schemas.openxmlformats.org/officeDocument/2006/relationships/settings" Target="settings.xml" Id="rId9" /><Relationship Type="http://schemas.openxmlformats.org/officeDocument/2006/relationships/image" Target="media/image2.wmf" Id="rId14" /><Relationship Type="http://schemas.openxmlformats.org/officeDocument/2006/relationships/footer" Target="footer4.xml" Id="rId22" /><Relationship Type="http://schemas.openxmlformats.org/officeDocument/2006/relationships/image" Target="media/image12.emf" Id="rId27" /><Relationship Type="http://schemas.openxmlformats.org/officeDocument/2006/relationships/image" Target="media/image15.emf" Id="rId30" /><Relationship Type="http://schemas.openxmlformats.org/officeDocument/2006/relationships/image" Target="media/image20.emf" Id="rId35" /><Relationship Type="http://schemas.openxmlformats.org/officeDocument/2006/relationships/image" Target="media/image28.emf" Id="rId43" /><Relationship Type="http://schemas.openxmlformats.org/officeDocument/2006/relationships/image" Target="media/image33.emf" Id="rId48" /><Relationship Type="http://schemas.openxmlformats.org/officeDocument/2006/relationships/hyperlink" Target="mailto:research.disclosure.inquiries@jpmorgan.com" TargetMode="External" Id="rId56" /><Relationship Type="http://schemas.openxmlformats.org/officeDocument/2006/relationships/fontTable" Target="fontTable.xml" Id="rId64" /><Relationship Type="http://schemas.openxmlformats.org/officeDocument/2006/relationships/styles" Target="styles.xml" Id="rId8" /><Relationship Type="http://schemas.openxmlformats.org/officeDocument/2006/relationships/image" Target="media/image36.emf" Id="rId51" /><Relationship Type="http://schemas.openxmlformats.org/officeDocument/2006/relationships/customXml" Target="../customXml/item3.xml" Id="rId3" /><Relationship Type="http://schemas.openxmlformats.org/officeDocument/2006/relationships/endnotes" Target="endnotes.xml" Id="rId12" /><Relationship Type="http://schemas.openxmlformats.org/officeDocument/2006/relationships/footer" Target="footer1.xml" Id="rId17" /><Relationship Type="http://schemas.openxmlformats.org/officeDocument/2006/relationships/image" Target="media/image10.emf" Id="rId25" /><Relationship Type="http://schemas.openxmlformats.org/officeDocument/2006/relationships/image" Target="media/image18.emf" Id="rId33" /><Relationship Type="http://schemas.openxmlformats.org/officeDocument/2006/relationships/image" Target="media/image23.emf" Id="rId38" /><Relationship Type="http://schemas.openxmlformats.org/officeDocument/2006/relationships/image" Target="media/image31.emf" Id="rId46" /><Relationship Type="http://schemas.openxmlformats.org/officeDocument/2006/relationships/hyperlink" Target="mailto:research.disclosure.inquiries@jpmorgan.com" TargetMode="External" Id="rId59" /><Relationship Type="http://schemas.openxmlformats.org/officeDocument/2006/relationships/customXml" Target="/customXML/item7.xml" Id="R3c8d63f453a94c04" /><Relationship Type="http://schemas.openxmlformats.org/officeDocument/2006/relationships/customXml" Target="/customXML/item8.xml" Id="R006187463e9a4597" /><Relationship Type="http://schemas.openxmlformats.org/officeDocument/2006/relationships/customXml" Target="/customXML/item9.xml" Id="Ra7201a69aecd4dc5" /><Relationship Type="http://schemas.openxmlformats.org/officeDocument/2006/relationships/customXml" Target="/customXML/itema.xml" Id="R21a7b7df0b204866"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image" Target="/media/image2.bin" Id="STPadobepdf.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jp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eg"/><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24697\AppData\Local\Temp\NonCompany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0152BE406514366A86CE80EC99C94BD"/>
        <w:category>
          <w:name w:val="General"/>
          <w:gallery w:val="placeholder"/>
        </w:category>
        <w:types>
          <w:type w:val="bbPlcHdr"/>
        </w:types>
        <w:behaviors>
          <w:behavior w:val="content"/>
        </w:behaviors>
        <w:guid w:val="{33784946-7D54-4C87-8EB9-F595574E2CEF}"/>
      </w:docPartPr>
      <w:docPartBody>
        <w:p w:rsidR="00B17314" w:rsidRDefault="00B17314"/>
      </w:docPartBody>
    </w:docPart>
    <w:docPart>
      <w:docPartPr>
        <w:name w:val="0DC70BBC2E9145AF8225F06B3DFDFFF1"/>
        <w:category>
          <w:name w:val="General"/>
          <w:gallery w:val="placeholder"/>
        </w:category>
        <w:types>
          <w:type w:val="bbPlcHdr"/>
        </w:types>
        <w:behaviors>
          <w:behavior w:val="content"/>
        </w:behaviors>
        <w:guid w:val="{8DB112BA-8D14-49B4-9FF6-1CB61AD6DD28}"/>
      </w:docPartPr>
      <w:docPartBody>
        <w:p w:rsidR="00B17314" w:rsidRDefault="002720A1">
          <w:pPr>
            <w:pStyle w:val="0DC70BBC2E9145AF8225F06B3DFDFFF1"/>
          </w:pPr>
          <w:r w:rsidRPr="00491D29">
            <w:t>Region</w:t>
          </w:r>
        </w:p>
      </w:docPartBody>
    </w:docPart>
    <w:docPart>
      <w:docPartPr>
        <w:name w:val="86F20485B5694695A66629880C83CBA1"/>
        <w:category>
          <w:name w:val="General"/>
          <w:gallery w:val="placeholder"/>
        </w:category>
        <w:types>
          <w:type w:val="bbPlcHdr"/>
        </w:types>
        <w:behaviors>
          <w:behavior w:val="content"/>
        </w:behaviors>
        <w:guid w:val="{A86F5ACC-08CA-48EB-ACFA-A5AF62C47725}"/>
      </w:docPartPr>
      <w:docPartBody>
        <w:p w:rsidR="00B17314" w:rsidRDefault="002720A1">
          <w:pPr>
            <w:pStyle w:val="86F20485B5694695A66629880C83CBA1"/>
          </w:pPr>
          <w:r w:rsidRPr="00491D29">
            <w:t>Business Group</w:t>
          </w:r>
        </w:p>
      </w:docPartBody>
    </w:docPart>
    <w:docPart>
      <w:docPartPr>
        <w:name w:val="DBCC2AA95E814A6089B548DA9BD61BE4"/>
        <w:category>
          <w:name w:val="General"/>
          <w:gallery w:val="placeholder"/>
        </w:category>
        <w:types>
          <w:type w:val="bbPlcHdr"/>
        </w:types>
        <w:behaviors>
          <w:behavior w:val="content"/>
        </w:behaviors>
        <w:guid w:val="{00C6EF82-F745-4C21-B291-561FE558D424}"/>
      </w:docPartPr>
      <w:docPartBody>
        <w:p w:rsidR="00B17314" w:rsidRDefault="002720A1">
          <w:pPr>
            <w:pStyle w:val="DBCC2AA95E814A6089B548DA9BD61BE4"/>
          </w:pPr>
          <w:r w:rsidRPr="00A300ED">
            <w:rPr>
              <w:rStyle w:val="PlaceholderText"/>
            </w:rPr>
            <w:t>.</w:t>
          </w:r>
        </w:p>
      </w:docPartBody>
    </w:docPart>
    <w:docPart>
      <w:docPartPr>
        <w:name w:val="3376F2783CEF4E0FB338F94CAFF56EAF"/>
        <w:category>
          <w:name w:val="General"/>
          <w:gallery w:val="placeholder"/>
        </w:category>
        <w:types>
          <w:type w:val="bbPlcHdr"/>
        </w:types>
        <w:behaviors>
          <w:behavior w:val="content"/>
        </w:behaviors>
        <w:guid w:val="{F7647AE6-7033-4DD9-9388-E127B3784E40}"/>
      </w:docPartPr>
      <w:docPartBody>
        <w:p w:rsidR="00B17314" w:rsidRDefault="002720A1">
          <w:pPr>
            <w:pStyle w:val="3376F2783CEF4E0FB338F94CAFF56EAF"/>
          </w:pPr>
          <w:r>
            <w:t xml:space="preserve"> </w:t>
          </w:r>
        </w:p>
      </w:docPartBody>
    </w:docPart>
    <w:docPart>
      <w:docPartPr>
        <w:name w:val="738EF6F70B104E61ACF19F67F60F7D7C"/>
        <w:category>
          <w:name w:val="General"/>
          <w:gallery w:val="placeholder"/>
        </w:category>
        <w:types>
          <w:type w:val="bbPlcHdr"/>
        </w:types>
        <w:behaviors>
          <w:behavior w:val="content"/>
        </w:behaviors>
        <w:guid w:val="{238B7557-77B1-426E-8431-1258D2EC310C}"/>
      </w:docPartPr>
      <w:docPartBody>
        <w:p w:rsidR="00B17314" w:rsidRDefault="002720A1">
          <w:pPr>
            <w:pStyle w:val="738EF6F70B104E61ACF19F67F60F7D7C"/>
          </w:pPr>
          <w:r>
            <w:t xml:space="preserve"> </w:t>
          </w:r>
        </w:p>
      </w:docPartBody>
    </w:docPart>
    <w:docPart>
      <w:docPartPr>
        <w:name w:val="CB54F80BC34B425FA67C985048C85AC8"/>
        <w:category>
          <w:name w:val="General"/>
          <w:gallery w:val="placeholder"/>
        </w:category>
        <w:types>
          <w:type w:val="bbPlcHdr"/>
        </w:types>
        <w:behaviors>
          <w:behavior w:val="content"/>
        </w:behaviors>
        <w:guid w:val="{59E599C6-B33E-432F-AAC6-8A240E80B233}"/>
      </w:docPartPr>
      <w:docPartBody>
        <w:p w:rsidR="00B17314" w:rsidRDefault="002720A1">
          <w:pPr>
            <w:pStyle w:val="CB54F80BC34B425FA67C985048C85AC8"/>
          </w:pPr>
          <w:r>
            <w:t xml:space="preserve"> </w:t>
          </w:r>
        </w:p>
      </w:docPartBody>
    </w:docPart>
    <w:docPart>
      <w:docPartPr>
        <w:name w:val="4B3C83A355F54EE8A9AC57EDBE69D71E"/>
        <w:category>
          <w:name w:val="General"/>
          <w:gallery w:val="placeholder"/>
        </w:category>
        <w:types>
          <w:type w:val="bbPlcHdr"/>
        </w:types>
        <w:behaviors>
          <w:behavior w:val="content"/>
        </w:behaviors>
        <w:guid w:val="{63E23D20-5179-436B-AB70-385401A0ED2C}"/>
      </w:docPartPr>
      <w:docPartBody>
        <w:p w:rsidR="00B17314" w:rsidRDefault="002720A1">
          <w:pPr>
            <w:pStyle w:val="4B3C83A355F54EE8A9AC57EDBE69D71E"/>
          </w:pPr>
          <w:r>
            <w:t xml:space="preserve"> </w:t>
          </w:r>
        </w:p>
      </w:docPartBody>
    </w:docPart>
    <w:docPart>
      <w:docPartPr>
        <w:name w:val="0FDCD7CA14424585934B16E5749AE2BD"/>
        <w:category>
          <w:name w:val="General"/>
          <w:gallery w:val="placeholder"/>
        </w:category>
        <w:types>
          <w:type w:val="bbPlcHdr"/>
        </w:types>
        <w:behaviors>
          <w:behavior w:val="content"/>
        </w:behaviors>
        <w:guid w:val="{FFE2178A-0EF4-4378-8DAD-EE98561AB956}"/>
      </w:docPartPr>
      <w:docPartBody>
        <w:p w:rsidR="00B17314" w:rsidRDefault="002720A1">
          <w:pPr>
            <w:pStyle w:val="0FDCD7CA14424585934B16E5749AE2BD"/>
          </w:pPr>
          <w:r w:rsidRPr="00EB6911">
            <w:rPr>
              <w:rStyle w:val="PlaceholderText"/>
            </w:rPr>
            <w:t xml:space="preserve"> </w:t>
          </w:r>
        </w:p>
      </w:docPartBody>
    </w:docPart>
    <w:docPart>
      <w:docPartPr>
        <w:name w:val="19BFABAFFEC346A88EDCE653AD1769AB"/>
        <w:category>
          <w:name w:val="General"/>
          <w:gallery w:val="placeholder"/>
        </w:category>
        <w:types>
          <w:type w:val="bbPlcHdr"/>
        </w:types>
        <w:behaviors>
          <w:behavior w:val="content"/>
        </w:behaviors>
        <w:guid w:val="{D96B1ECF-5462-4D70-A584-8A9654E4A4C5}"/>
      </w:docPartPr>
      <w:docPartBody>
        <w:p w:rsidR="00B17314" w:rsidRDefault="002720A1">
          <w:pPr>
            <w:pStyle w:val="19BFABAFFEC346A88EDCE653AD1769AB"/>
          </w:pPr>
          <w:r>
            <w:t xml:space="preserve"> </w:t>
          </w:r>
        </w:p>
      </w:docPartBody>
    </w:docPart>
    <w:docPart>
      <w:docPartPr>
        <w:name w:val="6DD421872E8942AD9FCED3047D74EAAA"/>
        <w:category>
          <w:name w:val="General"/>
          <w:gallery w:val="placeholder"/>
        </w:category>
        <w:types>
          <w:type w:val="bbPlcHdr"/>
        </w:types>
        <w:behaviors>
          <w:behavior w:val="content"/>
        </w:behaviors>
        <w:guid w:val="{253C32A1-973D-42EC-869C-AB8272B1E3A9}"/>
      </w:docPartPr>
      <w:docPartBody>
        <w:p w:rsidR="00B17314" w:rsidRDefault="002720A1">
          <w:pPr>
            <w:pStyle w:val="6DD421872E8942AD9FCED3047D74EAAA"/>
          </w:pPr>
          <w:r>
            <w:t xml:space="preserve"> </w:t>
          </w:r>
        </w:p>
      </w:docPartBody>
    </w:docPart>
    <w:docPart>
      <w:docPartPr>
        <w:name w:val="5FCEDD3FCA2245A4819C31F115F3830B"/>
        <w:category>
          <w:name w:val="General"/>
          <w:gallery w:val="placeholder"/>
        </w:category>
        <w:types>
          <w:type w:val="bbPlcHdr"/>
        </w:types>
        <w:behaviors>
          <w:behavior w:val="content"/>
        </w:behaviors>
        <w:guid w:val="{FBEB38BD-037F-4F06-8C5D-379B0BCF5C0B}"/>
      </w:docPartPr>
      <w:docPartBody>
        <w:p w:rsidR="00B17314" w:rsidRDefault="002720A1">
          <w:pPr>
            <w:pStyle w:val="5FCEDD3FCA2245A4819C31F115F3830B"/>
          </w:pPr>
          <w:r>
            <w:t xml:space="preserve"> </w:t>
          </w:r>
        </w:p>
      </w:docPartBody>
    </w:docPart>
    <w:docPart>
      <w:docPartPr>
        <w:name w:val="1A8F8F133564418BA507C75E261E4AB2"/>
        <w:category>
          <w:name w:val="General"/>
          <w:gallery w:val="placeholder"/>
        </w:category>
        <w:types>
          <w:type w:val="bbPlcHdr"/>
        </w:types>
        <w:behaviors>
          <w:behavior w:val="content"/>
        </w:behaviors>
        <w:guid w:val="{5FB4D06B-BAF9-4E9C-86DE-A0330EDE06DE}"/>
      </w:docPartPr>
      <w:docPartBody>
        <w:p w:rsidR="00B17314" w:rsidRDefault="002720A1">
          <w:pPr>
            <w:pStyle w:val="1A8F8F133564418BA507C75E261E4AB2"/>
          </w:pPr>
          <w:r>
            <w:t xml:space="preserve"> </w:t>
          </w:r>
        </w:p>
      </w:docPartBody>
    </w:docPart>
    <w:docPart>
      <w:docPartPr>
        <w:name w:val="58BD7ECB52A945108E4645A7810027A6"/>
        <w:category>
          <w:name w:val="General"/>
          <w:gallery w:val="placeholder"/>
        </w:category>
        <w:types>
          <w:type w:val="bbPlcHdr"/>
        </w:types>
        <w:behaviors>
          <w:behavior w:val="content"/>
        </w:behaviors>
        <w:guid w:val="{F805E536-111F-46DE-9153-DC0E6BED94B8}"/>
      </w:docPartPr>
      <w:docPartBody>
        <w:p w:rsidR="00B17314" w:rsidRDefault="002720A1">
          <w:pPr>
            <w:pStyle w:val="58BD7ECB52A945108E4645A7810027A6"/>
          </w:pPr>
          <w:r>
            <w:t xml:space="preserve"> </w:t>
          </w:r>
        </w:p>
      </w:docPartBody>
    </w:docPart>
    <w:docPart>
      <w:docPartPr>
        <w:name w:val="AB8154FE08EA403CB03EDD803873DF86"/>
        <w:category>
          <w:name w:val="General"/>
          <w:gallery w:val="placeholder"/>
        </w:category>
        <w:types>
          <w:type w:val="bbPlcHdr"/>
        </w:types>
        <w:behaviors>
          <w:behavior w:val="content"/>
        </w:behaviors>
        <w:guid w:val="{57DCAF54-3B4A-443D-A586-8A2BB4F74BDE}"/>
      </w:docPartPr>
      <w:docPartBody>
        <w:p w:rsidR="00B17314" w:rsidRDefault="002720A1">
          <w:pPr>
            <w:pStyle w:val="AB8154FE08EA403CB03EDD803873DF86"/>
          </w:pPr>
          <w:r>
            <w:t xml:space="preserve"> </w:t>
          </w:r>
        </w:p>
      </w:docPartBody>
    </w:docPart>
    <w:docPart>
      <w:docPartPr>
        <w:name w:val="02EDD5ACEBCE49F392D8767C17C8C47B"/>
        <w:category>
          <w:name w:val="General"/>
          <w:gallery w:val="placeholder"/>
        </w:category>
        <w:types>
          <w:type w:val="bbPlcHdr"/>
        </w:types>
        <w:behaviors>
          <w:behavior w:val="content"/>
        </w:behaviors>
        <w:guid w:val="{CE5897DD-49D9-4EFC-A7E7-BC027A2884FC}"/>
      </w:docPartPr>
      <w:docPartBody>
        <w:p w:rsidR="00B17314" w:rsidRDefault="002720A1">
          <w:pPr>
            <w:pStyle w:val="02EDD5ACEBCE49F392D8767C17C8C47B"/>
          </w:pPr>
          <w:r>
            <w:t xml:space="preserve"> </w:t>
          </w:r>
        </w:p>
      </w:docPartBody>
    </w:docPart>
    <w:docPart>
      <w:docPartPr>
        <w:name w:val="791DC2AAB2A04F2085241DEE85676BE0"/>
        <w:category>
          <w:name w:val="General"/>
          <w:gallery w:val="placeholder"/>
        </w:category>
        <w:types>
          <w:type w:val="bbPlcHdr"/>
        </w:types>
        <w:behaviors>
          <w:behavior w:val="content"/>
        </w:behaviors>
        <w:guid w:val="{FB01A53B-09E2-4F42-A1FE-23F81C228562}"/>
      </w:docPartPr>
      <w:docPartBody>
        <w:p w:rsidR="00B17314" w:rsidRDefault="002720A1">
          <w:pPr>
            <w:pStyle w:val="791DC2AAB2A04F2085241DEE85676BE0"/>
          </w:pPr>
          <w:r>
            <w:t xml:space="preserve"> </w:t>
          </w:r>
        </w:p>
      </w:docPartBody>
    </w:docPart>
    <w:docPart>
      <w:docPartPr>
        <w:name w:val="96667F53597F47BA94C77F34F14E112B"/>
        <w:category>
          <w:name w:val="General"/>
          <w:gallery w:val="placeholder"/>
        </w:category>
        <w:types>
          <w:type w:val="bbPlcHdr"/>
        </w:types>
        <w:behaviors>
          <w:behavior w:val="content"/>
        </w:behaviors>
        <w:guid w:val="{278F260E-EF53-4343-A2A7-85B2A394CC07}"/>
      </w:docPartPr>
      <w:docPartBody>
        <w:p w:rsidR="00B17314" w:rsidRDefault="002720A1">
          <w:pPr>
            <w:pStyle w:val="96667F53597F47BA94C77F34F14E112B"/>
          </w:pPr>
          <w:r w:rsidRPr="00A300ED">
            <w:rPr>
              <w:rStyle w:val="PlaceholderText"/>
            </w:rPr>
            <w:t>.</w:t>
          </w:r>
        </w:p>
      </w:docPartBody>
    </w:docPart>
    <w:docPart>
      <w:docPartPr>
        <w:name w:val="25F18112EF9441C4BA05F772A7E38958"/>
        <w:category>
          <w:name w:val="General"/>
          <w:gallery w:val="placeholder"/>
        </w:category>
        <w:types>
          <w:type w:val="bbPlcHdr"/>
        </w:types>
        <w:behaviors>
          <w:behavior w:val="content"/>
        </w:behaviors>
        <w:guid w:val="{7ECF441F-1C95-4D87-AB4D-FA533DDE1502}"/>
      </w:docPartPr>
      <w:docPartBody>
        <w:p w:rsidR="00B17314" w:rsidRDefault="002720A1">
          <w:pPr>
            <w:pStyle w:val="25F18112EF9441C4BA05F772A7E38958"/>
          </w:pPr>
          <w:r w:rsidRPr="003D1683">
            <w:t xml:space="preserve"> </w:t>
          </w:r>
        </w:p>
      </w:docPartBody>
    </w:docPart>
    <w:docPart>
      <w:docPartPr>
        <w:name w:val="C1D0B2851FBA49ED8D694B54EEE38070"/>
        <w:category>
          <w:name w:val="General"/>
          <w:gallery w:val="placeholder"/>
        </w:category>
        <w:types>
          <w:type w:val="bbPlcHdr"/>
        </w:types>
        <w:behaviors>
          <w:behavior w:val="content"/>
        </w:behaviors>
        <w:guid w:val="{A37E55D5-E54F-4283-A6B7-E3D27FE5937B}"/>
      </w:docPartPr>
      <w:docPartBody>
        <w:p w:rsidR="00B17314" w:rsidRDefault="002720A1">
          <w:pPr>
            <w:pStyle w:val="C1D0B2851FBA49ED8D694B54EEE38070"/>
          </w:pPr>
          <w:r>
            <w:t xml:space="preserve"> </w:t>
          </w:r>
        </w:p>
      </w:docPartBody>
    </w:docPart>
    <w:docPart>
      <w:docPartPr>
        <w:name w:val="9973C0A821194D19B8BBC30B2BBD7AA5"/>
        <w:category>
          <w:name w:val="General"/>
          <w:gallery w:val="placeholder"/>
        </w:category>
        <w:types>
          <w:type w:val="bbPlcHdr"/>
        </w:types>
        <w:behaviors>
          <w:behavior w:val="content"/>
        </w:behaviors>
        <w:guid w:val="{12589602-FE5A-4123-A874-C0E4CF74DBC7}"/>
      </w:docPartPr>
      <w:docPartBody>
        <w:p w:rsidR="00B17314" w:rsidRDefault="002720A1">
          <w:pPr>
            <w:pStyle w:val="9973C0A821194D19B8BBC30B2BBD7AA5"/>
          </w:pPr>
          <w:r>
            <w:t xml:space="preserve"> </w:t>
          </w:r>
        </w:p>
      </w:docPartBody>
    </w:docPart>
    <w:docPart>
      <w:docPartPr>
        <w:name w:val="A74AD7A2F1C54C12ACCBF9B1A741F918"/>
        <w:category>
          <w:name w:val="General"/>
          <w:gallery w:val="placeholder"/>
        </w:category>
        <w:types>
          <w:type w:val="bbPlcHdr"/>
        </w:types>
        <w:behaviors>
          <w:behavior w:val="content"/>
        </w:behaviors>
        <w:guid w:val="{D3DAAB45-285B-41F4-AB9B-2C6CA683DAE4}"/>
      </w:docPartPr>
      <w:docPartBody>
        <w:p w:rsidR="00B17314" w:rsidRDefault="002720A1">
          <w:pPr>
            <w:pStyle w:val="A74AD7A2F1C54C12ACCBF9B1A741F918"/>
          </w:pPr>
          <w:r>
            <w:t xml:space="preserve"> </w:t>
          </w:r>
        </w:p>
      </w:docPartBody>
    </w:docPart>
    <w:docPart>
      <w:docPartPr>
        <w:name w:val="43BBB399B6484AD9B835422CCE9091CA"/>
        <w:category>
          <w:name w:val="General"/>
          <w:gallery w:val="placeholder"/>
        </w:category>
        <w:types>
          <w:type w:val="bbPlcHdr"/>
        </w:types>
        <w:behaviors>
          <w:behavior w:val="content"/>
        </w:behaviors>
        <w:guid w:val="{4234E0F0-09F3-48F1-8C89-DA9DD9910C9C}"/>
      </w:docPartPr>
      <w:docPartBody>
        <w:p w:rsidR="00B17314" w:rsidRDefault="002720A1">
          <w:pPr>
            <w:pStyle w:val="43BBB399B6484AD9B835422CCE9091CA"/>
          </w:pPr>
          <w:r>
            <w:t xml:space="preserve"> </w:t>
          </w:r>
        </w:p>
      </w:docPartBody>
    </w:docPart>
    <w:docPart>
      <w:docPartPr>
        <w:name w:val="2B06382F5C484D8794781B2A2F303EFC"/>
        <w:category>
          <w:name w:val="General"/>
          <w:gallery w:val="placeholder"/>
        </w:category>
        <w:types>
          <w:type w:val="bbPlcHdr"/>
        </w:types>
        <w:behaviors>
          <w:behavior w:val="content"/>
        </w:behaviors>
        <w:guid w:val="{A5EB5195-1720-4B02-9EC8-6904682C1155}"/>
      </w:docPartPr>
      <w:docPartBody>
        <w:p w:rsidR="00B17314" w:rsidRDefault="002720A1">
          <w:pPr>
            <w:pStyle w:val="2B06382F5C484D8794781B2A2F303EFC"/>
          </w:pPr>
          <w:r>
            <w:t xml:space="preserve"> </w:t>
          </w:r>
        </w:p>
      </w:docPartBody>
    </w:docPart>
    <w:docPart>
      <w:docPartPr>
        <w:name w:val="991004DBBE354027A00F98ADD87A3C63"/>
        <w:category>
          <w:name w:val="General"/>
          <w:gallery w:val="placeholder"/>
        </w:category>
        <w:types>
          <w:type w:val="bbPlcHdr"/>
        </w:types>
        <w:behaviors>
          <w:behavior w:val="content"/>
        </w:behaviors>
        <w:guid w:val="{7A7BF8D5-DE3E-4EC5-8DD6-5B6F60FCD074}"/>
      </w:docPartPr>
      <w:docPartBody>
        <w:p w:rsidR="00B17314" w:rsidRDefault="002720A1">
          <w:pPr>
            <w:pStyle w:val="991004DBBE354027A00F98ADD87A3C63"/>
          </w:pPr>
          <w:r>
            <w:t xml:space="preserve"> </w:t>
          </w:r>
        </w:p>
      </w:docPartBody>
    </w:docPart>
    <w:docPart>
      <w:docPartPr>
        <w:name w:val="5CCA85C597054782984255A8881651EB"/>
        <w:category>
          <w:name w:val="General"/>
          <w:gallery w:val="placeholder"/>
        </w:category>
        <w:types>
          <w:type w:val="bbPlcHdr"/>
        </w:types>
        <w:behaviors>
          <w:behavior w:val="content"/>
        </w:behaviors>
        <w:guid w:val="{08B363C5-B7EF-42B4-A604-165B440298C0}"/>
      </w:docPartPr>
      <w:docPartBody>
        <w:p w:rsidR="00B17314" w:rsidRDefault="002720A1">
          <w:pPr>
            <w:pStyle w:val="5CCA85C597054782984255A8881651EB"/>
          </w:pPr>
          <w:r>
            <w:t xml:space="preserve"> </w:t>
          </w:r>
        </w:p>
      </w:docPartBody>
    </w:docPart>
    <w:docPart>
      <w:docPartPr>
        <w:name w:val="6851AF7DA88F4E0EBB6ECCF81DE7EC88"/>
        <w:category>
          <w:name w:val="General"/>
          <w:gallery w:val="placeholder"/>
        </w:category>
        <w:types>
          <w:type w:val="bbPlcHdr"/>
        </w:types>
        <w:behaviors>
          <w:behavior w:val="content"/>
        </w:behaviors>
        <w:guid w:val="{9FDD81CB-4373-41B6-8F1D-0185186784F7}"/>
      </w:docPartPr>
      <w:docPartBody>
        <w:p w:rsidR="00B17314" w:rsidRDefault="002720A1">
          <w:pPr>
            <w:pStyle w:val="6851AF7DA88F4E0EBB6ECCF81DE7EC88"/>
          </w:pPr>
          <w:r>
            <w:t xml:space="preserve"> </w:t>
          </w:r>
        </w:p>
      </w:docPartBody>
    </w:docPart>
    <w:docPart>
      <w:docPartPr>
        <w:name w:val="BB01FD47494C40B19908026B7B791A34"/>
        <w:category>
          <w:name w:val="General"/>
          <w:gallery w:val="placeholder"/>
        </w:category>
        <w:types>
          <w:type w:val="bbPlcHdr"/>
        </w:types>
        <w:behaviors>
          <w:behavior w:val="content"/>
        </w:behaviors>
        <w:guid w:val="{AE6D7613-7131-4777-8C4D-1740E5F269DD}"/>
      </w:docPartPr>
      <w:docPartBody>
        <w:p w:rsidR="00B17314" w:rsidRDefault="002720A1">
          <w:pPr>
            <w:pStyle w:val="BB01FD47494C40B19908026B7B791A34"/>
          </w:pPr>
          <w:r w:rsidRPr="00A300ED">
            <w:rPr>
              <w:rStyle w:val="PlaceholderText"/>
            </w:rPr>
            <w:t>.</w:t>
          </w:r>
        </w:p>
      </w:docPartBody>
    </w:docPart>
    <w:docPart>
      <w:docPartPr>
        <w:name w:val="F74B31936ADA479080BD9C058499921F"/>
        <w:category>
          <w:name w:val="General"/>
          <w:gallery w:val="placeholder"/>
        </w:category>
        <w:types>
          <w:type w:val="bbPlcHdr"/>
        </w:types>
        <w:behaviors>
          <w:behavior w:val="content"/>
        </w:behaviors>
        <w:guid w:val="{0180FEE3-0BCB-4409-B99D-22A95D0115E6}"/>
      </w:docPartPr>
      <w:docPartBody>
        <w:p w:rsidR="00000000" w:rsidRDefault="003B4BE3">
          <w:r w:rsidRPr="00F67222">
            <w:rPr>
              <w:rStyle w:val="PlaceholderText"/>
            </w:rPr>
            <w:t xml:space="preserve"> </w:t>
          </w:r>
        </w:p>
      </w:docPartBody>
    </w:docPart>
    <w:docPart>
      <w:docPartPr>
        <w:name w:val="CAF12255DA4E4F5894BCD64F65CC75B5"/>
        <w:category>
          <w:name w:val="General"/>
          <w:gallery w:val="placeholder"/>
        </w:category>
        <w:types>
          <w:type w:val="bbPlcHdr"/>
        </w:types>
        <w:behaviors>
          <w:behavior w:val="content"/>
        </w:behaviors>
        <w:guid w:val="{D05858BC-6650-48D2-BC04-5FD8559F4806}"/>
      </w:docPartPr>
      <w:docPartBody>
        <w:p w:rsidR="00000000" w:rsidRDefault="003B4BE3">
          <w:r w:rsidRPr="00F67222">
            <w:rPr>
              <w:rStyle w:val="PlaceholderText"/>
            </w:rPr>
            <w:t xml:space="preserve"> </w:t>
          </w:r>
        </w:p>
      </w:docPartBody>
    </w:docPart>
    <w:docPart>
      <w:docPartPr>
        <w:name w:val="10206B08C7974A76868A8BB49F2834E9"/>
        <w:category>
          <w:name w:val="General"/>
          <w:gallery w:val="placeholder"/>
        </w:category>
        <w:types>
          <w:type w:val="bbPlcHdr"/>
        </w:types>
        <w:behaviors>
          <w:behavior w:val="content"/>
        </w:behaviors>
        <w:guid w:val="{06CB34C7-A3D8-4F14-ACB6-15ED07349C48}"/>
      </w:docPartPr>
      <w:docPartBody>
        <w:p w:rsidR="00000000" w:rsidRDefault="003B4BE3">
          <w:r w:rsidRPr="00F67222">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B8478B"/>
    <w:rsid w:val="001050F4"/>
    <w:rsid w:val="002720A1"/>
    <w:rsid w:val="00350C8F"/>
    <w:rsid w:val="003B4BE3"/>
    <w:rsid w:val="00593B4A"/>
    <w:rsid w:val="008538B0"/>
    <w:rsid w:val="00B17314"/>
    <w:rsid w:val="00B84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3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70BBC2E9145AF8225F06B3DFDFFF1">
    <w:name w:val="0DC70BBC2E9145AF8225F06B3DFDFFF1"/>
    <w:rsid w:val="00B17314"/>
  </w:style>
  <w:style w:type="paragraph" w:customStyle="1" w:styleId="86F20485B5694695A66629880C83CBA1">
    <w:name w:val="86F20485B5694695A66629880C83CBA1"/>
    <w:rsid w:val="00B17314"/>
  </w:style>
  <w:style w:type="character" w:styleId="PlaceholderText">
    <w:name w:val="Placeholder Text"/>
    <w:basedOn w:val="DefaultParagraphFont"/>
    <w:uiPriority w:val="99"/>
    <w:semiHidden/>
    <w:rsid w:val="003B4BE3"/>
    <w:rPr>
      <w:color w:val="808080"/>
    </w:rPr>
  </w:style>
  <w:style w:type="paragraph" w:customStyle="1" w:styleId="DBCC2AA95E814A6089B548DA9BD61BE4">
    <w:name w:val="DBCC2AA95E814A6089B548DA9BD61BE4"/>
    <w:rsid w:val="00B17314"/>
  </w:style>
  <w:style w:type="paragraph" w:customStyle="1" w:styleId="3376F2783CEF4E0FB338F94CAFF56EAF">
    <w:name w:val="3376F2783CEF4E0FB338F94CAFF56EAF"/>
    <w:rsid w:val="00B17314"/>
  </w:style>
  <w:style w:type="paragraph" w:customStyle="1" w:styleId="738EF6F70B104E61ACF19F67F60F7D7C">
    <w:name w:val="738EF6F70B104E61ACF19F67F60F7D7C"/>
    <w:rsid w:val="00B17314"/>
  </w:style>
  <w:style w:type="paragraph" w:customStyle="1" w:styleId="CB54F80BC34B425FA67C985048C85AC8">
    <w:name w:val="CB54F80BC34B425FA67C985048C85AC8"/>
    <w:rsid w:val="00B17314"/>
  </w:style>
  <w:style w:type="paragraph" w:customStyle="1" w:styleId="4B3C83A355F54EE8A9AC57EDBE69D71E">
    <w:name w:val="4B3C83A355F54EE8A9AC57EDBE69D71E"/>
    <w:rsid w:val="00B17314"/>
  </w:style>
  <w:style w:type="paragraph" w:customStyle="1" w:styleId="BF296A2AF29E49C09BC6F0E3D682BE19">
    <w:name w:val="BF296A2AF29E49C09BC6F0E3D682BE19"/>
    <w:rsid w:val="00B17314"/>
  </w:style>
  <w:style w:type="paragraph" w:customStyle="1" w:styleId="17107F43AD0F45ECA0A692435B2301DB">
    <w:name w:val="17107F43AD0F45ECA0A692435B2301DB"/>
    <w:rsid w:val="00B17314"/>
  </w:style>
  <w:style w:type="paragraph" w:customStyle="1" w:styleId="10E68A3D8D8A45EDBC2CB1E0B04B3221">
    <w:name w:val="10E68A3D8D8A45EDBC2CB1E0B04B3221"/>
    <w:rsid w:val="00B17314"/>
  </w:style>
  <w:style w:type="paragraph" w:customStyle="1" w:styleId="9C2BBBB5B089497FBA1569F4FFBDDAB8">
    <w:name w:val="9C2BBBB5B089497FBA1569F4FFBDDAB8"/>
    <w:rsid w:val="00B17314"/>
  </w:style>
  <w:style w:type="paragraph" w:customStyle="1" w:styleId="0FDCD7CA14424585934B16E5749AE2BD">
    <w:name w:val="0FDCD7CA14424585934B16E5749AE2BD"/>
    <w:rsid w:val="00B17314"/>
  </w:style>
  <w:style w:type="paragraph" w:customStyle="1" w:styleId="19BFABAFFEC346A88EDCE653AD1769AB">
    <w:name w:val="19BFABAFFEC346A88EDCE653AD1769AB"/>
    <w:rsid w:val="00B17314"/>
  </w:style>
  <w:style w:type="paragraph" w:customStyle="1" w:styleId="6DD421872E8942AD9FCED3047D74EAAA">
    <w:name w:val="6DD421872E8942AD9FCED3047D74EAAA"/>
    <w:rsid w:val="00B17314"/>
  </w:style>
  <w:style w:type="paragraph" w:customStyle="1" w:styleId="5FCEDD3FCA2245A4819C31F115F3830B">
    <w:name w:val="5FCEDD3FCA2245A4819C31F115F3830B"/>
    <w:rsid w:val="00B17314"/>
  </w:style>
  <w:style w:type="paragraph" w:customStyle="1" w:styleId="1A8F8F133564418BA507C75E261E4AB2">
    <w:name w:val="1A8F8F133564418BA507C75E261E4AB2"/>
    <w:rsid w:val="00B17314"/>
  </w:style>
  <w:style w:type="paragraph" w:customStyle="1" w:styleId="58BD7ECB52A945108E4645A7810027A6">
    <w:name w:val="58BD7ECB52A945108E4645A7810027A6"/>
    <w:rsid w:val="00B17314"/>
  </w:style>
  <w:style w:type="paragraph" w:customStyle="1" w:styleId="AB8154FE08EA403CB03EDD803873DF86">
    <w:name w:val="AB8154FE08EA403CB03EDD803873DF86"/>
    <w:rsid w:val="00B17314"/>
  </w:style>
  <w:style w:type="paragraph" w:customStyle="1" w:styleId="02EDD5ACEBCE49F392D8767C17C8C47B">
    <w:name w:val="02EDD5ACEBCE49F392D8767C17C8C47B"/>
    <w:rsid w:val="00B17314"/>
  </w:style>
  <w:style w:type="paragraph" w:customStyle="1" w:styleId="791DC2AAB2A04F2085241DEE85676BE0">
    <w:name w:val="791DC2AAB2A04F2085241DEE85676BE0"/>
    <w:rsid w:val="00B17314"/>
  </w:style>
  <w:style w:type="paragraph" w:customStyle="1" w:styleId="96667F53597F47BA94C77F34F14E112B">
    <w:name w:val="96667F53597F47BA94C77F34F14E112B"/>
    <w:rsid w:val="00B17314"/>
  </w:style>
  <w:style w:type="paragraph" w:customStyle="1" w:styleId="25F18112EF9441C4BA05F772A7E38958">
    <w:name w:val="25F18112EF9441C4BA05F772A7E38958"/>
    <w:rsid w:val="00B17314"/>
  </w:style>
  <w:style w:type="paragraph" w:customStyle="1" w:styleId="C1D0B2851FBA49ED8D694B54EEE38070">
    <w:name w:val="C1D0B2851FBA49ED8D694B54EEE38070"/>
    <w:rsid w:val="00B17314"/>
  </w:style>
  <w:style w:type="paragraph" w:customStyle="1" w:styleId="9973C0A821194D19B8BBC30B2BBD7AA5">
    <w:name w:val="9973C0A821194D19B8BBC30B2BBD7AA5"/>
    <w:rsid w:val="00B17314"/>
  </w:style>
  <w:style w:type="paragraph" w:customStyle="1" w:styleId="A74AD7A2F1C54C12ACCBF9B1A741F918">
    <w:name w:val="A74AD7A2F1C54C12ACCBF9B1A741F918"/>
    <w:rsid w:val="00B17314"/>
  </w:style>
  <w:style w:type="paragraph" w:customStyle="1" w:styleId="43BBB399B6484AD9B835422CCE9091CA">
    <w:name w:val="43BBB399B6484AD9B835422CCE9091CA"/>
    <w:rsid w:val="00B17314"/>
  </w:style>
  <w:style w:type="paragraph" w:customStyle="1" w:styleId="2B06382F5C484D8794781B2A2F303EFC">
    <w:name w:val="2B06382F5C484D8794781B2A2F303EFC"/>
    <w:rsid w:val="00B17314"/>
  </w:style>
  <w:style w:type="paragraph" w:customStyle="1" w:styleId="991004DBBE354027A00F98ADD87A3C63">
    <w:name w:val="991004DBBE354027A00F98ADD87A3C63"/>
    <w:rsid w:val="00B17314"/>
  </w:style>
  <w:style w:type="paragraph" w:customStyle="1" w:styleId="5CCA85C597054782984255A8881651EB">
    <w:name w:val="5CCA85C597054782984255A8881651EB"/>
    <w:rsid w:val="00B17314"/>
  </w:style>
  <w:style w:type="paragraph" w:customStyle="1" w:styleId="6851AF7DA88F4E0EBB6ECCF81DE7EC88">
    <w:name w:val="6851AF7DA88F4E0EBB6ECCF81DE7EC88"/>
    <w:rsid w:val="00B17314"/>
  </w:style>
  <w:style w:type="paragraph" w:customStyle="1" w:styleId="BB01FD47494C40B19908026B7B791A34">
    <w:name w:val="BB01FD47494C40B19908026B7B791A34"/>
    <w:rsid w:val="00B1731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7.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Note</ContentType>
  <TemplateType>EquityIndustryNote</TemplateType>
  <PublicNote>False</PublicNote>
  <InsertAllFinancialsFired>False</InsertAllFinancialsFired>
  <DocumentId>1433253</DocumentId>
  <DocumentVersion>4</DocumentVersion>
  <SendEmail>True</SendEmail>
  <EmailRequiresApproval>False</EmailRequiresApproval>
  <EmailDistributionOnly>False</EmailDistributionOnly>
  <GPSDistributable>True</GPSDistributable>
  <InternalOnly>False</InternalOnly>
  <Language>1-0</Language>
  <NumberOfPages>17</NumberOfPages>
  <ReleaseDate>2014-07-06T23:15:00+00:00</ReleaseDate>
  <OriginalCreateDatetime>2014-06-30T14:52:59+00:00</OriginalCreateDatetime>
  <OriginalAuthor>1002528-1</OriginalAuthor>
  <RetractionDate/>
  <ApproveRelease>false</ApproveRelease>
  <SendToCompliance>false</SendToCompliance>
  <WorkflowState>0</WorkflowState>
  <SAApprove>false</SAApprove>
  <SAReviewed>true</SAReviewed>
  <SubmissionTool>GPS Author</SubmissionTool>
  <SubmittingUser>500701-4</SubmittingUser>
  <FirstSubmittingUser>1002528-1</FirstSubmittingUser>
  <Title>Lloyd's Insurers</Title>
  <SubTitle>Valuation sheet &amp; recent developments</SubTitle>
  <Abstract>The Lloyd’s Insurance Index started to marginally outperform the insurance sector in the past two weeks as we neared the end of another relatively benign quarter in terms of natural catastrophes. Hence, underwriters have been able to build a comfortable capital buffer to absorb potential Cat losses in H2. A challenging outlook for rates across reinsurance and specialty lines explains the underperformance so far this year. However, investors are now more likely to focus on loss experience in H2, as this will drive the outlook for special dividends. Sector yields are 4.8% without factoring special dividends (which are likely should H2 loss experience align with cat budgets) whilst valuation remains in line with long term returns at 1.5x 2014e PTNAV (range (1.2x-1.8x). We would recommend investing at the lower end of the valuation spectrum through the hurricane season (Catlin (OW), BRIT (OW)) and pick up the sector more broadly nearer Q4 as potential special dividends start to get priced in (Beazley (N), LRE (N), Hiscox (N)). We remain cautious on Amlin (UW).
Lloyd’s Tour and Swiss Re Investor Day: During our Lloyd's Tour last week underwriters acknowledged worse than expected rate declines during the US renewals but an easing of the rate pressure in the Cat Bond/Alternative market. This was subsequently corroborated by Swiss Re. As such, some underwriting discipline is emerging in property Cat reinsurance lines, albeit rate pressure is spilling over in other classes. This is creating some uncertainty for 2015 and we believe underwriters are likely to make material portfolio changes ahead of the 2015 renewals.
Catastrophe events benign: The main events during Q2 include higher costs for the Costa Concordia wreck removal, US Tornados and a Satellite loss, but overall the second quarter was fairly benign as was Q1. The first hurricane of the season, Hurricane Arthur, a category 2 hurricane, shaved the NC coastline over the long weekend albeit the damage is likely to be well within Q3 catastrophe budgets. As such, so far earnings and capital buffers are healthy, in our view.
H1 Results are around the corner and we expect many insurers will be tuning down their growth expectations for 2015. We expect the H1 focus will be on attritional loss experience in a softening cycle, the build-up of excess capital in a benign claims environment and the outlook for reinsurance vs insurance capacity deployment in 2015. We believe the Lloyd's underwriters are in a favorable position and able to manage the cycle but likely to shrink reinsurance and continue to grow insurance into 2015. 
</Abstract>
  <Filename>LLoyd's_Valuation_Sheet_4_july[1][1].docx</Filename>
  <Branding>Cazenove</Branding>
  <Focus>5-0</Focus>
  <Periodicity/>
  <Publication/>
  <BusinessGroupDocument>8-0</BusinessGroupDocument>
  <BusinessGroupAlias/>
  <WorkflowRegion>1-0</WorkflowRegion>
  <AnalystRegion>1-0</AnalystRegion>
  <GPSDraftMark>
    <GPSDraftMarkType>None</GPSDraftMarkType>
    <WaterMark/>
    <Dirty>False</Dirty>
  </GPSDraftMark>
  <AnalystDisplayMode>Industry</AnalystDisplayMode>
  <ShowAnalystSelected>True</ShowAnalystSelected>
  <DocumentTitleReadOnly>False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Company>
      <Key>1002889-1</Key>
      <Cover>nonsubject</Cover>
      <Tagging>Dynamic</Tagging>
      <Tpr>1002889-1</Tpr>
      <StockPrice>480</StockPrice>
      <PriceDate>2014-07-04 00:00</PriceDate>
      <EquityRating>40-0</EquityRating>
      <TprPriceFormat>#,###,##0</TprPriceFormat>
      <TprPriceSymbol>p</TprPriceSymbol>
      <TprPriceTarget>390</TprPriceTarget>
      <TprPriorRating>40-0</TprPriorRating>
      <TprPricePrefix>False</TprPricePrefix>
      <TprPriceTargetAction/>
      <TprRatingChangeAction/>
      <TprPriorPriceTarget>390</TprPriorPriceTarget>
      <TprMarketCap>2.38</TprMarketCap>
      <TprPriceTargetEndDate>2014-12-30 00:00</TprPriceTargetEndDate>
      <TprPriorPriceTargetEndDate>2014-12-30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1001617-1</Key>
      <Cover>nonsubject</Cover>
      <Tagging>Dynamic</Tagging>
      <Tpr>1001617-1</Tpr>
      <StockPrice>262</StockPrice>
      <PriceDate>2014-07-04 00:00</PriceDate>
      <EquityRating>39-0</EquityRating>
      <TprPriceFormat>#,###,##0</TprPriceFormat>
      <TprPriceSymbol>p</TprPriceSymbol>
      <TprPriceTarget>258</TprPriceTarget>
      <TprPriorRating>39-0</TprPriorRating>
      <TprPricePrefix>False</TprPricePrefix>
      <TprPriceTargetAction/>
      <TprRatingChangeAction/>
      <TprPriorPriceTarget>258</TprPriorPriceTarget>
      <TprMarketCap>1.31</TprMarketCap>
      <TprPriceTargetEndDate>2014-12-30 00:00</TprPriceTargetEndDate>
      <TprPriorPriceTargetEndDate>2014-12-30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1002892-1</Key>
      <Cover>nonsubject</Cover>
      <Tagging>Dynamic</Tagging>
      <Tpr>1002892-1</Tpr>
      <StockPrice>545</StockPrice>
      <PriceDate>2014-07-04 00:00</PriceDate>
      <EquityRating>38-0</EquityRating>
      <TprPriceFormat>#,###,##0</TprPriceFormat>
      <TprPriceSymbol>p</TprPriceSymbol>
      <TprPriceTarget>580</TprPriceTarget>
      <TprPriorRating>38-0</TprPriorRating>
      <TprPricePrefix>False</TprPricePrefix>
      <TprPriceTargetAction/>
      <TprRatingChangeAction/>
      <TprPriorPriceTarget>580</TprPriorPriceTarget>
      <TprMarketCap>1.90</TprMarketCap>
      <TprPriceTargetEndDate>2014-12-30 00:00</TprPriceTargetEndDate>
      <TprPriorPriceTargetEndDate>2014-12-30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1002893-1</Key>
      <Cover>nonsubject</Cover>
      <Tagging>Dynamic</Tagging>
      <Tpr>1002893-1</Tpr>
      <StockPrice>735</StockPrice>
      <PriceDate>2014-07-04 00:00</PriceDate>
      <EquityRating>39-0</EquityRating>
      <TprPriceFormat>#,###,##0</TprPriceFormat>
      <TprPriceSymbol>p</TprPriceSymbol>
      <TprPriceTarget>631</TprPriceTarget>
      <TprPriorRating>39-0</TprPriorRating>
      <TprPricePrefix>False</TprPricePrefix>
      <TprPriceTargetAction/>
      <TprRatingChangeAction/>
      <TprPriorPriceTarget>631</TprPriorPriceTarget>
      <TprMarketCap>2.58</TprMarketCap>
      <TprPriceTargetEndDate>2014-12-30 00:00</TprPriceTargetEndDate>
      <TprPriorPriceTargetEndDate>2014-12-30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1002894-1</Key>
      <Cover>nonsubject</Cover>
      <Tagging>Dynamic</Tagging>
      <Tpr>1002894-1</Tpr>
      <StockPrice>659</StockPrice>
      <PriceDate>2014-07-04 00:00</PriceDate>
      <EquityRating>39-0</EquityRating>
      <TprPriceFormat>#,###,##0</TprPriceFormat>
      <TprPriceSymbol>p</TprPriceSymbol>
      <TprPriceTarget>744</TprPriceTarget>
      <TprPriorRating>39-0</TprPriorRating>
      <TprPricePrefix>False</TprPricePrefix>
      <TprPriceTargetAction/>
      <TprRatingChangeAction/>
      <TprPriorPriceTarget>744</TprPriorPriceTarget>
      <TprMarketCap>1.19</TprMarketCap>
      <TprPriceTargetEndDate>2014-12-30 00:00</TprPriceTargetEndDate>
      <TprPriorPriceTargetEndDate>2014-12-30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1008080-1</Key>
      <Cover>nonsubject</Cover>
      <Tagging>Dynamic</Tagging>
      <Tpr>1008080-1</Tpr>
      <StockPrice>248</StockPrice>
      <PriceDate>2014-07-04 00:00</PriceDate>
      <EquityRating>38-0</EquityRating>
      <TprPriceFormat>#,###,##0</TprPriceFormat>
      <TprPriceSymbol>p</TprPriceSymbol>
      <TprPriceTarget>256</TprPriceTarget>
      <TprPriorRating>38-0</TprPriorRating>
      <TprPricePrefix>False</TprPricePrefix>
      <TprPriceTargetAction/>
      <TprRatingChangeAction/>
      <TprPriorPriceTarget>256</TprPriorPriceTarget>
      <TprMarketCap>0.99</TprMarketCap>
      <TprPriceTargetEndDate>2014-12-31 00:00</TprPriceTargetEndDate>
      <TprPriorPriceTargetEndDate>2014-12-31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ies>
  <Analysts>
    <Analyst>
      <Key>1002528-1</Key>
      <Lead>lead</Lead>
      <Tagging>Static</Tagging>
      <BusinessGroup>8-0</BusinessGroup>
      <AC>CoverAutomatic</AC>
      <BBGPageCode>
        <Status>AutomaticON</Status>
        <IsRendered>True</IsRendered>
        <Value>JPMA VANEMBDEN &lt;GO&gt;</Value>
      </BBGPageCode>
      <EquityCoverage>True</EquityCoverage>
      <LegalEntity>JPMSL</LegalEntity>
      <AnalystGroupKey>796071671-1002528</AnalystGroupKey>
      <AnalystGroupName>European Insurance</AnalystGroupName>
    </Analyst>
  </Analysts>
  <TaggedAnalysts/>
  <Regions>
    <Region>
      <Key>1-0</Key>
      <Tagging>Static</Tagging>
    </Region>
  </Regions>
  <Countries>
    <Country>
      <Key>31-0</Key>
      <Tagging>Dynamic</Tagging>
      <IsSubject>False</IsSubject>
    </Country>
  </Countries>
  <AssetClasses>
    <AssetClass>
      <Key>1-0</Key>
      <Tagging>Dynamic</Tagging>
    </AssetClass>
  </AssetClasses>
  <AssetTypes>
    <AssetType>
      <Key>1-0</Key>
      <Tagging>Dynamic</Tagging>
    </AssetType>
  </AssetTypes>
  <DistributionTargets>
    <DistributionTarget>
      <Key>7-0</Key>
    </DistributionTarget>
    <DistributionTarget>
      <Key>27-0</Key>
    </DistributionTarget>
    <DistributionTarget>
      <Key>25-0</Key>
    </DistributionTarget>
    <DistributionTarget>
      <Key>18-0</Key>
    </DistributionTarget>
    <DistributionTarget>
      <Key>42-0</Key>
    </DistributionTarget>
    <DistributionTarget>
      <Key>16-0</Key>
    </DistributionTarget>
    <DistributionTarget>
      <Key>28-0</Key>
    </DistributionTarget>
    <DistributionTarget>
      <Key>15-0</Key>
    </DistributionTarget>
    <DistributionTarget>
      <Key>39-0</Key>
    </DistributionTarget>
    <DistributionTarget>
      <Key>43-0</Key>
    </DistributionTarget>
    <DistributionTarget>
      <Key>50-0</Key>
    </DistributionTarget>
    <DistributionTarget>
      <Key>46-0</Key>
    </DistributionTarget>
    <DistributionTarget>
      <Key>41-0</Key>
    </DistributionTarget>
  </DistributionTargets>
  <AudienceEntitlements>
    <AudienceEntitlement>
      <Key>3-0</Key>
    </AudienceEntitlement>
    <AudienceEntitlement>
      <Key>2-0</Key>
    </AudienceEntitlement>
    <AudienceEntitlement>
      <Key>4-0</Key>
    </AudienceEntitlement>
    <AudienceEntitlement>
      <Key>5-0</Key>
    </AudienceEntitlement>
    <AudienceEntitlement>
      <Key>1-0</Key>
    </AudienceEntitlement>
  </AudienceEntitlements>
  <Contains144ASecurityContent>False</Contains144ASecurityContent>
  <Industries>
    <Industry>
      <Key>405-0</Key>
      <Tagging>Static</Tagging>
      <IsSubject>True</IsSubject>
    </Industry>
  </Industries>
  <Keywords>
    <Keyword>
      <Key>6-0</Key>
      <Tagging>Dynamic</Tagging>
    </Keyword>
  </Keywords>
  <MarketStrategies/>
  <Subjects/>
  <Email>
    <EmailSubject>Lloyd's Insurers : Valuation sheet &amp; recent developments</EmailSubject>
    <ReplyAddress/>
    <ReplyAddressDisplay/>
    <FromAddress>andreas.vanembden@jpmorgan.com</FromAddress>
    <FromAddressDisplay>Andreas van Embden &lt;andreas.vanembden@jpmorgan.com&gt;</FromAddressDisplay>
    <IntroductionText/>
    <Personalization>None</Personalization>
    <EmailStyle>Cazenove</EmailStyle>
    <DeliveryDate>2014-07-07T04:30:45+00:00</DeliveryDate>
    <PasswordProtect>False</PasswordProtect>
    <HasSubjectChanged>False</HasSubjectChanged>
    <HasFromAddressDisplayChanged>False</HasFromAddressDisplayChanged>
    <EmailLists>
      <EmailList name="de Groot van Embden, Andreas - UK Insurance (email)" short=" ">3655-0</EmailList>
    </EmailLists>
  </Email>
  <Comments>
    <Public/>
    <Private/>
    <LockedDisclosures>False</LockedDisclosures>
    <LockedDisclosureDate>2014-07-06T23:51:52+01:00</LockedDisclosureDate>
    <LockedDisclosureSA/>
    <UpdateDisclosures>True</UpdateDisclosures>
    <EmailContact>False</EmailContact>
    <PhoneContact>True</PhoneContact>
    <EmailFreetext>sophie.x.pyott@jpmorgan.com</EmailFreetext>
    <PhoneFreetext>(852) 2800-8525</PhoneFreetext>
  </Comments>
  <Disclosures>
    <CompendiumText>False</CompendiumText>
    <DisclosureDefaultingPerformed>True</DisclosureDefaultingPerformed>
    <PageStart>
      <DisclosureClause>
        <Id>5</Id>
        <Name>Disclosure ref, non US</Name>
        <Text>See page ${PAGESTART} for analyst certification and important disclosures, including non-US analyst disclosures.</Text>
      </DisclosureClause>
    </PageStart>
    <Page1Banner>
      <DisclosureClause>
        <Id>1</Id>
        <Name>None</Name>
        <Text/>
      </DisclosureClause>
    </Page1Banner>
    <Page1Banner>
      <DisclosureClause>
        <Id>1</Id>
        <Name>None</Name>
        <Text/>
      </DisclosureClause>
    </Page1Banner>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The Lloyd’s Insurance Index started to marginally outperform the insurance sector in the past two weeks as we neared the end of another relatively benign quarter in terms of natural catastrophes. Hence, underwriters have been able to build a comfortable capital buffer to absorb potential Cat losses in H2. A challenging outlook for rates across reinsurance and specialty lines explains the underperformance so far this year. However, investors are now more likely to focus on loss experience in H2, as this will drive the outlook for special dividends. Sector yields are 4.8% without factoring special dividends (which are likely should H2 loss experience align with cat budgets) whilst valuation remains in line with long term returns at 1.5x 2014e PTNAV (range (1.2x-1.8x). We would recommend investing at the lower end of the valuation spectrum through the hurricane season (Catlin (OW), BRIT (OW)) and pick up the sector more broadly nearer Q4 as potential special dividends start to get priced in (Beazley (N), LRE (N), Hiscox (N)). We remain cautious on Amlin (UW).</PlainText>
      <HtmlText><![CDATA[The Lloyd’s Insurance Index started to marginally outperform the insurance sector in the past two weeks as we neared the end of another relatively benign quarter in terms of natural catastrophes. Hence, underwriters have been able to build a comfortable capital buffer to absorb potential Cat losses in H2. A challenging outlook for rates across reinsurance and specialty lines explains the underperformance so far this year. However, investors are now more likely to focus on loss experience in H2, as this will drive the outlook for special dividends. Sector yields are 4.8% without factoring special dividends (which are likely should H2 loss experience align with cat budgets) whilst valuation remains in line with long term returns at 1.5x 2014e PTNAV (range (1.2x-1.8x). We would recommend investing at the lower end of the valuation spectrum through the hurricane season (Catlin (OW), BRIT (OW)) and pick up the sector more broadly nearer Q4 as potential special dividends start to get priced in (Beazley (N), LRE (N), Hiscox (N)). We remain cautious on Amlin (UW).]]></HtmlText>
      <BulletVisual>True</BulletVisual>
    </Bullet>
    <Bullet>
      <TagName>FRONT_PAGE_BULLET_P2</TagName>
      <PlainText>Lloyd’s Tour and Swiss Re Investor Day: During our Lloyd's Tour last week underwriters acknowledged worse than expected rate declines during the US renewals but an easing of the rate pressure in the Cat Bond/Alternative market. This was subsequently corroborated by Swiss Re. As such, some underwriting discipline is emerging in property Cat reinsurance lines, albeit rate pressure is spilling over in other classes. This is creating some uncertainty for 2015 and we believe underwriters are likely to make material portfolio changes ahead of the 2015 renewals.</PlainText>
      <HtmlText><![CDATA[<b>Lloyd’s Tour and Swiss Re Investor Day</b>: During our Lloyd's Tour last week underwriters acknowledged worse than expected rate declines during the US renewals but an easing of the rate pressure in the Cat Bond/Alternative market. This was subsequently corroborated by Swiss Re. As such, some underwriting discipline is emerging in property Cat reinsurance lines, albeit rate pressure is spilling over in other classes. This is creating some uncertainty for 2015 and we believe underwriters are likely to make material portfolio changes ahead of the 2015 renewals.]]></HtmlText>
      <BulletVisual>True</BulletVisual>
    </Bullet>
    <Bullet>
      <TagName>FRONT_PAGE_BULLET_P3</TagName>
      <PlainText>Catastrophe events benign: The main events during Q2 include higher costs for the Costa Concordia wreck removal, US Tornados and a Satellite loss, but overall the second quarter was fairly benign as was Q1. The first hurricane of the season, Hurricane Arthur, a category 2 hurricane, shaved the NC coastline over the long weekend albeit the damage is likely to be well within Q3 catastrophe budgets. As such, so far earnings and capital buffers are healthy, in our view.</PlainText>
      <HtmlText><![CDATA[<b>Catastrophe events benign: </b>The main events during Q2 include higher costs for the Costa Concordia wreck removal, US Tornados and a Satellite loss, but overall the second quarter was fairly benign as was Q1. The first hurricane of the season, Hurricane Arthur, a category 2 hurricane, shaved the NC coastline over the long weekend albeit the damage is likely to be well within Q3 catastrophe budgets. As such, so far earnings and capital buffers are healthy, in our view.]]></HtmlText>
      <BulletVisual>True</BulletVisual>
    </Bullet>
    <Bullet>
      <TagName>FRONT_PAGE_BULLET_P4</TagName>
      <PlainText>H1 Results are around the corner and we expect many insurers will be tuning down their growth expectations for 2015. We expect the H1 focus will be on attritional loss experience in a softening cycle, the build-up of excess capital in a benign claims environment and the outlook for reinsurance vs insurance capacity deployment in 2015. We believe the Lloyd's underwriters are in a favorable position and able to manage the cycle but likely to shrink reinsurance and continue to grow insurance into 2015. </PlainText>
      <HtmlText><![CDATA[<b>H1 Results are around the corner </b>and we expect many insurers will be tuning down their growth expectations for 2015. We expect the H1 focus will be on attritional loss experience in a softening cycle, the build-up of excess capital in a benign claims environment and the outlook for reinsurance vs insurance capacity deployment in 2015. We believe the Lloyd's underwriters are in a favorable position and able to manage the cycle but likely to shrink reinsurance and continue to grow insurance into 2015. ]]></HtmlText>
      <BulletVisual>True</BulletVisual>
    </Bullet>
  </BulletList>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STPadobepdf.gif</STPImage>
  </STPImages>
  <CompanyDisclosureType>Equity</CompanyDisclosureType>
  <FxCurrencyGroups/>
  <AFLTracker/>
</DocumentState>
</file>

<file path=customXML/item8.xml><?xml version="1.0" encoding="utf-8"?>
<Research xmlns:rixmldt="http://www.rixml.org/2010/1/RIXML-datatypes" xmlns:xsi="http://www.w3.org/2001/XMLSchema-instance" xmlns="http://www.rixml.org/2010/1/RIXML" language="eng" createDateTime="2014-07-06T23:51:57+01:00" researchID="GPS-1433253-0" xsi:schemaLocation="http://www.rixml.org/2010/1/RIXML http://www.rixml.org/newsite/specifications/v231/RIXML-2_3_1.xsd">
  <Product productID="GPS-1433253-0">
    <StatusInfo currentStatusIndicator="Yes" statusDateTime="2014-07-06T23:51:57+01:00" statusType="Published">
      <Version>4</Version>
    </StatusInfo>
    <Source>
      <Organization primaryIndicator="Yes" type="SellSideFirm">
        <OrganizationID idType="VendorCode">JPM</OrganizationID>
        <OrganizationName nameType="Display">JPMorgan</OrganizationName>
        <PersonGroup>
          <PersonGroupMember primaryIndicator="Yes" sequence="1">
            <Person personID="R261557">
              <FamilyName>van Embden</FamilyName>
              <GivenName>Andreas</GivenName>
              <DisplayName>Andreas van Embden</DisplayName>
              <JobTitle>Analyst</JobTitle>
              <Division>EQUITY RESEARCH</Division>
            </Person>
          </PersonGroupMember>
          <ContactInfo nature="Business">
            <Email>andreas.vanembden@jpmorgan.com</Email>
            <Phone type="Voice">
              <CountryCode/>
              <Number>(44-20) 7134-4574</Number>
            </Phone>
          </ContactInfo>
        </PersonGroup>
      </Organization>
    </Source>
    <Content>
      <Title>Lloyd's Insurers</Title>
      <SubTitle>Valuation sheet &amp; recent developments</SubTitle>
      <Abstract>The Lloyd’s Insurance Index started to marginally outperform the insurance sector in the past two weeks as we neared the end of another relatively benign quarter in terms of natural catastrophes. Hence, underwriters have been able to build a comfortable capital buffer to absorb potential Cat losses in H2. A challenging outlook for rates across reinsurance and specialty lines explains the underperformance so far this year. However, investors are now more likely to focus on loss experience in H2, as this will drive the outlook for special dividends. Sector yields are 4.8% without factoring special dividends (which are likely should H2 loss experience align with cat budgets) whilst valuation remains in line with long term returns at 1.5x 2014e PTNAV (range (1.2x-1.8x). We would recommend investing at the lower end of the valuation spectrum through the hurricane season (Catlin (OW), BRIT (OW)) and pick up the sector more broadly nearer Q4 as potential special dividends start to get priced in (Beazley (N), LRE (N), Hiscox (N)). We remain cautious on Amlin (UW).
Lloyd’s Tour and Swiss Re Investor Day: During our Lloyd's Tour last week underwriters acknowledged worse than expected rate declines during the US renewals but an easing of the rate pressure in the Cat Bond/Alternative market. This was subsequently corroborated by Swiss Re. As such, some underwriting discipline is emerging in property Cat reinsurance lines, albeit rate pressure is spilling over in other classes. This is creating some uncertainty for 2015 and we believe underwriters are likely to make material portfolio changes ahead of the 2015 renewals.
Catastrophe events benign: The main events during Q2 include higher costs for the Costa Concordia wreck removal, US Tornados and a Satellite loss, but overall the second quarter was fairly benign as was Q1. The first hurricane of the season, Hurricane Arthur, a category 2 hurricane, shaved the NC coastline over the long weekend albeit the damage is likely to be well within Q3 catastrophe budgets. As such, so far earnings and capital buffers are healthy, in our view.
H1 Results are around the corner and we expect many insurers will be tuning down their growth expectations for 2015. We expect the H1 focus will be on attritional loss experience in a softening cycle, the build-up of excess capital in a benign claims environment and the outlook for reinsurance vs insurance capacity deployment in 2015. We believe the Lloyd's underwriters are in a favorable position and able to manage the cycle but likely to shrink reinsurance and continue to grow insurance into 2015. 
</Abstract>
      <Synopsis>The Lloyd’s Insurance Index started to marginally outperform the insurance sector in the past two weeks as we neared the end of another relatively benign quarter in terms of natural catastrophes. Hence, underwriters have been able to build a comfortable capital buffer to absorb potential Cat loss...</Synopsis>
    </Content>
    <Context external="Yes">
      <IssuerDetails>
        <Issuer domicileCountryCode="GB" fiscalYearEnd="--12-31" issuerType="Corporate" primaryIndicator="No">
          <SecurityDetails>
            <Security primaryIndicator="No">
              <SecurityID idType="CUSIP" idValue=" "/>
              <SecurityID idType="SEDOL" idValue="B2988H1"/>
              <SecurityID idType="Bloomberg" idValue="AML LN"/>
              <SecurityID idType="RIC" idValue="AML.L"/>
              <SecurityID idType="ISIN" idValue="GB00B2988H17"/>
              <AssetClass assetClass="Equity"/>
              <AssetType assetType="Stock"/>
              <Rating priorCurrent="Prior" rating="NegativeSentiment" timeFrame="ShortTerm">
                <RatingEntity ratingEntity="Publisher"/>
              </Rating>
              <Rating priorCurrent="Current" rating="NegativeSentiment" timeFrame="ShortTerm">
                <RatingEntity ratingEntity="Publisher"/>
              </Rating>
            </Security>
          </SecurityDetails>
          <IssuerName nameType="Display">
            <NameValue>Amlin</NameValue>
          </IssuerName>
        </Issuer>
        <Issuer domicileCountryCode="GB" fiscalYearEnd="--12-31" issuerType="Corporate" primaryIndicator="No">
          <SecurityDetails>
            <Security primaryIndicator="No">
              <SecurityID idType="CUSIP" idValue=" "/>
              <SecurityID idType="SEDOL" idValue="B64G908"/>
              <SecurityID idType="Bloomberg" idValue="BEZ LN"/>
              <SecurityID idType="RIC" idValue="BEZG.L"/>
              <SecurityID idType="ISIN" idValue="JE00B64G9089"/>
              <AssetClass assetClass="Equity"/>
              <AssetType assetType="Stock"/>
              <Rating priorCurrent="Prior" rating="NeutralSentiment" timeFrame="ShortTerm">
                <RatingEntity ratingEntity="Publisher"/>
              </Rating>
              <Rating priorCurrent="Current" rating="NeutralSentiment" timeFrame="ShortTerm">
                <RatingEntity ratingEntity="Publisher"/>
              </Rating>
            </Security>
          </SecurityDetails>
          <IssuerName nameType="Display">
            <NameValue>Beazley Plc</NameValue>
          </IssuerName>
        </Issuer>
        <Issuer domicileCountryCode="GB" fiscalYearEnd="--12-31" issuerType="Corporate" primaryIndicator="No">
          <SecurityDetails>
            <Security primaryIndicator="No">
              <SecurityID idType="CUSIP" idValue=" "/>
              <SecurityID idType="SEDOL" idValue="B00LBS7"/>
              <SecurityID idType="Bloomberg" idValue="CGL LN"/>
              <SecurityID idType="RIC" idValue="CGL.L"/>
              <SecurityID idType="ISIN" idValue="BMG196F11004"/>
              <AssetClass assetClass="Equity"/>
              <AssetType assetType="Stock"/>
              <Rating priorCurrent="Prior" rating="PositiveSentiment" timeFrame="ShortTerm">
                <RatingEntity ratingEntity="Publisher"/>
              </Rating>
              <Rating priorCurrent="Current" rating="PositiveSentiment" timeFrame="ShortTerm">
                <RatingEntity ratingEntity="Publisher"/>
              </Rating>
            </Security>
          </SecurityDetails>
          <IssuerName nameType="Display">
            <NameValue>Catlin</NameValue>
          </IssuerName>
        </Issuer>
        <Issuer domicileCountryCode="GB" fiscalYearEnd="--12-31" issuerType="Corporate" primaryIndicator="No">
          <SecurityDetails>
            <Security primaryIndicator="No">
              <SecurityID idType="CUSIP" idValue=" "/>
              <SecurityID idType="SEDOL" idValue="BK6M9K2"/>
              <SecurityID idType="Bloomberg" idValue="HSX LN"/>
              <SecurityID idType="RIC" idValue="HSX.L"/>
              <SecurityID idType="ISIN" idValue="BMG4593F1207"/>
              <AssetClass assetClass="Equity"/>
              <AssetType assetType="Stock"/>
              <Rating priorCurrent="Prior" rating="NeutralSentiment" timeFrame="ShortTerm">
                <RatingEntity ratingEntity="Publisher"/>
              </Rating>
              <Rating priorCurrent="Current" rating="NeutralSentiment" timeFrame="ShortTerm">
                <RatingEntity ratingEntity="Publisher"/>
              </Rating>
            </Security>
          </SecurityDetails>
          <IssuerName nameType="Display">
            <NameValue>Hiscox</NameValue>
          </IssuerName>
        </Issuer>
        <Issuer domicileCountryCode="GB" fiscalYearEnd="--12-31" issuerType="Corporate" primaryIndicator="No">
          <SecurityDetails>
            <Security primaryIndicator="No">
              <SecurityID idType="CUSIP" idValue=" "/>
              <SecurityID idType="SEDOL" idValue="B0PYHC7"/>
              <SecurityID idType="Bloomberg" idValue="LRE LN"/>
              <SecurityID idType="RIC" idValue="LRE.L"/>
              <SecurityID idType="ISIN" idValue="BMG5361W1047"/>
              <AssetClass assetClass="Equity"/>
              <AssetType assetType="Stock"/>
              <Rating priorCurrent="Prior" rating="NeutralSentiment" timeFrame="ShortTerm">
                <RatingEntity ratingEntity="Publisher"/>
              </Rating>
              <Rating priorCurrent="Current" rating="NeutralSentiment" timeFrame="ShortTerm">
                <RatingEntity ratingEntity="Publisher"/>
              </Rating>
            </Security>
          </SecurityDetails>
          <IssuerName nameType="Display">
            <NameValue>Lancashire</NameValue>
          </IssuerName>
        </Issuer>
        <Issuer domicileCountryCode="GB" fiscalYearEnd="--12-31" issuerType="Corporate" primaryIndicator="No">
          <SecurityDetails>
            <Security primaryIndicator="No">
              <SecurityID idType="CUSIP" idValue=" "/>
              <SecurityID idType="SEDOL" idValue="BKRV3L7"/>
              <SecurityID idType="Bloomberg" idValue="BRIT LN"/>
              <SecurityID idType="RIC" idValue="BRIT.L"/>
              <SecurityID idType="ISIN" idValue="GB00BKRV3L73"/>
              <AssetClass assetClass="Equity"/>
              <AssetType assetType="Stock"/>
              <Rating priorCurrent="Prior" rating="PositiveSentiment" timeFrame="ShortTerm">
                <RatingEntity ratingEntity="Publisher"/>
              </Rating>
              <Rating priorCurrent="Current" rating="PositiveSentiment" timeFrame="ShortTerm">
                <RatingEntity ratingEntity="Publisher"/>
              </Rating>
            </Security>
          </SecurityDetails>
          <IssuerName nameType="Display">
            <NameValue>BRIT plc</NameValue>
          </IssuerName>
        </Issuer>
      </IssuerDetails>
      <ProductDetails periodicalIndicator="No" publicationDateTime="2014-07-06T23:51:57+01:00">
        <ProductCategory productCategory="Report"/>
        <ProductFocus focus="SectorIndustry" primaryIndicator="Yes"/>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Retail" external="Yes"/>
          </Entitlement>
        </EntitlementGroup>
        <EntitlementGroup>
          <Entitlement includeExcludeIndicator="Include" primaryIndicator="No">
            <AudienceTypeEntitlement audienceType="QualifiedInstitutionalBuyer" external="Yes"/>
          </Entitlement>
        </EntitlementGroup>
      </ProductDetails>
      <ProductClassifications>
        <KeywordClassifications>
          <Keyword>JPMORGANCAZENOVE</Keyword>
        </KeywordClassifications>
        <Discipline disciplineType="Investment"/>
        <Country code="GB" primaryIndicator="No" emergingIndicator="No"/>
        <Region primaryIndicator="No" regionType="Europe" emergingIndicator="No"/>
        <AssetClass assetClass="Equity"/>
        <AssetType assetType="Stock"/>
        <SectorIndustry classificationType="GICS" code="40" focusLevel="Yes" level="1" primaryIndicator="No">
          <Name>Financials</Name>
        </SectorIndustry>
        <SectorIndustry classificationType="GICS" code="4030" focusLevel="Yes" level="2" primaryIndicator="No">
          <Name>Insurance</Name>
        </SectorIndustry>
        <SectorIndustry classificationType="GICS" code="403010" focusLevel="Yes" level="3" primaryIndicator="No">
          <Name>Insurance</Name>
        </SectorIndustry>
        <SectorIndustry classificationType="GICS" code="40301040" focusLevel="Yes" level="4" primaryIndicator="Yes">
          <Name>Property &amp; Casualty Insurance</Name>
        </SectorIndustry>
        <SectorIndustry classificationType="GICS" code="40301050" focusLevel="Yes" level="4" primaryIndicator="Yes">
          <Name>Reinsurance</Name>
        </SectorIndustry>
      </ProductClassifications>
    </Context>
  </Product>
</Research>
</file>

<file path=customXML/item9.xml><?xml version="1.0" encoding="utf-8"?>
<JpmcExtensions>
  <EmailAlert>Y</EmailAlert>
  <Searchable>Y</Searchable>
  <SourceSystem>GPSAuthor</SourceSystem>
  <Permission>100</Permission>
  <BulletList>
    <component id="SUMMARY.ASCII.FORMATTEDBULLET" isBullet="Yes" order="1">The Lloyd’s Insurance Index started to marginally outperform the insurance sector in the past two weeks as we neared the end of another relatively benign quarter in terms of natural catastrophes. Hence, underwriters have been able to build a comfortable capital buffer to absorb potential Cat losses in H2. A challenging outlook for rates across reinsurance and specialty lines explains the underperformance so far this year. However, investors are now more likely to focus on loss experience in H2, as this will drive the outlook for special dividends. Sector yields are 4.8% without factoring special dividends (which are likely should H2 loss experience align with cat budgets) whilst valuation remains in line with long term returns at 1.5x 2014e PTNAV (range (1.2x-1.8x). We would recommend investing at the lower end of the valuation spectrum through the hurricane season (Catlin (OW), BRIT (OW)) and pick up the sector more broadly nearer Q4 as potential special dividends start to get priced in (Beazley (N), LRE (N), Hiscox (N)). We remain cautious on Amlin (UW).</component>
    <component id="SUMMARY.ASCII.FORMATTEDBULLET" isBullet="Yes" order="2">Lloyd’s Tour and Swiss Re Investor Day: During our Lloyd's Tour last week underwriters acknowledged worse than expected rate declines during the US renewals but an easing of the rate pressure in the Cat Bond/Alternative market. This was subsequently corroborated by Swiss Re. As such, some underwriting discipline is emerging in property Cat reinsurance lines, albeit rate pressure is spilling over in other classes. This is creating some uncertainty for 2015 and we believe underwriters are likely to make material portfolio changes ahead of the 2015 renewals.</component>
    <component id="SUMMARY.ASCII.FORMATTEDBULLET" isBullet="Yes" order="3">Catastrophe events benign: The main events during Q2 include higher costs for the Costa Concordia wreck removal, US Tornados and a Satellite loss, but overall the second quarter was fairly benign as was Q1. The first hurricane of the season, Hurricane Arthur, a category 2 hurricane, shaved the NC coastline over the long weekend albeit the damage is likely to be well within Q3 catastrophe budgets. As such, so far earnings and capital buffers are healthy, in our view.</component>
    <component id="SUMMARY.ASCII.FORMATTEDBULLET" isBullet="Yes" order="4">H1 Results are around the corner and we expect many insurers will be tuning down their growth expectations for 2015. We expect the H1 focus will be on attritional loss experience in a softening cycle, the build-up of excess capital in a benign claims environment and the outlook for reinsurance vs insurance capacity deployment in 2015. We believe the Lloyd's underwriters are in a favorable position and able to manage the cycle but likely to shrink reinsurance and continue to grow insurance into 2015. </component>
  </BulletList>
  <ContentTypeList>
    <ContentType>PUBNOT</ContentType>
  </ContentTypeList>
  <PrimaryAnalystList>
    <PrimaryAnalyst analystID="R261557">Andreas van Embden</PrimaryAnalyst>
  </PrimaryAnalystList>
  <SecondaryAnalystList/>
  <PrimaryCompanyList/>
  <SecondaryCompanyList>
    <SecondaryCompany companyID="AML.L">Amlin</SecondaryCompany>
    <SecondaryCompany companyID="BEZG.L">Beazley Plc</SecondaryCompany>
    <SecondaryCompany companyID="CGL.L">Catlin</SecondaryCompany>
    <SecondaryCompany companyID="HSX.L">Hiscox</SecondaryCompany>
    <SecondaryCompany companyID="LRE.L">Lancashire</SecondaryCompany>
    <SecondaryCompany companyID="BRIT.L">BRIT plc</SecondaryCompany>
  </SecondaryCompanyList>
  <ExpiryDate/>
  <RICList>
    <RIC>AML.L</RIC>
    <RIC>BEZG.L</RIC>
    <RIC>CGL.L</RIC>
    <RIC>HSX.L</RIC>
    <RIC>LRE.L</RIC>
    <RIC>BRIT.L</RIC>
  </RICList>
  <RenderHtmlFlag>N</RenderHtmlFlag>
</JpmcExtensions>
</file>

<file path=customXML/itema.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3.xml><?xml version="1.0" encoding="utf-8"?>
<publishingControl xmlns="http://www.w3.org/2001/XMLSchema-instance">
  <action>Publish</action>
  <type>
    <primary>RESEARCH</primary>
  </type>
  <distribution>
    <destination>BLOOMBERG-EMEA</destination>
    <destination>GREENJAR</destination>
    <destination>VAULT</destination>
    <destination>MORGAN-MARKETS</destination>
    <destination>WSOD-RBC</destination>
    <destination>THOMSON-EQUITIES</destination>
    <destination>FACTSET</destination>
    <destination>REUTERS-EQUITIES</destination>
    <destination>CAPITAL-IQ-EQUITIES</destination>
    <destination>WSOD</destination>
    <destination>AMBA</destination>
    <destination>PRIVATEBANK</destination>
    <destination>WSOD-MorganOnline</destination>
  </distribution>
  <documentId>GPS-1433253-0</documentId>
</publishingControl>
</file>

<file path=customXml/item6.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65F4F071-76F3-49D1-99E5-88A0B812D1EC}">
  <ds:schemaRefs/>
</ds:datastoreItem>
</file>

<file path=customXml/itemProps6.xml><?xml version="1.0" encoding="utf-8"?>
<ds:datastoreItem xmlns:ds="http://schemas.openxmlformats.org/officeDocument/2006/customXml" ds:itemID="{A65494F7-73A1-494D-83C8-60BBE4EB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NonCompanyNote.dotm</Template>
  <TotalTime>0</TotalTime>
  <Pages>17</Pages>
  <Words>9053</Words>
  <Characters>43838</Characters>
  <Application>Microsoft Office Word</Application>
  <DocSecurity>0</DocSecurity>
  <Lines>5384</Lines>
  <Paragraphs>4281</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48889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JPMorgan Chase &amp; Co.</dc:creator>
  <cp:lastModifiedBy>Sophie Pyott</cp:lastModifiedBy>
  <cp:revision>2</cp:revision>
  <cp:lastPrinted>2014-07-04T17:47:00Z</cp:lastPrinted>
  <dcterms:created xsi:type="dcterms:W3CDTF">2014-07-06T22:51:00Z</dcterms:created>
  <dcterms:modified xsi:type="dcterms:W3CDTF">2014-07-06T22:51:00Z</dcterms:modified>
</cp:coreProperties>
</file>