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1A8" w:rsidRPr="006479CC" w:rsidRDefault="00183A10" w:rsidP="00183A10">
      <w:pPr>
        <w:pStyle w:val="FPBody"/>
        <w:rPr>
          <w:highlight w:val="yellow"/>
        </w:rPr>
      </w:pPr>
      <w:r w:rsidRPr="00183A10">
        <w:rPr>
          <w:lang w:val="en-GB"/>
        </w:rPr>
        <w:t xml:space="preserve">In today's ticker: St Modwen 1H14 results (+6% NAV growth - we believe there is more to go). Luxury brands need to upgrade discount stores, and Scottish Independence referendum is weighing on market activity. </w:t>
      </w:r>
      <w:r w:rsidRPr="00183A10">
        <w:rPr>
          <w:i/>
          <w:lang w:val="en-GB"/>
        </w:rPr>
        <w:t xml:space="preserve">The Great Rotation </w:t>
      </w:r>
      <w:r w:rsidRPr="00183A10">
        <w:rPr>
          <w:lang w:val="en-GB"/>
        </w:rPr>
        <w:t xml:space="preserve">continues with Benson Elliot and Stanhope to develop 210,000 sq ft </w:t>
      </w:r>
      <w:r>
        <w:rPr>
          <w:lang w:val="en-GB"/>
        </w:rPr>
        <w:t>office tower</w:t>
      </w:r>
      <w:r w:rsidRPr="00183A10">
        <w:rPr>
          <w:lang w:val="en-GB"/>
        </w:rPr>
        <w:t xml:space="preserve"> in Reading, Cordea Savills redevelop</w:t>
      </w:r>
      <w:r>
        <w:rPr>
          <w:lang w:val="en-GB"/>
        </w:rPr>
        <w:t>s</w:t>
      </w:r>
      <w:r w:rsidRPr="00183A10">
        <w:rPr>
          <w:lang w:val="en-GB"/>
        </w:rPr>
        <w:t xml:space="preserve"> in Bracknell, </w:t>
      </w:r>
      <w:r>
        <w:rPr>
          <w:lang w:val="en-GB"/>
        </w:rPr>
        <w:t xml:space="preserve">and </w:t>
      </w:r>
      <w:r w:rsidRPr="00183A10">
        <w:rPr>
          <w:lang w:val="en-GB"/>
        </w:rPr>
        <w:t xml:space="preserve">LaSalle to acquire a mall in Warrington for £141m. Also, M&amp;G buys a £47m business park in Maidenhead. SEGRO completes the €472m SELP acquisition, and Hibernia buys the Observatory Building in Dublin. </w:t>
      </w:r>
      <w:r>
        <w:rPr>
          <w:lang w:val="en-GB"/>
        </w:rPr>
        <w:t xml:space="preserve">Furthermore, </w:t>
      </w:r>
      <w:r w:rsidRPr="00183A10">
        <w:rPr>
          <w:lang w:val="en-GB"/>
        </w:rPr>
        <w:t>Lone Star reportedly has bid for a €250-300m Dutch office portfolio from CBRE GI</w:t>
      </w:r>
      <w:r w:rsidR="00E74F32">
        <w:rPr>
          <w:lang w:val="en-GB"/>
        </w:rPr>
        <w:t xml:space="preserve"> at ~12% yield</w:t>
      </w:r>
      <w:r w:rsidRPr="00183A10">
        <w:rPr>
          <w:lang w:val="en-GB"/>
        </w:rPr>
        <w:t xml:space="preserve">, and Hansteen acquires a €106m Dutch logistics portfolio. Furthermore, don’t miss comments on </w:t>
      </w:r>
      <w:r w:rsidR="00E74F32" w:rsidRPr="00183A10">
        <w:rPr>
          <w:lang w:val="en-GB"/>
        </w:rPr>
        <w:t>Dutch Q2 office take-up</w:t>
      </w:r>
      <w:r w:rsidR="00E74F32">
        <w:rPr>
          <w:lang w:val="en-GB"/>
        </w:rPr>
        <w:t>,</w:t>
      </w:r>
      <w:r w:rsidR="00E74F32" w:rsidRPr="00183A10">
        <w:rPr>
          <w:lang w:val="en-GB"/>
        </w:rPr>
        <w:t xml:space="preserve"> </w:t>
      </w:r>
      <w:r w:rsidRPr="00183A10">
        <w:rPr>
          <w:lang w:val="en-GB"/>
        </w:rPr>
        <w:t>Paris, RICS, and much more!</w:t>
      </w:r>
      <w:r w:rsidR="001C7C7E" w:rsidRPr="006479CC">
        <w:rPr>
          <w:highlight w:val="yellow"/>
          <w:lang w:val="en-GB"/>
        </w:rPr>
        <w:t xml:space="preserve"> </w:t>
      </w:r>
      <w:r w:rsidR="002E16EB" w:rsidRPr="002E16EB">
        <w:rPr>
          <w:highlight w:val="yellow"/>
          <w:lang w:val="en-GB"/>
        </w:rPr>
        <w:pict>
          <v:shapetype id="_x0000_t202" coordsize="21600,21600" o:spt="202" path="m,l,21600r21600,l21600,xe">
            <v:stroke joinstyle="miter"/>
            <v:path gradientshapeok="t" o:connecttype="rect"/>
          </v:shapetype>
          <v:shape id="FrontCoverRightPanel" o:spid="_x0000_s1027" type="#_x0000_t202" style="position:absolute;left:0;text-align:left;margin-left:5358.3pt;margin-top:419.65pt;width:141.1pt;height:289.45pt;z-index:251661312;mso-position-horizontal:right;mso-position-horizontal-relative:margin;mso-position-vertical-relative:page" filled="f" stroked="f">
            <v:textbox style="mso-next-textbox:#FrontCoverRightPanel" inset="0,0,0,0">
              <w:txbxContent>
                <w:p w:rsidR="00183A10" w:rsidRPr="00CE028F" w:rsidRDefault="00183A10" w:rsidP="002E187C">
                  <w:pPr>
                    <w:pStyle w:val="FigureTitle"/>
                    <w:rPr>
                      <w:b w:val="0"/>
                    </w:rPr>
                  </w:pPr>
                  <w:r>
                    <w:t>Figure 1: EPRA Europe (total return)</w:t>
                  </w:r>
                  <w:r>
                    <w:rPr>
                      <w:b w:val="0"/>
                    </w:rPr>
                    <w:t xml:space="preserve"> </w:t>
                  </w:r>
                </w:p>
                <w:p w:rsidR="00183A10" w:rsidRDefault="00183A10" w:rsidP="002E187C">
                  <w:pPr>
                    <w:pStyle w:val="Source"/>
                    <w:spacing w:after="0"/>
                  </w:pPr>
                  <w:r w:rsidRPr="00122DA3">
                    <w:rPr>
                      <w:noProof/>
                    </w:rPr>
                    <w:drawing>
                      <wp:inline distT="0" distB="0" distL="0" distR="0">
                        <wp:extent cx="1791970" cy="1701336"/>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791970" cy="1701336"/>
                                </a:xfrm>
                                <a:prstGeom prst="rect">
                                  <a:avLst/>
                                </a:prstGeom>
                                <a:noFill/>
                                <a:ln w="9525">
                                  <a:noFill/>
                                  <a:miter lim="800000"/>
                                  <a:headEnd/>
                                  <a:tailEnd/>
                                </a:ln>
                              </pic:spPr>
                            </pic:pic>
                          </a:graphicData>
                        </a:graphic>
                      </wp:inline>
                    </w:drawing>
                  </w:r>
                </w:p>
                <w:p w:rsidR="00183A10" w:rsidRPr="00310D53" w:rsidRDefault="00183A10" w:rsidP="002E187C">
                  <w:pPr>
                    <w:pStyle w:val="Source"/>
                  </w:pPr>
                  <w:r>
                    <w:t>Source: Bloomberg</w:t>
                  </w:r>
                </w:p>
              </w:txbxContent>
            </v:textbox>
            <w10:wrap anchorx="margin" anchory="page"/>
            <w10:anchorlock/>
          </v:shape>
        </w:pict>
      </w:r>
    </w:p>
    <w:p w:rsidR="001136B6" w:rsidRDefault="000941A8" w:rsidP="00183A10">
      <w:pPr>
        <w:pStyle w:val="FPBullet"/>
      </w:pPr>
      <w:r w:rsidRPr="002C2C7B">
        <w:rPr>
          <w:b/>
          <w:lang w:val="en-GB"/>
        </w:rPr>
        <w:t>Thought</w:t>
      </w:r>
      <w:r w:rsidR="001C7C7E" w:rsidRPr="002C2C7B">
        <w:rPr>
          <w:b/>
          <w:lang w:val="en-GB"/>
        </w:rPr>
        <w:t xml:space="preserve"> </w:t>
      </w:r>
      <w:r w:rsidRPr="002C2C7B">
        <w:rPr>
          <w:b/>
          <w:lang w:val="en-GB"/>
        </w:rPr>
        <w:t>for</w:t>
      </w:r>
      <w:r w:rsidR="001C7C7E" w:rsidRPr="002C2C7B">
        <w:rPr>
          <w:b/>
          <w:lang w:val="en-GB"/>
        </w:rPr>
        <w:t xml:space="preserve"> </w:t>
      </w:r>
      <w:r w:rsidRPr="002C2C7B">
        <w:rPr>
          <w:b/>
          <w:lang w:val="en-GB"/>
        </w:rPr>
        <w:t>the</w:t>
      </w:r>
      <w:r w:rsidR="001C7C7E" w:rsidRPr="002C2C7B">
        <w:rPr>
          <w:b/>
          <w:lang w:val="en-GB"/>
        </w:rPr>
        <w:t xml:space="preserve"> </w:t>
      </w:r>
      <w:r w:rsidRPr="002C2C7B">
        <w:rPr>
          <w:b/>
          <w:lang w:val="en-GB"/>
        </w:rPr>
        <w:t>day:</w:t>
      </w:r>
      <w:r w:rsidR="001C7C7E" w:rsidRPr="002C2C7B">
        <w:rPr>
          <w:lang w:val="en-GB"/>
        </w:rPr>
        <w:t xml:space="preserve"> </w:t>
      </w:r>
      <w:r w:rsidR="002E16EB" w:rsidRPr="002E16EB">
        <w:rPr>
          <w:b/>
          <w:lang w:val="en-GB"/>
        </w:rPr>
        <w:pict>
          <v:shape id="_x0000_s1037" type="#_x0000_t202" style="position:absolute;left:0;text-align:left;margin-left:79.25pt;margin-top:618.35pt;width:7in;height:81pt;z-index:251664384;mso-position-horizontal-relative:page;mso-position-vertical-relative:page" filled="f" stroked="f">
            <v:textbox style="mso-next-textbox:#_x0000_s1037" inset=",0,,0">
              <w:txbxContent>
                <w:p w:rsidR="00183A10" w:rsidRPr="00C75736" w:rsidRDefault="00183A10" w:rsidP="00FD01D9">
                  <w:pPr>
                    <w:pStyle w:val="TableTitle"/>
                    <w:rPr>
                      <w:rFonts w:ascii="Times New Roman" w:hAnsi="Times New Roman"/>
                      <w:sz w:val="20"/>
                      <w:szCs w:val="20"/>
                    </w:rPr>
                  </w:pPr>
                  <w:r>
                    <w:t>Table 1: Valuation metrics (weighted averages)</w:t>
                  </w:r>
                </w:p>
                <w:tbl>
                  <w:tblPr>
                    <w:tblW w:w="7005" w:type="dxa"/>
                    <w:tblInd w:w="78" w:type="dxa"/>
                    <w:tblLayout w:type="fixed"/>
                    <w:tblLook w:val="0000"/>
                  </w:tblPr>
                  <w:tblGrid>
                    <w:gridCol w:w="1003"/>
                    <w:gridCol w:w="827"/>
                    <w:gridCol w:w="960"/>
                    <w:gridCol w:w="840"/>
                    <w:gridCol w:w="840"/>
                    <w:gridCol w:w="720"/>
                    <w:gridCol w:w="840"/>
                    <w:gridCol w:w="975"/>
                  </w:tblGrid>
                  <w:tr w:rsidR="00183A10" w:rsidTr="00082C22">
                    <w:trPr>
                      <w:trHeight w:val="185"/>
                    </w:trPr>
                    <w:tc>
                      <w:tcPr>
                        <w:tcW w:w="1003" w:type="dxa"/>
                        <w:tcBorders>
                          <w:top w:val="single" w:sz="6" w:space="0" w:color="auto"/>
                        </w:tcBorders>
                      </w:tcPr>
                      <w:p w:rsidR="00183A10" w:rsidRPr="007E14B5" w:rsidRDefault="00183A10" w:rsidP="00082C22">
                        <w:pPr>
                          <w:keepNext/>
                          <w:keepLines/>
                          <w:autoSpaceDE w:val="0"/>
                          <w:autoSpaceDN w:val="0"/>
                          <w:adjustRightInd w:val="0"/>
                          <w:jc w:val="center"/>
                          <w:rPr>
                            <w:rFonts w:ascii="Arial Narrow" w:hAnsi="Arial Narrow" w:cs="Arial Narrow"/>
                            <w:bCs/>
                            <w:color w:val="000000"/>
                            <w:sz w:val="16"/>
                            <w:szCs w:val="16"/>
                          </w:rPr>
                        </w:pPr>
                      </w:p>
                    </w:tc>
                    <w:tc>
                      <w:tcPr>
                        <w:tcW w:w="827" w:type="dxa"/>
                        <w:tcBorders>
                          <w:top w:val="single" w:sz="6" w:space="0" w:color="auto"/>
                        </w:tcBorders>
                      </w:tcPr>
                      <w:p w:rsidR="00183A10" w:rsidRPr="007E14B5" w:rsidRDefault="00183A10" w:rsidP="00082C22">
                        <w:pPr>
                          <w:keepNext/>
                          <w:keepLines/>
                          <w:autoSpaceDE w:val="0"/>
                          <w:autoSpaceDN w:val="0"/>
                          <w:adjustRightInd w:val="0"/>
                          <w:jc w:val="center"/>
                          <w:rPr>
                            <w:rFonts w:ascii="Arial Narrow" w:hAnsi="Arial Narrow" w:cs="Arial Narrow"/>
                            <w:b/>
                            <w:bCs/>
                            <w:color w:val="000000"/>
                            <w:sz w:val="16"/>
                            <w:szCs w:val="16"/>
                          </w:rPr>
                        </w:pPr>
                        <w:r>
                          <w:rPr>
                            <w:rFonts w:ascii="Arial Narrow" w:hAnsi="Arial Narrow" w:cs="Arial Narrow"/>
                            <w:b/>
                            <w:bCs/>
                            <w:color w:val="000000"/>
                            <w:sz w:val="16"/>
                            <w:szCs w:val="16"/>
                          </w:rPr>
                          <w:t>Upside</w:t>
                        </w:r>
                      </w:p>
                    </w:tc>
                    <w:tc>
                      <w:tcPr>
                        <w:tcW w:w="2640" w:type="dxa"/>
                        <w:gridSpan w:val="3"/>
                        <w:tcBorders>
                          <w:top w:val="single" w:sz="6" w:space="0" w:color="auto"/>
                          <w:right w:val="nil"/>
                        </w:tcBorders>
                      </w:tcPr>
                      <w:p w:rsidR="00183A10" w:rsidRPr="007E14B5" w:rsidRDefault="00183A10" w:rsidP="00082C22">
                        <w:pPr>
                          <w:pStyle w:val="TableHeadBorder"/>
                        </w:pPr>
                        <w:r w:rsidRPr="007E14B5">
                          <w:t>NAV</w:t>
                        </w:r>
                        <w:r>
                          <w:t xml:space="preserve"> </w:t>
                        </w:r>
                        <w:r w:rsidRPr="007E14B5">
                          <w:t>Premium</w:t>
                        </w:r>
                      </w:p>
                    </w:tc>
                    <w:tc>
                      <w:tcPr>
                        <w:tcW w:w="2535" w:type="dxa"/>
                        <w:gridSpan w:val="3"/>
                        <w:tcBorders>
                          <w:top w:val="single" w:sz="6" w:space="0" w:color="auto"/>
                          <w:right w:val="nil"/>
                        </w:tcBorders>
                      </w:tcPr>
                      <w:p w:rsidR="00183A10" w:rsidRPr="007E14B5" w:rsidRDefault="00183A10" w:rsidP="00082C22">
                        <w:pPr>
                          <w:pStyle w:val="TableHeadBorder"/>
                        </w:pPr>
                        <w:r w:rsidRPr="007E14B5">
                          <w:t>Dividend</w:t>
                        </w:r>
                        <w:r>
                          <w:t xml:space="preserve"> </w:t>
                        </w:r>
                        <w:r w:rsidRPr="007E14B5">
                          <w:t>yield</w:t>
                        </w:r>
                      </w:p>
                    </w:tc>
                  </w:tr>
                  <w:tr w:rsidR="00183A10" w:rsidRPr="00BF2A16" w:rsidTr="00082C22">
                    <w:trPr>
                      <w:trHeight w:val="185"/>
                    </w:trPr>
                    <w:tc>
                      <w:tcPr>
                        <w:tcW w:w="1003" w:type="dxa"/>
                        <w:tcBorders>
                          <w:bottom w:val="single" w:sz="4" w:space="0" w:color="auto"/>
                        </w:tcBorders>
                        <w:vAlign w:val="bottom"/>
                      </w:tcPr>
                      <w:p w:rsidR="00183A10" w:rsidRDefault="00183A10">
                        <w:pPr>
                          <w:rPr>
                            <w:rFonts w:ascii="Arial Narrow" w:hAnsi="Arial Narrow" w:cs="Arial"/>
                            <w:sz w:val="16"/>
                            <w:szCs w:val="16"/>
                          </w:rPr>
                        </w:pPr>
                      </w:p>
                    </w:tc>
                    <w:tc>
                      <w:tcPr>
                        <w:tcW w:w="827" w:type="dxa"/>
                        <w:tcBorders>
                          <w:bottom w:val="single" w:sz="4" w:space="0" w:color="auto"/>
                        </w:tcBorders>
                        <w:vAlign w:val="bottom"/>
                      </w:tcPr>
                      <w:p w:rsidR="00183A10" w:rsidRDefault="00183A10">
                        <w:pPr>
                          <w:rPr>
                            <w:rFonts w:ascii="Arial Narrow" w:hAnsi="Arial Narrow" w:cs="Arial"/>
                            <w:b/>
                            <w:bCs/>
                            <w:sz w:val="16"/>
                            <w:szCs w:val="16"/>
                          </w:rPr>
                        </w:pPr>
                      </w:p>
                    </w:tc>
                    <w:tc>
                      <w:tcPr>
                        <w:tcW w:w="960" w:type="dxa"/>
                        <w:tcBorders>
                          <w:bottom w:val="single" w:sz="4" w:space="0" w:color="auto"/>
                        </w:tcBorders>
                        <w:vAlign w:val="bottom"/>
                      </w:tcPr>
                      <w:p w:rsidR="00183A10" w:rsidRDefault="00183A10" w:rsidP="00082C22">
                        <w:pPr>
                          <w:jc w:val="right"/>
                          <w:rPr>
                            <w:rFonts w:ascii="Arial Narrow" w:hAnsi="Arial Narrow" w:cs="Arial"/>
                            <w:b/>
                            <w:bCs/>
                            <w:sz w:val="16"/>
                            <w:szCs w:val="16"/>
                          </w:rPr>
                        </w:pPr>
                        <w:r>
                          <w:rPr>
                            <w:rFonts w:ascii="Arial Narrow" w:hAnsi="Arial Narrow" w:cs="Arial"/>
                            <w:b/>
                            <w:bCs/>
                            <w:sz w:val="16"/>
                            <w:szCs w:val="16"/>
                          </w:rPr>
                          <w:t>2012A</w:t>
                        </w:r>
                      </w:p>
                    </w:tc>
                    <w:tc>
                      <w:tcPr>
                        <w:tcW w:w="840" w:type="dxa"/>
                        <w:tcBorders>
                          <w:bottom w:val="single" w:sz="4" w:space="0" w:color="auto"/>
                        </w:tcBorders>
                        <w:vAlign w:val="bottom"/>
                      </w:tcPr>
                      <w:p w:rsidR="00183A10" w:rsidRDefault="00183A10" w:rsidP="00082C22">
                        <w:pPr>
                          <w:jc w:val="right"/>
                          <w:rPr>
                            <w:rFonts w:ascii="Arial Narrow" w:hAnsi="Arial Narrow" w:cs="Arial"/>
                            <w:b/>
                            <w:bCs/>
                            <w:sz w:val="16"/>
                            <w:szCs w:val="16"/>
                          </w:rPr>
                        </w:pPr>
                        <w:r>
                          <w:rPr>
                            <w:rFonts w:ascii="Arial Narrow" w:hAnsi="Arial Narrow" w:cs="Arial"/>
                            <w:b/>
                            <w:bCs/>
                            <w:sz w:val="16"/>
                            <w:szCs w:val="16"/>
                          </w:rPr>
                          <w:t>2013E</w:t>
                        </w:r>
                      </w:p>
                    </w:tc>
                    <w:tc>
                      <w:tcPr>
                        <w:tcW w:w="840" w:type="dxa"/>
                        <w:tcBorders>
                          <w:bottom w:val="single" w:sz="4" w:space="0" w:color="auto"/>
                        </w:tcBorders>
                        <w:vAlign w:val="bottom"/>
                      </w:tcPr>
                      <w:p w:rsidR="00183A10" w:rsidRDefault="00183A10" w:rsidP="00082C22">
                        <w:pPr>
                          <w:jc w:val="right"/>
                          <w:rPr>
                            <w:rFonts w:ascii="Arial Narrow" w:hAnsi="Arial Narrow" w:cs="Arial"/>
                            <w:b/>
                            <w:bCs/>
                            <w:sz w:val="16"/>
                            <w:szCs w:val="16"/>
                          </w:rPr>
                        </w:pPr>
                        <w:r>
                          <w:rPr>
                            <w:rFonts w:ascii="Arial Narrow" w:hAnsi="Arial Narrow" w:cs="Arial"/>
                            <w:b/>
                            <w:bCs/>
                            <w:sz w:val="16"/>
                            <w:szCs w:val="16"/>
                          </w:rPr>
                          <w:t>2014E</w:t>
                        </w:r>
                      </w:p>
                    </w:tc>
                    <w:tc>
                      <w:tcPr>
                        <w:tcW w:w="720" w:type="dxa"/>
                        <w:tcBorders>
                          <w:bottom w:val="single" w:sz="4" w:space="0" w:color="auto"/>
                        </w:tcBorders>
                        <w:vAlign w:val="bottom"/>
                      </w:tcPr>
                      <w:p w:rsidR="00183A10" w:rsidRDefault="00183A10" w:rsidP="00082C22">
                        <w:pPr>
                          <w:jc w:val="right"/>
                          <w:rPr>
                            <w:rFonts w:ascii="Arial Narrow" w:hAnsi="Arial Narrow" w:cs="Arial"/>
                            <w:b/>
                            <w:bCs/>
                            <w:sz w:val="16"/>
                            <w:szCs w:val="16"/>
                          </w:rPr>
                        </w:pPr>
                        <w:r>
                          <w:rPr>
                            <w:rFonts w:ascii="Arial Narrow" w:hAnsi="Arial Narrow" w:cs="Arial"/>
                            <w:b/>
                            <w:bCs/>
                            <w:sz w:val="16"/>
                            <w:szCs w:val="16"/>
                          </w:rPr>
                          <w:t>2012A</w:t>
                        </w:r>
                      </w:p>
                    </w:tc>
                    <w:tc>
                      <w:tcPr>
                        <w:tcW w:w="840" w:type="dxa"/>
                        <w:tcBorders>
                          <w:bottom w:val="single" w:sz="4" w:space="0" w:color="auto"/>
                        </w:tcBorders>
                        <w:vAlign w:val="bottom"/>
                      </w:tcPr>
                      <w:p w:rsidR="00183A10" w:rsidRDefault="00183A10" w:rsidP="00082C22">
                        <w:pPr>
                          <w:jc w:val="right"/>
                          <w:rPr>
                            <w:rFonts w:ascii="Arial Narrow" w:hAnsi="Arial Narrow" w:cs="Arial"/>
                            <w:b/>
                            <w:bCs/>
                            <w:sz w:val="16"/>
                            <w:szCs w:val="16"/>
                          </w:rPr>
                        </w:pPr>
                        <w:r>
                          <w:rPr>
                            <w:rFonts w:ascii="Arial Narrow" w:hAnsi="Arial Narrow" w:cs="Arial"/>
                            <w:b/>
                            <w:bCs/>
                            <w:sz w:val="16"/>
                            <w:szCs w:val="16"/>
                          </w:rPr>
                          <w:t>2013E</w:t>
                        </w:r>
                      </w:p>
                    </w:tc>
                    <w:tc>
                      <w:tcPr>
                        <w:tcW w:w="975" w:type="dxa"/>
                        <w:tcBorders>
                          <w:bottom w:val="single" w:sz="4" w:space="0" w:color="auto"/>
                        </w:tcBorders>
                        <w:vAlign w:val="bottom"/>
                      </w:tcPr>
                      <w:p w:rsidR="00183A10" w:rsidRDefault="00183A10" w:rsidP="00082C22">
                        <w:pPr>
                          <w:jc w:val="right"/>
                          <w:rPr>
                            <w:rFonts w:ascii="Arial Narrow" w:hAnsi="Arial Narrow" w:cs="Arial"/>
                            <w:b/>
                            <w:bCs/>
                            <w:sz w:val="16"/>
                            <w:szCs w:val="16"/>
                          </w:rPr>
                        </w:pPr>
                        <w:r>
                          <w:rPr>
                            <w:rFonts w:ascii="Arial Narrow" w:hAnsi="Arial Narrow" w:cs="Arial"/>
                            <w:b/>
                            <w:bCs/>
                            <w:sz w:val="16"/>
                            <w:szCs w:val="16"/>
                          </w:rPr>
                          <w:t>2014E</w:t>
                        </w:r>
                      </w:p>
                    </w:tc>
                  </w:tr>
                  <w:tr w:rsidR="00183A10" w:rsidTr="00E42586">
                    <w:trPr>
                      <w:trHeight w:val="186"/>
                    </w:trPr>
                    <w:tc>
                      <w:tcPr>
                        <w:tcW w:w="1003" w:type="dxa"/>
                        <w:tcBorders>
                          <w:top w:val="single" w:sz="4" w:space="0" w:color="auto"/>
                        </w:tcBorders>
                        <w:vAlign w:val="bottom"/>
                      </w:tcPr>
                      <w:p w:rsidR="00183A10" w:rsidRDefault="00183A10">
                        <w:pPr>
                          <w:rPr>
                            <w:rFonts w:ascii="Arial Narrow" w:hAnsi="Arial Narrow" w:cs="Arial"/>
                            <w:sz w:val="16"/>
                            <w:szCs w:val="16"/>
                          </w:rPr>
                        </w:pPr>
                        <w:r>
                          <w:rPr>
                            <w:rFonts w:ascii="Arial Narrow" w:hAnsi="Arial Narrow" w:cs="Arial"/>
                            <w:sz w:val="16"/>
                            <w:szCs w:val="16"/>
                          </w:rPr>
                          <w:t>All</w:t>
                        </w:r>
                      </w:p>
                    </w:tc>
                    <w:tc>
                      <w:tcPr>
                        <w:tcW w:w="827" w:type="dxa"/>
                        <w:tcBorders>
                          <w:top w:val="single" w:sz="4"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3.5%</w:t>
                        </w:r>
                      </w:p>
                    </w:tc>
                    <w:tc>
                      <w:tcPr>
                        <w:tcW w:w="960" w:type="dxa"/>
                        <w:tcBorders>
                          <w:top w:val="single" w:sz="4"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19.0%</w:t>
                        </w:r>
                      </w:p>
                    </w:tc>
                    <w:tc>
                      <w:tcPr>
                        <w:tcW w:w="840" w:type="dxa"/>
                        <w:tcBorders>
                          <w:top w:val="single" w:sz="4"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10.9%</w:t>
                        </w:r>
                      </w:p>
                    </w:tc>
                    <w:tc>
                      <w:tcPr>
                        <w:tcW w:w="840" w:type="dxa"/>
                        <w:tcBorders>
                          <w:top w:val="single" w:sz="4"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4.3%</w:t>
                        </w:r>
                      </w:p>
                    </w:tc>
                    <w:tc>
                      <w:tcPr>
                        <w:tcW w:w="720" w:type="dxa"/>
                        <w:tcBorders>
                          <w:top w:val="single" w:sz="4"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3.2%</w:t>
                        </w:r>
                      </w:p>
                    </w:tc>
                    <w:tc>
                      <w:tcPr>
                        <w:tcW w:w="840" w:type="dxa"/>
                        <w:tcBorders>
                          <w:top w:val="single" w:sz="4"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3.3%</w:t>
                        </w:r>
                      </w:p>
                    </w:tc>
                    <w:tc>
                      <w:tcPr>
                        <w:tcW w:w="975" w:type="dxa"/>
                        <w:tcBorders>
                          <w:top w:val="single" w:sz="4"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3.6%</w:t>
                        </w:r>
                      </w:p>
                    </w:tc>
                  </w:tr>
                  <w:tr w:rsidR="00183A10" w:rsidTr="00E42586">
                    <w:trPr>
                      <w:trHeight w:val="185"/>
                    </w:trPr>
                    <w:tc>
                      <w:tcPr>
                        <w:tcW w:w="1003" w:type="dxa"/>
                        <w:vAlign w:val="bottom"/>
                      </w:tcPr>
                      <w:p w:rsidR="00183A10" w:rsidRDefault="00183A10">
                        <w:pPr>
                          <w:rPr>
                            <w:rFonts w:ascii="Arial Narrow" w:hAnsi="Arial Narrow" w:cs="Arial"/>
                            <w:sz w:val="16"/>
                            <w:szCs w:val="16"/>
                          </w:rPr>
                        </w:pPr>
                        <w:r>
                          <w:rPr>
                            <w:rFonts w:ascii="Arial Narrow" w:hAnsi="Arial Narrow" w:cs="Arial"/>
                            <w:sz w:val="16"/>
                            <w:szCs w:val="16"/>
                          </w:rPr>
                          <w:t>UK</w:t>
                        </w:r>
                      </w:p>
                    </w:tc>
                    <w:tc>
                      <w:tcPr>
                        <w:tcW w:w="827" w:type="dxa"/>
                        <w:vAlign w:val="bottom"/>
                      </w:tcPr>
                      <w:p w:rsidR="00183A10" w:rsidRDefault="00183A10">
                        <w:pPr>
                          <w:jc w:val="right"/>
                          <w:rPr>
                            <w:rFonts w:ascii="Arial Narrow" w:hAnsi="Arial Narrow" w:cs="Arial"/>
                            <w:sz w:val="16"/>
                            <w:szCs w:val="16"/>
                          </w:rPr>
                        </w:pPr>
                        <w:r>
                          <w:rPr>
                            <w:rFonts w:ascii="Arial Narrow" w:hAnsi="Arial Narrow" w:cs="Arial"/>
                            <w:sz w:val="16"/>
                            <w:szCs w:val="16"/>
                          </w:rPr>
                          <w:t>9.8%</w:t>
                        </w:r>
                      </w:p>
                    </w:tc>
                    <w:tc>
                      <w:tcPr>
                        <w:tcW w:w="960" w:type="dxa"/>
                        <w:vAlign w:val="bottom"/>
                      </w:tcPr>
                      <w:p w:rsidR="00183A10" w:rsidRDefault="00183A10">
                        <w:pPr>
                          <w:jc w:val="right"/>
                          <w:rPr>
                            <w:rFonts w:ascii="Arial Narrow" w:hAnsi="Arial Narrow" w:cs="Arial"/>
                            <w:sz w:val="16"/>
                            <w:szCs w:val="16"/>
                          </w:rPr>
                        </w:pPr>
                        <w:r>
                          <w:rPr>
                            <w:rFonts w:ascii="Arial Narrow" w:hAnsi="Arial Narrow" w:cs="Arial"/>
                            <w:sz w:val="16"/>
                            <w:szCs w:val="16"/>
                          </w:rPr>
                          <w:t>21.0%</w:t>
                        </w:r>
                      </w:p>
                    </w:tc>
                    <w:tc>
                      <w:tcPr>
                        <w:tcW w:w="840" w:type="dxa"/>
                        <w:vAlign w:val="bottom"/>
                      </w:tcPr>
                      <w:p w:rsidR="00183A10" w:rsidRDefault="00183A10">
                        <w:pPr>
                          <w:jc w:val="right"/>
                          <w:rPr>
                            <w:rFonts w:ascii="Arial Narrow" w:hAnsi="Arial Narrow" w:cs="Arial"/>
                            <w:sz w:val="16"/>
                            <w:szCs w:val="16"/>
                          </w:rPr>
                        </w:pPr>
                        <w:r>
                          <w:rPr>
                            <w:rFonts w:ascii="Arial Narrow" w:hAnsi="Arial Narrow" w:cs="Arial"/>
                            <w:sz w:val="16"/>
                            <w:szCs w:val="16"/>
                          </w:rPr>
                          <w:t>7.7%</w:t>
                        </w:r>
                      </w:p>
                    </w:tc>
                    <w:tc>
                      <w:tcPr>
                        <w:tcW w:w="840" w:type="dxa"/>
                        <w:vAlign w:val="bottom"/>
                      </w:tcPr>
                      <w:p w:rsidR="00183A10" w:rsidRDefault="00183A10">
                        <w:pPr>
                          <w:jc w:val="right"/>
                          <w:rPr>
                            <w:rFonts w:ascii="Arial Narrow" w:hAnsi="Arial Narrow" w:cs="Arial"/>
                            <w:sz w:val="16"/>
                            <w:szCs w:val="16"/>
                          </w:rPr>
                        </w:pPr>
                        <w:r>
                          <w:rPr>
                            <w:rFonts w:ascii="Arial Narrow" w:hAnsi="Arial Narrow" w:cs="Arial"/>
                            <w:sz w:val="16"/>
                            <w:szCs w:val="16"/>
                          </w:rPr>
                          <w:t>-2.2%</w:t>
                        </w:r>
                      </w:p>
                    </w:tc>
                    <w:tc>
                      <w:tcPr>
                        <w:tcW w:w="720" w:type="dxa"/>
                        <w:vAlign w:val="bottom"/>
                      </w:tcPr>
                      <w:p w:rsidR="00183A10" w:rsidRDefault="00183A10">
                        <w:pPr>
                          <w:jc w:val="right"/>
                          <w:rPr>
                            <w:rFonts w:ascii="Arial Narrow" w:hAnsi="Arial Narrow" w:cs="Arial"/>
                            <w:sz w:val="16"/>
                            <w:szCs w:val="16"/>
                          </w:rPr>
                        </w:pPr>
                        <w:r>
                          <w:rPr>
                            <w:rFonts w:ascii="Arial Narrow" w:hAnsi="Arial Narrow" w:cs="Arial"/>
                            <w:sz w:val="16"/>
                            <w:szCs w:val="16"/>
                          </w:rPr>
                          <w:t>2.7%</w:t>
                        </w:r>
                      </w:p>
                    </w:tc>
                    <w:tc>
                      <w:tcPr>
                        <w:tcW w:w="840" w:type="dxa"/>
                        <w:vAlign w:val="bottom"/>
                      </w:tcPr>
                      <w:p w:rsidR="00183A10" w:rsidRDefault="00183A10">
                        <w:pPr>
                          <w:jc w:val="right"/>
                          <w:rPr>
                            <w:rFonts w:ascii="Arial Narrow" w:hAnsi="Arial Narrow" w:cs="Arial"/>
                            <w:sz w:val="16"/>
                            <w:szCs w:val="16"/>
                          </w:rPr>
                        </w:pPr>
                        <w:r>
                          <w:rPr>
                            <w:rFonts w:ascii="Arial Narrow" w:hAnsi="Arial Narrow" w:cs="Arial"/>
                            <w:sz w:val="16"/>
                            <w:szCs w:val="16"/>
                          </w:rPr>
                          <w:t>2.8%</w:t>
                        </w:r>
                      </w:p>
                    </w:tc>
                    <w:tc>
                      <w:tcPr>
                        <w:tcW w:w="975" w:type="dxa"/>
                        <w:vAlign w:val="bottom"/>
                      </w:tcPr>
                      <w:p w:rsidR="00183A10" w:rsidRDefault="00183A10">
                        <w:pPr>
                          <w:jc w:val="right"/>
                          <w:rPr>
                            <w:rFonts w:ascii="Arial Narrow" w:hAnsi="Arial Narrow" w:cs="Arial"/>
                            <w:sz w:val="16"/>
                            <w:szCs w:val="16"/>
                          </w:rPr>
                        </w:pPr>
                        <w:r>
                          <w:rPr>
                            <w:rFonts w:ascii="Arial Narrow" w:hAnsi="Arial Narrow" w:cs="Arial"/>
                            <w:sz w:val="16"/>
                            <w:szCs w:val="16"/>
                          </w:rPr>
                          <w:t>2.9%</w:t>
                        </w:r>
                      </w:p>
                    </w:tc>
                  </w:tr>
                  <w:tr w:rsidR="00183A10" w:rsidTr="00E42586">
                    <w:trPr>
                      <w:trHeight w:val="186"/>
                    </w:trPr>
                    <w:tc>
                      <w:tcPr>
                        <w:tcW w:w="1003" w:type="dxa"/>
                        <w:tcBorders>
                          <w:bottom w:val="single" w:sz="6" w:space="0" w:color="auto"/>
                        </w:tcBorders>
                        <w:vAlign w:val="bottom"/>
                      </w:tcPr>
                      <w:p w:rsidR="00183A10" w:rsidRDefault="00183A10">
                        <w:pPr>
                          <w:rPr>
                            <w:rFonts w:ascii="Arial Narrow" w:hAnsi="Arial Narrow" w:cs="Arial"/>
                            <w:sz w:val="16"/>
                            <w:szCs w:val="16"/>
                          </w:rPr>
                        </w:pPr>
                        <w:r>
                          <w:rPr>
                            <w:rFonts w:ascii="Arial Narrow" w:hAnsi="Arial Narrow" w:cs="Arial"/>
                            <w:sz w:val="16"/>
                            <w:szCs w:val="16"/>
                          </w:rPr>
                          <w:t>Continent</w:t>
                        </w:r>
                      </w:p>
                    </w:tc>
                    <w:tc>
                      <w:tcPr>
                        <w:tcW w:w="827" w:type="dxa"/>
                        <w:tcBorders>
                          <w:bottom w:val="single" w:sz="6"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-3.0%</w:t>
                        </w:r>
                      </w:p>
                    </w:tc>
                    <w:tc>
                      <w:tcPr>
                        <w:tcW w:w="960" w:type="dxa"/>
                        <w:tcBorders>
                          <w:bottom w:val="single" w:sz="6"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16.9%</w:t>
                        </w:r>
                      </w:p>
                    </w:tc>
                    <w:tc>
                      <w:tcPr>
                        <w:tcW w:w="840" w:type="dxa"/>
                        <w:tcBorders>
                          <w:bottom w:val="single" w:sz="6"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14.3%</w:t>
                        </w:r>
                      </w:p>
                    </w:tc>
                    <w:tc>
                      <w:tcPr>
                        <w:tcW w:w="840" w:type="dxa"/>
                        <w:tcBorders>
                          <w:bottom w:val="single" w:sz="6"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11.1%</w:t>
                        </w:r>
                      </w:p>
                    </w:tc>
                    <w:tc>
                      <w:tcPr>
                        <w:tcW w:w="720" w:type="dxa"/>
                        <w:tcBorders>
                          <w:bottom w:val="single" w:sz="6"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3.8%</w:t>
                        </w:r>
                      </w:p>
                    </w:tc>
                    <w:tc>
                      <w:tcPr>
                        <w:tcW w:w="840" w:type="dxa"/>
                        <w:tcBorders>
                          <w:bottom w:val="single" w:sz="6"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3.9%</w:t>
                        </w:r>
                      </w:p>
                    </w:tc>
                    <w:tc>
                      <w:tcPr>
                        <w:tcW w:w="975" w:type="dxa"/>
                        <w:tcBorders>
                          <w:bottom w:val="single" w:sz="6" w:space="0" w:color="auto"/>
                        </w:tcBorders>
                        <w:vAlign w:val="bottom"/>
                      </w:tcPr>
                      <w:p w:rsidR="00183A10" w:rsidRDefault="00183A10">
                        <w:pPr>
                          <w:jc w:val="right"/>
                          <w:rPr>
                            <w:rFonts w:ascii="Arial Narrow" w:hAnsi="Arial Narrow" w:cs="Arial"/>
                            <w:sz w:val="16"/>
                            <w:szCs w:val="16"/>
                          </w:rPr>
                        </w:pPr>
                        <w:r>
                          <w:rPr>
                            <w:rFonts w:ascii="Arial Narrow" w:hAnsi="Arial Narrow" w:cs="Arial"/>
                            <w:sz w:val="16"/>
                            <w:szCs w:val="16"/>
                          </w:rPr>
                          <w:t>4.3%</w:t>
                        </w:r>
                      </w:p>
                    </w:tc>
                  </w:tr>
                </w:tbl>
                <w:p w:rsidR="00183A10" w:rsidRDefault="00183A10" w:rsidP="00FD01D9">
                  <w:pPr>
                    <w:pStyle w:val="Source"/>
                  </w:pPr>
                  <w:r>
                    <w:t>Source: J.P. Morgan estimates</w:t>
                  </w:r>
                </w:p>
              </w:txbxContent>
            </v:textbox>
            <w10:wrap type="square" anchorx="page" anchory="page"/>
            <w10:anchorlock/>
          </v:shape>
        </w:pict>
      </w:r>
      <w:r w:rsidR="001136B6" w:rsidRPr="00183A10">
        <w:rPr>
          <w:b/>
          <w:lang w:val="en-GB"/>
        </w:rPr>
        <w:t>(</w:t>
      </w:r>
      <w:r w:rsidR="00E02477" w:rsidRPr="002C2C7B">
        <w:rPr>
          <w:b/>
          <w:lang w:val="en-GB"/>
        </w:rPr>
        <w:t>1)</w:t>
      </w:r>
      <w:r w:rsidR="00E02477" w:rsidRPr="002C2C7B">
        <w:rPr>
          <w:lang w:val="en-GB"/>
        </w:rPr>
        <w:t xml:space="preserve"> </w:t>
      </w:r>
      <w:r w:rsidR="001136B6" w:rsidRPr="002C2C7B">
        <w:t>S</w:t>
      </w:r>
      <w:r w:rsidR="002C2C7B">
        <w:t>t</w:t>
      </w:r>
      <w:r w:rsidR="001136B6" w:rsidRPr="002C2C7B">
        <w:t xml:space="preserve"> Modwen is </w:t>
      </w:r>
      <w:r w:rsidR="002C2C7B" w:rsidRPr="002C2C7B">
        <w:t>gearing</w:t>
      </w:r>
      <w:r w:rsidR="001136B6" w:rsidRPr="002C2C7B">
        <w:t xml:space="preserve"> further into the regional recovery with 1m sq ft of projects underway. </w:t>
      </w:r>
      <w:r w:rsidR="001136B6" w:rsidRPr="002C2C7B">
        <w:rPr>
          <w:b/>
        </w:rPr>
        <w:t>(2)</w:t>
      </w:r>
      <w:r w:rsidR="001136B6" w:rsidRPr="002C2C7B">
        <w:t xml:space="preserve"> The Dutch housing market bouncing</w:t>
      </w:r>
      <w:r w:rsidR="001136B6">
        <w:t xml:space="preserve"> </w:t>
      </w:r>
      <w:r w:rsidR="002C2C7B">
        <w:t>up</w:t>
      </w:r>
      <w:r w:rsidR="001136B6">
        <w:t xml:space="preserve">; </w:t>
      </w:r>
      <w:r w:rsidR="002C2C7B">
        <w:t xml:space="preserve">all </w:t>
      </w:r>
      <w:r w:rsidR="001136B6">
        <w:t xml:space="preserve">41 </w:t>
      </w:r>
      <w:r w:rsidR="002C2C7B">
        <w:t>newly developed studios</w:t>
      </w:r>
      <w:r w:rsidR="00183A10">
        <w:t xml:space="preserve"> (24-49sqm)</w:t>
      </w:r>
      <w:r w:rsidR="002C2C7B">
        <w:t xml:space="preserve"> in the “The Waldo” apartment </w:t>
      </w:r>
      <w:r w:rsidR="00183A10">
        <w:t>block</w:t>
      </w:r>
      <w:r w:rsidR="002C2C7B">
        <w:t xml:space="preserve"> in the Hague sold off in just two hours</w:t>
      </w:r>
      <w:r w:rsidR="001136B6">
        <w:t xml:space="preserve"> </w:t>
      </w:r>
      <w:r w:rsidR="00183A10">
        <w:t xml:space="preserve">last Saturday. </w:t>
      </w:r>
    </w:p>
    <w:p w:rsidR="001136B6" w:rsidRDefault="001136B6" w:rsidP="00183A10">
      <w:pPr>
        <w:pStyle w:val="FPBullet"/>
      </w:pPr>
      <w:r w:rsidRPr="001136B6">
        <w:rPr>
          <w:b/>
          <w:bCs/>
        </w:rPr>
        <w:t>St Modwen – 1H-14 Results – Stepping On The Gas – More to Go:</w:t>
      </w:r>
      <w:r w:rsidRPr="001136B6">
        <w:t xml:space="preserve"> St Modwen reported strong 1H-14 results: EPRA NAV grew (+6% to 314p) and profit before all tax was up 32% to £51.3m (JPMe FY: £102m). </w:t>
      </w:r>
      <w:r w:rsidRPr="001136B6">
        <w:rPr>
          <w:u w:val="single"/>
        </w:rPr>
        <w:t>However, we believe there is more to go</w:t>
      </w:r>
      <w:r w:rsidRPr="001136B6">
        <w:t xml:space="preserve">. The group is gearing (further) into the regional commercial development recovery with 1m sq ft of projects underway while progressing their flagship scheme – New Covent Garden Market (on-site in 1H-15), seeing </w:t>
      </w:r>
      <w:r w:rsidRPr="001136B6">
        <w:rPr>
          <w:i/>
          <w:iCs/>
        </w:rPr>
        <w:t>“excellent sales rates”</w:t>
      </w:r>
      <w:r w:rsidRPr="001136B6">
        <w:t xml:space="preserve"> in their residential projects, selling land ahead of book value, and taking (some) yield compression on the income producing portfolio. In our recent note, </w:t>
      </w:r>
      <w:hyperlink r:id="rId14" w:tgtFrame="\_blank\" w:history="1">
        <w:r>
          <w:rPr>
            <w:rStyle w:val="Hyperlink"/>
          </w:rPr>
          <w:t>We buy the dips…and this is a dip</w:t>
        </w:r>
      </w:hyperlink>
      <w:r w:rsidRPr="001136B6">
        <w:t xml:space="preserve">, we stress tested St Modwen to the downside and see these results as (very) supportive of our OW stance. Please </w:t>
      </w:r>
      <w:hyperlink r:id="rId15" w:history="1">
        <w:r>
          <w:rPr>
            <w:rStyle w:val="Hyperlink"/>
          </w:rPr>
          <w:t>click here</w:t>
        </w:r>
      </w:hyperlink>
      <w:r w:rsidRPr="001136B6">
        <w:t xml:space="preserve"> to read on.</w:t>
      </w:r>
    </w:p>
    <w:p w:rsidR="001136B6" w:rsidRDefault="001136B6" w:rsidP="00183A10">
      <w:pPr>
        <w:pStyle w:val="FPBullet"/>
        <w:rPr>
          <w:b/>
          <w:bCs/>
        </w:rPr>
      </w:pPr>
      <w:r>
        <w:rPr>
          <w:b/>
          <w:bCs/>
        </w:rPr>
        <w:t xml:space="preserve">Luxury Brands Need to Upgrade Discount Stores says Scott Malkin: </w:t>
      </w:r>
      <w:r>
        <w:t xml:space="preserve">According to Bloomberg, the Chairman of Value Retail Plc – Scott Malkin believes luxury goods companies are wrong to treat discount </w:t>
      </w:r>
      <w:r>
        <w:lastRenderedPageBreak/>
        <w:t xml:space="preserve">outlets as </w:t>
      </w:r>
      <w:r>
        <w:rPr>
          <w:i/>
          <w:iCs/>
        </w:rPr>
        <w:t>“dumping grounds”</w:t>
      </w:r>
      <w:r>
        <w:t xml:space="preserve"> for surplus stock and the practice risks alienating shoppers. Mr Malkin added that luxury brands should provide a shopping experience in outlets that is comparable to their full-price stores… </w:t>
      </w:r>
      <w:r>
        <w:rPr>
          <w:i/>
          <w:iCs/>
        </w:rPr>
        <w:t xml:space="preserve">“the notion of what’s acceptable as an experience is shifting…we’ve reached a tipping point.” </w:t>
      </w:r>
      <w:r>
        <w:t xml:space="preserve">The shift comes as brands like Kering SA –owned Gucci prioritize refurbishing their full price stores amid slowing sales whereas sales in discounted (aka off-price sales) have surged 26% over the last year. Mr Malkin went further saying </w:t>
      </w:r>
      <w:r>
        <w:rPr>
          <w:i/>
          <w:iCs/>
        </w:rPr>
        <w:t xml:space="preserve">“The brands don’t treat the outlet stores with respect…many of them say just sell it and charge us as little as possible and send us the money.” </w:t>
      </w:r>
      <w:r>
        <w:t>Customers that are attracted to the likes of Bicester Village – Value Retail’s outlet near Oxford are price insensitive (as exemplified by the number of expensive chauffer driven cars that can be seen at the centre)…</w:t>
      </w:r>
      <w:r>
        <w:rPr>
          <w:i/>
          <w:iCs/>
        </w:rPr>
        <w:t xml:space="preserve">“you want the right relationship with those people.” </w:t>
      </w:r>
      <w:r>
        <w:t xml:space="preserve">Mr Malkin added that Value Retail will be able to keep growing </w:t>
      </w:r>
      <w:r>
        <w:rPr>
          <w:i/>
          <w:iCs/>
        </w:rPr>
        <w:t xml:space="preserve">“in a meaningful way” </w:t>
      </w:r>
      <w:r>
        <w:t>in Europe. (Source: Bloomberg)</w:t>
      </w:r>
    </w:p>
    <w:p w:rsidR="001136B6" w:rsidRDefault="001136B6" w:rsidP="00183A10">
      <w:pPr>
        <w:pStyle w:val="FPBullet"/>
        <w:rPr>
          <w:b/>
          <w:bCs/>
        </w:rPr>
      </w:pPr>
      <w:r>
        <w:rPr>
          <w:b/>
          <w:bCs/>
        </w:rPr>
        <w:t xml:space="preserve">Scottish Independence raises red flag for real estate investors: </w:t>
      </w:r>
      <w:r>
        <w:t xml:space="preserve">According to Bloomberg, Scotland’s lagging commercial property market (behind London) has developed another obstacle for investors – a potential breakup from the UK. Brokers and Investment managers are seeing the scheduled referendum weighing on the market… </w:t>
      </w:r>
      <w:r>
        <w:rPr>
          <w:i/>
          <w:iCs/>
        </w:rPr>
        <w:t xml:space="preserve">“clients are holding off on key decisions,” </w:t>
      </w:r>
      <w:r>
        <w:t xml:space="preserve">said Simon Light of EC Harris… </w:t>
      </w:r>
      <w:r>
        <w:rPr>
          <w:i/>
          <w:iCs/>
        </w:rPr>
        <w:t xml:space="preserve">“the element of uncertainty exists quite strongly and so people are just waiting.” </w:t>
      </w:r>
      <w:r>
        <w:t xml:space="preserve">Independence has </w:t>
      </w:r>
      <w:r>
        <w:rPr>
          <w:i/>
          <w:iCs/>
        </w:rPr>
        <w:t xml:space="preserve">“definitely come up on the radar screen of institutional investors…the consequence of it would be quite negative potentially for pricing in the Scottish market,” </w:t>
      </w:r>
      <w:r>
        <w:t>said Ben Stirling – Managing Director at Aviva. The best office buildings in Glasgow and Edinburgh are yielding c. 5.75%, unchanged over the last 5 years whereas in London yields have compressed to 3.75% in prime West End. According to Bloomberg, Derwent London and British Land both cited Scottish independence as risks for the market in recent Annual reports</w:t>
      </w:r>
      <w:r w:rsidR="005C3F4E">
        <w:t>,</w:t>
      </w:r>
      <w:r>
        <w:t xml:space="preserve"> whereas ICG-Longbow said UK commercial property funds are mostly limited to investing in their home country, independence may lead to them having to sell Scottish property holdings.(Source: Bloomberg).</w:t>
      </w:r>
    </w:p>
    <w:p w:rsidR="001136B6" w:rsidRDefault="001136B6" w:rsidP="00183A10">
      <w:pPr>
        <w:pStyle w:val="FPBullet"/>
        <w:rPr>
          <w:b/>
          <w:bCs/>
        </w:rPr>
      </w:pPr>
      <w:r>
        <w:rPr>
          <w:b/>
          <w:bCs/>
        </w:rPr>
        <w:t xml:space="preserve">Pushing Button – 210,000sq ft Speculative Reading Office Tower: </w:t>
      </w:r>
      <w:r>
        <w:t xml:space="preserve">In a sign supporting St Modwen’s increasingly positive view on more regional UK, Benson Elliot and Stanhope are to speculative develop a 210,000sq ft Reading office tower at its £500m Station Hill scheme in Reading. Construction has been committed to in Jun-15 should a pre-let have not emerged. Strutt &amp; Parker and Savills will be advising on the offices and will be seeking rents in the mid £30’s/sq ft. The building will be made up of 16 upper floors with typical floorplates of 14,000sq ft whereas the site also has consent for a further three major office buildings between 82,000sq ft and 300,000sq ft. Commenting, Savills said </w:t>
      </w:r>
      <w:r>
        <w:rPr>
          <w:i/>
          <w:iCs/>
        </w:rPr>
        <w:t xml:space="preserve">“occupier wise there is already a great and diverse tenant base in Reading, but we will also be targeting fringe London and West End tenants looking for scale and quality with great connectivity and benefit from cost savings. Reading’s position as a major hub with great </w:t>
      </w:r>
      <w:r>
        <w:rPr>
          <w:i/>
          <w:iCs/>
        </w:rPr>
        <w:lastRenderedPageBreak/>
        <w:t>connectively will also appeal to tenants from Birmingham through to Bristol and Cardiff as well as the South Coast.”</w:t>
      </w:r>
      <w:r>
        <w:t xml:space="preserve"> (Source: CoStar).  </w:t>
      </w:r>
    </w:p>
    <w:p w:rsidR="001136B6" w:rsidRDefault="001136B6" w:rsidP="00183A10">
      <w:pPr>
        <w:pStyle w:val="FPBullet"/>
        <w:rPr>
          <w:b/>
          <w:bCs/>
        </w:rPr>
      </w:pPr>
      <w:r>
        <w:rPr>
          <w:b/>
          <w:bCs/>
        </w:rPr>
        <w:t>Bracknell office refurbishment sale in another sign of growing confidence:</w:t>
      </w:r>
      <w:r>
        <w:t xml:space="preserve"> According to CoStar, Cordea Savills has acquired Greenwood House in Bracknell for a major office refurbishment. The vacant 70,451sq ft building was sold for £6.2m after being brought to the market earlier this yield with a price tag of &gt;£4m. The asset will now undergo major refurbishment to Grade A quality and will be ready for occupation in 1Q-15. Interestingly, there had been expectations for the asset to be sold and converted to residential. (Source: CoStar). </w:t>
      </w:r>
      <w:r>
        <w:rPr>
          <w:b/>
          <w:bCs/>
        </w:rPr>
        <w:t>  </w:t>
      </w:r>
    </w:p>
    <w:p w:rsidR="001136B6" w:rsidRDefault="001136B6" w:rsidP="00183A10">
      <w:pPr>
        <w:pStyle w:val="FPBullet"/>
        <w:rPr>
          <w:lang w:val="en-GB"/>
        </w:rPr>
      </w:pPr>
      <w:r>
        <w:rPr>
          <w:b/>
          <w:lang w:val="en-GB"/>
        </w:rPr>
        <w:t xml:space="preserve">Hibernia to buy Dublin’s Observatory Building: </w:t>
      </w:r>
      <w:r>
        <w:rPr>
          <w:lang w:val="en-GB"/>
        </w:rPr>
        <w:t xml:space="preserve">The Irish REIT Hibernia has exchanged contracts to acquire the Observatory Building in Dublin for €52.25m. The property is on the riverfront at Sir </w:t>
      </w:r>
      <w:r w:rsidRPr="00825A0D">
        <w:rPr>
          <w:lang w:val="en-GB"/>
        </w:rPr>
        <w:t>John Rogerson’s Quay in the South Docks area of Dublin and is immediately in front of the Hanover Building and Windmill Lane site, which Hibernia also recently bought.</w:t>
      </w:r>
      <w:r>
        <w:rPr>
          <w:lang w:val="en-GB"/>
        </w:rPr>
        <w:t xml:space="preserve"> </w:t>
      </w:r>
    </w:p>
    <w:p w:rsidR="001136B6" w:rsidRPr="00825A0D" w:rsidRDefault="001136B6" w:rsidP="00183A10">
      <w:pPr>
        <w:pStyle w:val="FPBullet"/>
        <w:rPr>
          <w:lang w:val="en-GB"/>
        </w:rPr>
      </w:pPr>
      <w:r w:rsidRPr="00825A0D">
        <w:rPr>
          <w:i/>
          <w:lang w:val="en-GB"/>
        </w:rPr>
        <w:t>The Observatory Building was built in 2006</w:t>
      </w:r>
      <w:r w:rsidRPr="00825A0D">
        <w:rPr>
          <w:lang w:val="en-GB"/>
        </w:rPr>
        <w:t xml:space="preserve"> and comprises 86,213 sq ft of office space arranged over six floors.</w:t>
      </w:r>
      <w:r>
        <w:rPr>
          <w:lang w:val="en-GB"/>
        </w:rPr>
        <w:t xml:space="preserve"> </w:t>
      </w:r>
      <w:r w:rsidRPr="00825A0D">
        <w:rPr>
          <w:lang w:val="en-GB"/>
        </w:rPr>
        <w:t>There are also eight partially-completed two bedroom apartment units of around 1,400 sq ft each and two vacant retail units totalling 2,059 sq ft.</w:t>
      </w:r>
    </w:p>
    <w:p w:rsidR="001136B6" w:rsidRPr="00825A0D" w:rsidRDefault="001136B6" w:rsidP="00183A10">
      <w:pPr>
        <w:pStyle w:val="FPBullet"/>
        <w:rPr>
          <w:lang w:val="en-GB"/>
        </w:rPr>
      </w:pPr>
      <w:r w:rsidRPr="00825A0D">
        <w:rPr>
          <w:i/>
          <w:lang w:val="en-GB"/>
        </w:rPr>
        <w:t>The office space is more than 95% let to a range of tenants</w:t>
      </w:r>
      <w:r w:rsidRPr="00825A0D">
        <w:rPr>
          <w:lang w:val="en-GB"/>
        </w:rPr>
        <w:t xml:space="preserve">, including </w:t>
      </w:r>
      <w:r w:rsidRPr="00825A0D">
        <w:rPr>
          <w:u w:val="single"/>
          <w:lang w:val="en-GB"/>
        </w:rPr>
        <w:t>Riot Games</w:t>
      </w:r>
      <w:r w:rsidRPr="00825A0D">
        <w:rPr>
          <w:lang w:val="en-GB"/>
        </w:rPr>
        <w:t xml:space="preserve"> and </w:t>
      </w:r>
      <w:r w:rsidRPr="00825A0D">
        <w:rPr>
          <w:u w:val="single"/>
          <w:lang w:val="en-GB"/>
        </w:rPr>
        <w:t>Publicis</w:t>
      </w:r>
      <w:r w:rsidRPr="00825A0D">
        <w:rPr>
          <w:lang w:val="en-GB"/>
        </w:rPr>
        <w:t xml:space="preserve">, </w:t>
      </w:r>
      <w:r>
        <w:rPr>
          <w:lang w:val="en-GB"/>
        </w:rPr>
        <w:t>at</w:t>
      </w:r>
      <w:r w:rsidRPr="00825A0D">
        <w:rPr>
          <w:lang w:val="en-GB"/>
        </w:rPr>
        <w:t xml:space="preserve"> low average rents of €26/sq ft, with a weighted average period to break of four years and an average unexpired lease term of 11 years.</w:t>
      </w:r>
      <w:r>
        <w:rPr>
          <w:lang w:val="en-GB"/>
        </w:rPr>
        <w:t xml:space="preserve"> </w:t>
      </w:r>
      <w:r w:rsidRPr="00825A0D">
        <w:rPr>
          <w:lang w:val="en-GB"/>
        </w:rPr>
        <w:t xml:space="preserve">More than 44% of the current rent roll has rent reviews during or before 2018 with 56% subject to review in 2019. </w:t>
      </w:r>
    </w:p>
    <w:p w:rsidR="001136B6" w:rsidRPr="00825A0D" w:rsidRDefault="001136B6" w:rsidP="00183A10">
      <w:pPr>
        <w:pStyle w:val="FPBullet"/>
        <w:rPr>
          <w:iCs/>
          <w:lang w:val="en-GB"/>
        </w:rPr>
      </w:pPr>
      <w:r w:rsidRPr="00825A0D">
        <w:rPr>
          <w:lang w:val="en-GB"/>
        </w:rPr>
        <w:t>Once the rent free periods expire, the building will generate a net yield of 4.1%. The purchase price reflects a capital value of €586/sq ft for the office space.</w:t>
      </w:r>
      <w:r>
        <w:rPr>
          <w:lang w:val="en-GB"/>
        </w:rPr>
        <w:t xml:space="preserve"> </w:t>
      </w:r>
    </w:p>
    <w:p w:rsidR="001136B6" w:rsidRPr="00825A0D" w:rsidRDefault="001136B6" w:rsidP="00183A10">
      <w:pPr>
        <w:pStyle w:val="FPBullet"/>
        <w:rPr>
          <w:iCs/>
          <w:lang w:val="en-GB"/>
        </w:rPr>
      </w:pPr>
      <w:r w:rsidRPr="00825A0D">
        <w:rPr>
          <w:i/>
          <w:lang w:val="en-GB"/>
        </w:rPr>
        <w:t>Following the completion of this transaction</w:t>
      </w:r>
      <w:r w:rsidRPr="00825A0D">
        <w:rPr>
          <w:lang w:val="en-GB"/>
        </w:rPr>
        <w:t>, Hibernia will have concluded eight acquisitions since listing, committing €307m, over 82% of the net proceeds raised in December 2013.</w:t>
      </w:r>
      <w:r>
        <w:rPr>
          <w:lang w:val="en-GB"/>
        </w:rPr>
        <w:t xml:space="preserve"> (Source: PropertyWeek) </w:t>
      </w:r>
    </w:p>
    <w:p w:rsidR="001136B6" w:rsidRDefault="001136B6" w:rsidP="00183A10">
      <w:pPr>
        <w:pStyle w:val="FPBullet"/>
        <w:rPr>
          <w:b/>
          <w:bCs/>
        </w:rPr>
      </w:pPr>
      <w:r>
        <w:rPr>
          <w:b/>
          <w:bCs/>
        </w:rPr>
        <w:t xml:space="preserve">SEGRO completes €472m SELP acquisition: </w:t>
      </w:r>
      <w:r>
        <w:t>This morning</w:t>
      </w:r>
      <w:r w:rsidR="005C3F4E">
        <w:t>,</w:t>
      </w:r>
      <w:r>
        <w:t xml:space="preserve"> SEGRO confirmed it had completed the remaining €185m of the €472m portfolio acquisition within SEGRO SELP further to announcements dated 11-Feb and 30-May. As a result, the current contracted annualized net rental income associated with the assets completed is €11.6m taking the total to €31.6m. (Source: Company Press Release).</w:t>
      </w:r>
    </w:p>
    <w:p w:rsidR="001136B6" w:rsidRDefault="001136B6" w:rsidP="00183A10">
      <w:pPr>
        <w:pStyle w:val="FPBullet"/>
        <w:rPr>
          <w:b/>
          <w:bCs/>
        </w:rPr>
      </w:pPr>
      <w:r>
        <w:rPr>
          <w:b/>
          <w:bCs/>
        </w:rPr>
        <w:t xml:space="preserve">Brooke-Smith to be named first female RICS president: </w:t>
      </w:r>
      <w:r>
        <w:t>According to PropertyEU, Louise Brooke-Smith has been named as the first female president of RICS – the Royal Institution of Chartered Surveryors – its first in its 146 year history. (Source: PropertyEU).</w:t>
      </w:r>
    </w:p>
    <w:p w:rsidR="001136B6" w:rsidRDefault="001136B6" w:rsidP="00183A10">
      <w:pPr>
        <w:pStyle w:val="FPBullet"/>
        <w:rPr>
          <w:b/>
          <w:bCs/>
        </w:rPr>
      </w:pPr>
      <w:r>
        <w:rPr>
          <w:b/>
          <w:bCs/>
        </w:rPr>
        <w:lastRenderedPageBreak/>
        <w:t xml:space="preserve">Warrington Mall sells for £141m reflecting a 6.75% yield: </w:t>
      </w:r>
      <w:r>
        <w:t xml:space="preserve">According to CoStar, LaSalle has acquired Golden Square Shopping Centre in Warrington for £141m in a deal reflecting a yield of 6.75%. The 712,500sq ft scheme has 133 units and is anchored by the likes of Debenhams, Primark, Bhd and Boots. The centre benefits from footfall in excess of 12m p.a. and boasts a 1,700 space car park. (Source: CoStar). </w:t>
      </w:r>
    </w:p>
    <w:p w:rsidR="00825A0D" w:rsidRPr="00845196" w:rsidRDefault="00825A0D" w:rsidP="00183A10">
      <w:pPr>
        <w:pStyle w:val="FPBullet"/>
        <w:rPr>
          <w:iCs/>
          <w:lang w:val="en-GB"/>
        </w:rPr>
      </w:pPr>
      <w:r w:rsidRPr="00825A0D">
        <w:rPr>
          <w:b/>
          <w:lang w:val="en-GB"/>
        </w:rPr>
        <w:t>M&amp;G makes leap for £46.7m Quantum business park:</w:t>
      </w:r>
      <w:r>
        <w:rPr>
          <w:lang w:val="en-GB"/>
        </w:rPr>
        <w:t xml:space="preserve"> </w:t>
      </w:r>
      <w:r w:rsidRPr="00825A0D">
        <w:rPr>
          <w:lang w:val="en-GB"/>
        </w:rPr>
        <w:t>M&amp;G Real Estate has bought Quantum Business Park in Maidenhead from Urban &amp; Civic for £46.7m</w:t>
      </w:r>
      <w:r w:rsidR="00845196">
        <w:rPr>
          <w:lang w:val="en-GB"/>
        </w:rPr>
        <w:t xml:space="preserve">. </w:t>
      </w:r>
      <w:r w:rsidR="00845196" w:rsidRPr="00845196">
        <w:rPr>
          <w:lang w:val="en-GB"/>
        </w:rPr>
        <w:t>The off-market deal, which completed for a net initial yield of 6.7%, was made on behalf of the M&amp;G Property Portfolio</w:t>
      </w:r>
      <w:r w:rsidR="00845196">
        <w:rPr>
          <w:lang w:val="en-GB"/>
        </w:rPr>
        <w:t>.</w:t>
      </w:r>
    </w:p>
    <w:p w:rsidR="00845196" w:rsidRDefault="00845196" w:rsidP="00183A10">
      <w:pPr>
        <w:pStyle w:val="FPBullet"/>
        <w:rPr>
          <w:iCs/>
          <w:lang w:val="en-GB"/>
        </w:rPr>
      </w:pPr>
      <w:r w:rsidRPr="00845196">
        <w:rPr>
          <w:i/>
          <w:iCs/>
          <w:lang w:val="en-GB"/>
        </w:rPr>
        <w:t>Quantum Business Park comprises two grade A office buildings</w:t>
      </w:r>
      <w:r w:rsidRPr="00845196">
        <w:rPr>
          <w:iCs/>
          <w:lang w:val="en-GB"/>
        </w:rPr>
        <w:t xml:space="preserve"> totalling 123,217 sq ft, multi-let to six tenants at a rent of £3.3m per annum. Occupiers include </w:t>
      </w:r>
      <w:r w:rsidRPr="00845196">
        <w:rPr>
          <w:iCs/>
          <w:u w:val="single"/>
          <w:lang w:val="en-GB"/>
        </w:rPr>
        <w:t>Biogen</w:t>
      </w:r>
      <w:r w:rsidRPr="00845196">
        <w:rPr>
          <w:iCs/>
          <w:lang w:val="en-GB"/>
        </w:rPr>
        <w:t xml:space="preserve">, </w:t>
      </w:r>
      <w:r w:rsidRPr="00845196">
        <w:rPr>
          <w:iCs/>
          <w:u w:val="single"/>
          <w:lang w:val="en-GB"/>
        </w:rPr>
        <w:t>Abbott Laboratories</w:t>
      </w:r>
      <w:r w:rsidRPr="00845196">
        <w:rPr>
          <w:iCs/>
          <w:lang w:val="en-GB"/>
        </w:rPr>
        <w:t xml:space="preserve">, Compuware and </w:t>
      </w:r>
      <w:r w:rsidRPr="00845196">
        <w:rPr>
          <w:iCs/>
          <w:u w:val="single"/>
          <w:lang w:val="en-GB"/>
        </w:rPr>
        <w:t>Seagate Technology</w:t>
      </w:r>
      <w:r w:rsidRPr="00845196">
        <w:rPr>
          <w:iCs/>
          <w:lang w:val="en-GB"/>
        </w:rPr>
        <w:t>. The scheme on Norden Road was completed by Terrace Hill in 2009.</w:t>
      </w:r>
    </w:p>
    <w:p w:rsidR="00845196" w:rsidRPr="00845196" w:rsidRDefault="00845196" w:rsidP="00183A10">
      <w:pPr>
        <w:pStyle w:val="FPBullet"/>
        <w:rPr>
          <w:iCs/>
          <w:lang w:val="en-GB"/>
        </w:rPr>
      </w:pPr>
      <w:r w:rsidRPr="00845196">
        <w:rPr>
          <w:i/>
          <w:iCs/>
          <w:lang w:val="en-GB"/>
        </w:rPr>
        <w:t>This deal is the first since the completion of the Urban &amp; Civic’s reverse takeover of Terrace Hill</w:t>
      </w:r>
      <w:r w:rsidRPr="00845196">
        <w:rPr>
          <w:iCs/>
          <w:lang w:val="en-GB"/>
        </w:rPr>
        <w:t xml:space="preserve">, which developed Quantum in 2008. Terrace Hill own a 26% share of the JV, and will receive net cash of £3.7m after repayment of bank debt in the JV. The remaining 74% is owned by a Middle Eastern fund management by Marick Real Estate. Terrace Hill had previously fully marked down its investment in the JV. The deal should be seen in light of a significant increase in business activity in the South East, as well as the completion of Crossrail in 2018/2019. </w:t>
      </w:r>
    </w:p>
    <w:p w:rsidR="00845196" w:rsidRPr="00845196" w:rsidRDefault="00845196" w:rsidP="00183A10">
      <w:pPr>
        <w:pStyle w:val="FPBullet"/>
        <w:rPr>
          <w:iCs/>
          <w:lang w:val="en-GB"/>
        </w:rPr>
      </w:pPr>
      <w:r w:rsidRPr="00845196">
        <w:rPr>
          <w:iCs/>
          <w:lang w:val="en-GB"/>
        </w:rPr>
        <w:t xml:space="preserve">Rob Lane, Development Director of Terrace Hill, said: </w:t>
      </w:r>
      <w:r w:rsidRPr="00845196">
        <w:rPr>
          <w:i/>
          <w:iCs/>
          <w:lang w:val="en-GB"/>
        </w:rPr>
        <w:t>“The proceeds will allow further opportunity for our recently enlarged business to focus on new development-led opportunities in clearly identified sectors. The transaction is in line with our twin focus on commercial development and trading opportunities across Central London and the UK’s regions, combined with creating large-scale residential-led sites that benefit from strong transport links as well as robust local economies, and we look forward to announcing further transactions in due course.”</w:t>
      </w:r>
      <w:r>
        <w:rPr>
          <w:i/>
          <w:iCs/>
          <w:lang w:val="en-GB"/>
        </w:rPr>
        <w:t xml:space="preserve"> </w:t>
      </w:r>
      <w:r>
        <w:rPr>
          <w:iCs/>
          <w:lang w:val="en-GB"/>
        </w:rPr>
        <w:t xml:space="preserve">(Source: CoStar). </w:t>
      </w:r>
    </w:p>
    <w:p w:rsidR="006B0E69" w:rsidRPr="001D6A48" w:rsidRDefault="006B0E69" w:rsidP="00183A10">
      <w:pPr>
        <w:pStyle w:val="FPBullet"/>
        <w:rPr>
          <w:iCs/>
          <w:lang w:val="en-GB"/>
        </w:rPr>
      </w:pPr>
      <w:r w:rsidRPr="001D6A48">
        <w:rPr>
          <w:b/>
          <w:iCs/>
          <w:lang w:val="en-GB"/>
        </w:rPr>
        <w:t>Dutch office take-up stable in Q2</w:t>
      </w:r>
      <w:r w:rsidR="000657BD" w:rsidRPr="001D6A48">
        <w:rPr>
          <w:b/>
          <w:iCs/>
          <w:lang w:val="en-GB"/>
        </w:rPr>
        <w:t>, but vacancy also up</w:t>
      </w:r>
      <w:r w:rsidRPr="001D6A48">
        <w:rPr>
          <w:b/>
          <w:iCs/>
          <w:lang w:val="en-GB"/>
        </w:rPr>
        <w:t>:</w:t>
      </w:r>
      <w:r w:rsidRPr="001D6A48">
        <w:rPr>
          <w:iCs/>
          <w:lang w:val="en-GB"/>
        </w:rPr>
        <w:t xml:space="preserve"> Take-up in the Dutch office market has reached 243,249 sq m in Q2, which constitutes an increase of 16% (33,000 sq m) yoy. The increase can mainly be attributed </w:t>
      </w:r>
      <w:r w:rsidR="000657BD" w:rsidRPr="001D6A48">
        <w:rPr>
          <w:iCs/>
          <w:lang w:val="en-GB"/>
        </w:rPr>
        <w:t>to ING Bank using up half of its recently acquired 46,500 Cisco office in Amsterdam South-East.  The current available stock (excluding grey space) currently stands at 7.2m sq m. The available stock has increased 2% versus 3 months ago. (Source: Dynamis Real Estate Consultants and Agents, Vastgoedmarkt).</w:t>
      </w:r>
    </w:p>
    <w:p w:rsidR="00631EAC" w:rsidRDefault="00631EAC" w:rsidP="00183A10">
      <w:pPr>
        <w:pStyle w:val="FPBullet"/>
        <w:rPr>
          <w:iCs/>
          <w:lang w:val="en-GB"/>
        </w:rPr>
      </w:pPr>
      <w:r>
        <w:rPr>
          <w:b/>
          <w:iCs/>
          <w:lang w:val="en-GB"/>
        </w:rPr>
        <w:t>Lone Star reported to bid for €250</w:t>
      </w:r>
      <w:r w:rsidRPr="00631EAC">
        <w:rPr>
          <w:b/>
          <w:iCs/>
          <w:lang w:val="en-GB"/>
        </w:rPr>
        <w:t>-300m Dutch office portfolio:</w:t>
      </w:r>
      <w:r>
        <w:rPr>
          <w:iCs/>
          <w:lang w:val="en-GB"/>
        </w:rPr>
        <w:t xml:space="preserve"> US private equity firm Lone Star reportedly is in talks with CBRE Gobal Investors on the acquisition of a sizeable Dutch office portfolio. </w:t>
      </w:r>
    </w:p>
    <w:p w:rsidR="00631EAC" w:rsidRPr="006B0E69" w:rsidRDefault="00631EAC" w:rsidP="00183A10">
      <w:pPr>
        <w:pStyle w:val="FPBullet"/>
        <w:rPr>
          <w:iCs/>
          <w:lang w:val="en-GB"/>
        </w:rPr>
      </w:pPr>
      <w:r>
        <w:rPr>
          <w:i/>
          <w:iCs/>
          <w:lang w:val="en-GB"/>
        </w:rPr>
        <w:lastRenderedPageBreak/>
        <w:t>The</w:t>
      </w:r>
      <w:r w:rsidRPr="00631EAC">
        <w:rPr>
          <w:i/>
          <w:iCs/>
          <w:lang w:val="en-GB"/>
        </w:rPr>
        <w:t xml:space="preserve"> portfolio would consist of 29 office assets</w:t>
      </w:r>
      <w:r>
        <w:rPr>
          <w:iCs/>
          <w:lang w:val="en-GB"/>
        </w:rPr>
        <w:t xml:space="preserve">, valued at around €250-300m. Lone Star would have put in a bid reflecting 8x annual rent (gross yield 12.5%). The Dutch Office Fund of CBRE GI has €2bn of offices for sale. Last year, the fund sold €165m worth of offices to Blackstone. In September 2013, a €120m portfolio was sold to a JV consisting of OVG and Goldman Sachs. (Source: Vastgoedmarkt). </w:t>
      </w:r>
    </w:p>
    <w:p w:rsidR="00D6072A" w:rsidRPr="00FE5CD7" w:rsidRDefault="00D6072A" w:rsidP="00183A10">
      <w:pPr>
        <w:pStyle w:val="FPBullet"/>
        <w:rPr>
          <w:iCs/>
          <w:lang w:val="en-GB"/>
        </w:rPr>
      </w:pPr>
      <w:r w:rsidRPr="00FE5CD7">
        <w:rPr>
          <w:b/>
          <w:iCs/>
          <w:lang w:val="en-GB"/>
        </w:rPr>
        <w:t xml:space="preserve">Hansteen acquires €106m Dutch logistics portfolio: </w:t>
      </w:r>
      <w:r w:rsidRPr="00FE5CD7">
        <w:rPr>
          <w:iCs/>
          <w:lang w:val="en-GB"/>
        </w:rPr>
        <w:t xml:space="preserve">The Dutch logistics market continues to do well. Internos Global Investors has sold the HBI-portfolio to Hansteen Holdings. The transaction amount was €106m. The portfolio consists of 41 </w:t>
      </w:r>
      <w:r w:rsidR="00DE4EC0">
        <w:rPr>
          <w:iCs/>
          <w:lang w:val="en-GB"/>
        </w:rPr>
        <w:t xml:space="preserve">logistic </w:t>
      </w:r>
      <w:r w:rsidRPr="00FE5CD7">
        <w:rPr>
          <w:iCs/>
          <w:lang w:val="en-GB"/>
        </w:rPr>
        <w:t xml:space="preserve">assets with a combined surface of 370,000 sq m.  </w:t>
      </w:r>
      <w:r w:rsidR="00FE5CD7" w:rsidRPr="00FE5CD7">
        <w:rPr>
          <w:iCs/>
          <w:lang w:val="en-GB"/>
        </w:rPr>
        <w:t xml:space="preserve">The portfolio will be managed from Hansteen’s existing office and Amsterdam and a newly opened office at Smart Business Park in Utrecht, one of the properties in the portfolio. The assets generate gross rental income of €15.4m, and the current vacancy rate is around 20%, which </w:t>
      </w:r>
      <w:r w:rsidR="00FE5CD7" w:rsidRPr="00FE5CD7">
        <w:rPr>
          <w:i/>
          <w:iCs/>
          <w:lang w:val="en-GB"/>
        </w:rPr>
        <w:t>“provides a significant opportunity to add value”</w:t>
      </w:r>
      <w:r w:rsidR="00FE5CD7" w:rsidRPr="00FE5CD7">
        <w:rPr>
          <w:iCs/>
          <w:lang w:val="en-GB"/>
        </w:rPr>
        <w:t>.</w:t>
      </w:r>
      <w:r w:rsidR="00FE5CD7" w:rsidRPr="00FE5CD7">
        <w:t xml:space="preserve"> </w:t>
      </w:r>
      <w:r w:rsidR="00FE5CD7" w:rsidRPr="00FE5CD7">
        <w:rPr>
          <w:iCs/>
          <w:lang w:val="en-GB"/>
        </w:rPr>
        <w:t xml:space="preserve">Ian Watson, joint Chief Executive, said that the board is </w:t>
      </w:r>
      <w:r w:rsidR="00FE5CD7" w:rsidRPr="00FE5CD7">
        <w:rPr>
          <w:i/>
          <w:iCs/>
          <w:lang w:val="en-GB"/>
        </w:rPr>
        <w:t>“confident we will see a large uplift at the next valuation”</w:t>
      </w:r>
      <w:r w:rsidR="00FE5CD7" w:rsidRPr="00FE5CD7">
        <w:rPr>
          <w:iCs/>
          <w:lang w:val="en-GB"/>
        </w:rPr>
        <w:t>.</w:t>
      </w:r>
      <w:r w:rsidR="00FE5CD7">
        <w:rPr>
          <w:iCs/>
          <w:lang w:val="en-GB"/>
        </w:rPr>
        <w:t xml:space="preserve"> </w:t>
      </w:r>
      <w:r w:rsidRPr="00FE5CD7">
        <w:rPr>
          <w:iCs/>
          <w:lang w:val="en-GB"/>
        </w:rPr>
        <w:t>(Source: Vastgoedmarkt</w:t>
      </w:r>
      <w:r w:rsidR="00FE5CD7">
        <w:rPr>
          <w:iCs/>
          <w:lang w:val="en-GB"/>
        </w:rPr>
        <w:t>, Company press release</w:t>
      </w:r>
      <w:r w:rsidRPr="00FE5CD7">
        <w:rPr>
          <w:iCs/>
          <w:lang w:val="en-GB"/>
        </w:rPr>
        <w:t xml:space="preserve">). </w:t>
      </w:r>
    </w:p>
    <w:p w:rsidR="00D6072A" w:rsidRDefault="00D6072A" w:rsidP="00183A10">
      <w:pPr>
        <w:pStyle w:val="FPBullet"/>
        <w:rPr>
          <w:iCs/>
          <w:lang w:val="en-GB"/>
        </w:rPr>
      </w:pPr>
      <w:r>
        <w:rPr>
          <w:b/>
          <w:iCs/>
          <w:lang w:val="en-GB"/>
        </w:rPr>
        <w:t>Pramerica acquired 49/51 avenue George V in Paris</w:t>
      </w:r>
      <w:r w:rsidR="006B0E69">
        <w:rPr>
          <w:b/>
          <w:iCs/>
          <w:lang w:val="en-GB"/>
        </w:rPr>
        <w:t xml:space="preserve">: </w:t>
      </w:r>
      <w:r>
        <w:rPr>
          <w:b/>
          <w:iCs/>
          <w:lang w:val="en-GB"/>
        </w:rPr>
        <w:t xml:space="preserve"> </w:t>
      </w:r>
      <w:r w:rsidR="006B0E69">
        <w:rPr>
          <w:iCs/>
          <w:lang w:val="en-GB"/>
        </w:rPr>
        <w:t>Pramerica Real Estate Investors has acquired a mixed used building consisting of 5,265 sqm of office and retail space situated on 49/51 avenue George V. The building has 8 storeys, was fully renovated in 2007, and offers flexible spaces.</w:t>
      </w:r>
    </w:p>
    <w:p w:rsidR="006B0E69" w:rsidRDefault="006B0E69" w:rsidP="00183A10">
      <w:pPr>
        <w:pStyle w:val="FPBullet"/>
        <w:rPr>
          <w:iCs/>
          <w:lang w:val="en-GB"/>
        </w:rPr>
      </w:pPr>
      <w:r w:rsidRPr="006B0E69">
        <w:rPr>
          <w:iCs/>
          <w:lang w:val="en-GB"/>
        </w:rPr>
        <w:t>Jocelyn Verdelon, head of France, Spain and</w:t>
      </w:r>
      <w:r>
        <w:rPr>
          <w:iCs/>
          <w:lang w:val="en-GB"/>
        </w:rPr>
        <w:t xml:space="preserve"> Portugal at Pramerica, said: </w:t>
      </w:r>
      <w:r w:rsidRPr="006B0E69">
        <w:rPr>
          <w:i/>
          <w:iCs/>
          <w:lang w:val="en-GB"/>
        </w:rPr>
        <w:t>“The 49/51 avenue George V combines quality commercial premises and spaces of modern and efficient office overlooking the Champs-Elysées. We believe that prime assets benefiting from prime locations have a high potential for reversion and provide, therefore, an attractive risk-return profile”</w:t>
      </w:r>
      <w:r>
        <w:rPr>
          <w:i/>
          <w:iCs/>
          <w:lang w:val="en-GB"/>
        </w:rPr>
        <w:t xml:space="preserve"> </w:t>
      </w:r>
      <w:r>
        <w:rPr>
          <w:iCs/>
          <w:lang w:val="en-GB"/>
        </w:rPr>
        <w:t xml:space="preserve">(Source: Business Immo). </w:t>
      </w:r>
    </w:p>
    <w:p w:rsidR="006C6045" w:rsidRPr="006C6045" w:rsidRDefault="006479CC" w:rsidP="00183A10">
      <w:pPr>
        <w:pStyle w:val="FPBullet"/>
        <w:rPr>
          <w:b/>
          <w:bCs/>
          <w:lang w:val="en-GB"/>
        </w:rPr>
      </w:pPr>
      <w:r w:rsidRPr="00D6072A">
        <w:rPr>
          <w:b/>
          <w:lang w:val="en-GB"/>
        </w:rPr>
        <w:t xml:space="preserve">Recent note: </w:t>
      </w:r>
      <w:r w:rsidR="006C6045" w:rsidRPr="00D6072A">
        <w:rPr>
          <w:b/>
        </w:rPr>
        <w:t>Property: We buy the dips...</w:t>
      </w:r>
      <w:r w:rsidR="00FF5A08" w:rsidRPr="00D6072A">
        <w:rPr>
          <w:b/>
        </w:rPr>
        <w:t xml:space="preserve"> </w:t>
      </w:r>
      <w:r w:rsidR="006C6045" w:rsidRPr="00D6072A">
        <w:rPr>
          <w:b/>
        </w:rPr>
        <w:t>and this is a dip. Pick up Land Secs, British Land, St Modwen &amp; Quintain</w:t>
      </w:r>
      <w:r w:rsidR="006C6045" w:rsidRPr="00D6072A">
        <w:t>. The recent sell-off in</w:t>
      </w:r>
      <w:r w:rsidR="006C6045">
        <w:t xml:space="preserve"> the EPRA UK index presents an opportunity in our view and we would pick up Land Securities (19% upside), British Land (17% upside), St Modwen (25% upside) and Quintain (51% upside) at current levels. We flex our models and find we have to factor in very bearish assumptions to see downside from here (British Land: c.0% capital growth for ’14 and ‘15) while underlying property fundamentals remain strong (IPD since Mar-14: +1.9%) and our DCFs point to more capital growth (up to 19% over the next 12 months). We recommended buying the dips...this is a dip. To continue reading, please </w:t>
      </w:r>
      <w:hyperlink r:id="rId16" w:history="1">
        <w:r w:rsidR="006C6045">
          <w:rPr>
            <w:rStyle w:val="Hyperlink"/>
          </w:rPr>
          <w:t>click here</w:t>
        </w:r>
      </w:hyperlink>
      <w:r w:rsidR="006C6045">
        <w:t xml:space="preserve">. </w:t>
      </w:r>
    </w:p>
    <w:p w:rsidR="00FD01D9" w:rsidRPr="008C5A7A" w:rsidRDefault="002E187C" w:rsidP="00183A10">
      <w:pPr>
        <w:pStyle w:val="FPBullet"/>
        <w:rPr>
          <w:b/>
          <w:bCs/>
          <w:lang w:val="en-GB"/>
        </w:rPr>
      </w:pPr>
      <w:r w:rsidRPr="008C5A7A">
        <w:rPr>
          <w:b/>
          <w:lang w:val="en-GB"/>
        </w:rPr>
        <w:t>Recent</w:t>
      </w:r>
      <w:r w:rsidR="001C7C7E">
        <w:rPr>
          <w:b/>
          <w:lang w:val="en-GB"/>
        </w:rPr>
        <w:t xml:space="preserve"> </w:t>
      </w:r>
      <w:r w:rsidRPr="008C5A7A">
        <w:rPr>
          <w:b/>
          <w:lang w:val="en-GB"/>
        </w:rPr>
        <w:t>note:</w:t>
      </w:r>
      <w:r w:rsidR="001C7C7E">
        <w:rPr>
          <w:b/>
          <w:lang w:val="en-GB"/>
        </w:rPr>
        <w:t xml:space="preserve"> </w:t>
      </w:r>
      <w:r w:rsidRPr="008C5A7A">
        <w:rPr>
          <w:b/>
          <w:bCs/>
          <w:lang w:val="en-GB"/>
        </w:rPr>
        <w:t>German</w:t>
      </w:r>
      <w:r w:rsidR="001C7C7E">
        <w:rPr>
          <w:b/>
          <w:bCs/>
          <w:lang w:val="en-GB"/>
        </w:rPr>
        <w:t xml:space="preserve"> </w:t>
      </w:r>
      <w:r w:rsidRPr="008C5A7A">
        <w:rPr>
          <w:b/>
          <w:bCs/>
          <w:lang w:val="en-GB"/>
        </w:rPr>
        <w:t>Residential:</w:t>
      </w:r>
      <w:r w:rsidR="001C7C7E">
        <w:rPr>
          <w:b/>
          <w:bCs/>
          <w:lang w:val="en-GB"/>
        </w:rPr>
        <w:t xml:space="preserve"> </w:t>
      </w:r>
      <w:r w:rsidRPr="008C5A7A">
        <w:rPr>
          <w:b/>
          <w:bCs/>
          <w:lang w:val="en-GB"/>
        </w:rPr>
        <w:t>Still</w:t>
      </w:r>
      <w:r w:rsidR="001C7C7E">
        <w:rPr>
          <w:b/>
          <w:bCs/>
          <w:lang w:val="en-GB"/>
        </w:rPr>
        <w:t xml:space="preserve"> </w:t>
      </w:r>
      <w:r w:rsidRPr="008C5A7A">
        <w:rPr>
          <w:b/>
          <w:bCs/>
          <w:lang w:val="en-GB"/>
        </w:rPr>
        <w:t>our</w:t>
      </w:r>
      <w:r w:rsidR="001C7C7E">
        <w:rPr>
          <w:b/>
          <w:bCs/>
          <w:lang w:val="en-GB"/>
        </w:rPr>
        <w:t xml:space="preserve"> </w:t>
      </w:r>
      <w:r w:rsidRPr="008C5A7A">
        <w:rPr>
          <w:b/>
          <w:bCs/>
          <w:lang w:val="en-GB"/>
        </w:rPr>
        <w:t>preferred</w:t>
      </w:r>
      <w:r w:rsidR="001C7C7E">
        <w:rPr>
          <w:b/>
          <w:bCs/>
          <w:lang w:val="en-GB"/>
        </w:rPr>
        <w:t xml:space="preserve"> </w:t>
      </w:r>
      <w:r w:rsidRPr="008C5A7A">
        <w:rPr>
          <w:b/>
          <w:bCs/>
          <w:lang w:val="en-GB"/>
        </w:rPr>
        <w:t>play</w:t>
      </w:r>
      <w:r w:rsidR="001C7C7E">
        <w:rPr>
          <w:b/>
          <w:bCs/>
          <w:lang w:val="en-GB"/>
        </w:rPr>
        <w:t xml:space="preserve"> </w:t>
      </w:r>
      <w:r w:rsidRPr="008C5A7A">
        <w:rPr>
          <w:b/>
          <w:bCs/>
          <w:lang w:val="en-GB"/>
        </w:rPr>
        <w:t>on</w:t>
      </w:r>
      <w:r w:rsidR="001C7C7E">
        <w:rPr>
          <w:b/>
          <w:bCs/>
          <w:lang w:val="en-GB"/>
        </w:rPr>
        <w:t xml:space="preserve"> </w:t>
      </w:r>
      <w:r w:rsidRPr="008C5A7A">
        <w:rPr>
          <w:b/>
          <w:bCs/>
          <w:lang w:val="en-GB"/>
        </w:rPr>
        <w:t>the</w:t>
      </w:r>
      <w:r w:rsidR="001C7C7E">
        <w:rPr>
          <w:b/>
          <w:bCs/>
          <w:lang w:val="en-GB"/>
        </w:rPr>
        <w:t xml:space="preserve"> </w:t>
      </w:r>
      <w:r w:rsidRPr="008C5A7A">
        <w:rPr>
          <w:b/>
          <w:bCs/>
          <w:lang w:val="en-GB"/>
        </w:rPr>
        <w:t>Continent:</w:t>
      </w:r>
      <w:r w:rsidR="001C7C7E">
        <w:rPr>
          <w:b/>
          <w:bCs/>
          <w:lang w:val="en-GB"/>
        </w:rPr>
        <w:t xml:space="preserve"> </w:t>
      </w:r>
      <w:r w:rsidRPr="008C5A7A">
        <w:rPr>
          <w:b/>
          <w:bCs/>
          <w:lang w:val="en-GB"/>
        </w:rPr>
        <w:t>We</w:t>
      </w:r>
      <w:r w:rsidR="001C7C7E">
        <w:rPr>
          <w:b/>
          <w:bCs/>
          <w:lang w:val="en-GB"/>
        </w:rPr>
        <w:t xml:space="preserve"> </w:t>
      </w:r>
      <w:r w:rsidRPr="008C5A7A">
        <w:rPr>
          <w:b/>
          <w:bCs/>
          <w:lang w:val="en-GB"/>
        </w:rPr>
        <w:t>buy</w:t>
      </w:r>
      <w:r w:rsidR="001C7C7E">
        <w:rPr>
          <w:b/>
          <w:bCs/>
          <w:lang w:val="en-GB"/>
        </w:rPr>
        <w:t xml:space="preserve"> </w:t>
      </w:r>
      <w:r w:rsidRPr="008C5A7A">
        <w:rPr>
          <w:b/>
          <w:bCs/>
          <w:lang w:val="en-GB"/>
        </w:rPr>
        <w:t>ANN</w:t>
      </w:r>
      <w:r w:rsidR="001C7C7E">
        <w:rPr>
          <w:b/>
          <w:bCs/>
          <w:lang w:val="en-GB"/>
        </w:rPr>
        <w:t xml:space="preserve"> </w:t>
      </w:r>
      <w:r w:rsidRPr="008C5A7A">
        <w:rPr>
          <w:b/>
          <w:bCs/>
          <w:lang w:val="en-GB"/>
        </w:rPr>
        <w:t>&amp;</w:t>
      </w:r>
      <w:r w:rsidR="001C7C7E">
        <w:rPr>
          <w:b/>
          <w:bCs/>
          <w:lang w:val="en-GB"/>
        </w:rPr>
        <w:t xml:space="preserve"> </w:t>
      </w:r>
      <w:r w:rsidRPr="008C5A7A">
        <w:rPr>
          <w:b/>
          <w:bCs/>
          <w:lang w:val="en-GB"/>
        </w:rPr>
        <w:t>LEG</w:t>
      </w:r>
      <w:r w:rsidR="001C7C7E">
        <w:rPr>
          <w:b/>
          <w:bCs/>
          <w:lang w:val="en-GB"/>
        </w:rPr>
        <w:t xml:space="preserve"> </w:t>
      </w:r>
      <w:r w:rsidRPr="008C5A7A">
        <w:rPr>
          <w:b/>
          <w:bCs/>
          <w:lang w:val="en-GB"/>
        </w:rPr>
        <w:t>ahead</w:t>
      </w:r>
      <w:r w:rsidR="001C7C7E">
        <w:rPr>
          <w:b/>
          <w:bCs/>
          <w:lang w:val="en-GB"/>
        </w:rPr>
        <w:t xml:space="preserve"> </w:t>
      </w:r>
      <w:r w:rsidRPr="008C5A7A">
        <w:rPr>
          <w:b/>
          <w:bCs/>
          <w:lang w:val="en-GB"/>
        </w:rPr>
        <w:t>of</w:t>
      </w:r>
      <w:r w:rsidR="001C7C7E">
        <w:rPr>
          <w:b/>
          <w:bCs/>
          <w:lang w:val="en-GB"/>
        </w:rPr>
        <w:t xml:space="preserve"> </w:t>
      </w:r>
      <w:r w:rsidRPr="008C5A7A">
        <w:rPr>
          <w:b/>
          <w:bCs/>
          <w:lang w:val="en-GB"/>
        </w:rPr>
        <w:t>probable</w:t>
      </w:r>
      <w:r w:rsidR="001C7C7E">
        <w:rPr>
          <w:b/>
          <w:bCs/>
          <w:lang w:val="en-GB"/>
        </w:rPr>
        <w:t xml:space="preserve"> </w:t>
      </w:r>
      <w:r w:rsidRPr="008C5A7A">
        <w:rPr>
          <w:b/>
          <w:bCs/>
          <w:lang w:val="en-GB"/>
        </w:rPr>
        <w:t>ECB</w:t>
      </w:r>
      <w:r w:rsidR="001C7C7E">
        <w:rPr>
          <w:b/>
          <w:bCs/>
          <w:lang w:val="en-GB"/>
        </w:rPr>
        <w:t xml:space="preserve"> </w:t>
      </w:r>
      <w:r w:rsidRPr="008C5A7A">
        <w:rPr>
          <w:b/>
          <w:bCs/>
          <w:lang w:val="en-GB"/>
        </w:rPr>
        <w:t>rate</w:t>
      </w:r>
      <w:r w:rsidR="001C7C7E">
        <w:rPr>
          <w:b/>
          <w:bCs/>
          <w:lang w:val="en-GB"/>
        </w:rPr>
        <w:t xml:space="preserve"> </w:t>
      </w:r>
      <w:r w:rsidRPr="008C5A7A">
        <w:rPr>
          <w:b/>
          <w:bCs/>
          <w:lang w:val="en-GB"/>
        </w:rPr>
        <w:t>cut</w:t>
      </w:r>
      <w:r w:rsidR="001C7C7E">
        <w:rPr>
          <w:b/>
          <w:bCs/>
          <w:lang w:val="en-GB"/>
        </w:rPr>
        <w:t xml:space="preserve"> </w:t>
      </w:r>
      <w:r w:rsidRPr="008C5A7A">
        <w:rPr>
          <w:b/>
          <w:bCs/>
          <w:lang w:val="en-GB"/>
        </w:rPr>
        <w:t>on</w:t>
      </w:r>
      <w:r w:rsidR="001C7C7E">
        <w:rPr>
          <w:b/>
          <w:bCs/>
          <w:lang w:val="en-GB"/>
        </w:rPr>
        <w:t xml:space="preserve"> </w:t>
      </w:r>
      <w:r w:rsidRPr="008C5A7A">
        <w:rPr>
          <w:b/>
          <w:bCs/>
          <w:lang w:val="en-GB"/>
        </w:rPr>
        <w:t>5-June</w:t>
      </w:r>
      <w:r w:rsidRPr="008C5A7A">
        <w:rPr>
          <w:lang w:val="en-GB"/>
        </w:rPr>
        <w:t>.</w:t>
      </w:r>
      <w:r w:rsidR="001C7C7E">
        <w:rPr>
          <w:lang w:val="en-GB"/>
        </w:rPr>
        <w:t xml:space="preserve"> </w:t>
      </w:r>
      <w:r w:rsidRPr="008C5A7A">
        <w:rPr>
          <w:lang w:val="en-GB"/>
        </w:rPr>
        <w:t>We</w:t>
      </w:r>
      <w:r w:rsidR="001C7C7E">
        <w:rPr>
          <w:lang w:val="en-GB"/>
        </w:rPr>
        <w:t xml:space="preserve"> </w:t>
      </w:r>
      <w:r w:rsidRPr="008C5A7A">
        <w:rPr>
          <w:lang w:val="en-GB"/>
        </w:rPr>
        <w:t>continue</w:t>
      </w:r>
      <w:r w:rsidR="001C7C7E">
        <w:rPr>
          <w:lang w:val="en-GB"/>
        </w:rPr>
        <w:t xml:space="preserve"> </w:t>
      </w:r>
      <w:r w:rsidRPr="008C5A7A">
        <w:rPr>
          <w:lang w:val="en-GB"/>
        </w:rPr>
        <w:t>to</w:t>
      </w:r>
      <w:r w:rsidR="001C7C7E">
        <w:rPr>
          <w:lang w:val="en-GB"/>
        </w:rPr>
        <w:t xml:space="preserve"> </w:t>
      </w:r>
      <w:r w:rsidRPr="008C5A7A">
        <w:rPr>
          <w:lang w:val="en-GB"/>
        </w:rPr>
        <w:t>prefer</w:t>
      </w:r>
      <w:r w:rsidR="001C7C7E">
        <w:rPr>
          <w:lang w:val="en-GB"/>
        </w:rPr>
        <w:t xml:space="preserve"> </w:t>
      </w:r>
      <w:r w:rsidRPr="008C5A7A">
        <w:rPr>
          <w:lang w:val="en-GB"/>
        </w:rPr>
        <w:t>German</w:t>
      </w:r>
      <w:r w:rsidR="001C7C7E">
        <w:rPr>
          <w:lang w:val="en-GB"/>
        </w:rPr>
        <w:t xml:space="preserve"> </w:t>
      </w:r>
      <w:r w:rsidRPr="008C5A7A">
        <w:rPr>
          <w:lang w:val="en-GB"/>
        </w:rPr>
        <w:t>residential</w:t>
      </w:r>
      <w:r w:rsidR="001C7C7E">
        <w:rPr>
          <w:lang w:val="en-GB"/>
        </w:rPr>
        <w:t xml:space="preserve"> </w:t>
      </w:r>
      <w:r w:rsidRPr="008C5A7A">
        <w:rPr>
          <w:lang w:val="en-GB"/>
        </w:rPr>
        <w:t>on</w:t>
      </w:r>
      <w:r w:rsidR="001C7C7E">
        <w:rPr>
          <w:lang w:val="en-GB"/>
        </w:rPr>
        <w:t xml:space="preserve"> </w:t>
      </w:r>
      <w:r w:rsidRPr="008C5A7A">
        <w:rPr>
          <w:lang w:val="en-GB"/>
        </w:rPr>
        <w:t>the</w:t>
      </w:r>
      <w:r w:rsidR="001C7C7E">
        <w:rPr>
          <w:lang w:val="en-GB"/>
        </w:rPr>
        <w:t xml:space="preserve"> </w:t>
      </w:r>
      <w:r w:rsidRPr="008C5A7A">
        <w:rPr>
          <w:lang w:val="en-GB"/>
        </w:rPr>
        <w:t>Continent</w:t>
      </w:r>
      <w:r w:rsidR="001C7C7E">
        <w:rPr>
          <w:lang w:val="en-GB"/>
        </w:rPr>
        <w:t xml:space="preserve"> </w:t>
      </w:r>
      <w:r w:rsidRPr="008C5A7A">
        <w:rPr>
          <w:lang w:val="en-GB"/>
        </w:rPr>
        <w:t>and</w:t>
      </w:r>
      <w:r w:rsidR="001C7C7E">
        <w:rPr>
          <w:lang w:val="en-GB"/>
        </w:rPr>
        <w:t xml:space="preserve"> </w:t>
      </w:r>
      <w:r w:rsidRPr="008C5A7A">
        <w:rPr>
          <w:lang w:val="en-GB"/>
        </w:rPr>
        <w:t>following</w:t>
      </w:r>
      <w:r w:rsidR="001C7C7E">
        <w:rPr>
          <w:lang w:val="en-GB"/>
        </w:rPr>
        <w:t xml:space="preserve"> </w:t>
      </w:r>
      <w:r w:rsidRPr="008C5A7A">
        <w:rPr>
          <w:lang w:val="en-GB"/>
        </w:rPr>
        <w:t>a</w:t>
      </w:r>
      <w:r w:rsidR="001C7C7E">
        <w:rPr>
          <w:lang w:val="en-GB"/>
        </w:rPr>
        <w:t xml:space="preserve"> </w:t>
      </w:r>
      <w:r w:rsidRPr="008C5A7A">
        <w:rPr>
          <w:lang w:val="en-GB"/>
        </w:rPr>
        <w:t>strong</w:t>
      </w:r>
      <w:r w:rsidR="001C7C7E">
        <w:rPr>
          <w:lang w:val="en-GB"/>
        </w:rPr>
        <w:t xml:space="preserve"> </w:t>
      </w:r>
      <w:r w:rsidRPr="008C5A7A">
        <w:rPr>
          <w:lang w:val="en-GB"/>
        </w:rPr>
        <w:t>results</w:t>
      </w:r>
      <w:r w:rsidR="001C7C7E">
        <w:rPr>
          <w:lang w:val="en-GB"/>
        </w:rPr>
        <w:t xml:space="preserve"> </w:t>
      </w:r>
      <w:r w:rsidRPr="008C5A7A">
        <w:rPr>
          <w:lang w:val="en-GB"/>
        </w:rPr>
        <w:t>period</w:t>
      </w:r>
      <w:r w:rsidR="001C7C7E">
        <w:rPr>
          <w:lang w:val="en-GB"/>
        </w:rPr>
        <w:t xml:space="preserve"> </w:t>
      </w:r>
      <w:r w:rsidRPr="008C5A7A">
        <w:rPr>
          <w:lang w:val="en-GB"/>
        </w:rPr>
        <w:t>we</w:t>
      </w:r>
      <w:r w:rsidR="001C7C7E">
        <w:rPr>
          <w:lang w:val="en-GB"/>
        </w:rPr>
        <w:t xml:space="preserve"> </w:t>
      </w:r>
      <w:r w:rsidRPr="008C5A7A">
        <w:rPr>
          <w:lang w:val="en-GB"/>
        </w:rPr>
        <w:t>upgrade</w:t>
      </w:r>
      <w:r w:rsidR="001C7C7E">
        <w:rPr>
          <w:lang w:val="en-GB"/>
        </w:rPr>
        <w:t xml:space="preserve"> </w:t>
      </w:r>
      <w:r w:rsidRPr="008C5A7A">
        <w:rPr>
          <w:lang w:val="en-GB"/>
        </w:rPr>
        <w:t>PTs</w:t>
      </w:r>
      <w:r w:rsidR="001C7C7E">
        <w:rPr>
          <w:lang w:val="en-GB"/>
        </w:rPr>
        <w:t xml:space="preserve"> </w:t>
      </w:r>
      <w:r w:rsidRPr="008C5A7A">
        <w:rPr>
          <w:lang w:val="en-GB"/>
        </w:rPr>
        <w:t>by</w:t>
      </w:r>
      <w:r w:rsidR="001C7C7E">
        <w:rPr>
          <w:lang w:val="en-GB"/>
        </w:rPr>
        <w:t xml:space="preserve"> </w:t>
      </w:r>
      <w:r w:rsidRPr="008C5A7A">
        <w:rPr>
          <w:lang w:val="en-GB"/>
        </w:rPr>
        <w:t>7-13%</w:t>
      </w:r>
      <w:r w:rsidR="001C7C7E">
        <w:rPr>
          <w:lang w:val="en-GB"/>
        </w:rPr>
        <w:t xml:space="preserve"> </w:t>
      </w:r>
      <w:r w:rsidRPr="008C5A7A">
        <w:rPr>
          <w:lang w:val="en-GB"/>
        </w:rPr>
        <w:t>and</w:t>
      </w:r>
      <w:r w:rsidR="001C7C7E">
        <w:rPr>
          <w:lang w:val="en-GB"/>
        </w:rPr>
        <w:t xml:space="preserve"> </w:t>
      </w:r>
      <w:r w:rsidRPr="008C5A7A">
        <w:rPr>
          <w:lang w:val="en-GB"/>
        </w:rPr>
        <w:t>reiterate</w:t>
      </w:r>
      <w:r w:rsidR="001C7C7E">
        <w:rPr>
          <w:lang w:val="en-GB"/>
        </w:rPr>
        <w:t xml:space="preserve"> </w:t>
      </w:r>
      <w:r w:rsidRPr="008C5A7A">
        <w:rPr>
          <w:lang w:val="en-GB"/>
        </w:rPr>
        <w:lastRenderedPageBreak/>
        <w:t>our</w:t>
      </w:r>
      <w:r w:rsidR="001C7C7E">
        <w:rPr>
          <w:lang w:val="en-GB"/>
        </w:rPr>
        <w:t xml:space="preserve"> </w:t>
      </w:r>
      <w:r w:rsidRPr="008C5A7A">
        <w:rPr>
          <w:lang w:val="en-GB"/>
        </w:rPr>
        <w:t>preference</w:t>
      </w:r>
      <w:r w:rsidR="001C7C7E">
        <w:rPr>
          <w:lang w:val="en-GB"/>
        </w:rPr>
        <w:t xml:space="preserve"> </w:t>
      </w:r>
      <w:r w:rsidRPr="008C5A7A">
        <w:rPr>
          <w:lang w:val="en-GB"/>
        </w:rPr>
        <w:t>for</w:t>
      </w:r>
      <w:r w:rsidR="001C7C7E">
        <w:rPr>
          <w:lang w:val="en-GB"/>
        </w:rPr>
        <w:t xml:space="preserve"> </w:t>
      </w:r>
      <w:r w:rsidRPr="008C5A7A">
        <w:rPr>
          <w:lang w:val="en-GB"/>
        </w:rPr>
        <w:t>Deutsche</w:t>
      </w:r>
      <w:r w:rsidR="001C7C7E">
        <w:rPr>
          <w:lang w:val="en-GB"/>
        </w:rPr>
        <w:t xml:space="preserve"> </w:t>
      </w:r>
      <w:r w:rsidRPr="008C5A7A">
        <w:rPr>
          <w:lang w:val="en-GB"/>
        </w:rPr>
        <w:t>Annington</w:t>
      </w:r>
      <w:r w:rsidR="001C7C7E">
        <w:rPr>
          <w:lang w:val="en-GB"/>
        </w:rPr>
        <w:t xml:space="preserve"> </w:t>
      </w:r>
      <w:r w:rsidRPr="008C5A7A">
        <w:rPr>
          <w:lang w:val="en-GB"/>
        </w:rPr>
        <w:t>and</w:t>
      </w:r>
      <w:r w:rsidR="001C7C7E">
        <w:rPr>
          <w:lang w:val="en-GB"/>
        </w:rPr>
        <w:t xml:space="preserve"> </w:t>
      </w:r>
      <w:r w:rsidRPr="008C5A7A">
        <w:rPr>
          <w:lang w:val="en-GB"/>
        </w:rPr>
        <w:t>LEG.</w:t>
      </w:r>
      <w:r w:rsidR="001C7C7E">
        <w:rPr>
          <w:lang w:val="en-GB"/>
        </w:rPr>
        <w:t xml:space="preserve"> </w:t>
      </w:r>
      <w:r w:rsidRPr="008C5A7A">
        <w:rPr>
          <w:lang w:val="en-GB"/>
        </w:rPr>
        <w:t>We</w:t>
      </w:r>
      <w:r w:rsidR="001C7C7E">
        <w:rPr>
          <w:lang w:val="en-GB"/>
        </w:rPr>
        <w:t xml:space="preserve"> </w:t>
      </w:r>
      <w:r w:rsidRPr="008C5A7A">
        <w:rPr>
          <w:lang w:val="en-GB"/>
        </w:rPr>
        <w:t>would</w:t>
      </w:r>
      <w:r w:rsidR="001C7C7E">
        <w:rPr>
          <w:lang w:val="en-GB"/>
        </w:rPr>
        <w:t xml:space="preserve"> </w:t>
      </w:r>
      <w:r w:rsidRPr="008C5A7A">
        <w:rPr>
          <w:lang w:val="en-GB"/>
        </w:rPr>
        <w:t>buy</w:t>
      </w:r>
      <w:r w:rsidR="001C7C7E">
        <w:rPr>
          <w:lang w:val="en-GB"/>
        </w:rPr>
        <w:t xml:space="preserve"> </w:t>
      </w:r>
      <w:r w:rsidRPr="008C5A7A">
        <w:rPr>
          <w:lang w:val="en-GB"/>
        </w:rPr>
        <w:t>ahead</w:t>
      </w:r>
      <w:r w:rsidR="001C7C7E">
        <w:rPr>
          <w:lang w:val="en-GB"/>
        </w:rPr>
        <w:t xml:space="preserve"> </w:t>
      </w:r>
      <w:r w:rsidRPr="008C5A7A">
        <w:rPr>
          <w:lang w:val="en-GB"/>
        </w:rPr>
        <w:t>of</w:t>
      </w:r>
      <w:r w:rsidR="001C7C7E">
        <w:rPr>
          <w:lang w:val="en-GB"/>
        </w:rPr>
        <w:t xml:space="preserve"> </w:t>
      </w:r>
      <w:r w:rsidRPr="008C5A7A">
        <w:rPr>
          <w:lang w:val="en-GB"/>
        </w:rPr>
        <w:t>a</w:t>
      </w:r>
      <w:r w:rsidR="001C7C7E">
        <w:rPr>
          <w:lang w:val="en-GB"/>
        </w:rPr>
        <w:t xml:space="preserve"> </w:t>
      </w:r>
      <w:r w:rsidRPr="008C5A7A">
        <w:rPr>
          <w:lang w:val="en-GB"/>
        </w:rPr>
        <w:t>probable</w:t>
      </w:r>
      <w:r w:rsidR="001C7C7E">
        <w:rPr>
          <w:lang w:val="en-GB"/>
        </w:rPr>
        <w:t xml:space="preserve"> </w:t>
      </w:r>
      <w:r w:rsidRPr="008C5A7A">
        <w:rPr>
          <w:lang w:val="en-GB"/>
        </w:rPr>
        <w:t>ECB</w:t>
      </w:r>
      <w:r w:rsidR="001C7C7E">
        <w:rPr>
          <w:lang w:val="en-GB"/>
        </w:rPr>
        <w:t xml:space="preserve"> </w:t>
      </w:r>
      <w:r w:rsidRPr="008C5A7A">
        <w:rPr>
          <w:lang w:val="en-GB"/>
        </w:rPr>
        <w:t>rate</w:t>
      </w:r>
      <w:r w:rsidR="001C7C7E">
        <w:rPr>
          <w:lang w:val="en-GB"/>
        </w:rPr>
        <w:t xml:space="preserve"> </w:t>
      </w:r>
      <w:r w:rsidRPr="008C5A7A">
        <w:rPr>
          <w:lang w:val="en-GB"/>
        </w:rPr>
        <w:t>cut</w:t>
      </w:r>
      <w:r w:rsidR="001C7C7E">
        <w:rPr>
          <w:lang w:val="en-GB"/>
        </w:rPr>
        <w:t xml:space="preserve"> </w:t>
      </w:r>
      <w:r w:rsidRPr="008C5A7A">
        <w:rPr>
          <w:lang w:val="en-GB"/>
        </w:rPr>
        <w:t>on</w:t>
      </w:r>
      <w:r w:rsidR="001C7C7E">
        <w:rPr>
          <w:lang w:val="en-GB"/>
        </w:rPr>
        <w:t xml:space="preserve"> </w:t>
      </w:r>
      <w:r w:rsidRPr="008C5A7A">
        <w:rPr>
          <w:lang w:val="en-GB"/>
        </w:rPr>
        <w:t>5-June</w:t>
      </w:r>
      <w:r w:rsidR="001C7C7E">
        <w:rPr>
          <w:lang w:val="en-GB"/>
        </w:rPr>
        <w:t xml:space="preserve"> </w:t>
      </w:r>
      <w:r w:rsidRPr="008C5A7A">
        <w:rPr>
          <w:lang w:val="en-GB"/>
        </w:rPr>
        <w:t>(JPMe:</w:t>
      </w:r>
      <w:r w:rsidR="001C7C7E">
        <w:rPr>
          <w:lang w:val="en-GB"/>
        </w:rPr>
        <w:t xml:space="preserve"> </w:t>
      </w:r>
      <w:r w:rsidRPr="008C5A7A">
        <w:rPr>
          <w:lang w:val="en-GB"/>
        </w:rPr>
        <w:t>15bps)</w:t>
      </w:r>
      <w:r w:rsidR="001C7C7E">
        <w:rPr>
          <w:lang w:val="en-GB"/>
        </w:rPr>
        <w:t xml:space="preserve"> </w:t>
      </w:r>
      <w:r w:rsidRPr="008C5A7A">
        <w:rPr>
          <w:lang w:val="en-GB"/>
        </w:rPr>
        <w:t>as</w:t>
      </w:r>
      <w:r w:rsidR="001C7C7E">
        <w:rPr>
          <w:lang w:val="en-GB"/>
        </w:rPr>
        <w:t xml:space="preserve"> </w:t>
      </w:r>
      <w:r w:rsidRPr="008C5A7A">
        <w:rPr>
          <w:lang w:val="en-GB"/>
        </w:rPr>
        <w:t>we</w:t>
      </w:r>
      <w:r w:rsidR="001C7C7E">
        <w:rPr>
          <w:lang w:val="en-GB"/>
        </w:rPr>
        <w:t xml:space="preserve"> </w:t>
      </w:r>
      <w:r w:rsidRPr="008C5A7A">
        <w:rPr>
          <w:lang w:val="en-GB"/>
        </w:rPr>
        <w:t>find</w:t>
      </w:r>
      <w:r w:rsidR="001C7C7E">
        <w:rPr>
          <w:lang w:val="en-GB"/>
        </w:rPr>
        <w:t xml:space="preserve"> </w:t>
      </w:r>
      <w:r w:rsidRPr="008C5A7A">
        <w:rPr>
          <w:lang w:val="en-GB"/>
        </w:rPr>
        <w:t>German</w:t>
      </w:r>
      <w:r w:rsidR="001C7C7E">
        <w:rPr>
          <w:lang w:val="en-GB"/>
        </w:rPr>
        <w:t xml:space="preserve"> </w:t>
      </w:r>
      <w:r w:rsidRPr="008C5A7A">
        <w:rPr>
          <w:lang w:val="en-GB"/>
        </w:rPr>
        <w:t>residential</w:t>
      </w:r>
      <w:r w:rsidR="001C7C7E">
        <w:rPr>
          <w:lang w:val="en-GB"/>
        </w:rPr>
        <w:t xml:space="preserve"> </w:t>
      </w:r>
      <w:r w:rsidRPr="008C5A7A">
        <w:rPr>
          <w:lang w:val="en-GB"/>
        </w:rPr>
        <w:t>outperformed</w:t>
      </w:r>
      <w:r w:rsidR="001C7C7E">
        <w:rPr>
          <w:lang w:val="en-GB"/>
        </w:rPr>
        <w:t xml:space="preserve"> </w:t>
      </w:r>
      <w:r w:rsidRPr="008C5A7A">
        <w:rPr>
          <w:lang w:val="en-GB"/>
        </w:rPr>
        <w:t>property</w:t>
      </w:r>
      <w:r w:rsidR="001C7C7E">
        <w:rPr>
          <w:lang w:val="en-GB"/>
        </w:rPr>
        <w:t xml:space="preserve"> </w:t>
      </w:r>
      <w:r w:rsidRPr="008C5A7A">
        <w:rPr>
          <w:lang w:val="en-GB"/>
        </w:rPr>
        <w:t>peers</w:t>
      </w:r>
      <w:r w:rsidR="001C7C7E">
        <w:rPr>
          <w:lang w:val="en-GB"/>
        </w:rPr>
        <w:t xml:space="preserve"> </w:t>
      </w:r>
      <w:r w:rsidRPr="008C5A7A">
        <w:rPr>
          <w:lang w:val="en-GB"/>
        </w:rPr>
        <w:t>(8.0%)</w:t>
      </w:r>
      <w:r w:rsidR="001C7C7E">
        <w:rPr>
          <w:lang w:val="en-GB"/>
        </w:rPr>
        <w:t xml:space="preserve"> </w:t>
      </w:r>
      <w:r w:rsidRPr="008C5A7A">
        <w:rPr>
          <w:lang w:val="en-GB"/>
        </w:rPr>
        <w:t>and</w:t>
      </w:r>
      <w:r w:rsidR="001C7C7E">
        <w:rPr>
          <w:lang w:val="en-GB"/>
        </w:rPr>
        <w:t xml:space="preserve"> </w:t>
      </w:r>
      <w:r w:rsidRPr="008C5A7A">
        <w:rPr>
          <w:lang w:val="en-GB"/>
        </w:rPr>
        <w:t>MSCI</w:t>
      </w:r>
      <w:r w:rsidR="001C7C7E">
        <w:rPr>
          <w:lang w:val="en-GB"/>
        </w:rPr>
        <w:t xml:space="preserve"> </w:t>
      </w:r>
      <w:r w:rsidRPr="008C5A7A">
        <w:rPr>
          <w:lang w:val="en-GB"/>
        </w:rPr>
        <w:t>Europe</w:t>
      </w:r>
      <w:r w:rsidR="001C7C7E">
        <w:rPr>
          <w:lang w:val="en-GB"/>
        </w:rPr>
        <w:t xml:space="preserve"> </w:t>
      </w:r>
      <w:r w:rsidRPr="008C5A7A">
        <w:rPr>
          <w:lang w:val="en-GB"/>
        </w:rPr>
        <w:t>(6.2%)</w:t>
      </w:r>
      <w:r w:rsidR="001C7C7E">
        <w:rPr>
          <w:lang w:val="en-GB"/>
        </w:rPr>
        <w:t xml:space="preserve"> </w:t>
      </w:r>
      <w:r w:rsidRPr="008C5A7A">
        <w:rPr>
          <w:lang w:val="en-GB"/>
        </w:rPr>
        <w:t>around</w:t>
      </w:r>
      <w:r w:rsidR="001C7C7E">
        <w:rPr>
          <w:lang w:val="en-GB"/>
        </w:rPr>
        <w:t xml:space="preserve"> </w:t>
      </w:r>
      <w:r w:rsidRPr="008C5A7A">
        <w:rPr>
          <w:lang w:val="en-GB"/>
        </w:rPr>
        <w:t>the</w:t>
      </w:r>
      <w:r w:rsidR="001C7C7E">
        <w:rPr>
          <w:lang w:val="en-GB"/>
        </w:rPr>
        <w:t xml:space="preserve"> </w:t>
      </w:r>
      <w:r w:rsidRPr="008C5A7A">
        <w:rPr>
          <w:lang w:val="en-GB"/>
        </w:rPr>
        <w:t>time</w:t>
      </w:r>
      <w:r w:rsidR="001C7C7E">
        <w:rPr>
          <w:lang w:val="en-GB"/>
        </w:rPr>
        <w:t xml:space="preserve"> </w:t>
      </w:r>
      <w:r w:rsidRPr="008C5A7A">
        <w:rPr>
          <w:lang w:val="en-GB"/>
        </w:rPr>
        <w:t>of</w:t>
      </w:r>
      <w:r w:rsidR="001C7C7E">
        <w:rPr>
          <w:lang w:val="en-GB"/>
        </w:rPr>
        <w:t xml:space="preserve"> </w:t>
      </w:r>
      <w:r w:rsidRPr="008C5A7A">
        <w:rPr>
          <w:lang w:val="en-GB"/>
        </w:rPr>
        <w:t>the</w:t>
      </w:r>
      <w:r w:rsidR="001C7C7E">
        <w:rPr>
          <w:lang w:val="en-GB"/>
        </w:rPr>
        <w:t xml:space="preserve"> </w:t>
      </w:r>
      <w:r w:rsidRPr="008C5A7A">
        <w:rPr>
          <w:lang w:val="en-GB"/>
        </w:rPr>
        <w:t>last</w:t>
      </w:r>
      <w:r w:rsidR="001C7C7E">
        <w:rPr>
          <w:lang w:val="en-GB"/>
        </w:rPr>
        <w:t xml:space="preserve"> </w:t>
      </w:r>
      <w:r w:rsidRPr="008C5A7A">
        <w:rPr>
          <w:lang w:val="en-GB"/>
        </w:rPr>
        <w:t>14</w:t>
      </w:r>
      <w:r w:rsidR="001C7C7E">
        <w:rPr>
          <w:lang w:val="en-GB"/>
        </w:rPr>
        <w:t xml:space="preserve"> </w:t>
      </w:r>
      <w:r w:rsidRPr="008C5A7A">
        <w:rPr>
          <w:lang w:val="en-GB"/>
        </w:rPr>
        <w:t>ECB</w:t>
      </w:r>
      <w:r w:rsidR="001C7C7E">
        <w:rPr>
          <w:lang w:val="en-GB"/>
        </w:rPr>
        <w:t xml:space="preserve"> </w:t>
      </w:r>
      <w:r w:rsidRPr="008C5A7A">
        <w:rPr>
          <w:lang w:val="en-GB"/>
        </w:rPr>
        <w:t>rate</w:t>
      </w:r>
      <w:r w:rsidR="001C7C7E">
        <w:rPr>
          <w:lang w:val="en-GB"/>
        </w:rPr>
        <w:t xml:space="preserve"> </w:t>
      </w:r>
      <w:r w:rsidRPr="008C5A7A">
        <w:rPr>
          <w:lang w:val="en-GB"/>
        </w:rPr>
        <w:t>cuts.</w:t>
      </w:r>
      <w:r w:rsidR="001C7C7E">
        <w:rPr>
          <w:lang w:val="en-GB"/>
        </w:rPr>
        <w:t xml:space="preserve"> </w:t>
      </w:r>
      <w:r w:rsidRPr="008C5A7A">
        <w:rPr>
          <w:lang w:val="en-GB"/>
        </w:rPr>
        <w:t>We</w:t>
      </w:r>
      <w:r w:rsidR="001C7C7E">
        <w:rPr>
          <w:lang w:val="en-GB"/>
        </w:rPr>
        <w:t xml:space="preserve"> </w:t>
      </w:r>
      <w:r w:rsidRPr="008C5A7A">
        <w:rPr>
          <w:lang w:val="en-GB"/>
        </w:rPr>
        <w:t>also</w:t>
      </w:r>
      <w:r w:rsidR="001C7C7E">
        <w:rPr>
          <w:lang w:val="en-GB"/>
        </w:rPr>
        <w:t xml:space="preserve"> </w:t>
      </w:r>
      <w:r w:rsidRPr="008C5A7A">
        <w:rPr>
          <w:lang w:val="en-GB"/>
        </w:rPr>
        <w:t>point</w:t>
      </w:r>
      <w:r w:rsidR="001C7C7E">
        <w:rPr>
          <w:lang w:val="en-GB"/>
        </w:rPr>
        <w:t xml:space="preserve"> </w:t>
      </w:r>
      <w:r w:rsidRPr="008C5A7A">
        <w:rPr>
          <w:lang w:val="en-GB"/>
        </w:rPr>
        <w:t>to</w:t>
      </w:r>
      <w:r w:rsidR="001C7C7E">
        <w:rPr>
          <w:lang w:val="en-GB"/>
        </w:rPr>
        <w:t xml:space="preserve"> </w:t>
      </w:r>
      <w:r w:rsidRPr="008C5A7A">
        <w:rPr>
          <w:lang w:val="en-GB"/>
        </w:rPr>
        <w:t>the</w:t>
      </w:r>
      <w:r w:rsidR="001C7C7E">
        <w:rPr>
          <w:lang w:val="en-GB"/>
        </w:rPr>
        <w:t xml:space="preserve"> </w:t>
      </w:r>
      <w:r w:rsidRPr="008C5A7A">
        <w:rPr>
          <w:lang w:val="en-GB"/>
        </w:rPr>
        <w:t>strong</w:t>
      </w:r>
      <w:r w:rsidR="001C7C7E">
        <w:rPr>
          <w:lang w:val="en-GB"/>
        </w:rPr>
        <w:t xml:space="preserve"> </w:t>
      </w:r>
      <w:r w:rsidRPr="008C5A7A">
        <w:rPr>
          <w:lang w:val="en-GB"/>
        </w:rPr>
        <w:t>correlation</w:t>
      </w:r>
      <w:r w:rsidR="001C7C7E">
        <w:rPr>
          <w:lang w:val="en-GB"/>
        </w:rPr>
        <w:t xml:space="preserve"> </w:t>
      </w:r>
      <w:r w:rsidRPr="008C5A7A">
        <w:rPr>
          <w:lang w:val="en-GB"/>
        </w:rPr>
        <w:t>between</w:t>
      </w:r>
      <w:r w:rsidR="001C7C7E">
        <w:rPr>
          <w:lang w:val="en-GB"/>
        </w:rPr>
        <w:t xml:space="preserve"> </w:t>
      </w:r>
      <w:r w:rsidRPr="008C5A7A">
        <w:rPr>
          <w:lang w:val="en-GB"/>
        </w:rPr>
        <w:t>German</w:t>
      </w:r>
      <w:r w:rsidR="001C7C7E">
        <w:rPr>
          <w:lang w:val="en-GB"/>
        </w:rPr>
        <w:t xml:space="preserve"> </w:t>
      </w:r>
      <w:r w:rsidRPr="008C5A7A">
        <w:rPr>
          <w:lang w:val="en-GB"/>
        </w:rPr>
        <w:t>residential</w:t>
      </w:r>
      <w:r w:rsidR="001C7C7E">
        <w:rPr>
          <w:lang w:val="en-GB"/>
        </w:rPr>
        <w:t xml:space="preserve"> </w:t>
      </w:r>
      <w:r w:rsidRPr="008C5A7A">
        <w:rPr>
          <w:lang w:val="en-GB"/>
        </w:rPr>
        <w:t>outperformance</w:t>
      </w:r>
      <w:r w:rsidR="001C7C7E">
        <w:rPr>
          <w:lang w:val="en-GB"/>
        </w:rPr>
        <w:t xml:space="preserve"> </w:t>
      </w:r>
      <w:r w:rsidRPr="008C5A7A">
        <w:rPr>
          <w:lang w:val="en-GB"/>
        </w:rPr>
        <w:t>and</w:t>
      </w:r>
      <w:r w:rsidR="001C7C7E">
        <w:rPr>
          <w:lang w:val="en-GB"/>
        </w:rPr>
        <w:t xml:space="preserve"> </w:t>
      </w:r>
      <w:r w:rsidRPr="008C5A7A">
        <w:rPr>
          <w:lang w:val="en-GB"/>
        </w:rPr>
        <w:t>the</w:t>
      </w:r>
      <w:r w:rsidR="001C7C7E">
        <w:rPr>
          <w:lang w:val="en-GB"/>
        </w:rPr>
        <w:t xml:space="preserve"> </w:t>
      </w:r>
      <w:r w:rsidRPr="008C5A7A">
        <w:rPr>
          <w:lang w:val="en-GB"/>
        </w:rPr>
        <w:t>10-YR</w:t>
      </w:r>
      <w:r w:rsidR="001C7C7E">
        <w:rPr>
          <w:lang w:val="en-GB"/>
        </w:rPr>
        <w:t xml:space="preserve"> </w:t>
      </w:r>
      <w:r w:rsidRPr="008C5A7A">
        <w:rPr>
          <w:lang w:val="en-GB"/>
        </w:rPr>
        <w:t>bund</w:t>
      </w:r>
      <w:r w:rsidR="001C7C7E">
        <w:rPr>
          <w:lang w:val="en-GB"/>
        </w:rPr>
        <w:t xml:space="preserve"> </w:t>
      </w:r>
      <w:r w:rsidRPr="008C5A7A">
        <w:rPr>
          <w:lang w:val="en-GB"/>
        </w:rPr>
        <w:t>(-82%),</w:t>
      </w:r>
      <w:r w:rsidR="001C7C7E">
        <w:rPr>
          <w:lang w:val="en-GB"/>
        </w:rPr>
        <w:t xml:space="preserve"> </w:t>
      </w:r>
      <w:r w:rsidRPr="008C5A7A">
        <w:rPr>
          <w:lang w:val="en-GB"/>
        </w:rPr>
        <w:t>which</w:t>
      </w:r>
      <w:r w:rsidR="001C7C7E">
        <w:rPr>
          <w:lang w:val="en-GB"/>
        </w:rPr>
        <w:t xml:space="preserve"> </w:t>
      </w:r>
      <w:r w:rsidRPr="008C5A7A">
        <w:rPr>
          <w:lang w:val="en-GB"/>
        </w:rPr>
        <w:t>our</w:t>
      </w:r>
      <w:r w:rsidR="001C7C7E">
        <w:rPr>
          <w:lang w:val="en-GB"/>
        </w:rPr>
        <w:t xml:space="preserve"> </w:t>
      </w:r>
      <w:r w:rsidRPr="008C5A7A">
        <w:rPr>
          <w:lang w:val="en-GB"/>
        </w:rPr>
        <w:t>strategists</w:t>
      </w:r>
      <w:r w:rsidR="001C7C7E">
        <w:rPr>
          <w:lang w:val="en-GB"/>
        </w:rPr>
        <w:t xml:space="preserve"> </w:t>
      </w:r>
      <w:r w:rsidRPr="008C5A7A">
        <w:rPr>
          <w:lang w:val="en-GB"/>
        </w:rPr>
        <w:t>now</w:t>
      </w:r>
      <w:r w:rsidR="001C7C7E">
        <w:rPr>
          <w:lang w:val="en-GB"/>
        </w:rPr>
        <w:t xml:space="preserve"> </w:t>
      </w:r>
      <w:r w:rsidRPr="008C5A7A">
        <w:rPr>
          <w:lang w:val="en-GB"/>
        </w:rPr>
        <w:t>expect</w:t>
      </w:r>
      <w:r w:rsidR="001C7C7E">
        <w:rPr>
          <w:lang w:val="en-GB"/>
        </w:rPr>
        <w:t xml:space="preserve"> </w:t>
      </w:r>
      <w:r w:rsidRPr="008C5A7A">
        <w:rPr>
          <w:lang w:val="en-GB"/>
        </w:rPr>
        <w:t>to</w:t>
      </w:r>
      <w:r w:rsidR="001C7C7E">
        <w:rPr>
          <w:lang w:val="en-GB"/>
        </w:rPr>
        <w:t xml:space="preserve"> </w:t>
      </w:r>
      <w:r w:rsidRPr="008C5A7A">
        <w:rPr>
          <w:lang w:val="en-GB"/>
        </w:rPr>
        <w:t>be</w:t>
      </w:r>
      <w:r w:rsidR="001C7C7E">
        <w:rPr>
          <w:lang w:val="en-GB"/>
        </w:rPr>
        <w:t xml:space="preserve"> </w:t>
      </w:r>
      <w:r w:rsidRPr="008C5A7A">
        <w:rPr>
          <w:lang w:val="en-GB"/>
        </w:rPr>
        <w:t>1.85%</w:t>
      </w:r>
      <w:r w:rsidR="001C7C7E">
        <w:rPr>
          <w:lang w:val="en-GB"/>
        </w:rPr>
        <w:t xml:space="preserve"> </w:t>
      </w:r>
      <w:r w:rsidRPr="008C5A7A">
        <w:rPr>
          <w:lang w:val="en-GB"/>
        </w:rPr>
        <w:t>in</w:t>
      </w:r>
      <w:r w:rsidR="001C7C7E">
        <w:rPr>
          <w:lang w:val="en-GB"/>
        </w:rPr>
        <w:t xml:space="preserve"> </w:t>
      </w:r>
      <w:r w:rsidRPr="008C5A7A">
        <w:rPr>
          <w:lang w:val="en-GB"/>
        </w:rPr>
        <w:t>Mar-15</w:t>
      </w:r>
      <w:r w:rsidR="001C7C7E">
        <w:rPr>
          <w:lang w:val="en-GB"/>
        </w:rPr>
        <w:t xml:space="preserve"> </w:t>
      </w:r>
      <w:r w:rsidRPr="008C5A7A">
        <w:rPr>
          <w:lang w:val="en-GB"/>
        </w:rPr>
        <w:t>(2.25%).</w:t>
      </w:r>
      <w:r w:rsidR="001C7C7E">
        <w:rPr>
          <w:lang w:val="en-GB"/>
        </w:rPr>
        <w:t xml:space="preserve"> </w:t>
      </w:r>
      <w:r w:rsidRPr="008C5A7A">
        <w:rPr>
          <w:lang w:val="en-GB"/>
        </w:rPr>
        <w:t>To</w:t>
      </w:r>
      <w:r w:rsidR="001C7C7E">
        <w:rPr>
          <w:lang w:val="en-GB"/>
        </w:rPr>
        <w:t xml:space="preserve"> </w:t>
      </w:r>
      <w:r w:rsidRPr="008C5A7A">
        <w:rPr>
          <w:lang w:val="en-GB"/>
        </w:rPr>
        <w:t>continue</w:t>
      </w:r>
      <w:r w:rsidR="001C7C7E">
        <w:rPr>
          <w:lang w:val="en-GB"/>
        </w:rPr>
        <w:t xml:space="preserve"> </w:t>
      </w:r>
      <w:r w:rsidRPr="008C5A7A">
        <w:rPr>
          <w:lang w:val="en-GB"/>
        </w:rPr>
        <w:t>reading,</w:t>
      </w:r>
      <w:r w:rsidR="001C7C7E">
        <w:rPr>
          <w:lang w:val="en-GB"/>
        </w:rPr>
        <w:t xml:space="preserve"> </w:t>
      </w:r>
      <w:r w:rsidRPr="008C5A7A">
        <w:rPr>
          <w:lang w:val="en-GB"/>
        </w:rPr>
        <w:t>please</w:t>
      </w:r>
      <w:r w:rsidR="001C7C7E">
        <w:rPr>
          <w:lang w:val="en-GB"/>
        </w:rPr>
        <w:t xml:space="preserve"> </w:t>
      </w:r>
      <w:hyperlink r:id="rId17"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r w:rsidR="001C7C7E">
        <w:rPr>
          <w:lang w:val="en-GB"/>
        </w:rPr>
        <w:t xml:space="preserve"> </w:t>
      </w:r>
    </w:p>
    <w:p w:rsidR="002E187C" w:rsidRPr="008C5A7A" w:rsidRDefault="002E187C" w:rsidP="00183A10">
      <w:pPr>
        <w:pStyle w:val="FPBullet"/>
        <w:rPr>
          <w:b/>
          <w:bCs/>
          <w:lang w:val="en-GB"/>
        </w:rPr>
      </w:pPr>
      <w:r w:rsidRPr="008C5A7A">
        <w:rPr>
          <w:b/>
          <w:lang w:val="en-GB"/>
        </w:rPr>
        <w:t>Recent</w:t>
      </w:r>
      <w:r w:rsidR="001C7C7E">
        <w:rPr>
          <w:b/>
          <w:lang w:val="en-GB"/>
        </w:rPr>
        <w:t xml:space="preserve"> </w:t>
      </w:r>
      <w:r w:rsidRPr="008C5A7A">
        <w:rPr>
          <w:b/>
          <w:lang w:val="en-GB"/>
        </w:rPr>
        <w:t>note:</w:t>
      </w:r>
      <w:r w:rsidR="001C7C7E">
        <w:rPr>
          <w:b/>
          <w:lang w:val="en-GB"/>
        </w:rPr>
        <w:t xml:space="preserve"> </w:t>
      </w:r>
      <w:r w:rsidRPr="008C5A7A">
        <w:rPr>
          <w:b/>
          <w:lang w:val="en-GB"/>
        </w:rPr>
        <w:t>Intu</w:t>
      </w:r>
      <w:r w:rsidR="001C7C7E">
        <w:rPr>
          <w:b/>
          <w:lang w:val="en-GB"/>
        </w:rPr>
        <w:t xml:space="preserve"> </w:t>
      </w:r>
      <w:r w:rsidRPr="008C5A7A">
        <w:rPr>
          <w:b/>
          <w:lang w:val="en-GB"/>
        </w:rPr>
        <w:t>Properties:</w:t>
      </w:r>
      <w:r w:rsidR="001C7C7E">
        <w:rPr>
          <w:b/>
          <w:lang w:val="en-GB"/>
        </w:rPr>
        <w:t xml:space="preserve"> </w:t>
      </w:r>
      <w:r w:rsidRPr="008C5A7A">
        <w:rPr>
          <w:b/>
          <w:lang w:val="en-GB"/>
        </w:rPr>
        <w:t>Deep</w:t>
      </w:r>
      <w:r w:rsidR="001C7C7E">
        <w:rPr>
          <w:b/>
          <w:lang w:val="en-GB"/>
        </w:rPr>
        <w:t xml:space="preserve"> </w:t>
      </w:r>
      <w:r w:rsidRPr="008C5A7A">
        <w:rPr>
          <w:b/>
          <w:lang w:val="en-GB"/>
        </w:rPr>
        <w:t>dive</w:t>
      </w:r>
      <w:r w:rsidR="001C7C7E">
        <w:rPr>
          <w:b/>
          <w:lang w:val="en-GB"/>
        </w:rPr>
        <w:t xml:space="preserve"> </w:t>
      </w:r>
      <w:r w:rsidRPr="008C5A7A">
        <w:rPr>
          <w:b/>
          <w:lang w:val="en-GB"/>
        </w:rPr>
        <w:t>intu</w:t>
      </w:r>
      <w:r w:rsidR="001C7C7E">
        <w:rPr>
          <w:b/>
          <w:lang w:val="en-GB"/>
        </w:rPr>
        <w:t xml:space="preserve"> </w:t>
      </w:r>
      <w:r w:rsidRPr="008C5A7A">
        <w:rPr>
          <w:b/>
          <w:lang w:val="en-GB"/>
        </w:rPr>
        <w:t>the</w:t>
      </w:r>
      <w:r w:rsidR="001C7C7E">
        <w:rPr>
          <w:b/>
          <w:lang w:val="en-GB"/>
        </w:rPr>
        <w:t xml:space="preserve"> </w:t>
      </w:r>
      <w:r w:rsidRPr="008C5A7A">
        <w:rPr>
          <w:b/>
          <w:lang w:val="en-GB"/>
        </w:rPr>
        <w:t>issues:</w:t>
      </w:r>
      <w:r w:rsidR="001C7C7E">
        <w:rPr>
          <w:b/>
          <w:lang w:val="en-GB"/>
        </w:rPr>
        <w:t xml:space="preserve"> </w:t>
      </w:r>
      <w:r w:rsidRPr="008C5A7A">
        <w:rPr>
          <w:b/>
          <w:lang w:val="en-GB"/>
        </w:rPr>
        <w:t>Downgrade</w:t>
      </w:r>
      <w:r w:rsidR="001C7C7E">
        <w:rPr>
          <w:b/>
          <w:lang w:val="en-GB"/>
        </w:rPr>
        <w:t xml:space="preserve"> </w:t>
      </w:r>
      <w:r w:rsidRPr="008C5A7A">
        <w:rPr>
          <w:b/>
          <w:lang w:val="en-GB"/>
        </w:rPr>
        <w:t>to</w:t>
      </w:r>
      <w:r w:rsidR="001C7C7E">
        <w:rPr>
          <w:b/>
          <w:lang w:val="en-GB"/>
        </w:rPr>
        <w:t xml:space="preserve"> </w:t>
      </w:r>
      <w:r w:rsidRPr="008C5A7A">
        <w:rPr>
          <w:b/>
          <w:lang w:val="en-GB"/>
        </w:rPr>
        <w:t>UW.</w:t>
      </w:r>
      <w:r w:rsidR="001C7C7E">
        <w:rPr>
          <w:lang w:val="en-GB"/>
        </w:rPr>
        <w:t xml:space="preserve"> </w:t>
      </w:r>
      <w:r w:rsidRPr="008C5A7A">
        <w:rPr>
          <w:lang w:val="en-GB"/>
        </w:rPr>
        <w:t>Intu</w:t>
      </w:r>
      <w:r w:rsidR="001C7C7E">
        <w:rPr>
          <w:lang w:val="en-GB"/>
        </w:rPr>
        <w:t xml:space="preserve"> </w:t>
      </w:r>
      <w:r w:rsidRPr="008C5A7A">
        <w:rPr>
          <w:lang w:val="en-GB"/>
        </w:rPr>
        <w:t>has</w:t>
      </w:r>
      <w:r w:rsidR="001C7C7E">
        <w:rPr>
          <w:lang w:val="en-GB"/>
        </w:rPr>
        <w:t xml:space="preserve"> </w:t>
      </w:r>
      <w:r w:rsidRPr="008C5A7A">
        <w:rPr>
          <w:lang w:val="en-GB"/>
        </w:rPr>
        <w:t>a</w:t>
      </w:r>
      <w:r w:rsidR="001C7C7E">
        <w:rPr>
          <w:lang w:val="en-GB"/>
        </w:rPr>
        <w:t xml:space="preserve"> </w:t>
      </w:r>
      <w:r w:rsidRPr="008C5A7A">
        <w:rPr>
          <w:lang w:val="en-GB"/>
        </w:rPr>
        <w:t>good</w:t>
      </w:r>
      <w:r w:rsidR="001C7C7E">
        <w:rPr>
          <w:lang w:val="en-GB"/>
        </w:rPr>
        <w:t xml:space="preserve"> </w:t>
      </w:r>
      <w:r w:rsidRPr="008C5A7A">
        <w:rPr>
          <w:lang w:val="en-GB"/>
        </w:rPr>
        <w:t>shopping</w:t>
      </w:r>
      <w:r w:rsidR="001C7C7E">
        <w:rPr>
          <w:lang w:val="en-GB"/>
        </w:rPr>
        <w:t xml:space="preserve"> </w:t>
      </w:r>
      <w:r w:rsidRPr="008C5A7A">
        <w:rPr>
          <w:lang w:val="en-GB"/>
        </w:rPr>
        <w:t>centre</w:t>
      </w:r>
      <w:r w:rsidR="001C7C7E">
        <w:rPr>
          <w:lang w:val="en-GB"/>
        </w:rPr>
        <w:t xml:space="preserve"> </w:t>
      </w:r>
      <w:r w:rsidRPr="008C5A7A">
        <w:rPr>
          <w:lang w:val="en-GB"/>
        </w:rPr>
        <w:t>portfolio,</w:t>
      </w:r>
      <w:r w:rsidR="001C7C7E">
        <w:rPr>
          <w:lang w:val="en-GB"/>
        </w:rPr>
        <w:t xml:space="preserve"> </w:t>
      </w:r>
      <w:r w:rsidRPr="008C5A7A">
        <w:rPr>
          <w:lang w:val="en-GB"/>
        </w:rPr>
        <w:t>an</w:t>
      </w:r>
      <w:r w:rsidR="001C7C7E">
        <w:rPr>
          <w:lang w:val="en-GB"/>
        </w:rPr>
        <w:t xml:space="preserve"> </w:t>
      </w:r>
      <w:r w:rsidRPr="008C5A7A">
        <w:rPr>
          <w:lang w:val="en-GB"/>
        </w:rPr>
        <w:t>ambitious</w:t>
      </w:r>
      <w:r w:rsidR="001C7C7E">
        <w:rPr>
          <w:lang w:val="en-GB"/>
        </w:rPr>
        <w:t xml:space="preserve"> </w:t>
      </w:r>
      <w:r w:rsidRPr="008C5A7A">
        <w:rPr>
          <w:lang w:val="en-GB"/>
        </w:rPr>
        <w:t>£1.2bn</w:t>
      </w:r>
      <w:r w:rsidR="001C7C7E">
        <w:rPr>
          <w:lang w:val="en-GB"/>
        </w:rPr>
        <w:t xml:space="preserve"> </w:t>
      </w:r>
      <w:r w:rsidRPr="008C5A7A">
        <w:rPr>
          <w:lang w:val="en-GB"/>
        </w:rPr>
        <w:t>development</w:t>
      </w:r>
      <w:r w:rsidR="001C7C7E">
        <w:rPr>
          <w:lang w:val="en-GB"/>
        </w:rPr>
        <w:t xml:space="preserve"> </w:t>
      </w:r>
      <w:r w:rsidRPr="008C5A7A">
        <w:rPr>
          <w:lang w:val="en-GB"/>
        </w:rPr>
        <w:t>pipeline,</w:t>
      </w:r>
      <w:r w:rsidR="001C7C7E">
        <w:rPr>
          <w:lang w:val="en-GB"/>
        </w:rPr>
        <w:t xml:space="preserve"> </w:t>
      </w:r>
      <w:r w:rsidRPr="008C5A7A">
        <w:rPr>
          <w:lang w:val="en-GB"/>
        </w:rPr>
        <w:t>and</w:t>
      </w:r>
      <w:r w:rsidR="001C7C7E">
        <w:rPr>
          <w:lang w:val="en-GB"/>
        </w:rPr>
        <w:t xml:space="preserve"> </w:t>
      </w:r>
      <w:r w:rsidRPr="008C5A7A">
        <w:rPr>
          <w:lang w:val="en-GB"/>
        </w:rPr>
        <w:t>the</w:t>
      </w:r>
      <w:r w:rsidR="001C7C7E">
        <w:rPr>
          <w:lang w:val="en-GB"/>
        </w:rPr>
        <w:t xml:space="preserve"> </w:t>
      </w:r>
      <w:r w:rsidRPr="008C5A7A">
        <w:rPr>
          <w:lang w:val="en-GB"/>
        </w:rPr>
        <w:t>potential</w:t>
      </w:r>
      <w:r w:rsidR="001C7C7E">
        <w:rPr>
          <w:lang w:val="en-GB"/>
        </w:rPr>
        <w:t xml:space="preserve"> </w:t>
      </w:r>
      <w:r w:rsidRPr="008C5A7A">
        <w:rPr>
          <w:lang w:val="en-GB"/>
        </w:rPr>
        <w:t>to</w:t>
      </w:r>
      <w:r w:rsidR="001C7C7E">
        <w:rPr>
          <w:lang w:val="en-GB"/>
        </w:rPr>
        <w:t xml:space="preserve"> </w:t>
      </w:r>
      <w:r w:rsidRPr="008C5A7A">
        <w:rPr>
          <w:lang w:val="en-GB"/>
        </w:rPr>
        <w:t>boost</w:t>
      </w:r>
      <w:r w:rsidR="001C7C7E">
        <w:rPr>
          <w:lang w:val="en-GB"/>
        </w:rPr>
        <w:t xml:space="preserve"> </w:t>
      </w:r>
      <w:r w:rsidRPr="008C5A7A">
        <w:rPr>
          <w:lang w:val="en-GB"/>
        </w:rPr>
        <w:t>further/create</w:t>
      </w:r>
      <w:r w:rsidR="001C7C7E">
        <w:rPr>
          <w:lang w:val="en-GB"/>
        </w:rPr>
        <w:t xml:space="preserve"> </w:t>
      </w:r>
      <w:r w:rsidRPr="008C5A7A">
        <w:rPr>
          <w:lang w:val="en-GB"/>
        </w:rPr>
        <w:t>real</w:t>
      </w:r>
      <w:r w:rsidR="001C7C7E">
        <w:rPr>
          <w:lang w:val="en-GB"/>
        </w:rPr>
        <w:t xml:space="preserve"> </w:t>
      </w:r>
      <w:r w:rsidRPr="008C5A7A">
        <w:rPr>
          <w:lang w:val="en-GB"/>
        </w:rPr>
        <w:t>destinations</w:t>
      </w:r>
      <w:r w:rsidR="001C7C7E">
        <w:rPr>
          <w:lang w:val="en-GB"/>
        </w:rPr>
        <w:t xml:space="preserve"> </w:t>
      </w:r>
      <w:r w:rsidRPr="008C5A7A">
        <w:rPr>
          <w:lang w:val="en-GB"/>
        </w:rPr>
        <w:t>(e.g.</w:t>
      </w:r>
      <w:r w:rsidR="001C7C7E">
        <w:rPr>
          <w:lang w:val="en-GB"/>
        </w:rPr>
        <w:t xml:space="preserve"> </w:t>
      </w:r>
      <w:r w:rsidRPr="008C5A7A">
        <w:rPr>
          <w:lang w:val="en-GB"/>
        </w:rPr>
        <w:t>branding</w:t>
      </w:r>
      <w:r w:rsidR="001C7C7E">
        <w:rPr>
          <w:lang w:val="en-GB"/>
        </w:rPr>
        <w:t xml:space="preserve"> </w:t>
      </w:r>
      <w:r w:rsidRPr="008C5A7A">
        <w:rPr>
          <w:lang w:val="en-GB"/>
        </w:rPr>
        <w:t>and</w:t>
      </w:r>
      <w:r w:rsidR="001C7C7E">
        <w:rPr>
          <w:lang w:val="en-GB"/>
        </w:rPr>
        <w:t xml:space="preserve"> </w:t>
      </w:r>
      <w:r w:rsidRPr="008C5A7A">
        <w:rPr>
          <w:lang w:val="en-GB"/>
        </w:rPr>
        <w:t>increasing</w:t>
      </w:r>
      <w:r w:rsidR="001C7C7E">
        <w:rPr>
          <w:lang w:val="en-GB"/>
        </w:rPr>
        <w:t xml:space="preserve"> </w:t>
      </w:r>
      <w:r w:rsidRPr="008C5A7A">
        <w:rPr>
          <w:lang w:val="en-GB"/>
        </w:rPr>
        <w:t>F&amp;B</w:t>
      </w:r>
      <w:r w:rsidR="001C7C7E">
        <w:rPr>
          <w:lang w:val="en-GB"/>
        </w:rPr>
        <w:t xml:space="preserve"> </w:t>
      </w:r>
      <w:r w:rsidRPr="008C5A7A">
        <w:rPr>
          <w:lang w:val="en-GB"/>
        </w:rPr>
        <w:t>exposure,</w:t>
      </w:r>
      <w:r w:rsidR="001C7C7E">
        <w:rPr>
          <w:lang w:val="en-GB"/>
        </w:rPr>
        <w:t xml:space="preserve"> </w:t>
      </w:r>
      <w:r w:rsidRPr="008C5A7A">
        <w:rPr>
          <w:lang w:val="en-GB"/>
        </w:rPr>
        <w:t>though</w:t>
      </w:r>
      <w:r w:rsidR="001C7C7E">
        <w:rPr>
          <w:lang w:val="en-GB"/>
        </w:rPr>
        <w:t xml:space="preserve"> </w:t>
      </w:r>
      <w:r w:rsidRPr="008C5A7A">
        <w:rPr>
          <w:lang w:val="en-GB"/>
        </w:rPr>
        <w:t>this</w:t>
      </w:r>
      <w:r w:rsidR="001C7C7E">
        <w:rPr>
          <w:lang w:val="en-GB"/>
        </w:rPr>
        <w:t xml:space="preserve"> </w:t>
      </w:r>
      <w:r w:rsidRPr="008C5A7A">
        <w:rPr>
          <w:lang w:val="en-GB"/>
        </w:rPr>
        <w:t>is</w:t>
      </w:r>
      <w:r w:rsidR="001C7C7E">
        <w:rPr>
          <w:lang w:val="en-GB"/>
        </w:rPr>
        <w:t xml:space="preserve"> </w:t>
      </w:r>
      <w:r w:rsidRPr="008C5A7A">
        <w:rPr>
          <w:lang w:val="en-GB"/>
        </w:rPr>
        <w:t>yet</w:t>
      </w:r>
      <w:r w:rsidR="001C7C7E">
        <w:rPr>
          <w:lang w:val="en-GB"/>
        </w:rPr>
        <w:t xml:space="preserve"> </w:t>
      </w:r>
      <w:r w:rsidRPr="008C5A7A">
        <w:rPr>
          <w:lang w:val="en-GB"/>
        </w:rPr>
        <w:t>to</w:t>
      </w:r>
      <w:r w:rsidR="001C7C7E">
        <w:rPr>
          <w:lang w:val="en-GB"/>
        </w:rPr>
        <w:t xml:space="preserve"> </w:t>
      </w:r>
      <w:r w:rsidRPr="008C5A7A">
        <w:rPr>
          <w:lang w:val="en-GB"/>
        </w:rPr>
        <w:t>be</w:t>
      </w:r>
      <w:r w:rsidR="001C7C7E">
        <w:rPr>
          <w:lang w:val="en-GB"/>
        </w:rPr>
        <w:t xml:space="preserve"> </w:t>
      </w:r>
      <w:r w:rsidRPr="008C5A7A">
        <w:rPr>
          <w:lang w:val="en-GB"/>
        </w:rPr>
        <w:t>proven).</w:t>
      </w:r>
      <w:r w:rsidR="001C7C7E">
        <w:rPr>
          <w:lang w:val="en-GB"/>
        </w:rPr>
        <w:t xml:space="preserve"> </w:t>
      </w:r>
      <w:r w:rsidRPr="008C5A7A">
        <w:rPr>
          <w:lang w:val="en-GB"/>
        </w:rPr>
        <w:t>However,</w:t>
      </w:r>
      <w:r w:rsidR="001C7C7E">
        <w:rPr>
          <w:lang w:val="en-GB"/>
        </w:rPr>
        <w:t xml:space="preserve"> </w:t>
      </w:r>
      <w:r w:rsidRPr="008C5A7A">
        <w:rPr>
          <w:lang w:val="en-GB"/>
        </w:rPr>
        <w:t>given</w:t>
      </w:r>
      <w:r w:rsidR="001C7C7E">
        <w:rPr>
          <w:lang w:val="en-GB"/>
        </w:rPr>
        <w:t xml:space="preserve"> </w:t>
      </w:r>
      <w:r w:rsidRPr="008C5A7A">
        <w:rPr>
          <w:lang w:val="en-GB"/>
        </w:rPr>
        <w:t>(1)</w:t>
      </w:r>
      <w:r w:rsidR="001C7C7E">
        <w:rPr>
          <w:lang w:val="en-GB"/>
        </w:rPr>
        <w:t xml:space="preserve"> </w:t>
      </w:r>
      <w:r w:rsidRPr="008C5A7A">
        <w:rPr>
          <w:lang w:val="en-GB"/>
        </w:rPr>
        <w:t>the</w:t>
      </w:r>
      <w:r w:rsidR="001C7C7E">
        <w:rPr>
          <w:lang w:val="en-GB"/>
        </w:rPr>
        <w:t xml:space="preserve"> </w:t>
      </w:r>
      <w:r w:rsidRPr="008C5A7A">
        <w:rPr>
          <w:lang w:val="en-GB"/>
        </w:rPr>
        <w:t>uncertainty</w:t>
      </w:r>
      <w:r w:rsidR="001C7C7E">
        <w:rPr>
          <w:lang w:val="en-GB"/>
        </w:rPr>
        <w:t xml:space="preserve"> </w:t>
      </w:r>
      <w:r w:rsidRPr="008C5A7A">
        <w:rPr>
          <w:lang w:val="en-GB"/>
        </w:rPr>
        <w:t>around</w:t>
      </w:r>
      <w:r w:rsidR="001C7C7E">
        <w:rPr>
          <w:lang w:val="en-GB"/>
        </w:rPr>
        <w:t xml:space="preserve"> </w:t>
      </w:r>
      <w:r w:rsidRPr="008C5A7A">
        <w:rPr>
          <w:lang w:val="en-GB"/>
        </w:rPr>
        <w:t>funding</w:t>
      </w:r>
      <w:r w:rsidR="001C7C7E">
        <w:rPr>
          <w:lang w:val="en-GB"/>
        </w:rPr>
        <w:t xml:space="preserve"> </w:t>
      </w:r>
      <w:r w:rsidRPr="008C5A7A">
        <w:rPr>
          <w:lang w:val="en-GB"/>
        </w:rPr>
        <w:t>and</w:t>
      </w:r>
      <w:r w:rsidR="001C7C7E">
        <w:rPr>
          <w:lang w:val="en-GB"/>
        </w:rPr>
        <w:t xml:space="preserve"> </w:t>
      </w:r>
      <w:r w:rsidRPr="008C5A7A">
        <w:rPr>
          <w:lang w:val="en-GB"/>
        </w:rPr>
        <w:t>timing</w:t>
      </w:r>
      <w:r w:rsidR="001C7C7E">
        <w:rPr>
          <w:lang w:val="en-GB"/>
        </w:rPr>
        <w:t xml:space="preserve"> </w:t>
      </w:r>
      <w:r w:rsidRPr="008C5A7A">
        <w:rPr>
          <w:lang w:val="en-GB"/>
        </w:rPr>
        <w:t>of</w:t>
      </w:r>
      <w:r w:rsidR="001C7C7E">
        <w:rPr>
          <w:lang w:val="en-GB"/>
        </w:rPr>
        <w:t xml:space="preserve"> </w:t>
      </w:r>
      <w:r w:rsidRPr="008C5A7A">
        <w:rPr>
          <w:lang w:val="en-GB"/>
        </w:rPr>
        <w:t>the</w:t>
      </w:r>
      <w:r w:rsidR="001C7C7E">
        <w:rPr>
          <w:lang w:val="en-GB"/>
        </w:rPr>
        <w:t xml:space="preserve"> </w:t>
      </w:r>
      <w:r w:rsidRPr="008C5A7A">
        <w:rPr>
          <w:lang w:val="en-GB"/>
        </w:rPr>
        <w:t>pipeline,</w:t>
      </w:r>
      <w:r w:rsidR="001C7C7E">
        <w:rPr>
          <w:lang w:val="en-GB"/>
        </w:rPr>
        <w:t xml:space="preserve"> </w:t>
      </w:r>
      <w:r w:rsidRPr="008C5A7A">
        <w:rPr>
          <w:lang w:val="en-GB"/>
        </w:rPr>
        <w:t>(2)</w:t>
      </w:r>
      <w:r w:rsidR="001C7C7E">
        <w:rPr>
          <w:lang w:val="en-GB"/>
        </w:rPr>
        <w:t xml:space="preserve"> </w:t>
      </w:r>
      <w:r w:rsidRPr="008C5A7A">
        <w:rPr>
          <w:lang w:val="en-GB"/>
        </w:rPr>
        <w:t>expected</w:t>
      </w:r>
      <w:r w:rsidR="001C7C7E">
        <w:rPr>
          <w:lang w:val="en-GB"/>
        </w:rPr>
        <w:t xml:space="preserve"> </w:t>
      </w:r>
      <w:r w:rsidRPr="008C5A7A">
        <w:rPr>
          <w:lang w:val="en-GB"/>
        </w:rPr>
        <w:t>negative</w:t>
      </w:r>
      <w:r w:rsidR="001C7C7E">
        <w:rPr>
          <w:lang w:val="en-GB"/>
        </w:rPr>
        <w:t xml:space="preserve"> </w:t>
      </w:r>
      <w:r w:rsidRPr="008C5A7A">
        <w:rPr>
          <w:lang w:val="en-GB"/>
        </w:rPr>
        <w:t>LFL</w:t>
      </w:r>
      <w:r w:rsidR="001C7C7E">
        <w:rPr>
          <w:lang w:val="en-GB"/>
        </w:rPr>
        <w:t xml:space="preserve"> </w:t>
      </w:r>
      <w:r w:rsidRPr="008C5A7A">
        <w:rPr>
          <w:lang w:val="en-GB"/>
        </w:rPr>
        <w:t>rental</w:t>
      </w:r>
      <w:r w:rsidR="001C7C7E">
        <w:rPr>
          <w:lang w:val="en-GB"/>
        </w:rPr>
        <w:t xml:space="preserve"> </w:t>
      </w:r>
      <w:r w:rsidRPr="008C5A7A">
        <w:rPr>
          <w:lang w:val="en-GB"/>
        </w:rPr>
        <w:t>growth</w:t>
      </w:r>
      <w:r w:rsidR="001C7C7E">
        <w:rPr>
          <w:lang w:val="en-GB"/>
        </w:rPr>
        <w:t xml:space="preserve"> </w:t>
      </w:r>
      <w:r w:rsidRPr="008C5A7A">
        <w:rPr>
          <w:lang w:val="en-GB"/>
        </w:rPr>
        <w:t>in</w:t>
      </w:r>
      <w:r w:rsidR="001C7C7E">
        <w:rPr>
          <w:lang w:val="en-GB"/>
        </w:rPr>
        <w:t xml:space="preserve"> </w:t>
      </w:r>
      <w:r w:rsidRPr="008C5A7A">
        <w:rPr>
          <w:lang w:val="en-GB"/>
        </w:rPr>
        <w:t>2014/15</w:t>
      </w:r>
      <w:r w:rsidR="001C7C7E">
        <w:rPr>
          <w:lang w:val="en-GB"/>
        </w:rPr>
        <w:t xml:space="preserve"> </w:t>
      </w:r>
      <w:r w:rsidRPr="008C5A7A">
        <w:rPr>
          <w:lang w:val="en-GB"/>
        </w:rPr>
        <w:t>(increased</w:t>
      </w:r>
      <w:r w:rsidR="001C7C7E">
        <w:rPr>
          <w:lang w:val="en-GB"/>
        </w:rPr>
        <w:t xml:space="preserve"> </w:t>
      </w:r>
      <w:r w:rsidRPr="008C5A7A">
        <w:rPr>
          <w:lang w:val="en-GB"/>
        </w:rPr>
        <w:t>vacancy</w:t>
      </w:r>
      <w:r w:rsidR="001C7C7E">
        <w:rPr>
          <w:lang w:val="en-GB"/>
        </w:rPr>
        <w:t xml:space="preserve"> </w:t>
      </w:r>
      <w:r w:rsidRPr="008C5A7A">
        <w:rPr>
          <w:lang w:val="en-GB"/>
        </w:rPr>
        <w:t>&amp;</w:t>
      </w:r>
      <w:r w:rsidR="001C7C7E">
        <w:rPr>
          <w:lang w:val="en-GB"/>
        </w:rPr>
        <w:t xml:space="preserve"> </w:t>
      </w:r>
      <w:r w:rsidRPr="008C5A7A">
        <w:rPr>
          <w:lang w:val="en-GB"/>
        </w:rPr>
        <w:t>lease</w:t>
      </w:r>
      <w:r w:rsidR="001C7C7E">
        <w:rPr>
          <w:lang w:val="en-GB"/>
        </w:rPr>
        <w:t xml:space="preserve"> </w:t>
      </w:r>
      <w:r w:rsidRPr="008C5A7A">
        <w:rPr>
          <w:lang w:val="en-GB"/>
        </w:rPr>
        <w:t>expiries),</w:t>
      </w:r>
      <w:r w:rsidR="001C7C7E">
        <w:rPr>
          <w:lang w:val="en-GB"/>
        </w:rPr>
        <w:t xml:space="preserve"> </w:t>
      </w:r>
      <w:r w:rsidRPr="008C5A7A">
        <w:rPr>
          <w:lang w:val="en-GB"/>
        </w:rPr>
        <w:t>and</w:t>
      </w:r>
      <w:r w:rsidR="001C7C7E">
        <w:rPr>
          <w:lang w:val="en-GB"/>
        </w:rPr>
        <w:t xml:space="preserve"> </w:t>
      </w:r>
      <w:r w:rsidRPr="008C5A7A">
        <w:rPr>
          <w:lang w:val="en-GB"/>
        </w:rPr>
        <w:t>(3)</w:t>
      </w:r>
      <w:r w:rsidR="001C7C7E">
        <w:rPr>
          <w:lang w:val="en-GB"/>
        </w:rPr>
        <w:t xml:space="preserve"> </w:t>
      </w:r>
      <w:r w:rsidRPr="008C5A7A">
        <w:rPr>
          <w:lang w:val="en-GB"/>
        </w:rPr>
        <w:t>limited</w:t>
      </w:r>
      <w:r w:rsidR="001C7C7E">
        <w:rPr>
          <w:lang w:val="en-GB"/>
        </w:rPr>
        <w:t xml:space="preserve"> </w:t>
      </w:r>
      <w:r w:rsidRPr="008C5A7A">
        <w:rPr>
          <w:lang w:val="en-GB"/>
        </w:rPr>
        <w:t>near</w:t>
      </w:r>
      <w:r w:rsidR="001C7C7E">
        <w:rPr>
          <w:lang w:val="en-GB"/>
        </w:rPr>
        <w:t xml:space="preserve"> </w:t>
      </w:r>
      <w:r w:rsidRPr="008C5A7A">
        <w:rPr>
          <w:lang w:val="en-GB"/>
        </w:rPr>
        <w:t>term</w:t>
      </w:r>
      <w:r w:rsidR="001C7C7E">
        <w:rPr>
          <w:lang w:val="en-GB"/>
        </w:rPr>
        <w:t xml:space="preserve"> </w:t>
      </w:r>
      <w:r w:rsidRPr="008C5A7A">
        <w:rPr>
          <w:lang w:val="en-GB"/>
        </w:rPr>
        <w:t>catalysts</w:t>
      </w:r>
      <w:r w:rsidR="001C7C7E">
        <w:rPr>
          <w:lang w:val="en-GB"/>
        </w:rPr>
        <w:t xml:space="preserve"> </w:t>
      </w:r>
      <w:r w:rsidRPr="008C5A7A">
        <w:rPr>
          <w:lang w:val="en-GB"/>
        </w:rPr>
        <w:t>to</w:t>
      </w:r>
      <w:r w:rsidR="001C7C7E">
        <w:rPr>
          <w:lang w:val="en-GB"/>
        </w:rPr>
        <w:t xml:space="preserve"> </w:t>
      </w:r>
      <w:r w:rsidRPr="008C5A7A">
        <w:rPr>
          <w:lang w:val="en-GB"/>
        </w:rPr>
        <w:t>drive</w:t>
      </w:r>
      <w:r w:rsidR="001C7C7E">
        <w:rPr>
          <w:lang w:val="en-GB"/>
        </w:rPr>
        <w:t xml:space="preserve"> </w:t>
      </w:r>
      <w:r w:rsidRPr="008C5A7A">
        <w:rPr>
          <w:lang w:val="en-GB"/>
        </w:rPr>
        <w:t>a</w:t>
      </w:r>
      <w:r w:rsidR="001C7C7E">
        <w:rPr>
          <w:lang w:val="en-GB"/>
        </w:rPr>
        <w:t xml:space="preserve"> </w:t>
      </w:r>
      <w:r w:rsidRPr="008C5A7A">
        <w:rPr>
          <w:lang w:val="en-GB"/>
        </w:rPr>
        <w:t>turnaround,</w:t>
      </w:r>
      <w:r w:rsidR="001C7C7E">
        <w:rPr>
          <w:lang w:val="en-GB"/>
        </w:rPr>
        <w:t xml:space="preserve"> </w:t>
      </w:r>
      <w:r w:rsidRPr="008C5A7A">
        <w:rPr>
          <w:lang w:val="en-GB"/>
        </w:rPr>
        <w:t>we</w:t>
      </w:r>
      <w:r w:rsidR="001C7C7E">
        <w:rPr>
          <w:lang w:val="en-GB"/>
        </w:rPr>
        <w:t xml:space="preserve"> </w:t>
      </w:r>
      <w:r w:rsidRPr="008C5A7A">
        <w:rPr>
          <w:lang w:val="en-GB"/>
        </w:rPr>
        <w:t>downgrade</w:t>
      </w:r>
      <w:r w:rsidR="001C7C7E">
        <w:rPr>
          <w:lang w:val="en-GB"/>
        </w:rPr>
        <w:t xml:space="preserve"> </w:t>
      </w:r>
      <w:r w:rsidRPr="008C5A7A">
        <w:rPr>
          <w:lang w:val="en-GB"/>
        </w:rPr>
        <w:t>to</w:t>
      </w:r>
      <w:r w:rsidR="001C7C7E">
        <w:rPr>
          <w:lang w:val="en-GB"/>
        </w:rPr>
        <w:t xml:space="preserve"> </w:t>
      </w:r>
      <w:r w:rsidRPr="008C5A7A">
        <w:rPr>
          <w:lang w:val="en-GB"/>
        </w:rPr>
        <w:t>UW</w:t>
      </w:r>
      <w:r w:rsidR="001C7C7E">
        <w:rPr>
          <w:lang w:val="en-GB"/>
        </w:rPr>
        <w:t xml:space="preserve"> </w:t>
      </w:r>
      <w:r w:rsidRPr="008C5A7A">
        <w:rPr>
          <w:lang w:val="en-GB"/>
        </w:rPr>
        <w:t>(from</w:t>
      </w:r>
      <w:r w:rsidR="001C7C7E">
        <w:rPr>
          <w:lang w:val="en-GB"/>
        </w:rPr>
        <w:t xml:space="preserve"> </w:t>
      </w:r>
      <w:r w:rsidRPr="008C5A7A">
        <w:rPr>
          <w:lang w:val="en-GB"/>
        </w:rPr>
        <w:t>N).</w:t>
      </w:r>
      <w:r w:rsidR="001C7C7E">
        <w:rPr>
          <w:lang w:val="en-GB"/>
        </w:rPr>
        <w:t xml:space="preserve"> </w:t>
      </w:r>
      <w:r w:rsidRPr="008C5A7A">
        <w:rPr>
          <w:lang w:val="en-GB"/>
        </w:rPr>
        <w:t>We</w:t>
      </w:r>
      <w:r w:rsidR="001C7C7E">
        <w:rPr>
          <w:lang w:val="en-GB"/>
        </w:rPr>
        <w:t xml:space="preserve"> </w:t>
      </w:r>
      <w:r w:rsidRPr="008C5A7A">
        <w:rPr>
          <w:lang w:val="en-GB"/>
        </w:rPr>
        <w:t>also</w:t>
      </w:r>
      <w:r w:rsidR="001C7C7E">
        <w:rPr>
          <w:lang w:val="en-GB"/>
        </w:rPr>
        <w:t xml:space="preserve"> </w:t>
      </w:r>
      <w:r w:rsidRPr="008C5A7A">
        <w:rPr>
          <w:lang w:val="en-GB"/>
        </w:rPr>
        <w:t>cut</w:t>
      </w:r>
      <w:r w:rsidR="001C7C7E">
        <w:rPr>
          <w:lang w:val="en-GB"/>
        </w:rPr>
        <w:t xml:space="preserve"> </w:t>
      </w:r>
      <w:r w:rsidRPr="008C5A7A">
        <w:rPr>
          <w:lang w:val="en-GB"/>
        </w:rPr>
        <w:t>our</w:t>
      </w:r>
      <w:r w:rsidR="001C7C7E">
        <w:rPr>
          <w:lang w:val="en-GB"/>
        </w:rPr>
        <w:t xml:space="preserve"> </w:t>
      </w:r>
      <w:r w:rsidRPr="008C5A7A">
        <w:rPr>
          <w:lang w:val="en-GB"/>
        </w:rPr>
        <w:t>May-15</w:t>
      </w:r>
      <w:r w:rsidR="001C7C7E">
        <w:rPr>
          <w:lang w:val="en-GB"/>
        </w:rPr>
        <w:t xml:space="preserve"> </w:t>
      </w:r>
      <w:r w:rsidRPr="008C5A7A">
        <w:rPr>
          <w:lang w:val="en-GB"/>
        </w:rPr>
        <w:t>EVM-based</w:t>
      </w:r>
      <w:r w:rsidR="001C7C7E">
        <w:rPr>
          <w:lang w:val="en-GB"/>
        </w:rPr>
        <w:t xml:space="preserve"> </w:t>
      </w:r>
      <w:r w:rsidRPr="008C5A7A">
        <w:rPr>
          <w:lang w:val="en-GB"/>
        </w:rPr>
        <w:t>PT</w:t>
      </w:r>
      <w:r w:rsidR="001C7C7E">
        <w:rPr>
          <w:lang w:val="en-GB"/>
        </w:rPr>
        <w:t xml:space="preserve"> </w:t>
      </w:r>
      <w:r w:rsidRPr="008C5A7A">
        <w:rPr>
          <w:lang w:val="en-GB"/>
        </w:rPr>
        <w:t>to</w:t>
      </w:r>
      <w:r w:rsidR="001C7C7E">
        <w:rPr>
          <w:lang w:val="en-GB"/>
        </w:rPr>
        <w:t xml:space="preserve"> </w:t>
      </w:r>
      <w:r w:rsidRPr="008C5A7A">
        <w:rPr>
          <w:lang w:val="en-GB"/>
        </w:rPr>
        <w:t>305p</w:t>
      </w:r>
      <w:r w:rsidR="001C7C7E">
        <w:rPr>
          <w:lang w:val="en-GB"/>
        </w:rPr>
        <w:t xml:space="preserve"> </w:t>
      </w:r>
      <w:r w:rsidRPr="008C5A7A">
        <w:rPr>
          <w:lang w:val="en-GB"/>
        </w:rPr>
        <w:t>(from</w:t>
      </w:r>
      <w:r w:rsidR="001C7C7E">
        <w:rPr>
          <w:lang w:val="en-GB"/>
        </w:rPr>
        <w:t xml:space="preserve"> </w:t>
      </w:r>
      <w:r w:rsidRPr="008C5A7A">
        <w:rPr>
          <w:lang w:val="en-GB"/>
        </w:rPr>
        <w:t>340p,</w:t>
      </w:r>
      <w:r w:rsidR="001C7C7E">
        <w:rPr>
          <w:lang w:val="en-GB"/>
        </w:rPr>
        <w:t xml:space="preserve"> </w:t>
      </w:r>
      <w:r w:rsidRPr="008C5A7A">
        <w:rPr>
          <w:lang w:val="en-GB"/>
        </w:rPr>
        <w:t>-10%),</w:t>
      </w:r>
      <w:r w:rsidR="001C7C7E">
        <w:rPr>
          <w:lang w:val="en-GB"/>
        </w:rPr>
        <w:t xml:space="preserve"> </w:t>
      </w:r>
      <w:r w:rsidRPr="008C5A7A">
        <w:rPr>
          <w:lang w:val="en-GB"/>
        </w:rPr>
        <w:t>having</w:t>
      </w:r>
      <w:r w:rsidR="001C7C7E">
        <w:rPr>
          <w:lang w:val="en-GB"/>
        </w:rPr>
        <w:t xml:space="preserve"> </w:t>
      </w:r>
      <w:r w:rsidRPr="008C5A7A">
        <w:rPr>
          <w:lang w:val="en-GB"/>
        </w:rPr>
        <w:t>updated</w:t>
      </w:r>
      <w:r w:rsidR="001C7C7E">
        <w:rPr>
          <w:lang w:val="en-GB"/>
        </w:rPr>
        <w:t xml:space="preserve"> </w:t>
      </w:r>
      <w:r w:rsidRPr="008C5A7A">
        <w:rPr>
          <w:lang w:val="en-GB"/>
        </w:rPr>
        <w:t>our</w:t>
      </w:r>
      <w:r w:rsidR="001C7C7E">
        <w:rPr>
          <w:lang w:val="en-GB"/>
        </w:rPr>
        <w:t xml:space="preserve"> </w:t>
      </w:r>
      <w:r w:rsidRPr="008C5A7A">
        <w:rPr>
          <w:lang w:val="en-GB"/>
        </w:rPr>
        <w:t>model</w:t>
      </w:r>
      <w:r w:rsidR="001C7C7E">
        <w:rPr>
          <w:lang w:val="en-GB"/>
        </w:rPr>
        <w:t xml:space="preserve"> </w:t>
      </w:r>
      <w:r w:rsidRPr="008C5A7A">
        <w:rPr>
          <w:lang w:val="en-GB"/>
        </w:rPr>
        <w:t>for</w:t>
      </w:r>
      <w:r w:rsidR="001C7C7E">
        <w:rPr>
          <w:lang w:val="en-GB"/>
        </w:rPr>
        <w:t xml:space="preserve"> </w:t>
      </w:r>
      <w:r w:rsidRPr="008C5A7A">
        <w:rPr>
          <w:lang w:val="en-GB"/>
        </w:rPr>
        <w:t>FY13</w:t>
      </w:r>
      <w:r w:rsidR="001C7C7E">
        <w:rPr>
          <w:lang w:val="en-GB"/>
        </w:rPr>
        <w:t xml:space="preserve"> </w:t>
      </w:r>
      <w:r w:rsidRPr="008C5A7A">
        <w:rPr>
          <w:lang w:val="en-GB"/>
        </w:rPr>
        <w:t>results</w:t>
      </w:r>
      <w:r w:rsidR="001C7C7E">
        <w:rPr>
          <w:lang w:val="en-GB"/>
        </w:rPr>
        <w:t xml:space="preserve"> </w:t>
      </w:r>
      <w:r w:rsidRPr="008C5A7A">
        <w:rPr>
          <w:lang w:val="en-GB"/>
        </w:rPr>
        <w:t>and</w:t>
      </w:r>
      <w:r w:rsidR="001C7C7E">
        <w:rPr>
          <w:lang w:val="en-GB"/>
        </w:rPr>
        <w:t xml:space="preserve"> </w:t>
      </w:r>
      <w:r w:rsidRPr="008C5A7A">
        <w:rPr>
          <w:lang w:val="en-GB"/>
        </w:rPr>
        <w:t>the</w:t>
      </w:r>
      <w:r w:rsidR="001C7C7E">
        <w:rPr>
          <w:lang w:val="en-GB"/>
        </w:rPr>
        <w:t xml:space="preserve"> </w:t>
      </w:r>
      <w:r w:rsidRPr="008C5A7A">
        <w:rPr>
          <w:lang w:val="en-GB"/>
        </w:rPr>
        <w:t>£500m</w:t>
      </w:r>
      <w:r w:rsidR="001C7C7E">
        <w:rPr>
          <w:lang w:val="en-GB"/>
        </w:rPr>
        <w:t xml:space="preserve"> </w:t>
      </w:r>
      <w:r w:rsidRPr="008C5A7A">
        <w:rPr>
          <w:lang w:val="en-GB"/>
        </w:rPr>
        <w:t>rights</w:t>
      </w:r>
      <w:r w:rsidR="001C7C7E">
        <w:rPr>
          <w:lang w:val="en-GB"/>
        </w:rPr>
        <w:t xml:space="preserve"> </w:t>
      </w:r>
      <w:r w:rsidRPr="008C5A7A">
        <w:rPr>
          <w:lang w:val="en-GB"/>
        </w:rPr>
        <w:t>issue.</w:t>
      </w:r>
      <w:r w:rsidR="001C7C7E">
        <w:rPr>
          <w:lang w:val="en-GB"/>
        </w:rPr>
        <w:t xml:space="preserve"> </w:t>
      </w:r>
      <w:r w:rsidRPr="008C5A7A">
        <w:rPr>
          <w:lang w:val="en-GB"/>
        </w:rPr>
        <w:t>To</w:t>
      </w:r>
      <w:r w:rsidR="001C7C7E">
        <w:rPr>
          <w:lang w:val="en-GB"/>
        </w:rPr>
        <w:t xml:space="preserve"> </w:t>
      </w:r>
      <w:r w:rsidRPr="008C5A7A">
        <w:rPr>
          <w:lang w:val="en-GB"/>
        </w:rPr>
        <w:t>continue</w:t>
      </w:r>
      <w:r w:rsidR="001C7C7E">
        <w:rPr>
          <w:lang w:val="en-GB"/>
        </w:rPr>
        <w:t xml:space="preserve"> </w:t>
      </w:r>
      <w:r w:rsidRPr="008C5A7A">
        <w:rPr>
          <w:lang w:val="en-GB"/>
        </w:rPr>
        <w:t>reading,</w:t>
      </w:r>
      <w:r w:rsidR="001C7C7E">
        <w:rPr>
          <w:lang w:val="en-GB"/>
        </w:rPr>
        <w:t xml:space="preserve"> </w:t>
      </w:r>
      <w:r w:rsidRPr="008C5A7A">
        <w:rPr>
          <w:lang w:val="en-GB"/>
        </w:rPr>
        <w:t>please</w:t>
      </w:r>
      <w:r w:rsidR="001C7C7E">
        <w:rPr>
          <w:lang w:val="en-GB"/>
        </w:rPr>
        <w:t xml:space="preserve"> </w:t>
      </w:r>
      <w:hyperlink r:id="rId18"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r w:rsidR="001C7C7E">
        <w:rPr>
          <w:lang w:val="en-GB"/>
        </w:rPr>
        <w:t xml:space="preserve"> </w:t>
      </w:r>
    </w:p>
    <w:p w:rsidR="002E187C" w:rsidRPr="008C5A7A" w:rsidRDefault="002E187C" w:rsidP="00183A10">
      <w:pPr>
        <w:pStyle w:val="FPBullet"/>
        <w:rPr>
          <w:lang w:val="en-GB"/>
        </w:rPr>
      </w:pPr>
      <w:r w:rsidRPr="008C5A7A">
        <w:rPr>
          <w:b/>
          <w:lang w:val="en-GB"/>
        </w:rPr>
        <w:t>Recent</w:t>
      </w:r>
      <w:r w:rsidR="001C7C7E">
        <w:rPr>
          <w:b/>
          <w:lang w:val="en-GB"/>
        </w:rPr>
        <w:t xml:space="preserve"> </w:t>
      </w:r>
      <w:r w:rsidRPr="008C5A7A">
        <w:rPr>
          <w:b/>
          <w:lang w:val="en-GB"/>
        </w:rPr>
        <w:t>note:</w:t>
      </w:r>
      <w:r w:rsidR="001C7C7E">
        <w:rPr>
          <w:b/>
          <w:lang w:val="en-GB"/>
        </w:rPr>
        <w:t xml:space="preserve"> </w:t>
      </w:r>
      <w:r w:rsidRPr="008C5A7A">
        <w:rPr>
          <w:b/>
          <w:lang w:val="en-GB"/>
        </w:rPr>
        <w:t>Good</w:t>
      </w:r>
      <w:r w:rsidR="001C7C7E">
        <w:rPr>
          <w:b/>
          <w:lang w:val="en-GB"/>
        </w:rPr>
        <w:t xml:space="preserve"> </w:t>
      </w:r>
      <w:r w:rsidRPr="008C5A7A">
        <w:rPr>
          <w:b/>
          <w:lang w:val="en-GB"/>
        </w:rPr>
        <w:t>things</w:t>
      </w:r>
      <w:r w:rsidR="001C7C7E">
        <w:rPr>
          <w:b/>
          <w:lang w:val="en-GB"/>
        </w:rPr>
        <w:t xml:space="preserve"> </w:t>
      </w:r>
      <w:r w:rsidRPr="008C5A7A">
        <w:rPr>
          <w:b/>
          <w:lang w:val="en-GB"/>
        </w:rPr>
        <w:t>come</w:t>
      </w:r>
      <w:r w:rsidR="001C7C7E">
        <w:rPr>
          <w:b/>
          <w:lang w:val="en-GB"/>
        </w:rPr>
        <w:t xml:space="preserve"> </w:t>
      </w:r>
      <w:r w:rsidRPr="008C5A7A">
        <w:rPr>
          <w:b/>
          <w:lang w:val="en-GB"/>
        </w:rPr>
        <w:t>in</w:t>
      </w:r>
      <w:r w:rsidR="001C7C7E">
        <w:rPr>
          <w:b/>
          <w:lang w:val="en-GB"/>
        </w:rPr>
        <w:t xml:space="preserve"> </w:t>
      </w:r>
      <w:r w:rsidRPr="008C5A7A">
        <w:rPr>
          <w:b/>
          <w:lang w:val="en-GB"/>
        </w:rPr>
        <w:t>SMid</w:t>
      </w:r>
      <w:r w:rsidR="001C7C7E">
        <w:rPr>
          <w:b/>
          <w:lang w:val="en-GB"/>
        </w:rPr>
        <w:t xml:space="preserve"> </w:t>
      </w:r>
      <w:r w:rsidRPr="008C5A7A">
        <w:rPr>
          <w:b/>
          <w:lang w:val="en-GB"/>
        </w:rPr>
        <w:t>packages...</w:t>
      </w:r>
      <w:r w:rsidR="001C7C7E">
        <w:rPr>
          <w:lang w:val="en-GB"/>
        </w:rPr>
        <w:t xml:space="preserve"> </w:t>
      </w:r>
      <w:r w:rsidRPr="008C5A7A">
        <w:rPr>
          <w:lang w:val="en-GB"/>
        </w:rPr>
        <w:t>Following</w:t>
      </w:r>
      <w:r w:rsidR="001C7C7E">
        <w:rPr>
          <w:lang w:val="en-GB"/>
        </w:rPr>
        <w:t xml:space="preserve"> </w:t>
      </w:r>
      <w:r w:rsidRPr="008C5A7A">
        <w:rPr>
          <w:lang w:val="en-GB"/>
        </w:rPr>
        <w:t>an</w:t>
      </w:r>
      <w:r w:rsidR="001C7C7E">
        <w:rPr>
          <w:lang w:val="en-GB"/>
        </w:rPr>
        <w:t xml:space="preserve"> </w:t>
      </w:r>
      <w:r w:rsidRPr="008C5A7A">
        <w:rPr>
          <w:lang w:val="en-GB"/>
        </w:rPr>
        <w:t>active</w:t>
      </w:r>
      <w:r w:rsidR="001C7C7E">
        <w:rPr>
          <w:lang w:val="en-GB"/>
        </w:rPr>
        <w:t xml:space="preserve"> </w:t>
      </w:r>
      <w:r w:rsidRPr="008C5A7A">
        <w:rPr>
          <w:lang w:val="en-GB"/>
        </w:rPr>
        <w:t>few</w:t>
      </w:r>
      <w:r w:rsidR="001C7C7E">
        <w:rPr>
          <w:lang w:val="en-GB"/>
        </w:rPr>
        <w:t xml:space="preserve"> </w:t>
      </w:r>
      <w:r w:rsidRPr="008C5A7A">
        <w:rPr>
          <w:lang w:val="en-GB"/>
        </w:rPr>
        <w:t>months</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SMid</w:t>
      </w:r>
      <w:r w:rsidR="001C7C7E">
        <w:rPr>
          <w:lang w:val="en-GB"/>
        </w:rPr>
        <w:t xml:space="preserve"> </w:t>
      </w:r>
      <w:r w:rsidRPr="008C5A7A">
        <w:rPr>
          <w:lang w:val="en-GB"/>
        </w:rPr>
        <w:t>property</w:t>
      </w:r>
      <w:r w:rsidR="001C7C7E">
        <w:rPr>
          <w:lang w:val="en-GB"/>
        </w:rPr>
        <w:t xml:space="preserve"> </w:t>
      </w:r>
      <w:r w:rsidRPr="008C5A7A">
        <w:rPr>
          <w:lang w:val="en-GB"/>
        </w:rPr>
        <w:t>space,</w:t>
      </w:r>
      <w:r w:rsidR="001C7C7E">
        <w:rPr>
          <w:lang w:val="en-GB"/>
        </w:rPr>
        <w:t xml:space="preserve"> </w:t>
      </w:r>
      <w:r w:rsidRPr="008C5A7A">
        <w:rPr>
          <w:lang w:val="en-GB"/>
        </w:rPr>
        <w:t>we</w:t>
      </w:r>
      <w:r w:rsidR="001C7C7E">
        <w:rPr>
          <w:lang w:val="en-GB"/>
        </w:rPr>
        <w:t xml:space="preserve"> </w:t>
      </w:r>
      <w:r w:rsidRPr="008C5A7A">
        <w:rPr>
          <w:lang w:val="en-GB"/>
        </w:rPr>
        <w:t>update</w:t>
      </w:r>
      <w:r w:rsidR="001C7C7E">
        <w:rPr>
          <w:lang w:val="en-GB"/>
        </w:rPr>
        <w:t xml:space="preserve"> </w:t>
      </w:r>
      <w:r w:rsidRPr="008C5A7A">
        <w:rPr>
          <w:lang w:val="en-GB"/>
        </w:rPr>
        <w:t>numbers</w:t>
      </w:r>
      <w:r w:rsidR="001C7C7E">
        <w:rPr>
          <w:lang w:val="en-GB"/>
        </w:rPr>
        <w:t xml:space="preserve"> </w:t>
      </w:r>
      <w:r w:rsidRPr="008C5A7A">
        <w:rPr>
          <w:lang w:val="en-GB"/>
        </w:rPr>
        <w:t>and</w:t>
      </w:r>
      <w:r w:rsidR="001C7C7E">
        <w:rPr>
          <w:lang w:val="en-GB"/>
        </w:rPr>
        <w:t xml:space="preserve"> </w:t>
      </w:r>
      <w:r w:rsidRPr="008C5A7A">
        <w:rPr>
          <w:lang w:val="en-GB"/>
        </w:rPr>
        <w:t>reiterate</w:t>
      </w:r>
      <w:r w:rsidR="001C7C7E">
        <w:rPr>
          <w:lang w:val="en-GB"/>
        </w:rPr>
        <w:t xml:space="preserve"> </w:t>
      </w:r>
      <w:r w:rsidRPr="008C5A7A">
        <w:rPr>
          <w:lang w:val="en-GB"/>
        </w:rPr>
        <w:t>our</w:t>
      </w:r>
      <w:r w:rsidR="001C7C7E">
        <w:rPr>
          <w:lang w:val="en-GB"/>
        </w:rPr>
        <w:t xml:space="preserve"> </w:t>
      </w:r>
      <w:r w:rsidRPr="008C5A7A">
        <w:rPr>
          <w:lang w:val="en-GB"/>
        </w:rPr>
        <w:t>preference</w:t>
      </w:r>
      <w:r w:rsidR="001C7C7E">
        <w:rPr>
          <w:lang w:val="en-GB"/>
        </w:rPr>
        <w:t xml:space="preserve"> </w:t>
      </w:r>
      <w:r w:rsidRPr="008C5A7A">
        <w:rPr>
          <w:lang w:val="en-GB"/>
        </w:rPr>
        <w:t>for</w:t>
      </w:r>
      <w:r w:rsidR="001C7C7E">
        <w:rPr>
          <w:lang w:val="en-GB"/>
        </w:rPr>
        <w:t xml:space="preserve"> </w:t>
      </w:r>
      <w:r w:rsidRPr="008C5A7A">
        <w:rPr>
          <w:lang w:val="en-GB"/>
        </w:rPr>
        <w:t>Quintain</w:t>
      </w:r>
      <w:r w:rsidR="001C7C7E">
        <w:rPr>
          <w:lang w:val="en-GB"/>
        </w:rPr>
        <w:t xml:space="preserve"> </w:t>
      </w:r>
      <w:r w:rsidRPr="008C5A7A">
        <w:rPr>
          <w:lang w:val="en-GB"/>
        </w:rPr>
        <w:t>and</w:t>
      </w:r>
      <w:r w:rsidR="001C7C7E">
        <w:rPr>
          <w:lang w:val="en-GB"/>
        </w:rPr>
        <w:t xml:space="preserve"> </w:t>
      </w:r>
      <w:r w:rsidRPr="008C5A7A">
        <w:rPr>
          <w:lang w:val="en-GB"/>
        </w:rPr>
        <w:t>St</w:t>
      </w:r>
      <w:r w:rsidR="001C7C7E">
        <w:rPr>
          <w:lang w:val="en-GB"/>
        </w:rPr>
        <w:t xml:space="preserve"> </w:t>
      </w:r>
      <w:r w:rsidRPr="008C5A7A">
        <w:rPr>
          <w:lang w:val="en-GB"/>
        </w:rPr>
        <w:t>Modwen.</w:t>
      </w:r>
      <w:r w:rsidR="001C7C7E">
        <w:rPr>
          <w:lang w:val="en-GB"/>
        </w:rPr>
        <w:t xml:space="preserve"> </w:t>
      </w:r>
      <w:r w:rsidRPr="008C5A7A">
        <w:rPr>
          <w:lang w:val="en-GB"/>
        </w:rPr>
        <w:t>In</w:t>
      </w:r>
      <w:r w:rsidR="001C7C7E">
        <w:rPr>
          <w:lang w:val="en-GB"/>
        </w:rPr>
        <w:t xml:space="preserve"> </w:t>
      </w:r>
      <w:r w:rsidRPr="008C5A7A">
        <w:rPr>
          <w:lang w:val="en-GB"/>
        </w:rPr>
        <w:t>addition,</w:t>
      </w:r>
      <w:r w:rsidR="001C7C7E">
        <w:rPr>
          <w:lang w:val="en-GB"/>
        </w:rPr>
        <w:t xml:space="preserve"> </w:t>
      </w:r>
      <w:r w:rsidRPr="008C5A7A">
        <w:rPr>
          <w:lang w:val="en-GB"/>
        </w:rPr>
        <w:t>we</w:t>
      </w:r>
      <w:r w:rsidR="001C7C7E">
        <w:rPr>
          <w:lang w:val="en-GB"/>
        </w:rPr>
        <w:t xml:space="preserve"> </w:t>
      </w:r>
      <w:r w:rsidRPr="008C5A7A">
        <w:rPr>
          <w:lang w:val="en-GB"/>
        </w:rPr>
        <w:t>think</w:t>
      </w:r>
      <w:r w:rsidR="001C7C7E">
        <w:rPr>
          <w:lang w:val="en-GB"/>
        </w:rPr>
        <w:t xml:space="preserve"> </w:t>
      </w:r>
      <w:r w:rsidRPr="008C5A7A">
        <w:rPr>
          <w:lang w:val="en-GB"/>
        </w:rPr>
        <w:t>there</w:t>
      </w:r>
      <w:r w:rsidR="001C7C7E">
        <w:rPr>
          <w:lang w:val="en-GB"/>
        </w:rPr>
        <w:t xml:space="preserve"> </w:t>
      </w:r>
      <w:r w:rsidRPr="008C5A7A">
        <w:rPr>
          <w:lang w:val="en-GB"/>
        </w:rPr>
        <w:t>is</w:t>
      </w:r>
      <w:r w:rsidR="001C7C7E">
        <w:rPr>
          <w:lang w:val="en-GB"/>
        </w:rPr>
        <w:t xml:space="preserve"> </w:t>
      </w:r>
      <w:r w:rsidRPr="008C5A7A">
        <w:rPr>
          <w:lang w:val="en-GB"/>
        </w:rPr>
        <w:t>more</w:t>
      </w:r>
      <w:r w:rsidR="001C7C7E">
        <w:rPr>
          <w:lang w:val="en-GB"/>
        </w:rPr>
        <w:t xml:space="preserve"> </w:t>
      </w:r>
      <w:r w:rsidRPr="008C5A7A">
        <w:rPr>
          <w:lang w:val="en-GB"/>
        </w:rPr>
        <w:t>to</w:t>
      </w:r>
      <w:r w:rsidR="001C7C7E">
        <w:rPr>
          <w:lang w:val="en-GB"/>
        </w:rPr>
        <w:t xml:space="preserve"> </w:t>
      </w:r>
      <w:r w:rsidRPr="008C5A7A">
        <w:rPr>
          <w:lang w:val="en-GB"/>
        </w:rPr>
        <w:t>come</w:t>
      </w:r>
      <w:r w:rsidR="001C7C7E">
        <w:rPr>
          <w:lang w:val="en-GB"/>
        </w:rPr>
        <w:t xml:space="preserve"> </w:t>
      </w:r>
      <w:r w:rsidRPr="008C5A7A">
        <w:rPr>
          <w:lang w:val="en-GB"/>
        </w:rPr>
        <w:t>from</w:t>
      </w:r>
      <w:r w:rsidR="001C7C7E">
        <w:rPr>
          <w:lang w:val="en-GB"/>
        </w:rPr>
        <w:t xml:space="preserve"> </w:t>
      </w:r>
      <w:r w:rsidRPr="008C5A7A">
        <w:rPr>
          <w:lang w:val="en-GB"/>
        </w:rPr>
        <w:t>Songbird</w:t>
      </w:r>
      <w:r w:rsidR="001C7C7E">
        <w:rPr>
          <w:lang w:val="en-GB"/>
        </w:rPr>
        <w:t xml:space="preserve"> </w:t>
      </w:r>
      <w:r w:rsidRPr="008C5A7A">
        <w:rPr>
          <w:lang w:val="en-GB"/>
        </w:rPr>
        <w:t>(upgrade</w:t>
      </w:r>
      <w:r w:rsidR="001C7C7E">
        <w:rPr>
          <w:lang w:val="en-GB"/>
        </w:rPr>
        <w:t xml:space="preserve"> </w:t>
      </w:r>
      <w:r w:rsidRPr="008C5A7A">
        <w:rPr>
          <w:lang w:val="en-GB"/>
        </w:rPr>
        <w:t>to</w:t>
      </w:r>
      <w:r w:rsidR="001C7C7E">
        <w:rPr>
          <w:lang w:val="en-GB"/>
        </w:rPr>
        <w:t xml:space="preserve"> </w:t>
      </w:r>
      <w:r w:rsidRPr="008C5A7A">
        <w:rPr>
          <w:lang w:val="en-GB"/>
        </w:rPr>
        <w:t>OW)</w:t>
      </w:r>
      <w:r w:rsidR="001C7C7E">
        <w:rPr>
          <w:lang w:val="en-GB"/>
        </w:rPr>
        <w:t xml:space="preserve"> </w:t>
      </w:r>
      <w:r w:rsidRPr="008C5A7A">
        <w:rPr>
          <w:lang w:val="en-GB"/>
        </w:rPr>
        <w:t>following</w:t>
      </w:r>
      <w:r w:rsidR="001C7C7E">
        <w:rPr>
          <w:lang w:val="en-GB"/>
        </w:rPr>
        <w:t xml:space="preserve"> </w:t>
      </w:r>
      <w:r w:rsidRPr="008C5A7A">
        <w:rPr>
          <w:lang w:val="en-GB"/>
        </w:rPr>
        <w:t>strong</w:t>
      </w:r>
      <w:r w:rsidR="001C7C7E">
        <w:rPr>
          <w:lang w:val="en-GB"/>
        </w:rPr>
        <w:t xml:space="preserve"> </w:t>
      </w:r>
      <w:r w:rsidRPr="008C5A7A">
        <w:rPr>
          <w:lang w:val="en-GB"/>
        </w:rPr>
        <w:t>FY</w:t>
      </w:r>
      <w:r w:rsidR="001C7C7E">
        <w:rPr>
          <w:lang w:val="en-GB"/>
        </w:rPr>
        <w:t xml:space="preserve"> </w:t>
      </w:r>
      <w:r w:rsidRPr="008C5A7A">
        <w:rPr>
          <w:lang w:val="en-GB"/>
        </w:rPr>
        <w:t>results</w:t>
      </w:r>
      <w:r w:rsidR="001C7C7E">
        <w:rPr>
          <w:lang w:val="en-GB"/>
        </w:rPr>
        <w:t xml:space="preserve"> </w:t>
      </w:r>
      <w:r w:rsidRPr="008C5A7A">
        <w:rPr>
          <w:lang w:val="en-GB"/>
        </w:rPr>
        <w:t>and</w:t>
      </w:r>
      <w:r w:rsidR="001C7C7E">
        <w:rPr>
          <w:lang w:val="en-GB"/>
        </w:rPr>
        <w:t xml:space="preserve"> </w:t>
      </w:r>
      <w:r w:rsidRPr="008C5A7A">
        <w:rPr>
          <w:lang w:val="en-GB"/>
        </w:rPr>
        <w:t>we</w:t>
      </w:r>
      <w:r w:rsidR="001C7C7E">
        <w:rPr>
          <w:lang w:val="en-GB"/>
        </w:rPr>
        <w:t xml:space="preserve"> </w:t>
      </w:r>
      <w:r w:rsidRPr="008C5A7A">
        <w:rPr>
          <w:lang w:val="en-GB"/>
        </w:rPr>
        <w:t>increase</w:t>
      </w:r>
      <w:r w:rsidR="001C7C7E">
        <w:rPr>
          <w:lang w:val="en-GB"/>
        </w:rPr>
        <w:t xml:space="preserve"> </w:t>
      </w:r>
      <w:r w:rsidRPr="008C5A7A">
        <w:rPr>
          <w:lang w:val="en-GB"/>
        </w:rPr>
        <w:t>LondonMetric</w:t>
      </w:r>
      <w:r w:rsidR="001C7C7E">
        <w:rPr>
          <w:lang w:val="en-GB"/>
        </w:rPr>
        <w:t>’</w:t>
      </w:r>
      <w:r w:rsidRPr="008C5A7A">
        <w:rPr>
          <w:lang w:val="en-GB"/>
        </w:rPr>
        <w:t>s</w:t>
      </w:r>
      <w:r w:rsidR="001C7C7E">
        <w:rPr>
          <w:lang w:val="en-GB"/>
        </w:rPr>
        <w:t xml:space="preserve"> </w:t>
      </w:r>
      <w:r w:rsidRPr="008C5A7A">
        <w:rPr>
          <w:lang w:val="en-GB"/>
        </w:rPr>
        <w:t>PT</w:t>
      </w:r>
      <w:r w:rsidR="001C7C7E">
        <w:rPr>
          <w:lang w:val="en-GB"/>
        </w:rPr>
        <w:t xml:space="preserve"> </w:t>
      </w:r>
      <w:r w:rsidRPr="008C5A7A">
        <w:rPr>
          <w:lang w:val="en-GB"/>
        </w:rPr>
        <w:t>to</w:t>
      </w:r>
      <w:r w:rsidR="001C7C7E">
        <w:rPr>
          <w:lang w:val="en-GB"/>
        </w:rPr>
        <w:t xml:space="preserve"> </w:t>
      </w:r>
      <w:r w:rsidRPr="008C5A7A">
        <w:rPr>
          <w:lang w:val="en-GB"/>
        </w:rPr>
        <w:t>155p</w:t>
      </w:r>
      <w:r w:rsidR="001C7C7E">
        <w:rPr>
          <w:lang w:val="en-GB"/>
        </w:rPr>
        <w:t xml:space="preserve"> </w:t>
      </w:r>
      <w:r w:rsidRPr="008C5A7A">
        <w:rPr>
          <w:lang w:val="en-GB"/>
        </w:rPr>
        <w:t>staying</w:t>
      </w:r>
      <w:r w:rsidR="001C7C7E">
        <w:rPr>
          <w:lang w:val="en-GB"/>
        </w:rPr>
        <w:t xml:space="preserve"> </w:t>
      </w:r>
      <w:r w:rsidRPr="008C5A7A">
        <w:rPr>
          <w:lang w:val="en-GB"/>
        </w:rPr>
        <w:t>OW.</w:t>
      </w:r>
      <w:r w:rsidR="001C7C7E">
        <w:rPr>
          <w:lang w:val="en-GB"/>
        </w:rPr>
        <w:t xml:space="preserve"> </w:t>
      </w:r>
      <w:r w:rsidRPr="008C5A7A">
        <w:rPr>
          <w:lang w:val="en-GB"/>
        </w:rPr>
        <w:t>We</w:t>
      </w:r>
      <w:r w:rsidR="001C7C7E">
        <w:rPr>
          <w:lang w:val="en-GB"/>
        </w:rPr>
        <w:t xml:space="preserve"> </w:t>
      </w:r>
      <w:r w:rsidRPr="008C5A7A">
        <w:rPr>
          <w:lang w:val="en-GB"/>
        </w:rPr>
        <w:t>also</w:t>
      </w:r>
      <w:r w:rsidR="001C7C7E">
        <w:rPr>
          <w:lang w:val="en-GB"/>
        </w:rPr>
        <w:t xml:space="preserve"> </w:t>
      </w:r>
      <w:r w:rsidRPr="008C5A7A">
        <w:rPr>
          <w:lang w:val="en-GB"/>
        </w:rPr>
        <w:t>update</w:t>
      </w:r>
      <w:r w:rsidR="001C7C7E">
        <w:rPr>
          <w:lang w:val="en-GB"/>
        </w:rPr>
        <w:t xml:space="preserve"> </w:t>
      </w:r>
      <w:r w:rsidRPr="008C5A7A">
        <w:rPr>
          <w:lang w:val="en-GB"/>
        </w:rPr>
        <w:t>Derwent</w:t>
      </w:r>
      <w:r w:rsidR="001C7C7E">
        <w:rPr>
          <w:lang w:val="en-GB"/>
        </w:rPr>
        <w:t>’</w:t>
      </w:r>
      <w:r w:rsidRPr="008C5A7A">
        <w:rPr>
          <w:lang w:val="en-GB"/>
        </w:rPr>
        <w:t>s</w:t>
      </w:r>
      <w:r w:rsidR="001C7C7E">
        <w:rPr>
          <w:lang w:val="en-GB"/>
        </w:rPr>
        <w:t xml:space="preserve"> </w:t>
      </w:r>
      <w:r w:rsidRPr="008C5A7A">
        <w:rPr>
          <w:lang w:val="en-GB"/>
        </w:rPr>
        <w:t>development</w:t>
      </w:r>
      <w:r w:rsidR="001C7C7E">
        <w:rPr>
          <w:lang w:val="en-GB"/>
        </w:rPr>
        <w:t xml:space="preserve"> </w:t>
      </w:r>
      <w:r w:rsidRPr="008C5A7A">
        <w:rPr>
          <w:lang w:val="en-GB"/>
        </w:rPr>
        <w:t>pipeline</w:t>
      </w:r>
      <w:r w:rsidR="001C7C7E">
        <w:rPr>
          <w:lang w:val="en-GB"/>
        </w:rPr>
        <w:t xml:space="preserve"> </w:t>
      </w:r>
      <w:r w:rsidRPr="008C5A7A">
        <w:rPr>
          <w:lang w:val="en-GB"/>
        </w:rPr>
        <w:t>and</w:t>
      </w:r>
      <w:r w:rsidR="001C7C7E">
        <w:rPr>
          <w:lang w:val="en-GB"/>
        </w:rPr>
        <w:t xml:space="preserve"> </w:t>
      </w:r>
      <w:r w:rsidRPr="008C5A7A">
        <w:rPr>
          <w:lang w:val="en-GB"/>
        </w:rPr>
        <w:t>Great</w:t>
      </w:r>
      <w:r w:rsidR="001C7C7E">
        <w:rPr>
          <w:lang w:val="en-GB"/>
        </w:rPr>
        <w:t xml:space="preserve"> </w:t>
      </w:r>
      <w:r w:rsidRPr="008C5A7A">
        <w:rPr>
          <w:lang w:val="en-GB"/>
        </w:rPr>
        <w:t>Portland</w:t>
      </w:r>
      <w:r w:rsidR="001C7C7E">
        <w:rPr>
          <w:lang w:val="en-GB"/>
        </w:rPr>
        <w:t xml:space="preserve"> </w:t>
      </w:r>
      <w:r w:rsidRPr="008C5A7A">
        <w:rPr>
          <w:lang w:val="en-GB"/>
        </w:rPr>
        <w:t>NAVs</w:t>
      </w:r>
      <w:r w:rsidR="001C7C7E">
        <w:rPr>
          <w:lang w:val="en-GB"/>
        </w:rPr>
        <w:t xml:space="preserve"> </w:t>
      </w:r>
      <w:r w:rsidRPr="008C5A7A">
        <w:rPr>
          <w:lang w:val="en-GB"/>
        </w:rPr>
        <w:t>due</w:t>
      </w:r>
      <w:r w:rsidR="001C7C7E">
        <w:rPr>
          <w:lang w:val="en-GB"/>
        </w:rPr>
        <w:t xml:space="preserve"> </w:t>
      </w:r>
      <w:r w:rsidRPr="008C5A7A">
        <w:rPr>
          <w:lang w:val="en-GB"/>
        </w:rPr>
        <w:t>to</w:t>
      </w:r>
      <w:r w:rsidR="001C7C7E">
        <w:rPr>
          <w:lang w:val="en-GB"/>
        </w:rPr>
        <w:t xml:space="preserve"> </w:t>
      </w:r>
      <w:r w:rsidRPr="008C5A7A">
        <w:rPr>
          <w:lang w:val="en-GB"/>
        </w:rPr>
        <w:t>higher</w:t>
      </w:r>
      <w:r w:rsidR="001C7C7E">
        <w:rPr>
          <w:lang w:val="en-GB"/>
        </w:rPr>
        <w:t xml:space="preserve"> </w:t>
      </w:r>
      <w:r w:rsidRPr="008C5A7A">
        <w:rPr>
          <w:lang w:val="en-GB"/>
        </w:rPr>
        <w:t>capital</w:t>
      </w:r>
      <w:r w:rsidR="001C7C7E">
        <w:rPr>
          <w:lang w:val="en-GB"/>
        </w:rPr>
        <w:t xml:space="preserve"> </w:t>
      </w:r>
      <w:r w:rsidRPr="008C5A7A">
        <w:rPr>
          <w:lang w:val="en-GB"/>
        </w:rPr>
        <w:t>growth</w:t>
      </w:r>
      <w:r w:rsidR="001C7C7E">
        <w:rPr>
          <w:lang w:val="en-GB"/>
        </w:rPr>
        <w:t xml:space="preserve"> </w:t>
      </w:r>
      <w:r w:rsidRPr="008C5A7A">
        <w:rPr>
          <w:lang w:val="en-GB"/>
        </w:rPr>
        <w:t>but</w:t>
      </w:r>
      <w:r w:rsidR="001C7C7E">
        <w:rPr>
          <w:lang w:val="en-GB"/>
        </w:rPr>
        <w:t xml:space="preserve"> </w:t>
      </w:r>
      <w:r w:rsidRPr="008C5A7A">
        <w:rPr>
          <w:lang w:val="en-GB"/>
        </w:rPr>
        <w:t>stay</w:t>
      </w:r>
      <w:r w:rsidR="001C7C7E">
        <w:rPr>
          <w:lang w:val="en-GB"/>
        </w:rPr>
        <w:t xml:space="preserve"> </w:t>
      </w:r>
      <w:r w:rsidRPr="008C5A7A">
        <w:rPr>
          <w:lang w:val="en-GB"/>
        </w:rPr>
        <w:t>Neutral.</w:t>
      </w:r>
      <w:r w:rsidR="001C7C7E">
        <w:rPr>
          <w:lang w:val="en-GB"/>
        </w:rPr>
        <w:t xml:space="preserve"> </w:t>
      </w:r>
      <w:r w:rsidRPr="008C5A7A">
        <w:rPr>
          <w:lang w:val="en-GB"/>
        </w:rPr>
        <w:t>Workspace</w:t>
      </w:r>
      <w:r w:rsidR="001C7C7E">
        <w:rPr>
          <w:lang w:val="en-GB"/>
        </w:rPr>
        <w:t xml:space="preserve"> </w:t>
      </w:r>
      <w:r w:rsidRPr="008C5A7A">
        <w:rPr>
          <w:lang w:val="en-GB"/>
        </w:rPr>
        <w:t>continues</w:t>
      </w:r>
      <w:r w:rsidR="001C7C7E">
        <w:rPr>
          <w:lang w:val="en-GB"/>
        </w:rPr>
        <w:t xml:space="preserve"> </w:t>
      </w:r>
      <w:r w:rsidRPr="008C5A7A">
        <w:rPr>
          <w:lang w:val="en-GB"/>
        </w:rPr>
        <w:t>to</w:t>
      </w:r>
      <w:r w:rsidR="001C7C7E">
        <w:rPr>
          <w:lang w:val="en-GB"/>
        </w:rPr>
        <w:t xml:space="preserve"> </w:t>
      </w:r>
      <w:r w:rsidRPr="008C5A7A">
        <w:rPr>
          <w:lang w:val="en-GB"/>
        </w:rPr>
        <w:t>be</w:t>
      </w:r>
      <w:r w:rsidR="001C7C7E">
        <w:rPr>
          <w:lang w:val="en-GB"/>
        </w:rPr>
        <w:t xml:space="preserve"> </w:t>
      </w:r>
      <w:r w:rsidRPr="008C5A7A">
        <w:rPr>
          <w:lang w:val="en-GB"/>
        </w:rPr>
        <w:t>our</w:t>
      </w:r>
      <w:r w:rsidR="001C7C7E">
        <w:rPr>
          <w:lang w:val="en-GB"/>
        </w:rPr>
        <w:t xml:space="preserve"> </w:t>
      </w:r>
      <w:r w:rsidRPr="008C5A7A">
        <w:rPr>
          <w:lang w:val="en-GB"/>
        </w:rPr>
        <w:t>preferred</w:t>
      </w:r>
      <w:r w:rsidR="001C7C7E">
        <w:rPr>
          <w:lang w:val="en-GB"/>
        </w:rPr>
        <w:t xml:space="preserve"> </w:t>
      </w:r>
      <w:r w:rsidRPr="008C5A7A">
        <w:rPr>
          <w:lang w:val="en-GB"/>
        </w:rPr>
        <w:t>London</w:t>
      </w:r>
      <w:r w:rsidR="001C7C7E">
        <w:rPr>
          <w:lang w:val="en-GB"/>
        </w:rPr>
        <w:t xml:space="preserve"> </w:t>
      </w:r>
      <w:r w:rsidRPr="008C5A7A">
        <w:rPr>
          <w:lang w:val="en-GB"/>
        </w:rPr>
        <w:t>play</w:t>
      </w:r>
      <w:r w:rsidR="001C7C7E">
        <w:rPr>
          <w:lang w:val="en-GB"/>
        </w:rPr>
        <w:t xml:space="preserve"> </w:t>
      </w:r>
      <w:r w:rsidRPr="008C5A7A">
        <w:rPr>
          <w:lang w:val="en-GB"/>
        </w:rPr>
        <w:t>and</w:t>
      </w:r>
      <w:r w:rsidR="001C7C7E">
        <w:rPr>
          <w:lang w:val="en-GB"/>
        </w:rPr>
        <w:t xml:space="preserve"> </w:t>
      </w:r>
      <w:r w:rsidRPr="008C5A7A">
        <w:rPr>
          <w:lang w:val="en-GB"/>
        </w:rPr>
        <w:t>we</w:t>
      </w:r>
      <w:r w:rsidR="001C7C7E">
        <w:rPr>
          <w:lang w:val="en-GB"/>
        </w:rPr>
        <w:t xml:space="preserve"> </w:t>
      </w:r>
      <w:r w:rsidRPr="008C5A7A">
        <w:rPr>
          <w:lang w:val="en-GB"/>
        </w:rPr>
        <w:t>upgrade</w:t>
      </w:r>
      <w:r w:rsidR="001C7C7E">
        <w:rPr>
          <w:lang w:val="en-GB"/>
        </w:rPr>
        <w:t xml:space="preserve"> </w:t>
      </w:r>
      <w:r w:rsidRPr="008C5A7A">
        <w:rPr>
          <w:lang w:val="en-GB"/>
        </w:rPr>
        <w:t>our</w:t>
      </w:r>
      <w:r w:rsidR="001C7C7E">
        <w:rPr>
          <w:lang w:val="en-GB"/>
        </w:rPr>
        <w:t xml:space="preserve"> </w:t>
      </w:r>
      <w:r w:rsidRPr="008C5A7A">
        <w:rPr>
          <w:lang w:val="en-GB"/>
        </w:rPr>
        <w:t>PT</w:t>
      </w:r>
      <w:r w:rsidR="001C7C7E">
        <w:rPr>
          <w:lang w:val="en-GB"/>
        </w:rPr>
        <w:t xml:space="preserve"> </w:t>
      </w:r>
      <w:r w:rsidRPr="008C5A7A">
        <w:rPr>
          <w:lang w:val="en-GB"/>
        </w:rPr>
        <w:t>to</w:t>
      </w:r>
      <w:r w:rsidR="001C7C7E">
        <w:rPr>
          <w:lang w:val="en-GB"/>
        </w:rPr>
        <w:t xml:space="preserve"> </w:t>
      </w:r>
      <w:r w:rsidRPr="008C5A7A">
        <w:rPr>
          <w:lang w:val="en-GB"/>
        </w:rPr>
        <w:t>630p.</w:t>
      </w:r>
      <w:r w:rsidR="001C7C7E">
        <w:rPr>
          <w:lang w:val="en-GB"/>
        </w:rPr>
        <w:t xml:space="preserve"> </w:t>
      </w:r>
      <w:r w:rsidRPr="008C5A7A">
        <w:rPr>
          <w:lang w:val="en-GB"/>
        </w:rPr>
        <w:t>We</w:t>
      </w:r>
      <w:r w:rsidR="001C7C7E">
        <w:rPr>
          <w:lang w:val="en-GB"/>
        </w:rPr>
        <w:t xml:space="preserve"> </w:t>
      </w:r>
      <w:r w:rsidRPr="008C5A7A">
        <w:rPr>
          <w:lang w:val="en-GB"/>
        </w:rPr>
        <w:t>find</w:t>
      </w:r>
      <w:r w:rsidR="001C7C7E">
        <w:rPr>
          <w:lang w:val="en-GB"/>
        </w:rPr>
        <w:t xml:space="preserve"> </w:t>
      </w:r>
      <w:r w:rsidRPr="008C5A7A">
        <w:rPr>
          <w:lang w:val="en-GB"/>
        </w:rPr>
        <w:t>it</w:t>
      </w:r>
      <w:r w:rsidR="001C7C7E">
        <w:rPr>
          <w:lang w:val="en-GB"/>
        </w:rPr>
        <w:t xml:space="preserve"> </w:t>
      </w:r>
      <w:r w:rsidRPr="008C5A7A">
        <w:rPr>
          <w:lang w:val="en-GB"/>
        </w:rPr>
        <w:t>increasingly</w:t>
      </w:r>
      <w:r w:rsidR="001C7C7E">
        <w:rPr>
          <w:lang w:val="en-GB"/>
        </w:rPr>
        <w:t xml:space="preserve"> </w:t>
      </w:r>
      <w:r w:rsidRPr="008C5A7A">
        <w:rPr>
          <w:lang w:val="en-GB"/>
        </w:rPr>
        <w:t>difficult</w:t>
      </w:r>
      <w:r w:rsidR="001C7C7E">
        <w:rPr>
          <w:lang w:val="en-GB"/>
        </w:rPr>
        <w:t xml:space="preserve"> </w:t>
      </w:r>
      <w:r w:rsidRPr="008C5A7A">
        <w:rPr>
          <w:lang w:val="en-GB"/>
        </w:rPr>
        <w:t>to</w:t>
      </w:r>
      <w:r w:rsidR="001C7C7E">
        <w:rPr>
          <w:lang w:val="en-GB"/>
        </w:rPr>
        <w:t xml:space="preserve"> </w:t>
      </w:r>
      <w:r w:rsidRPr="008C5A7A">
        <w:rPr>
          <w:lang w:val="en-GB"/>
        </w:rPr>
        <w:t>find</w:t>
      </w:r>
      <w:r w:rsidR="001C7C7E">
        <w:rPr>
          <w:lang w:val="en-GB"/>
        </w:rPr>
        <w:t xml:space="preserve"> </w:t>
      </w:r>
      <w:r w:rsidRPr="008C5A7A">
        <w:rPr>
          <w:lang w:val="en-GB"/>
        </w:rPr>
        <w:t>value</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West</w:t>
      </w:r>
      <w:r w:rsidR="001C7C7E">
        <w:rPr>
          <w:lang w:val="en-GB"/>
        </w:rPr>
        <w:t xml:space="preserve"> </w:t>
      </w:r>
      <w:r w:rsidRPr="008C5A7A">
        <w:rPr>
          <w:lang w:val="en-GB"/>
        </w:rPr>
        <w:t>End,</w:t>
      </w:r>
      <w:r w:rsidR="001C7C7E">
        <w:rPr>
          <w:lang w:val="en-GB"/>
        </w:rPr>
        <w:t xml:space="preserve"> </w:t>
      </w:r>
      <w:r w:rsidRPr="008C5A7A">
        <w:rPr>
          <w:lang w:val="en-GB"/>
        </w:rPr>
        <w:t>with</w:t>
      </w:r>
      <w:r w:rsidR="001C7C7E">
        <w:rPr>
          <w:lang w:val="en-GB"/>
        </w:rPr>
        <w:t xml:space="preserve"> </w:t>
      </w:r>
      <w:r w:rsidRPr="008C5A7A">
        <w:rPr>
          <w:lang w:val="en-GB"/>
        </w:rPr>
        <w:t>mild</w:t>
      </w:r>
      <w:r w:rsidR="001C7C7E">
        <w:rPr>
          <w:lang w:val="en-GB"/>
        </w:rPr>
        <w:t xml:space="preserve"> </w:t>
      </w:r>
      <w:r w:rsidRPr="008C5A7A">
        <w:rPr>
          <w:lang w:val="en-GB"/>
        </w:rPr>
        <w:t>yield</w:t>
      </w:r>
      <w:r w:rsidR="001C7C7E">
        <w:rPr>
          <w:lang w:val="en-GB"/>
        </w:rPr>
        <w:t xml:space="preserve"> </w:t>
      </w:r>
      <w:r w:rsidRPr="008C5A7A">
        <w:rPr>
          <w:lang w:val="en-GB"/>
        </w:rPr>
        <w:t>expansion</w:t>
      </w:r>
      <w:r w:rsidR="001C7C7E">
        <w:rPr>
          <w:lang w:val="en-GB"/>
        </w:rPr>
        <w:t xml:space="preserve"> </w:t>
      </w:r>
      <w:r w:rsidRPr="008C5A7A">
        <w:rPr>
          <w:lang w:val="en-GB"/>
        </w:rPr>
        <w:t>in</w:t>
      </w:r>
      <w:r w:rsidR="001C7C7E">
        <w:rPr>
          <w:lang w:val="en-GB"/>
        </w:rPr>
        <w:t xml:space="preserve"> </w:t>
      </w:r>
      <w:r w:rsidRPr="008C5A7A">
        <w:rPr>
          <w:lang w:val="en-GB"/>
        </w:rPr>
        <w:t>16</w:t>
      </w:r>
      <w:r w:rsidR="001C7C7E">
        <w:rPr>
          <w:lang w:val="en-GB"/>
        </w:rPr>
        <w:t xml:space="preserve"> </w:t>
      </w:r>
      <w:r w:rsidRPr="008C5A7A">
        <w:rPr>
          <w:lang w:val="en-GB"/>
        </w:rPr>
        <w:t>&amp;</w:t>
      </w:r>
      <w:r w:rsidR="001C7C7E">
        <w:rPr>
          <w:lang w:val="en-GB"/>
        </w:rPr>
        <w:t xml:space="preserve"> </w:t>
      </w:r>
      <w:r w:rsidRPr="008C5A7A">
        <w:rPr>
          <w:lang w:val="en-GB"/>
        </w:rPr>
        <w:t>17</w:t>
      </w:r>
      <w:r w:rsidR="001C7C7E">
        <w:rPr>
          <w:lang w:val="en-GB"/>
        </w:rPr>
        <w:t xml:space="preserve"> </w:t>
      </w:r>
      <w:r w:rsidRPr="008C5A7A">
        <w:rPr>
          <w:lang w:val="en-GB"/>
        </w:rPr>
        <w:t>negating</w:t>
      </w:r>
      <w:r w:rsidR="001C7C7E">
        <w:rPr>
          <w:lang w:val="en-GB"/>
        </w:rPr>
        <w:t xml:space="preserve"> </w:t>
      </w:r>
      <w:r w:rsidRPr="008C5A7A">
        <w:rPr>
          <w:lang w:val="en-GB"/>
        </w:rPr>
        <w:t>front</w:t>
      </w:r>
      <w:r w:rsidR="001C7C7E">
        <w:rPr>
          <w:lang w:val="en-GB"/>
        </w:rPr>
        <w:t xml:space="preserve"> </w:t>
      </w:r>
      <w:r w:rsidRPr="008C5A7A">
        <w:rPr>
          <w:lang w:val="en-GB"/>
        </w:rPr>
        <w:t>loading</w:t>
      </w:r>
      <w:r w:rsidR="001C7C7E">
        <w:rPr>
          <w:lang w:val="en-GB"/>
        </w:rPr>
        <w:t xml:space="preserve"> </w:t>
      </w:r>
      <w:r w:rsidRPr="008C5A7A">
        <w:rPr>
          <w:lang w:val="en-GB"/>
        </w:rPr>
        <w:t>in</w:t>
      </w:r>
      <w:r w:rsidR="001C7C7E">
        <w:rPr>
          <w:lang w:val="en-GB"/>
        </w:rPr>
        <w:t xml:space="preserve"> </w:t>
      </w:r>
      <w:r w:rsidRPr="008C5A7A">
        <w:rPr>
          <w:lang w:val="en-GB"/>
        </w:rPr>
        <w:t>14</w:t>
      </w:r>
      <w:r w:rsidR="001C7C7E">
        <w:rPr>
          <w:lang w:val="en-GB"/>
        </w:rPr>
        <w:t xml:space="preserve"> </w:t>
      </w:r>
      <w:r w:rsidRPr="008C5A7A">
        <w:rPr>
          <w:lang w:val="en-GB"/>
        </w:rPr>
        <w:t>&amp;</w:t>
      </w:r>
      <w:r w:rsidR="001C7C7E">
        <w:rPr>
          <w:lang w:val="en-GB"/>
        </w:rPr>
        <w:t xml:space="preserve"> </w:t>
      </w:r>
      <w:r w:rsidRPr="008C5A7A">
        <w:rPr>
          <w:lang w:val="en-GB"/>
        </w:rPr>
        <w:t>15.</w:t>
      </w:r>
      <w:r w:rsidR="001C7C7E">
        <w:rPr>
          <w:lang w:val="en-GB"/>
        </w:rPr>
        <w:t xml:space="preserve"> </w:t>
      </w:r>
      <w:r w:rsidRPr="008C5A7A">
        <w:rPr>
          <w:lang w:val="en-GB"/>
        </w:rPr>
        <w:t>To</w:t>
      </w:r>
      <w:r w:rsidR="001C7C7E">
        <w:rPr>
          <w:lang w:val="en-GB"/>
        </w:rPr>
        <w:t xml:space="preserve"> </w:t>
      </w:r>
      <w:r w:rsidRPr="008C5A7A">
        <w:rPr>
          <w:lang w:val="en-GB"/>
        </w:rPr>
        <w:t>continue</w:t>
      </w:r>
      <w:r w:rsidR="001C7C7E">
        <w:rPr>
          <w:lang w:val="en-GB"/>
        </w:rPr>
        <w:t xml:space="preserve"> </w:t>
      </w:r>
      <w:r w:rsidRPr="008C5A7A">
        <w:rPr>
          <w:lang w:val="en-GB"/>
        </w:rPr>
        <w:t>reading,</w:t>
      </w:r>
      <w:r w:rsidR="001C7C7E">
        <w:rPr>
          <w:lang w:val="en-GB"/>
        </w:rPr>
        <w:t xml:space="preserve"> </w:t>
      </w:r>
      <w:r w:rsidRPr="008C5A7A">
        <w:rPr>
          <w:lang w:val="en-GB"/>
        </w:rPr>
        <w:t>please</w:t>
      </w:r>
      <w:r w:rsidR="001C7C7E">
        <w:rPr>
          <w:lang w:val="en-GB"/>
        </w:rPr>
        <w:t xml:space="preserve"> </w:t>
      </w:r>
      <w:hyperlink r:id="rId19"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r w:rsidR="001C7C7E">
        <w:rPr>
          <w:lang w:val="en-GB"/>
        </w:rPr>
        <w:t xml:space="preserve"> </w:t>
      </w:r>
    </w:p>
    <w:p w:rsidR="002E187C" w:rsidRPr="008C5A7A" w:rsidRDefault="002E187C" w:rsidP="00183A10">
      <w:pPr>
        <w:pStyle w:val="FPBullet"/>
        <w:rPr>
          <w:lang w:val="en-GB"/>
        </w:rPr>
      </w:pPr>
      <w:r w:rsidRPr="008C5A7A">
        <w:rPr>
          <w:b/>
          <w:bCs/>
          <w:lang w:val="en-GB"/>
        </w:rPr>
        <w:t>Recent</w:t>
      </w:r>
      <w:r w:rsidR="001C7C7E">
        <w:rPr>
          <w:b/>
          <w:bCs/>
          <w:lang w:val="en-GB"/>
        </w:rPr>
        <w:t xml:space="preserve"> </w:t>
      </w:r>
      <w:r w:rsidRPr="008C5A7A">
        <w:rPr>
          <w:b/>
          <w:bCs/>
          <w:lang w:val="en-GB"/>
        </w:rPr>
        <w:t>initiation:</w:t>
      </w:r>
      <w:r w:rsidR="001C7C7E">
        <w:rPr>
          <w:b/>
          <w:bCs/>
          <w:lang w:val="en-GB"/>
        </w:rPr>
        <w:t xml:space="preserve"> </w:t>
      </w:r>
      <w:r w:rsidRPr="008C5A7A">
        <w:rPr>
          <w:b/>
          <w:bCs/>
          <w:lang w:val="en-GB"/>
        </w:rPr>
        <w:t>Grand</w:t>
      </w:r>
      <w:r w:rsidR="001C7C7E">
        <w:rPr>
          <w:b/>
          <w:bCs/>
          <w:lang w:val="en-GB"/>
        </w:rPr>
        <w:t xml:space="preserve"> </w:t>
      </w:r>
      <w:r w:rsidRPr="008C5A7A">
        <w:rPr>
          <w:b/>
          <w:bCs/>
          <w:lang w:val="en-GB"/>
        </w:rPr>
        <w:t>City:</w:t>
      </w:r>
      <w:r w:rsidR="001C7C7E">
        <w:rPr>
          <w:b/>
          <w:bCs/>
          <w:lang w:val="en-GB"/>
        </w:rPr>
        <w:t xml:space="preserve"> </w:t>
      </w:r>
      <w:r w:rsidRPr="008C5A7A">
        <w:rPr>
          <w:b/>
          <w:bCs/>
          <w:lang w:val="en-GB"/>
        </w:rPr>
        <w:t>Take</w:t>
      </w:r>
      <w:r w:rsidR="001C7C7E">
        <w:rPr>
          <w:b/>
          <w:bCs/>
          <w:lang w:val="en-GB"/>
        </w:rPr>
        <w:t xml:space="preserve"> </w:t>
      </w:r>
      <w:r w:rsidRPr="008C5A7A">
        <w:rPr>
          <w:b/>
          <w:bCs/>
          <w:lang w:val="en-GB"/>
        </w:rPr>
        <w:t>me</w:t>
      </w:r>
      <w:r w:rsidR="001C7C7E">
        <w:rPr>
          <w:b/>
          <w:bCs/>
          <w:lang w:val="en-GB"/>
        </w:rPr>
        <w:t xml:space="preserve"> </w:t>
      </w:r>
      <w:r w:rsidRPr="008C5A7A">
        <w:rPr>
          <w:b/>
          <w:bCs/>
          <w:lang w:val="en-GB"/>
        </w:rPr>
        <w:t>down</w:t>
      </w:r>
      <w:r w:rsidR="001C7C7E">
        <w:rPr>
          <w:b/>
          <w:bCs/>
          <w:lang w:val="en-GB"/>
        </w:rPr>
        <w:t xml:space="preserve"> </w:t>
      </w:r>
      <w:r w:rsidRPr="008C5A7A">
        <w:rPr>
          <w:b/>
          <w:bCs/>
          <w:lang w:val="en-GB"/>
        </w:rPr>
        <w:t>to</w:t>
      </w:r>
      <w:r w:rsidR="001C7C7E">
        <w:rPr>
          <w:b/>
          <w:bCs/>
          <w:lang w:val="en-GB"/>
        </w:rPr>
        <w:t xml:space="preserve"> </w:t>
      </w:r>
      <w:r w:rsidRPr="008C5A7A">
        <w:rPr>
          <w:b/>
          <w:bCs/>
          <w:lang w:val="en-GB"/>
        </w:rPr>
        <w:t>the</w:t>
      </w:r>
      <w:r w:rsidR="001C7C7E">
        <w:rPr>
          <w:b/>
          <w:bCs/>
          <w:lang w:val="en-GB"/>
        </w:rPr>
        <w:t xml:space="preserve"> </w:t>
      </w:r>
      <w:r w:rsidRPr="008C5A7A">
        <w:rPr>
          <w:b/>
          <w:bCs/>
          <w:lang w:val="en-GB"/>
        </w:rPr>
        <w:t>Paradise</w:t>
      </w:r>
      <w:r w:rsidR="001C7C7E">
        <w:rPr>
          <w:b/>
          <w:bCs/>
          <w:lang w:val="en-GB"/>
        </w:rPr>
        <w:t xml:space="preserve"> </w:t>
      </w:r>
      <w:r w:rsidRPr="008C5A7A">
        <w:rPr>
          <w:b/>
          <w:bCs/>
          <w:lang w:val="en-GB"/>
        </w:rPr>
        <w:t>City</w:t>
      </w:r>
      <w:r w:rsidR="001C7C7E">
        <w:rPr>
          <w:b/>
          <w:bCs/>
          <w:lang w:val="en-GB"/>
        </w:rPr>
        <w:t xml:space="preserve"> </w:t>
      </w:r>
      <w:r w:rsidRPr="008C5A7A">
        <w:rPr>
          <w:b/>
          <w:bCs/>
          <w:lang w:val="en-GB"/>
        </w:rPr>
        <w:t>where</w:t>
      </w:r>
      <w:r w:rsidR="001C7C7E">
        <w:rPr>
          <w:b/>
          <w:bCs/>
          <w:lang w:val="en-GB"/>
        </w:rPr>
        <w:t xml:space="preserve"> </w:t>
      </w:r>
      <w:r w:rsidRPr="008C5A7A">
        <w:rPr>
          <w:b/>
          <w:bCs/>
          <w:lang w:val="en-GB"/>
        </w:rPr>
        <w:t>the</w:t>
      </w:r>
      <w:r w:rsidR="001C7C7E">
        <w:rPr>
          <w:b/>
          <w:bCs/>
          <w:lang w:val="en-GB"/>
        </w:rPr>
        <w:t xml:space="preserve"> </w:t>
      </w:r>
      <w:r w:rsidRPr="008C5A7A">
        <w:rPr>
          <w:b/>
          <w:bCs/>
          <w:lang w:val="en-GB"/>
        </w:rPr>
        <w:t>upside</w:t>
      </w:r>
      <w:r w:rsidR="001C7C7E">
        <w:rPr>
          <w:b/>
          <w:bCs/>
          <w:lang w:val="en-GB"/>
        </w:rPr>
        <w:t xml:space="preserve"> </w:t>
      </w:r>
      <w:r w:rsidRPr="008C5A7A">
        <w:rPr>
          <w:b/>
          <w:bCs/>
          <w:lang w:val="en-GB"/>
        </w:rPr>
        <w:t>is</w:t>
      </w:r>
      <w:r w:rsidR="001C7C7E">
        <w:rPr>
          <w:b/>
          <w:bCs/>
          <w:lang w:val="en-GB"/>
        </w:rPr>
        <w:t xml:space="preserve"> </w:t>
      </w:r>
      <w:r w:rsidRPr="008C5A7A">
        <w:rPr>
          <w:b/>
          <w:bCs/>
          <w:lang w:val="en-GB"/>
        </w:rPr>
        <w:t>high</w:t>
      </w:r>
      <w:r w:rsidR="001C7C7E">
        <w:rPr>
          <w:b/>
          <w:bCs/>
          <w:lang w:val="en-GB"/>
        </w:rPr>
        <w:t xml:space="preserve"> </w:t>
      </w:r>
      <w:r w:rsidRPr="008C5A7A">
        <w:rPr>
          <w:b/>
          <w:bCs/>
          <w:lang w:val="en-GB"/>
        </w:rPr>
        <w:t>as</w:t>
      </w:r>
      <w:r w:rsidR="001C7C7E">
        <w:rPr>
          <w:b/>
          <w:bCs/>
          <w:lang w:val="en-GB"/>
        </w:rPr>
        <w:t xml:space="preserve"> </w:t>
      </w:r>
      <w:r w:rsidRPr="008C5A7A">
        <w:rPr>
          <w:b/>
          <w:bCs/>
          <w:lang w:val="en-GB"/>
        </w:rPr>
        <w:t>the</w:t>
      </w:r>
      <w:r w:rsidR="001C7C7E">
        <w:rPr>
          <w:b/>
          <w:bCs/>
          <w:lang w:val="en-GB"/>
        </w:rPr>
        <w:t xml:space="preserve"> </w:t>
      </w:r>
      <w:r w:rsidRPr="008C5A7A">
        <w:rPr>
          <w:b/>
          <w:bCs/>
          <w:lang w:val="en-GB"/>
        </w:rPr>
        <w:t>units</w:t>
      </w:r>
      <w:r w:rsidR="001C7C7E">
        <w:rPr>
          <w:b/>
          <w:bCs/>
          <w:lang w:val="en-GB"/>
        </w:rPr>
        <w:t xml:space="preserve"> </w:t>
      </w:r>
      <w:r w:rsidRPr="008C5A7A">
        <w:rPr>
          <w:b/>
          <w:bCs/>
          <w:lang w:val="en-GB"/>
        </w:rPr>
        <w:t>are</w:t>
      </w:r>
      <w:r w:rsidR="001C7C7E">
        <w:rPr>
          <w:b/>
          <w:bCs/>
          <w:lang w:val="en-GB"/>
        </w:rPr>
        <w:t xml:space="preserve"> </w:t>
      </w:r>
      <w:r w:rsidRPr="008C5A7A">
        <w:rPr>
          <w:b/>
          <w:bCs/>
          <w:lang w:val="en-GB"/>
        </w:rPr>
        <w:t>empty:</w:t>
      </w:r>
      <w:r w:rsidR="001C7C7E">
        <w:rPr>
          <w:b/>
          <w:bCs/>
          <w:lang w:val="en-GB"/>
        </w:rPr>
        <w:t xml:space="preserve"> </w:t>
      </w:r>
      <w:r w:rsidRPr="008C5A7A">
        <w:rPr>
          <w:lang w:val="en-GB"/>
        </w:rPr>
        <w:t>We</w:t>
      </w:r>
      <w:r w:rsidR="001C7C7E">
        <w:rPr>
          <w:lang w:val="en-GB"/>
        </w:rPr>
        <w:t xml:space="preserve"> </w:t>
      </w:r>
      <w:r w:rsidRPr="008C5A7A">
        <w:rPr>
          <w:lang w:val="en-GB"/>
        </w:rPr>
        <w:t>initiated</w:t>
      </w:r>
      <w:r w:rsidR="001C7C7E">
        <w:rPr>
          <w:lang w:val="en-GB"/>
        </w:rPr>
        <w:t xml:space="preserve"> </w:t>
      </w:r>
      <w:r w:rsidRPr="008C5A7A">
        <w:rPr>
          <w:lang w:val="en-GB"/>
        </w:rPr>
        <w:t>coverage</w:t>
      </w:r>
      <w:r w:rsidR="001C7C7E">
        <w:rPr>
          <w:lang w:val="en-GB"/>
        </w:rPr>
        <w:t xml:space="preserve"> </w:t>
      </w:r>
      <w:r w:rsidRPr="008C5A7A">
        <w:rPr>
          <w:lang w:val="en-GB"/>
        </w:rPr>
        <w:t>of</w:t>
      </w:r>
      <w:r w:rsidR="001C7C7E">
        <w:rPr>
          <w:lang w:val="en-GB"/>
        </w:rPr>
        <w:t xml:space="preserve"> </w:t>
      </w:r>
      <w:r w:rsidRPr="008C5A7A">
        <w:rPr>
          <w:lang w:val="en-GB"/>
        </w:rPr>
        <w:t>Grand</w:t>
      </w:r>
      <w:r w:rsidR="001C7C7E">
        <w:rPr>
          <w:lang w:val="en-GB"/>
        </w:rPr>
        <w:t xml:space="preserve"> </w:t>
      </w:r>
      <w:r w:rsidRPr="008C5A7A">
        <w:rPr>
          <w:lang w:val="en-GB"/>
        </w:rPr>
        <w:t>City</w:t>
      </w:r>
      <w:r w:rsidR="001C7C7E">
        <w:rPr>
          <w:lang w:val="en-GB"/>
        </w:rPr>
        <w:t xml:space="preserve"> </w:t>
      </w:r>
      <w:r w:rsidRPr="008C5A7A">
        <w:rPr>
          <w:lang w:val="en-GB"/>
        </w:rPr>
        <w:t>Properties,</w:t>
      </w:r>
      <w:r w:rsidR="001C7C7E">
        <w:rPr>
          <w:lang w:val="en-GB"/>
        </w:rPr>
        <w:t xml:space="preserve"> </w:t>
      </w:r>
      <w:r w:rsidRPr="008C5A7A">
        <w:rPr>
          <w:lang w:val="en-GB"/>
        </w:rPr>
        <w:t>with</w:t>
      </w:r>
      <w:r w:rsidR="001C7C7E">
        <w:rPr>
          <w:lang w:val="en-GB"/>
        </w:rPr>
        <w:t xml:space="preserve"> </w:t>
      </w:r>
      <w:r w:rsidRPr="008C5A7A">
        <w:rPr>
          <w:lang w:val="en-GB"/>
        </w:rPr>
        <w:t>an</w:t>
      </w:r>
      <w:r w:rsidR="001C7C7E">
        <w:rPr>
          <w:lang w:val="en-GB"/>
        </w:rPr>
        <w:t xml:space="preserve"> </w:t>
      </w:r>
      <w:r w:rsidRPr="008C5A7A">
        <w:rPr>
          <w:lang w:val="en-GB"/>
        </w:rPr>
        <w:t>OW</w:t>
      </w:r>
      <w:r w:rsidR="001C7C7E">
        <w:rPr>
          <w:lang w:val="en-GB"/>
        </w:rPr>
        <w:t xml:space="preserve"> </w:t>
      </w:r>
      <w:r w:rsidRPr="008C5A7A">
        <w:rPr>
          <w:lang w:val="en-GB"/>
        </w:rPr>
        <w:t>rating</w:t>
      </w:r>
      <w:r w:rsidR="001C7C7E">
        <w:rPr>
          <w:lang w:val="en-GB"/>
        </w:rPr>
        <w:t xml:space="preserve"> </w:t>
      </w:r>
      <w:r w:rsidRPr="008C5A7A">
        <w:rPr>
          <w:lang w:val="en-GB"/>
        </w:rPr>
        <w:t>and</w:t>
      </w:r>
      <w:r w:rsidR="001C7C7E">
        <w:rPr>
          <w:lang w:val="en-GB"/>
        </w:rPr>
        <w:t xml:space="preserve"> </w:t>
      </w:r>
      <w:r w:rsidRPr="008C5A7A">
        <w:rPr>
          <w:lang w:val="en-GB"/>
        </w:rPr>
        <w:t>20%</w:t>
      </w:r>
      <w:r w:rsidR="001C7C7E">
        <w:rPr>
          <w:lang w:val="en-GB"/>
        </w:rPr>
        <w:t xml:space="preserve"> </w:t>
      </w:r>
      <w:r w:rsidRPr="008C5A7A">
        <w:rPr>
          <w:lang w:val="en-GB"/>
        </w:rPr>
        <w:t>potential</w:t>
      </w:r>
      <w:r w:rsidR="001C7C7E">
        <w:rPr>
          <w:lang w:val="en-GB"/>
        </w:rPr>
        <w:t xml:space="preserve"> </w:t>
      </w:r>
      <w:r w:rsidRPr="008C5A7A">
        <w:rPr>
          <w:lang w:val="en-GB"/>
        </w:rPr>
        <w:t>upside</w:t>
      </w:r>
      <w:r w:rsidR="001C7C7E">
        <w:rPr>
          <w:lang w:val="en-GB"/>
        </w:rPr>
        <w:t xml:space="preserve"> </w:t>
      </w:r>
      <w:r w:rsidRPr="008C5A7A">
        <w:rPr>
          <w:lang w:val="en-GB"/>
        </w:rPr>
        <w:t>to</w:t>
      </w:r>
      <w:r w:rsidR="001C7C7E">
        <w:rPr>
          <w:lang w:val="en-GB"/>
        </w:rPr>
        <w:t xml:space="preserve"> </w:t>
      </w:r>
      <w:r w:rsidRPr="008C5A7A">
        <w:rPr>
          <w:lang w:val="en-GB"/>
        </w:rPr>
        <w:t>our</w:t>
      </w:r>
      <w:r w:rsidR="001C7C7E">
        <w:rPr>
          <w:lang w:val="en-GB"/>
        </w:rPr>
        <w:t xml:space="preserve"> </w:t>
      </w:r>
      <w:r w:rsidRPr="008C5A7A">
        <w:rPr>
          <w:lang w:val="en-GB"/>
        </w:rPr>
        <w:t>€9.75</w:t>
      </w:r>
      <w:r w:rsidR="001C7C7E">
        <w:rPr>
          <w:lang w:val="en-GB"/>
        </w:rPr>
        <w:t xml:space="preserve"> </w:t>
      </w:r>
      <w:r w:rsidRPr="008C5A7A">
        <w:rPr>
          <w:lang w:val="en-GB"/>
        </w:rPr>
        <w:t>price</w:t>
      </w:r>
      <w:r w:rsidR="001C7C7E">
        <w:rPr>
          <w:lang w:val="en-GB"/>
        </w:rPr>
        <w:t xml:space="preserve"> </w:t>
      </w:r>
      <w:r w:rsidRPr="008C5A7A">
        <w:rPr>
          <w:lang w:val="en-GB"/>
        </w:rPr>
        <w:t>target.</w:t>
      </w:r>
      <w:r w:rsidR="001C7C7E">
        <w:rPr>
          <w:lang w:val="en-GB"/>
        </w:rPr>
        <w:t xml:space="preserve"> </w:t>
      </w:r>
      <w:r w:rsidRPr="008C5A7A">
        <w:rPr>
          <w:lang w:val="en-GB"/>
        </w:rPr>
        <w:t>Grand</w:t>
      </w:r>
      <w:r w:rsidR="001C7C7E">
        <w:rPr>
          <w:lang w:val="en-GB"/>
        </w:rPr>
        <w:t xml:space="preserve"> </w:t>
      </w:r>
      <w:r w:rsidRPr="008C5A7A">
        <w:rPr>
          <w:lang w:val="en-GB"/>
        </w:rPr>
        <w:t>City</w:t>
      </w:r>
      <w:r w:rsidR="001C7C7E">
        <w:rPr>
          <w:lang w:val="en-GB"/>
        </w:rPr>
        <w:t xml:space="preserve"> </w:t>
      </w:r>
      <w:r w:rsidRPr="008C5A7A">
        <w:rPr>
          <w:lang w:val="en-GB"/>
        </w:rPr>
        <w:t>focuses</w:t>
      </w:r>
      <w:r w:rsidR="001C7C7E">
        <w:rPr>
          <w:lang w:val="en-GB"/>
        </w:rPr>
        <w:t xml:space="preserve"> </w:t>
      </w:r>
      <w:r w:rsidRPr="008C5A7A">
        <w:rPr>
          <w:lang w:val="en-GB"/>
        </w:rPr>
        <w:t>on</w:t>
      </w:r>
      <w:r w:rsidR="001C7C7E">
        <w:rPr>
          <w:lang w:val="en-GB"/>
        </w:rPr>
        <w:t xml:space="preserve"> </w:t>
      </w:r>
      <w:r w:rsidRPr="008C5A7A">
        <w:rPr>
          <w:lang w:val="en-GB"/>
        </w:rPr>
        <w:t>the</w:t>
      </w:r>
      <w:r w:rsidR="001C7C7E">
        <w:rPr>
          <w:lang w:val="en-GB"/>
        </w:rPr>
        <w:t xml:space="preserve"> </w:t>
      </w:r>
      <w:r w:rsidRPr="008C5A7A">
        <w:rPr>
          <w:lang w:val="en-GB"/>
        </w:rPr>
        <w:t>acquisition</w:t>
      </w:r>
      <w:r w:rsidR="001C7C7E">
        <w:rPr>
          <w:lang w:val="en-GB"/>
        </w:rPr>
        <w:t xml:space="preserve"> </w:t>
      </w:r>
      <w:r w:rsidRPr="008C5A7A">
        <w:rPr>
          <w:lang w:val="en-GB"/>
        </w:rPr>
        <w:t>and</w:t>
      </w:r>
      <w:r w:rsidR="001C7C7E">
        <w:rPr>
          <w:lang w:val="en-GB"/>
        </w:rPr>
        <w:t xml:space="preserve"> </w:t>
      </w:r>
      <w:r w:rsidRPr="008C5A7A">
        <w:rPr>
          <w:lang w:val="en-GB"/>
        </w:rPr>
        <w:t>turning</w:t>
      </w:r>
      <w:r w:rsidR="001C7C7E">
        <w:rPr>
          <w:lang w:val="en-GB"/>
        </w:rPr>
        <w:t xml:space="preserve"> </w:t>
      </w:r>
      <w:r w:rsidRPr="008C5A7A">
        <w:rPr>
          <w:lang w:val="en-GB"/>
        </w:rPr>
        <w:t>around</w:t>
      </w:r>
      <w:r w:rsidR="001C7C7E">
        <w:rPr>
          <w:lang w:val="en-GB"/>
        </w:rPr>
        <w:t xml:space="preserve"> </w:t>
      </w:r>
      <w:r w:rsidRPr="008C5A7A">
        <w:rPr>
          <w:lang w:val="en-GB"/>
        </w:rPr>
        <w:t>of</w:t>
      </w:r>
      <w:r w:rsidR="001C7C7E">
        <w:rPr>
          <w:lang w:val="en-GB"/>
        </w:rPr>
        <w:t xml:space="preserve"> </w:t>
      </w:r>
      <w:r w:rsidRPr="008C5A7A">
        <w:rPr>
          <w:lang w:val="en-GB"/>
        </w:rPr>
        <w:t>distressed</w:t>
      </w:r>
      <w:r w:rsidR="001C7C7E">
        <w:rPr>
          <w:lang w:val="en-GB"/>
        </w:rPr>
        <w:t xml:space="preserve"> </w:t>
      </w:r>
      <w:r w:rsidRPr="008C5A7A">
        <w:rPr>
          <w:lang w:val="en-GB"/>
        </w:rPr>
        <w:t>portfolios</w:t>
      </w:r>
      <w:r w:rsidR="001C7C7E">
        <w:rPr>
          <w:lang w:val="en-GB"/>
        </w:rPr>
        <w:t xml:space="preserve"> </w:t>
      </w:r>
      <w:r w:rsidRPr="008C5A7A">
        <w:rPr>
          <w:lang w:val="en-GB"/>
        </w:rPr>
        <w:t>with</w:t>
      </w:r>
      <w:r w:rsidR="001C7C7E">
        <w:rPr>
          <w:lang w:val="en-GB"/>
        </w:rPr>
        <w:t xml:space="preserve"> </w:t>
      </w:r>
      <w:r w:rsidRPr="008C5A7A">
        <w:rPr>
          <w:lang w:val="en-GB"/>
        </w:rPr>
        <w:t>high</w:t>
      </w:r>
      <w:r w:rsidR="001C7C7E">
        <w:rPr>
          <w:lang w:val="en-GB"/>
        </w:rPr>
        <w:t xml:space="preserve"> </w:t>
      </w:r>
      <w:r w:rsidRPr="008C5A7A">
        <w:rPr>
          <w:lang w:val="en-GB"/>
        </w:rPr>
        <w:t>vacancy</w:t>
      </w:r>
      <w:r w:rsidR="001C7C7E">
        <w:rPr>
          <w:lang w:val="en-GB"/>
        </w:rPr>
        <w:t xml:space="preserve"> </w:t>
      </w:r>
      <w:r w:rsidRPr="008C5A7A">
        <w:rPr>
          <w:lang w:val="en-GB"/>
        </w:rPr>
        <w:t>(c30%)</w:t>
      </w:r>
      <w:r w:rsidR="001C7C7E">
        <w:rPr>
          <w:lang w:val="en-GB"/>
        </w:rPr>
        <w:t xml:space="preserve"> </w:t>
      </w:r>
      <w:r w:rsidRPr="008C5A7A">
        <w:rPr>
          <w:lang w:val="en-GB"/>
        </w:rPr>
        <w:t>and</w:t>
      </w:r>
      <w:r w:rsidR="001C7C7E">
        <w:rPr>
          <w:lang w:val="en-GB"/>
        </w:rPr>
        <w:t xml:space="preserve"> </w:t>
      </w:r>
      <w:r w:rsidRPr="008C5A7A">
        <w:rPr>
          <w:lang w:val="en-GB"/>
        </w:rPr>
        <w:t>poor</w:t>
      </w:r>
      <w:r w:rsidR="001C7C7E">
        <w:rPr>
          <w:lang w:val="en-GB"/>
        </w:rPr>
        <w:t xml:space="preserve"> </w:t>
      </w:r>
      <w:r w:rsidRPr="008C5A7A">
        <w:rPr>
          <w:lang w:val="en-GB"/>
        </w:rPr>
        <w:t>cost</w:t>
      </w:r>
      <w:r w:rsidR="001C7C7E">
        <w:rPr>
          <w:lang w:val="en-GB"/>
        </w:rPr>
        <w:t xml:space="preserve"> </w:t>
      </w:r>
      <w:r w:rsidRPr="008C5A7A">
        <w:rPr>
          <w:lang w:val="en-GB"/>
        </w:rPr>
        <w:t>control.</w:t>
      </w:r>
      <w:r w:rsidR="001C7C7E">
        <w:rPr>
          <w:lang w:val="en-GB"/>
        </w:rPr>
        <w:t xml:space="preserve"> </w:t>
      </w:r>
      <w:r w:rsidRPr="008C5A7A">
        <w:rPr>
          <w:lang w:val="en-GB"/>
        </w:rPr>
        <w:t>The</w:t>
      </w:r>
      <w:r w:rsidR="001C7C7E">
        <w:rPr>
          <w:lang w:val="en-GB"/>
        </w:rPr>
        <w:t xml:space="preserve"> </w:t>
      </w:r>
      <w:r w:rsidRPr="008C5A7A">
        <w:rPr>
          <w:lang w:val="en-GB"/>
        </w:rPr>
        <w:t>resulting</w:t>
      </w:r>
      <w:r w:rsidR="001C7C7E">
        <w:rPr>
          <w:lang w:val="en-GB"/>
        </w:rPr>
        <w:t xml:space="preserve"> </w:t>
      </w:r>
      <w:r w:rsidRPr="008C5A7A">
        <w:rPr>
          <w:lang w:val="en-GB"/>
        </w:rPr>
        <w:t>rental</w:t>
      </w:r>
      <w:r w:rsidR="001C7C7E">
        <w:rPr>
          <w:lang w:val="en-GB"/>
        </w:rPr>
        <w:t xml:space="preserve"> </w:t>
      </w:r>
      <w:r w:rsidRPr="008C5A7A">
        <w:rPr>
          <w:lang w:val="en-GB"/>
        </w:rPr>
        <w:t>income</w:t>
      </w:r>
      <w:r w:rsidR="001C7C7E">
        <w:rPr>
          <w:lang w:val="en-GB"/>
        </w:rPr>
        <w:t xml:space="preserve"> </w:t>
      </w:r>
      <w:r w:rsidRPr="008C5A7A">
        <w:rPr>
          <w:lang w:val="en-GB"/>
        </w:rPr>
        <w:t>created</w:t>
      </w:r>
      <w:r w:rsidR="001C7C7E">
        <w:rPr>
          <w:lang w:val="en-GB"/>
        </w:rPr>
        <w:t xml:space="preserve"> </w:t>
      </w:r>
      <w:r w:rsidRPr="008C5A7A">
        <w:rPr>
          <w:lang w:val="en-GB"/>
        </w:rPr>
        <w:t>drives</w:t>
      </w:r>
      <w:r w:rsidR="001C7C7E">
        <w:rPr>
          <w:lang w:val="en-GB"/>
        </w:rPr>
        <w:t xml:space="preserve"> </w:t>
      </w:r>
      <w:r w:rsidRPr="008C5A7A">
        <w:rPr>
          <w:lang w:val="en-GB"/>
        </w:rPr>
        <w:t>FFO</w:t>
      </w:r>
      <w:r w:rsidR="001C7C7E">
        <w:rPr>
          <w:lang w:val="en-GB"/>
        </w:rPr>
        <w:t xml:space="preserve"> </w:t>
      </w:r>
      <w:r w:rsidRPr="008C5A7A">
        <w:rPr>
          <w:lang w:val="en-GB"/>
        </w:rPr>
        <w:t>ps</w:t>
      </w:r>
      <w:r w:rsidR="001C7C7E">
        <w:rPr>
          <w:lang w:val="en-GB"/>
        </w:rPr>
        <w:t xml:space="preserve"> </w:t>
      </w:r>
      <w:r w:rsidRPr="008C5A7A">
        <w:rPr>
          <w:lang w:val="en-GB"/>
        </w:rPr>
        <w:t>4-yr</w:t>
      </w:r>
      <w:r w:rsidR="001C7C7E">
        <w:rPr>
          <w:lang w:val="en-GB"/>
        </w:rPr>
        <w:t xml:space="preserve"> </w:t>
      </w:r>
      <w:r w:rsidRPr="008C5A7A">
        <w:rPr>
          <w:lang w:val="en-GB"/>
        </w:rPr>
        <w:t>CAGR</w:t>
      </w:r>
      <w:r w:rsidR="001C7C7E">
        <w:rPr>
          <w:lang w:val="en-GB"/>
        </w:rPr>
        <w:t xml:space="preserve"> </w:t>
      </w:r>
      <w:r w:rsidRPr="008C5A7A">
        <w:rPr>
          <w:lang w:val="en-GB"/>
        </w:rPr>
        <w:t>of</w:t>
      </w:r>
      <w:r w:rsidR="001C7C7E">
        <w:rPr>
          <w:lang w:val="en-GB"/>
        </w:rPr>
        <w:t xml:space="preserve"> </w:t>
      </w:r>
      <w:r w:rsidRPr="008C5A7A">
        <w:rPr>
          <w:lang w:val="en-GB"/>
        </w:rPr>
        <w:t>12.8%</w:t>
      </w:r>
      <w:r w:rsidR="001C7C7E">
        <w:rPr>
          <w:lang w:val="en-GB"/>
        </w:rPr>
        <w:t xml:space="preserve"> </w:t>
      </w:r>
      <w:r w:rsidRPr="008C5A7A">
        <w:rPr>
          <w:lang w:val="en-GB"/>
        </w:rPr>
        <w:t>and</w:t>
      </w:r>
      <w:r w:rsidR="001C7C7E">
        <w:rPr>
          <w:lang w:val="en-GB"/>
        </w:rPr>
        <w:t xml:space="preserve"> </w:t>
      </w:r>
      <w:r w:rsidRPr="008C5A7A">
        <w:rPr>
          <w:lang w:val="en-GB"/>
        </w:rPr>
        <w:t>NAV</w:t>
      </w:r>
      <w:r w:rsidR="001C7C7E">
        <w:rPr>
          <w:lang w:val="en-GB"/>
        </w:rPr>
        <w:t xml:space="preserve"> </w:t>
      </w:r>
      <w:r w:rsidRPr="008C5A7A">
        <w:rPr>
          <w:lang w:val="en-GB"/>
        </w:rPr>
        <w:t>ps</w:t>
      </w:r>
      <w:r w:rsidR="001C7C7E">
        <w:rPr>
          <w:lang w:val="en-GB"/>
        </w:rPr>
        <w:t xml:space="preserve"> </w:t>
      </w:r>
      <w:r w:rsidRPr="008C5A7A">
        <w:rPr>
          <w:lang w:val="en-GB"/>
        </w:rPr>
        <w:t>4-yr</w:t>
      </w:r>
      <w:r w:rsidR="001C7C7E">
        <w:rPr>
          <w:lang w:val="en-GB"/>
        </w:rPr>
        <w:t xml:space="preserve"> </w:t>
      </w:r>
      <w:r w:rsidRPr="008C5A7A">
        <w:rPr>
          <w:lang w:val="en-GB"/>
        </w:rPr>
        <w:t>CAGR</w:t>
      </w:r>
      <w:r w:rsidR="001C7C7E">
        <w:rPr>
          <w:lang w:val="en-GB"/>
        </w:rPr>
        <w:t xml:space="preserve"> </w:t>
      </w:r>
      <w:r w:rsidRPr="008C5A7A">
        <w:rPr>
          <w:lang w:val="en-GB"/>
        </w:rPr>
        <w:t>of</w:t>
      </w:r>
      <w:r w:rsidR="001C7C7E">
        <w:rPr>
          <w:lang w:val="en-GB"/>
        </w:rPr>
        <w:t xml:space="preserve"> </w:t>
      </w:r>
      <w:r w:rsidRPr="008C5A7A">
        <w:rPr>
          <w:lang w:val="en-GB"/>
        </w:rPr>
        <w:t>14.6%,</w:t>
      </w:r>
      <w:r w:rsidR="001C7C7E">
        <w:rPr>
          <w:lang w:val="en-GB"/>
        </w:rPr>
        <w:t xml:space="preserve"> </w:t>
      </w:r>
      <w:r w:rsidRPr="008C5A7A">
        <w:rPr>
          <w:lang w:val="en-GB"/>
        </w:rPr>
        <w:t>while</w:t>
      </w:r>
      <w:r w:rsidR="001C7C7E">
        <w:rPr>
          <w:lang w:val="en-GB"/>
        </w:rPr>
        <w:t xml:space="preserve"> </w:t>
      </w:r>
      <w:r w:rsidRPr="008C5A7A">
        <w:rPr>
          <w:lang w:val="en-GB"/>
        </w:rPr>
        <w:t>the</w:t>
      </w:r>
      <w:r w:rsidR="001C7C7E">
        <w:rPr>
          <w:lang w:val="en-GB"/>
        </w:rPr>
        <w:t xml:space="preserve"> </w:t>
      </w:r>
      <w:r w:rsidRPr="008C5A7A">
        <w:rPr>
          <w:lang w:val="en-GB"/>
        </w:rPr>
        <w:t>stock</w:t>
      </w:r>
      <w:r w:rsidR="001C7C7E">
        <w:rPr>
          <w:lang w:val="en-GB"/>
        </w:rPr>
        <w:t xml:space="preserve"> </w:t>
      </w:r>
      <w:r w:rsidRPr="008C5A7A">
        <w:rPr>
          <w:lang w:val="en-GB"/>
        </w:rPr>
        <w:t>currently</w:t>
      </w:r>
      <w:r w:rsidR="001C7C7E">
        <w:rPr>
          <w:lang w:val="en-GB"/>
        </w:rPr>
        <w:t xml:space="preserve"> </w:t>
      </w:r>
      <w:r w:rsidRPr="008C5A7A">
        <w:rPr>
          <w:lang w:val="en-GB"/>
        </w:rPr>
        <w:t>trades</w:t>
      </w:r>
      <w:r w:rsidR="001C7C7E">
        <w:rPr>
          <w:lang w:val="en-GB"/>
        </w:rPr>
        <w:t xml:space="preserve"> </w:t>
      </w:r>
      <w:r w:rsidRPr="008C5A7A">
        <w:rPr>
          <w:lang w:val="en-GB"/>
        </w:rPr>
        <w:t>on</w:t>
      </w:r>
      <w:r w:rsidR="001C7C7E">
        <w:rPr>
          <w:lang w:val="en-GB"/>
        </w:rPr>
        <w:t xml:space="preserve"> </w:t>
      </w:r>
      <w:r w:rsidRPr="008C5A7A">
        <w:rPr>
          <w:lang w:val="en-GB"/>
        </w:rPr>
        <w:t>a</w:t>
      </w:r>
      <w:r w:rsidR="001C7C7E">
        <w:rPr>
          <w:lang w:val="en-GB"/>
        </w:rPr>
        <w:t xml:space="preserve"> </w:t>
      </w:r>
      <w:r w:rsidRPr="008C5A7A">
        <w:rPr>
          <w:lang w:val="en-GB"/>
        </w:rPr>
        <w:t>2015e</w:t>
      </w:r>
      <w:r w:rsidR="001C7C7E">
        <w:rPr>
          <w:lang w:val="en-GB"/>
        </w:rPr>
        <w:t xml:space="preserve"> </w:t>
      </w:r>
      <w:r w:rsidRPr="008C5A7A">
        <w:rPr>
          <w:lang w:val="en-GB"/>
        </w:rPr>
        <w:t>P/FFO</w:t>
      </w:r>
      <w:r w:rsidR="001C7C7E">
        <w:rPr>
          <w:lang w:val="en-GB"/>
        </w:rPr>
        <w:t xml:space="preserve"> </w:t>
      </w:r>
      <w:r w:rsidRPr="008C5A7A">
        <w:rPr>
          <w:lang w:val="en-GB"/>
        </w:rPr>
        <w:t>of</w:t>
      </w:r>
      <w:r w:rsidR="001C7C7E">
        <w:rPr>
          <w:lang w:val="en-GB"/>
        </w:rPr>
        <w:t xml:space="preserve"> </w:t>
      </w:r>
      <w:r w:rsidRPr="008C5A7A">
        <w:rPr>
          <w:lang w:val="en-GB"/>
        </w:rPr>
        <w:t>13x</w:t>
      </w:r>
      <w:r w:rsidR="001C7C7E">
        <w:rPr>
          <w:lang w:val="en-GB"/>
        </w:rPr>
        <w:t xml:space="preserve"> </w:t>
      </w:r>
      <w:r w:rsidRPr="008C5A7A">
        <w:rPr>
          <w:lang w:val="en-GB"/>
        </w:rPr>
        <w:t>and</w:t>
      </w:r>
      <w:r w:rsidR="001C7C7E">
        <w:rPr>
          <w:lang w:val="en-GB"/>
        </w:rPr>
        <w:t xml:space="preserve"> </w:t>
      </w:r>
      <w:r w:rsidRPr="008C5A7A">
        <w:rPr>
          <w:lang w:val="en-GB"/>
        </w:rPr>
        <w:t>P/NAV</w:t>
      </w:r>
      <w:r w:rsidR="001C7C7E">
        <w:rPr>
          <w:lang w:val="en-GB"/>
        </w:rPr>
        <w:t xml:space="preserve"> </w:t>
      </w:r>
      <w:r w:rsidRPr="008C5A7A">
        <w:rPr>
          <w:lang w:val="en-GB"/>
        </w:rPr>
        <w:t>of</w:t>
      </w:r>
      <w:r w:rsidR="001C7C7E">
        <w:rPr>
          <w:lang w:val="en-GB"/>
        </w:rPr>
        <w:t xml:space="preserve"> </w:t>
      </w:r>
      <w:r w:rsidRPr="008C5A7A">
        <w:rPr>
          <w:lang w:val="en-GB"/>
        </w:rPr>
        <w:t>0.87x.</w:t>
      </w:r>
      <w:r w:rsidR="001C7C7E">
        <w:rPr>
          <w:lang w:val="en-GB"/>
        </w:rPr>
        <w:t xml:space="preserve"> </w:t>
      </w:r>
      <w:r w:rsidRPr="008C5A7A">
        <w:rPr>
          <w:lang w:val="en-GB"/>
        </w:rPr>
        <w:t>Valuation</w:t>
      </w:r>
      <w:r w:rsidR="001C7C7E">
        <w:rPr>
          <w:lang w:val="en-GB"/>
        </w:rPr>
        <w:t xml:space="preserve"> </w:t>
      </w:r>
      <w:r w:rsidRPr="008C5A7A">
        <w:rPr>
          <w:lang w:val="en-GB"/>
        </w:rPr>
        <w:t>looks</w:t>
      </w:r>
      <w:r w:rsidR="001C7C7E">
        <w:rPr>
          <w:lang w:val="en-GB"/>
        </w:rPr>
        <w:t xml:space="preserve"> </w:t>
      </w:r>
      <w:r w:rsidRPr="008C5A7A">
        <w:rPr>
          <w:lang w:val="en-GB"/>
        </w:rPr>
        <w:t>compelling</w:t>
      </w:r>
      <w:r w:rsidR="001C7C7E">
        <w:rPr>
          <w:lang w:val="en-GB"/>
        </w:rPr>
        <w:t xml:space="preserve"> </w:t>
      </w:r>
      <w:r w:rsidRPr="008C5A7A">
        <w:rPr>
          <w:lang w:val="en-GB"/>
        </w:rPr>
        <w:t>on</w:t>
      </w:r>
      <w:r w:rsidR="001C7C7E">
        <w:rPr>
          <w:lang w:val="en-GB"/>
        </w:rPr>
        <w:t xml:space="preserve"> </w:t>
      </w:r>
      <w:r w:rsidRPr="008C5A7A">
        <w:rPr>
          <w:lang w:val="en-GB"/>
        </w:rPr>
        <w:t>these</w:t>
      </w:r>
      <w:r w:rsidR="001C7C7E">
        <w:rPr>
          <w:lang w:val="en-GB"/>
        </w:rPr>
        <w:t xml:space="preserve"> </w:t>
      </w:r>
      <w:r w:rsidRPr="008C5A7A">
        <w:rPr>
          <w:lang w:val="en-GB"/>
        </w:rPr>
        <w:t>metrics</w:t>
      </w:r>
      <w:r w:rsidR="001C7C7E">
        <w:rPr>
          <w:lang w:val="en-GB"/>
        </w:rPr>
        <w:t xml:space="preserve"> </w:t>
      </w:r>
      <w:r w:rsidRPr="008C5A7A">
        <w:rPr>
          <w:lang w:val="en-GB"/>
        </w:rPr>
        <w:t>and</w:t>
      </w:r>
      <w:r w:rsidR="001C7C7E">
        <w:rPr>
          <w:lang w:val="en-GB"/>
        </w:rPr>
        <w:t xml:space="preserve"> </w:t>
      </w:r>
      <w:r w:rsidRPr="008C5A7A">
        <w:rPr>
          <w:lang w:val="en-GB"/>
        </w:rPr>
        <w:t>we</w:t>
      </w:r>
      <w:r w:rsidR="001C7C7E">
        <w:rPr>
          <w:lang w:val="en-GB"/>
        </w:rPr>
        <w:t xml:space="preserve"> </w:t>
      </w:r>
      <w:r w:rsidRPr="008C5A7A">
        <w:rPr>
          <w:lang w:val="en-GB"/>
        </w:rPr>
        <w:t>see</w:t>
      </w:r>
      <w:r w:rsidR="001C7C7E">
        <w:rPr>
          <w:lang w:val="en-GB"/>
        </w:rPr>
        <w:t xml:space="preserve"> </w:t>
      </w:r>
      <w:r w:rsidRPr="008C5A7A">
        <w:rPr>
          <w:lang w:val="en-GB"/>
        </w:rPr>
        <w:t>five</w:t>
      </w:r>
      <w:r w:rsidR="001C7C7E">
        <w:rPr>
          <w:lang w:val="en-GB"/>
        </w:rPr>
        <w:t xml:space="preserve"> </w:t>
      </w:r>
      <w:r w:rsidRPr="008C5A7A">
        <w:rPr>
          <w:lang w:val="en-GB"/>
        </w:rPr>
        <w:t>reasons</w:t>
      </w:r>
      <w:r w:rsidR="001C7C7E">
        <w:rPr>
          <w:lang w:val="en-GB"/>
        </w:rPr>
        <w:t xml:space="preserve"> </w:t>
      </w:r>
      <w:r w:rsidRPr="008C5A7A">
        <w:rPr>
          <w:lang w:val="en-GB"/>
        </w:rPr>
        <w:t>to</w:t>
      </w:r>
      <w:r w:rsidR="001C7C7E">
        <w:rPr>
          <w:lang w:val="en-GB"/>
        </w:rPr>
        <w:t xml:space="preserve"> </w:t>
      </w:r>
      <w:r w:rsidRPr="008C5A7A">
        <w:rPr>
          <w:lang w:val="en-GB"/>
        </w:rPr>
        <w:t>buy.</w:t>
      </w:r>
      <w:r w:rsidR="001C7C7E">
        <w:rPr>
          <w:lang w:val="en-GB"/>
        </w:rPr>
        <w:t xml:space="preserve"> </w:t>
      </w:r>
      <w:r w:rsidRPr="008C5A7A">
        <w:rPr>
          <w:lang w:val="en-GB"/>
        </w:rPr>
        <w:t>For</w:t>
      </w:r>
      <w:r w:rsidR="001C7C7E">
        <w:rPr>
          <w:lang w:val="en-GB"/>
        </w:rPr>
        <w:t xml:space="preserve"> </w:t>
      </w:r>
      <w:r w:rsidRPr="008C5A7A">
        <w:rPr>
          <w:lang w:val="en-GB"/>
        </w:rPr>
        <w:t>more</w:t>
      </w:r>
      <w:r w:rsidR="001C7C7E">
        <w:rPr>
          <w:lang w:val="en-GB"/>
        </w:rPr>
        <w:t xml:space="preserve"> </w:t>
      </w:r>
      <w:r w:rsidRPr="008C5A7A">
        <w:rPr>
          <w:lang w:val="en-GB"/>
        </w:rPr>
        <w:t>please</w:t>
      </w:r>
      <w:r w:rsidR="001C7C7E">
        <w:rPr>
          <w:lang w:val="en-GB"/>
        </w:rPr>
        <w:t xml:space="preserve"> </w:t>
      </w:r>
      <w:hyperlink r:id="rId20"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p>
    <w:p w:rsidR="002E187C" w:rsidRPr="008C5A7A" w:rsidRDefault="002E187C" w:rsidP="00183A10">
      <w:pPr>
        <w:pStyle w:val="FPBullet"/>
        <w:rPr>
          <w:lang w:val="en-GB"/>
        </w:rPr>
      </w:pPr>
      <w:r w:rsidRPr="008C5A7A">
        <w:rPr>
          <w:b/>
          <w:lang w:val="en-GB"/>
        </w:rPr>
        <w:t>Recent</w:t>
      </w:r>
      <w:r w:rsidR="001C7C7E">
        <w:rPr>
          <w:b/>
          <w:lang w:val="en-GB"/>
        </w:rPr>
        <w:t xml:space="preserve"> </w:t>
      </w:r>
      <w:r w:rsidRPr="008C5A7A">
        <w:rPr>
          <w:b/>
          <w:lang w:val="en-GB"/>
        </w:rPr>
        <w:t>note:</w:t>
      </w:r>
      <w:r w:rsidR="001C7C7E">
        <w:rPr>
          <w:b/>
          <w:lang w:val="en-GB"/>
        </w:rPr>
        <w:t xml:space="preserve"> </w:t>
      </w:r>
      <w:r w:rsidRPr="008C5A7A">
        <w:rPr>
          <w:b/>
          <w:lang w:val="en-GB"/>
        </w:rPr>
        <w:t>British</w:t>
      </w:r>
      <w:r w:rsidR="001C7C7E">
        <w:rPr>
          <w:b/>
          <w:lang w:val="en-GB"/>
        </w:rPr>
        <w:t xml:space="preserve"> </w:t>
      </w:r>
      <w:r w:rsidRPr="008C5A7A">
        <w:rPr>
          <w:b/>
          <w:lang w:val="en-GB"/>
        </w:rPr>
        <w:t>Land:</w:t>
      </w:r>
      <w:r w:rsidR="001C7C7E">
        <w:rPr>
          <w:b/>
          <w:lang w:val="en-GB"/>
        </w:rPr>
        <w:t xml:space="preserve"> </w:t>
      </w:r>
      <w:r w:rsidRPr="008C5A7A">
        <w:rPr>
          <w:b/>
          <w:lang w:val="en-GB"/>
        </w:rPr>
        <w:t>Upgrading</w:t>
      </w:r>
      <w:r w:rsidR="001C7C7E">
        <w:rPr>
          <w:b/>
          <w:lang w:val="en-GB"/>
        </w:rPr>
        <w:t xml:space="preserve"> </w:t>
      </w:r>
      <w:r w:rsidRPr="008C5A7A">
        <w:rPr>
          <w:b/>
          <w:lang w:val="en-GB"/>
        </w:rPr>
        <w:t>to</w:t>
      </w:r>
      <w:r w:rsidR="001C7C7E">
        <w:rPr>
          <w:b/>
          <w:lang w:val="en-GB"/>
        </w:rPr>
        <w:t xml:space="preserve"> </w:t>
      </w:r>
      <w:r w:rsidRPr="008C5A7A">
        <w:rPr>
          <w:b/>
          <w:lang w:val="en-GB"/>
        </w:rPr>
        <w:t>OW...</w:t>
      </w:r>
      <w:r w:rsidR="001C7C7E">
        <w:rPr>
          <w:b/>
          <w:lang w:val="en-GB"/>
        </w:rPr>
        <w:t xml:space="preserve"> </w:t>
      </w:r>
      <w:r w:rsidRPr="008C5A7A">
        <w:rPr>
          <w:b/>
          <w:lang w:val="en-GB"/>
        </w:rPr>
        <w:t>but</w:t>
      </w:r>
      <w:r w:rsidR="001C7C7E">
        <w:rPr>
          <w:b/>
          <w:lang w:val="en-GB"/>
        </w:rPr>
        <w:t xml:space="preserve"> </w:t>
      </w:r>
      <w:r w:rsidRPr="008C5A7A">
        <w:rPr>
          <w:b/>
          <w:lang w:val="en-GB"/>
        </w:rPr>
        <w:t>care</w:t>
      </w:r>
      <w:r w:rsidR="001C7C7E">
        <w:rPr>
          <w:b/>
          <w:lang w:val="en-GB"/>
        </w:rPr>
        <w:t xml:space="preserve"> </w:t>
      </w:r>
      <w:r w:rsidRPr="008C5A7A">
        <w:rPr>
          <w:b/>
          <w:lang w:val="en-GB"/>
        </w:rPr>
        <w:t>needed...</w:t>
      </w:r>
      <w:r w:rsidR="001C7C7E">
        <w:rPr>
          <w:b/>
          <w:lang w:val="en-GB"/>
        </w:rPr>
        <w:t xml:space="preserve"> </w:t>
      </w:r>
      <w:r w:rsidRPr="008C5A7A">
        <w:rPr>
          <w:b/>
          <w:lang w:val="en-GB"/>
        </w:rPr>
        <w:t>property</w:t>
      </w:r>
      <w:r w:rsidR="001C7C7E">
        <w:rPr>
          <w:b/>
          <w:lang w:val="en-GB"/>
        </w:rPr>
        <w:t xml:space="preserve"> </w:t>
      </w:r>
      <w:r w:rsidRPr="008C5A7A">
        <w:rPr>
          <w:b/>
          <w:lang w:val="en-GB"/>
        </w:rPr>
        <w:t>yields</w:t>
      </w:r>
      <w:r w:rsidR="001C7C7E">
        <w:rPr>
          <w:b/>
          <w:lang w:val="en-GB"/>
        </w:rPr>
        <w:t xml:space="preserve"> </w:t>
      </w:r>
      <w:r w:rsidRPr="008C5A7A">
        <w:rPr>
          <w:b/>
          <w:lang w:val="en-GB"/>
        </w:rPr>
        <w:t>move</w:t>
      </w:r>
      <w:r w:rsidR="001C7C7E">
        <w:rPr>
          <w:b/>
          <w:lang w:val="en-GB"/>
        </w:rPr>
        <w:t xml:space="preserve"> </w:t>
      </w:r>
      <w:r w:rsidRPr="008C5A7A">
        <w:rPr>
          <w:b/>
          <w:lang w:val="en-GB"/>
        </w:rPr>
        <w:t>out</w:t>
      </w:r>
      <w:r w:rsidR="001C7C7E">
        <w:rPr>
          <w:b/>
          <w:lang w:val="en-GB"/>
        </w:rPr>
        <w:t xml:space="preserve"> </w:t>
      </w:r>
      <w:r w:rsidRPr="008C5A7A">
        <w:rPr>
          <w:b/>
          <w:lang w:val="en-GB"/>
        </w:rPr>
        <w:t>before</w:t>
      </w:r>
      <w:r w:rsidR="001C7C7E">
        <w:rPr>
          <w:b/>
          <w:lang w:val="en-GB"/>
        </w:rPr>
        <w:t xml:space="preserve"> </w:t>
      </w:r>
      <w:r w:rsidRPr="008C5A7A">
        <w:rPr>
          <w:b/>
          <w:lang w:val="en-GB"/>
        </w:rPr>
        <w:t>rents</w:t>
      </w:r>
      <w:r w:rsidR="001C7C7E">
        <w:rPr>
          <w:b/>
          <w:lang w:val="en-GB"/>
        </w:rPr>
        <w:t xml:space="preserve"> </w:t>
      </w:r>
      <w:r w:rsidRPr="008C5A7A">
        <w:rPr>
          <w:b/>
          <w:lang w:val="en-GB"/>
        </w:rPr>
        <w:t>peak.</w:t>
      </w:r>
      <w:r w:rsidR="001C7C7E">
        <w:rPr>
          <w:lang w:val="en-GB"/>
        </w:rPr>
        <w:t xml:space="preserve"> </w:t>
      </w:r>
      <w:r w:rsidRPr="008C5A7A">
        <w:rPr>
          <w:lang w:val="en-GB"/>
        </w:rPr>
        <w:t>We</w:t>
      </w:r>
      <w:r w:rsidR="001C7C7E">
        <w:rPr>
          <w:lang w:val="en-GB"/>
        </w:rPr>
        <w:t xml:space="preserve"> </w:t>
      </w:r>
      <w:r w:rsidRPr="008C5A7A">
        <w:rPr>
          <w:lang w:val="en-GB"/>
        </w:rPr>
        <w:t>think</w:t>
      </w:r>
      <w:r w:rsidR="001C7C7E">
        <w:rPr>
          <w:lang w:val="en-GB"/>
        </w:rPr>
        <w:t xml:space="preserve"> </w:t>
      </w:r>
      <w:r w:rsidRPr="008C5A7A">
        <w:rPr>
          <w:lang w:val="en-GB"/>
        </w:rPr>
        <w:t>the</w:t>
      </w:r>
      <w:r w:rsidR="001C7C7E">
        <w:rPr>
          <w:lang w:val="en-GB"/>
        </w:rPr>
        <w:t xml:space="preserve"> </w:t>
      </w:r>
      <w:r w:rsidRPr="008C5A7A">
        <w:rPr>
          <w:lang w:val="en-GB"/>
        </w:rPr>
        <w:t>strong</w:t>
      </w:r>
      <w:r w:rsidR="001C7C7E">
        <w:rPr>
          <w:lang w:val="en-GB"/>
        </w:rPr>
        <w:t xml:space="preserve"> </w:t>
      </w:r>
      <w:r w:rsidRPr="008C5A7A">
        <w:rPr>
          <w:lang w:val="en-GB"/>
        </w:rPr>
        <w:t>IPD</w:t>
      </w:r>
      <w:r w:rsidR="001C7C7E">
        <w:rPr>
          <w:lang w:val="en-GB"/>
        </w:rPr>
        <w:t xml:space="preserve"> </w:t>
      </w:r>
      <w:r w:rsidRPr="008C5A7A">
        <w:rPr>
          <w:lang w:val="en-GB"/>
        </w:rPr>
        <w:t>capital</w:t>
      </w:r>
      <w:r w:rsidR="001C7C7E">
        <w:rPr>
          <w:lang w:val="en-GB"/>
        </w:rPr>
        <w:t xml:space="preserve"> </w:t>
      </w:r>
      <w:r w:rsidRPr="008C5A7A">
        <w:rPr>
          <w:lang w:val="en-GB"/>
        </w:rPr>
        <w:t>growth</w:t>
      </w:r>
      <w:r w:rsidR="001C7C7E">
        <w:rPr>
          <w:lang w:val="en-GB"/>
        </w:rPr>
        <w:t xml:space="preserve"> </w:t>
      </w:r>
      <w:r w:rsidRPr="008C5A7A">
        <w:rPr>
          <w:lang w:val="en-GB"/>
        </w:rPr>
        <w:t>since</w:t>
      </w:r>
      <w:r w:rsidR="001C7C7E">
        <w:rPr>
          <w:lang w:val="en-GB"/>
        </w:rPr>
        <w:t xml:space="preserve"> </w:t>
      </w:r>
      <w:r w:rsidRPr="008C5A7A">
        <w:rPr>
          <w:lang w:val="en-GB"/>
        </w:rPr>
        <w:t>end-Sept</w:t>
      </w:r>
      <w:r w:rsidR="001C7C7E">
        <w:rPr>
          <w:lang w:val="en-GB"/>
        </w:rPr>
        <w:t xml:space="preserve"> </w:t>
      </w:r>
      <w:r w:rsidRPr="008C5A7A">
        <w:rPr>
          <w:lang w:val="en-GB"/>
        </w:rPr>
        <w:t>(All</w:t>
      </w:r>
      <w:r w:rsidR="001C7C7E">
        <w:rPr>
          <w:lang w:val="en-GB"/>
        </w:rPr>
        <w:t xml:space="preserve"> </w:t>
      </w:r>
      <w:r w:rsidRPr="008C5A7A">
        <w:rPr>
          <w:lang w:val="en-GB"/>
        </w:rPr>
        <w:t>Property</w:t>
      </w:r>
      <w:r w:rsidR="001C7C7E">
        <w:rPr>
          <w:lang w:val="en-GB"/>
        </w:rPr>
        <w:t xml:space="preserve"> </w:t>
      </w:r>
      <w:r w:rsidRPr="008C5A7A">
        <w:rPr>
          <w:lang w:val="en-GB"/>
        </w:rPr>
        <w:t>+5.4%</w:t>
      </w:r>
      <w:r w:rsidR="001C7C7E">
        <w:rPr>
          <w:lang w:val="en-GB"/>
        </w:rPr>
        <w:t xml:space="preserve"> </w:t>
      </w:r>
      <w:r w:rsidRPr="008C5A7A">
        <w:rPr>
          <w:lang w:val="en-GB"/>
        </w:rPr>
        <w:t>to</w:t>
      </w:r>
      <w:r w:rsidR="001C7C7E">
        <w:rPr>
          <w:lang w:val="en-GB"/>
        </w:rPr>
        <w:t xml:space="preserve"> </w:t>
      </w:r>
      <w:r w:rsidRPr="008C5A7A">
        <w:rPr>
          <w:lang w:val="en-GB"/>
        </w:rPr>
        <w:t>Mar-14)</w:t>
      </w:r>
      <w:r w:rsidR="001C7C7E">
        <w:rPr>
          <w:lang w:val="en-GB"/>
        </w:rPr>
        <w:t xml:space="preserve"> </w:t>
      </w:r>
      <w:r w:rsidRPr="008C5A7A">
        <w:rPr>
          <w:lang w:val="en-GB"/>
        </w:rPr>
        <w:t>raises</w:t>
      </w:r>
      <w:r w:rsidR="001C7C7E">
        <w:rPr>
          <w:lang w:val="en-GB"/>
        </w:rPr>
        <w:t xml:space="preserve"> </w:t>
      </w:r>
      <w:r w:rsidRPr="008C5A7A">
        <w:rPr>
          <w:lang w:val="en-GB"/>
        </w:rPr>
        <w:t>the</w:t>
      </w:r>
      <w:r w:rsidR="001C7C7E">
        <w:rPr>
          <w:lang w:val="en-GB"/>
        </w:rPr>
        <w:t xml:space="preserve"> </w:t>
      </w:r>
      <w:r w:rsidRPr="008C5A7A">
        <w:rPr>
          <w:lang w:val="en-GB"/>
        </w:rPr>
        <w:t>prospect</w:t>
      </w:r>
      <w:r w:rsidR="001C7C7E">
        <w:rPr>
          <w:lang w:val="en-GB"/>
        </w:rPr>
        <w:t xml:space="preserve"> </w:t>
      </w:r>
      <w:r w:rsidRPr="008C5A7A">
        <w:rPr>
          <w:lang w:val="en-GB"/>
        </w:rPr>
        <w:t>of</w:t>
      </w:r>
      <w:r w:rsidR="001C7C7E">
        <w:rPr>
          <w:lang w:val="en-GB"/>
        </w:rPr>
        <w:t xml:space="preserve"> </w:t>
      </w:r>
      <w:r w:rsidRPr="008C5A7A">
        <w:rPr>
          <w:lang w:val="en-GB"/>
        </w:rPr>
        <w:t>full-year</w:t>
      </w:r>
      <w:r w:rsidR="001C7C7E">
        <w:rPr>
          <w:lang w:val="en-GB"/>
        </w:rPr>
        <w:t xml:space="preserve"> </w:t>
      </w:r>
      <w:r w:rsidRPr="008C5A7A">
        <w:rPr>
          <w:lang w:val="en-GB"/>
        </w:rPr>
        <w:t>NAV</w:t>
      </w:r>
      <w:r w:rsidR="001C7C7E">
        <w:rPr>
          <w:lang w:val="en-GB"/>
        </w:rPr>
        <w:t xml:space="preserve"> </w:t>
      </w:r>
      <w:r w:rsidRPr="008C5A7A">
        <w:rPr>
          <w:lang w:val="en-GB"/>
        </w:rPr>
        <w:t>surprises</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We</w:t>
      </w:r>
      <w:r w:rsidR="001C7C7E">
        <w:rPr>
          <w:lang w:val="en-GB"/>
        </w:rPr>
        <w:t xml:space="preserve"> </w:t>
      </w:r>
      <w:r w:rsidRPr="008C5A7A">
        <w:rPr>
          <w:lang w:val="en-GB"/>
        </w:rPr>
        <w:t>increase</w:t>
      </w:r>
      <w:r w:rsidR="001C7C7E">
        <w:rPr>
          <w:lang w:val="en-GB"/>
        </w:rPr>
        <w:t xml:space="preserve"> </w:t>
      </w:r>
      <w:r w:rsidRPr="008C5A7A">
        <w:rPr>
          <w:lang w:val="en-GB"/>
        </w:rPr>
        <w:t>capital</w:t>
      </w:r>
      <w:r w:rsidR="001C7C7E">
        <w:rPr>
          <w:lang w:val="en-GB"/>
        </w:rPr>
        <w:t xml:space="preserve"> </w:t>
      </w:r>
      <w:r w:rsidRPr="008C5A7A">
        <w:rPr>
          <w:lang w:val="en-GB"/>
        </w:rPr>
        <w:t>growth</w:t>
      </w:r>
      <w:r w:rsidR="001C7C7E">
        <w:rPr>
          <w:lang w:val="en-GB"/>
        </w:rPr>
        <w:t xml:space="preserve"> </w:t>
      </w:r>
      <w:r w:rsidRPr="008C5A7A">
        <w:rPr>
          <w:lang w:val="en-GB"/>
        </w:rPr>
        <w:t>for</w:t>
      </w:r>
      <w:r w:rsidR="001C7C7E">
        <w:rPr>
          <w:lang w:val="en-GB"/>
        </w:rPr>
        <w:t xml:space="preserve"> </w:t>
      </w:r>
      <w:r w:rsidRPr="008C5A7A">
        <w:rPr>
          <w:lang w:val="en-GB"/>
        </w:rPr>
        <w:t>British</w:t>
      </w:r>
      <w:r w:rsidR="001C7C7E">
        <w:rPr>
          <w:lang w:val="en-GB"/>
        </w:rPr>
        <w:t xml:space="preserve"> </w:t>
      </w:r>
      <w:r w:rsidRPr="008C5A7A">
        <w:rPr>
          <w:lang w:val="en-GB"/>
        </w:rPr>
        <w:t>Land</w:t>
      </w:r>
      <w:r w:rsidR="001C7C7E">
        <w:rPr>
          <w:lang w:val="en-GB"/>
        </w:rPr>
        <w:t xml:space="preserve"> </w:t>
      </w:r>
      <w:r w:rsidRPr="008C5A7A">
        <w:rPr>
          <w:lang w:val="en-GB"/>
        </w:rPr>
        <w:t>to</w:t>
      </w:r>
      <w:r w:rsidR="001C7C7E">
        <w:rPr>
          <w:lang w:val="en-GB"/>
        </w:rPr>
        <w:t xml:space="preserve"> </w:t>
      </w:r>
      <w:r w:rsidRPr="008C5A7A">
        <w:rPr>
          <w:lang w:val="en-GB"/>
        </w:rPr>
        <w:t>5.7%</w:t>
      </w:r>
      <w:r w:rsidR="001C7C7E">
        <w:rPr>
          <w:lang w:val="en-GB"/>
        </w:rPr>
        <w:t xml:space="preserve"> </w:t>
      </w:r>
      <w:r w:rsidRPr="008C5A7A">
        <w:rPr>
          <w:lang w:val="en-GB"/>
        </w:rPr>
        <w:t>(2.9%)</w:t>
      </w:r>
      <w:r w:rsidR="001C7C7E">
        <w:rPr>
          <w:lang w:val="en-GB"/>
        </w:rPr>
        <w:t xml:space="preserve"> </w:t>
      </w:r>
      <w:r w:rsidRPr="008C5A7A">
        <w:rPr>
          <w:lang w:val="en-GB"/>
        </w:rPr>
        <w:t>taking</w:t>
      </w:r>
      <w:r w:rsidR="001C7C7E">
        <w:rPr>
          <w:lang w:val="en-GB"/>
        </w:rPr>
        <w:t xml:space="preserve"> </w:t>
      </w:r>
      <w:r w:rsidRPr="008C5A7A">
        <w:rPr>
          <w:lang w:val="en-GB"/>
        </w:rPr>
        <w:t>our</w:t>
      </w:r>
      <w:r w:rsidR="001C7C7E">
        <w:rPr>
          <w:lang w:val="en-GB"/>
        </w:rPr>
        <w:t xml:space="preserve"> </w:t>
      </w:r>
      <w:r w:rsidRPr="008C5A7A">
        <w:rPr>
          <w:lang w:val="en-GB"/>
        </w:rPr>
        <w:t>PT</w:t>
      </w:r>
      <w:r w:rsidR="001C7C7E">
        <w:rPr>
          <w:lang w:val="en-GB"/>
        </w:rPr>
        <w:t xml:space="preserve"> </w:t>
      </w:r>
      <w:r w:rsidRPr="008C5A7A">
        <w:rPr>
          <w:lang w:val="en-GB"/>
        </w:rPr>
        <w:t>to</w:t>
      </w:r>
      <w:r w:rsidR="001C7C7E">
        <w:rPr>
          <w:lang w:val="en-GB"/>
        </w:rPr>
        <w:t xml:space="preserve"> </w:t>
      </w:r>
      <w:r w:rsidRPr="008C5A7A">
        <w:rPr>
          <w:lang w:val="en-GB"/>
        </w:rPr>
        <w:t>740p</w:t>
      </w:r>
      <w:r w:rsidR="001C7C7E">
        <w:rPr>
          <w:lang w:val="en-GB"/>
        </w:rPr>
        <w:t xml:space="preserve"> </w:t>
      </w:r>
      <w:r w:rsidRPr="008C5A7A">
        <w:rPr>
          <w:lang w:val="en-GB"/>
        </w:rPr>
        <w:t>(680p,</w:t>
      </w:r>
      <w:r w:rsidR="001C7C7E">
        <w:rPr>
          <w:lang w:val="en-GB"/>
        </w:rPr>
        <w:t xml:space="preserve"> </w:t>
      </w:r>
      <w:r w:rsidRPr="008C5A7A">
        <w:rPr>
          <w:lang w:val="en-GB"/>
        </w:rPr>
        <w:t>+9%)</w:t>
      </w:r>
      <w:r w:rsidR="001C7C7E">
        <w:rPr>
          <w:lang w:val="en-GB"/>
        </w:rPr>
        <w:t xml:space="preserve"> </w:t>
      </w:r>
      <w:r w:rsidRPr="008C5A7A">
        <w:rPr>
          <w:lang w:val="en-GB"/>
        </w:rPr>
        <w:t>offering</w:t>
      </w:r>
      <w:r w:rsidR="001C7C7E">
        <w:rPr>
          <w:lang w:val="en-GB"/>
        </w:rPr>
        <w:t xml:space="preserve"> </w:t>
      </w:r>
      <w:r w:rsidRPr="008C5A7A">
        <w:rPr>
          <w:lang w:val="en-GB"/>
        </w:rPr>
        <w:t>13%</w:t>
      </w:r>
      <w:r w:rsidR="001C7C7E">
        <w:rPr>
          <w:lang w:val="en-GB"/>
        </w:rPr>
        <w:t xml:space="preserve"> </w:t>
      </w:r>
      <w:r w:rsidRPr="008C5A7A">
        <w:rPr>
          <w:lang w:val="en-GB"/>
        </w:rPr>
        <w:t>total</w:t>
      </w:r>
      <w:r w:rsidR="001C7C7E">
        <w:rPr>
          <w:lang w:val="en-GB"/>
        </w:rPr>
        <w:t xml:space="preserve"> </w:t>
      </w:r>
      <w:r w:rsidRPr="008C5A7A">
        <w:rPr>
          <w:lang w:val="en-GB"/>
        </w:rPr>
        <w:t>return</w:t>
      </w:r>
      <w:r w:rsidR="001C7C7E">
        <w:rPr>
          <w:lang w:val="en-GB"/>
        </w:rPr>
        <w:t xml:space="preserve"> </w:t>
      </w:r>
      <w:r w:rsidRPr="008C5A7A">
        <w:rPr>
          <w:lang w:val="en-GB"/>
        </w:rPr>
        <w:t>and</w:t>
      </w:r>
      <w:r w:rsidR="001C7C7E">
        <w:rPr>
          <w:lang w:val="en-GB"/>
        </w:rPr>
        <w:t xml:space="preserve"> </w:t>
      </w:r>
      <w:r w:rsidRPr="008C5A7A">
        <w:rPr>
          <w:lang w:val="en-GB"/>
        </w:rPr>
        <w:t>upgrade</w:t>
      </w:r>
      <w:r w:rsidR="001C7C7E">
        <w:rPr>
          <w:lang w:val="en-GB"/>
        </w:rPr>
        <w:t xml:space="preserve"> </w:t>
      </w:r>
      <w:r w:rsidRPr="008C5A7A">
        <w:rPr>
          <w:lang w:val="en-GB"/>
        </w:rPr>
        <w:t>to</w:t>
      </w:r>
      <w:r w:rsidR="001C7C7E">
        <w:rPr>
          <w:lang w:val="en-GB"/>
        </w:rPr>
        <w:t xml:space="preserve"> </w:t>
      </w:r>
      <w:r w:rsidRPr="008C5A7A">
        <w:rPr>
          <w:lang w:val="en-GB"/>
        </w:rPr>
        <w:t>OW.</w:t>
      </w:r>
      <w:r w:rsidR="001C7C7E">
        <w:rPr>
          <w:lang w:val="en-GB"/>
        </w:rPr>
        <w:t xml:space="preserve"> </w:t>
      </w:r>
      <w:r w:rsidRPr="008C5A7A">
        <w:rPr>
          <w:lang w:val="en-GB"/>
        </w:rPr>
        <w:t>Our</w:t>
      </w:r>
      <w:r w:rsidR="001C7C7E">
        <w:rPr>
          <w:lang w:val="en-GB"/>
        </w:rPr>
        <w:t xml:space="preserve"> </w:t>
      </w:r>
      <w:r w:rsidRPr="008C5A7A">
        <w:rPr>
          <w:lang w:val="en-GB"/>
        </w:rPr>
        <w:t>new</w:t>
      </w:r>
      <w:r w:rsidR="001C7C7E">
        <w:rPr>
          <w:lang w:val="en-GB"/>
        </w:rPr>
        <w:t xml:space="preserve"> </w:t>
      </w:r>
      <w:r w:rsidRPr="008C5A7A">
        <w:rPr>
          <w:lang w:val="en-GB"/>
        </w:rPr>
        <w:t>Mar-14E</w:t>
      </w:r>
      <w:r w:rsidR="001C7C7E">
        <w:rPr>
          <w:lang w:val="en-GB"/>
        </w:rPr>
        <w:t xml:space="preserve"> </w:t>
      </w:r>
      <w:r w:rsidRPr="008C5A7A">
        <w:rPr>
          <w:lang w:val="en-GB"/>
        </w:rPr>
        <w:t>NAV</w:t>
      </w:r>
      <w:r w:rsidR="001C7C7E">
        <w:rPr>
          <w:lang w:val="en-GB"/>
        </w:rPr>
        <w:t xml:space="preserve"> </w:t>
      </w:r>
      <w:r w:rsidRPr="008C5A7A">
        <w:rPr>
          <w:lang w:val="en-GB"/>
        </w:rPr>
        <w:t>is</w:t>
      </w:r>
      <w:r w:rsidR="001C7C7E">
        <w:rPr>
          <w:lang w:val="en-GB"/>
        </w:rPr>
        <w:t xml:space="preserve"> </w:t>
      </w:r>
      <w:r w:rsidRPr="008C5A7A">
        <w:rPr>
          <w:lang w:val="en-GB"/>
        </w:rPr>
        <w:t>668p</w:t>
      </w:r>
      <w:r w:rsidR="001C7C7E">
        <w:rPr>
          <w:lang w:val="en-GB"/>
        </w:rPr>
        <w:t xml:space="preserve"> </w:t>
      </w:r>
      <w:r w:rsidRPr="008C5A7A">
        <w:rPr>
          <w:lang w:val="en-GB"/>
        </w:rPr>
        <w:t>(638p,</w:t>
      </w:r>
      <w:r w:rsidR="001C7C7E">
        <w:rPr>
          <w:lang w:val="en-GB"/>
        </w:rPr>
        <w:t xml:space="preserve"> </w:t>
      </w:r>
      <w:r w:rsidRPr="008C5A7A">
        <w:rPr>
          <w:lang w:val="en-GB"/>
        </w:rPr>
        <w:t>+5%)</w:t>
      </w:r>
      <w:r w:rsidR="001C7C7E">
        <w:rPr>
          <w:lang w:val="en-GB"/>
        </w:rPr>
        <w:t xml:space="preserve"> </w:t>
      </w:r>
      <w:r w:rsidRPr="008C5A7A">
        <w:rPr>
          <w:lang w:val="en-GB"/>
        </w:rPr>
        <w:t>although</w:t>
      </w:r>
      <w:r w:rsidR="001C7C7E">
        <w:rPr>
          <w:lang w:val="en-GB"/>
        </w:rPr>
        <w:t xml:space="preserve"> </w:t>
      </w:r>
      <w:r w:rsidRPr="008C5A7A">
        <w:rPr>
          <w:lang w:val="en-GB"/>
        </w:rPr>
        <w:t>we</w:t>
      </w:r>
      <w:r w:rsidR="001C7C7E">
        <w:rPr>
          <w:lang w:val="en-GB"/>
        </w:rPr>
        <w:t xml:space="preserve"> </w:t>
      </w:r>
      <w:r w:rsidRPr="008C5A7A">
        <w:rPr>
          <w:lang w:val="en-GB"/>
        </w:rPr>
        <w:t>see</w:t>
      </w:r>
      <w:r w:rsidR="001C7C7E">
        <w:rPr>
          <w:lang w:val="en-GB"/>
        </w:rPr>
        <w:t xml:space="preserve"> </w:t>
      </w:r>
      <w:r w:rsidRPr="008C5A7A">
        <w:rPr>
          <w:lang w:val="en-GB"/>
        </w:rPr>
        <w:t>potential</w:t>
      </w:r>
      <w:r w:rsidR="001C7C7E">
        <w:rPr>
          <w:lang w:val="en-GB"/>
        </w:rPr>
        <w:t xml:space="preserve"> </w:t>
      </w:r>
      <w:r w:rsidRPr="008C5A7A">
        <w:rPr>
          <w:lang w:val="en-GB"/>
        </w:rPr>
        <w:t>for</w:t>
      </w:r>
      <w:r w:rsidR="001C7C7E">
        <w:rPr>
          <w:lang w:val="en-GB"/>
        </w:rPr>
        <w:t xml:space="preserve"> </w:t>
      </w:r>
      <w:r w:rsidRPr="008C5A7A">
        <w:rPr>
          <w:lang w:val="en-GB"/>
        </w:rPr>
        <w:t>up</w:t>
      </w:r>
      <w:r w:rsidR="001C7C7E">
        <w:rPr>
          <w:lang w:val="en-GB"/>
        </w:rPr>
        <w:t xml:space="preserve"> </w:t>
      </w:r>
      <w:r w:rsidRPr="008C5A7A">
        <w:rPr>
          <w:lang w:val="en-GB"/>
        </w:rPr>
        <w:t>to</w:t>
      </w:r>
      <w:r w:rsidR="001C7C7E">
        <w:rPr>
          <w:lang w:val="en-GB"/>
        </w:rPr>
        <w:t xml:space="preserve"> </w:t>
      </w:r>
      <w:r w:rsidRPr="008C5A7A">
        <w:rPr>
          <w:lang w:val="en-GB"/>
        </w:rPr>
        <w:t>692p.</w:t>
      </w:r>
      <w:r w:rsidR="001C7C7E">
        <w:rPr>
          <w:lang w:val="en-GB"/>
        </w:rPr>
        <w:t xml:space="preserve"> </w:t>
      </w:r>
      <w:r w:rsidRPr="008C5A7A">
        <w:rPr>
          <w:lang w:val="en-GB"/>
        </w:rPr>
        <w:t>We</w:t>
      </w:r>
      <w:r w:rsidR="001C7C7E">
        <w:rPr>
          <w:lang w:val="en-GB"/>
        </w:rPr>
        <w:t xml:space="preserve"> </w:t>
      </w:r>
      <w:r w:rsidRPr="008C5A7A">
        <w:rPr>
          <w:lang w:val="en-GB"/>
        </w:rPr>
        <w:lastRenderedPageBreak/>
        <w:t>think</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sector</w:t>
      </w:r>
      <w:r w:rsidR="001C7C7E">
        <w:rPr>
          <w:lang w:val="en-GB"/>
        </w:rPr>
        <w:t xml:space="preserve"> </w:t>
      </w:r>
      <w:r w:rsidRPr="008C5A7A">
        <w:rPr>
          <w:lang w:val="en-GB"/>
        </w:rPr>
        <w:t>will</w:t>
      </w:r>
      <w:r w:rsidR="001C7C7E">
        <w:rPr>
          <w:lang w:val="en-GB"/>
        </w:rPr>
        <w:t xml:space="preserve"> </w:t>
      </w:r>
      <w:r w:rsidRPr="008C5A7A">
        <w:rPr>
          <w:lang w:val="en-GB"/>
        </w:rPr>
        <w:t>remain</w:t>
      </w:r>
      <w:r w:rsidR="001C7C7E">
        <w:rPr>
          <w:lang w:val="en-GB"/>
        </w:rPr>
        <w:t xml:space="preserve"> </w:t>
      </w:r>
      <w:r w:rsidRPr="008C5A7A">
        <w:rPr>
          <w:lang w:val="en-GB"/>
        </w:rPr>
        <w:t>supported</w:t>
      </w:r>
      <w:r w:rsidR="001C7C7E">
        <w:rPr>
          <w:lang w:val="en-GB"/>
        </w:rPr>
        <w:t xml:space="preserve"> </w:t>
      </w:r>
      <w:r w:rsidRPr="008C5A7A">
        <w:rPr>
          <w:lang w:val="en-GB"/>
        </w:rPr>
        <w:t>given</w:t>
      </w:r>
      <w:r w:rsidR="001C7C7E">
        <w:rPr>
          <w:lang w:val="en-GB"/>
        </w:rPr>
        <w:t xml:space="preserve"> </w:t>
      </w:r>
      <w:r w:rsidRPr="008C5A7A">
        <w:rPr>
          <w:lang w:val="en-GB"/>
        </w:rPr>
        <w:t>an</w:t>
      </w:r>
      <w:r w:rsidR="001C7C7E">
        <w:rPr>
          <w:lang w:val="en-GB"/>
        </w:rPr>
        <w:t xml:space="preserve"> </w:t>
      </w:r>
      <w:r w:rsidRPr="008C5A7A">
        <w:rPr>
          <w:lang w:val="en-GB"/>
        </w:rPr>
        <w:t>improving</w:t>
      </w:r>
      <w:r w:rsidR="001C7C7E">
        <w:rPr>
          <w:lang w:val="en-GB"/>
        </w:rPr>
        <w:t xml:space="preserve"> </w:t>
      </w:r>
      <w:r w:rsidRPr="008C5A7A">
        <w:rPr>
          <w:lang w:val="en-GB"/>
        </w:rPr>
        <w:t>rental</w:t>
      </w:r>
      <w:r w:rsidR="001C7C7E">
        <w:rPr>
          <w:lang w:val="en-GB"/>
        </w:rPr>
        <w:t xml:space="preserve"> </w:t>
      </w:r>
      <w:r w:rsidRPr="008C5A7A">
        <w:rPr>
          <w:lang w:val="en-GB"/>
        </w:rPr>
        <w:t>outlook</w:t>
      </w:r>
      <w:r w:rsidR="001C7C7E">
        <w:rPr>
          <w:lang w:val="en-GB"/>
        </w:rPr>
        <w:t xml:space="preserve"> </w:t>
      </w:r>
      <w:r w:rsidRPr="008C5A7A">
        <w:rPr>
          <w:lang w:val="en-GB"/>
        </w:rPr>
        <w:t>and</w:t>
      </w:r>
      <w:r w:rsidR="001C7C7E">
        <w:rPr>
          <w:lang w:val="en-GB"/>
        </w:rPr>
        <w:t xml:space="preserve"> </w:t>
      </w:r>
      <w:r w:rsidRPr="008C5A7A">
        <w:rPr>
          <w:lang w:val="en-GB"/>
        </w:rPr>
        <w:t>capital</w:t>
      </w:r>
      <w:r w:rsidR="001C7C7E">
        <w:rPr>
          <w:lang w:val="en-GB"/>
        </w:rPr>
        <w:t xml:space="preserve"> </w:t>
      </w:r>
      <w:r w:rsidRPr="008C5A7A">
        <w:rPr>
          <w:lang w:val="en-GB"/>
        </w:rPr>
        <w:t>flows</w:t>
      </w:r>
      <w:r w:rsidR="001C7C7E">
        <w:rPr>
          <w:lang w:val="en-GB"/>
        </w:rPr>
        <w:t xml:space="preserve"> </w:t>
      </w:r>
      <w:r w:rsidRPr="008C5A7A">
        <w:rPr>
          <w:lang w:val="en-GB"/>
        </w:rPr>
        <w:t>although</w:t>
      </w:r>
      <w:r w:rsidR="001C7C7E">
        <w:rPr>
          <w:lang w:val="en-GB"/>
        </w:rPr>
        <w:t xml:space="preserve"> </w:t>
      </w:r>
      <w:r w:rsidRPr="008C5A7A">
        <w:rPr>
          <w:lang w:val="en-GB"/>
        </w:rPr>
        <w:t>care</w:t>
      </w:r>
      <w:r w:rsidR="001C7C7E">
        <w:rPr>
          <w:lang w:val="en-GB"/>
        </w:rPr>
        <w:t xml:space="preserve"> </w:t>
      </w:r>
      <w:r w:rsidRPr="008C5A7A">
        <w:rPr>
          <w:lang w:val="en-GB"/>
        </w:rPr>
        <w:t>is</w:t>
      </w:r>
      <w:r w:rsidR="001C7C7E">
        <w:rPr>
          <w:lang w:val="en-GB"/>
        </w:rPr>
        <w:t xml:space="preserve"> </w:t>
      </w:r>
      <w:r w:rsidRPr="008C5A7A">
        <w:rPr>
          <w:lang w:val="en-GB"/>
        </w:rPr>
        <w:t>needed:</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90</w:t>
      </w:r>
      <w:r w:rsidR="001C7C7E">
        <w:rPr>
          <w:lang w:val="en-GB"/>
        </w:rPr>
        <w:t>’</w:t>
      </w:r>
      <w:r w:rsidRPr="008C5A7A">
        <w:rPr>
          <w:lang w:val="en-GB"/>
        </w:rPr>
        <w:t>s</w:t>
      </w:r>
      <w:r w:rsidR="001C7C7E">
        <w:rPr>
          <w:lang w:val="en-GB"/>
        </w:rPr>
        <w:t xml:space="preserve"> </w:t>
      </w:r>
      <w:r w:rsidRPr="008C5A7A">
        <w:rPr>
          <w:lang w:val="en-GB"/>
        </w:rPr>
        <w:t>and</w:t>
      </w:r>
      <w:r w:rsidR="001C7C7E">
        <w:rPr>
          <w:lang w:val="en-GB"/>
        </w:rPr>
        <w:t xml:space="preserve"> </w:t>
      </w:r>
      <w:r w:rsidRPr="008C5A7A">
        <w:rPr>
          <w:lang w:val="en-GB"/>
        </w:rPr>
        <w:t>00</w:t>
      </w:r>
      <w:r w:rsidR="001C7C7E">
        <w:rPr>
          <w:lang w:val="en-GB"/>
        </w:rPr>
        <w:t>’</w:t>
      </w:r>
      <w:r w:rsidRPr="008C5A7A">
        <w:rPr>
          <w:lang w:val="en-GB"/>
        </w:rPr>
        <w:t>s</w:t>
      </w:r>
      <w:r w:rsidR="001C7C7E">
        <w:rPr>
          <w:lang w:val="en-GB"/>
        </w:rPr>
        <w:t xml:space="preserve"> </w:t>
      </w:r>
      <w:r w:rsidRPr="008C5A7A">
        <w:rPr>
          <w:lang w:val="en-GB"/>
        </w:rPr>
        <w:t>property</w:t>
      </w:r>
      <w:r w:rsidR="001C7C7E">
        <w:rPr>
          <w:lang w:val="en-GB"/>
        </w:rPr>
        <w:t xml:space="preserve"> </w:t>
      </w:r>
      <w:r w:rsidRPr="008C5A7A">
        <w:rPr>
          <w:lang w:val="en-GB"/>
        </w:rPr>
        <w:t>yields</w:t>
      </w:r>
      <w:r w:rsidR="001C7C7E">
        <w:rPr>
          <w:lang w:val="en-GB"/>
        </w:rPr>
        <w:t xml:space="preserve"> </w:t>
      </w:r>
      <w:r w:rsidRPr="008C5A7A">
        <w:rPr>
          <w:lang w:val="en-GB"/>
        </w:rPr>
        <w:t>moved</w:t>
      </w:r>
      <w:r w:rsidR="001C7C7E">
        <w:rPr>
          <w:lang w:val="en-GB"/>
        </w:rPr>
        <w:t xml:space="preserve"> </w:t>
      </w:r>
      <w:r w:rsidRPr="008C5A7A">
        <w:rPr>
          <w:lang w:val="en-GB"/>
        </w:rPr>
        <w:t>out</w:t>
      </w:r>
      <w:r w:rsidR="001C7C7E">
        <w:rPr>
          <w:lang w:val="en-GB"/>
        </w:rPr>
        <w:t xml:space="preserve"> </w:t>
      </w:r>
      <w:r w:rsidRPr="008C5A7A">
        <w:rPr>
          <w:lang w:val="en-GB"/>
        </w:rPr>
        <w:t>15</w:t>
      </w:r>
      <w:r w:rsidR="001C7C7E">
        <w:rPr>
          <w:lang w:val="en-GB"/>
        </w:rPr>
        <w:t xml:space="preserve"> </w:t>
      </w:r>
      <w:r w:rsidRPr="008C5A7A">
        <w:rPr>
          <w:lang w:val="en-GB"/>
        </w:rPr>
        <w:t>&amp;</w:t>
      </w:r>
      <w:r w:rsidR="001C7C7E">
        <w:rPr>
          <w:lang w:val="en-GB"/>
        </w:rPr>
        <w:t xml:space="preserve"> </w:t>
      </w:r>
      <w:r w:rsidRPr="008C5A7A">
        <w:rPr>
          <w:lang w:val="en-GB"/>
        </w:rPr>
        <w:t>11</w:t>
      </w:r>
      <w:r w:rsidR="001C7C7E">
        <w:rPr>
          <w:lang w:val="en-GB"/>
        </w:rPr>
        <w:t xml:space="preserve"> </w:t>
      </w:r>
      <w:r w:rsidRPr="008C5A7A">
        <w:rPr>
          <w:lang w:val="en-GB"/>
        </w:rPr>
        <w:t>months</w:t>
      </w:r>
      <w:r w:rsidR="001C7C7E">
        <w:rPr>
          <w:lang w:val="en-GB"/>
        </w:rPr>
        <w:t xml:space="preserve"> </w:t>
      </w:r>
      <w:r w:rsidRPr="008C5A7A">
        <w:rPr>
          <w:lang w:val="en-GB"/>
        </w:rPr>
        <w:t>before</w:t>
      </w:r>
      <w:r w:rsidR="001C7C7E">
        <w:rPr>
          <w:lang w:val="en-GB"/>
        </w:rPr>
        <w:t xml:space="preserve"> </w:t>
      </w:r>
      <w:r w:rsidRPr="008C5A7A">
        <w:rPr>
          <w:lang w:val="en-GB"/>
        </w:rPr>
        <w:t>rents</w:t>
      </w:r>
      <w:r w:rsidR="001C7C7E">
        <w:rPr>
          <w:lang w:val="en-GB"/>
        </w:rPr>
        <w:t xml:space="preserve"> </w:t>
      </w:r>
      <w:r w:rsidRPr="008C5A7A">
        <w:rPr>
          <w:lang w:val="en-GB"/>
        </w:rPr>
        <w:t>peaked</w:t>
      </w:r>
      <w:r w:rsidR="001C7C7E">
        <w:rPr>
          <w:lang w:val="en-GB"/>
        </w:rPr>
        <w:t xml:space="preserve"> </w:t>
      </w:r>
      <w:r w:rsidRPr="008C5A7A">
        <w:rPr>
          <w:lang w:val="en-GB"/>
        </w:rPr>
        <w:t>and</w:t>
      </w:r>
      <w:r w:rsidR="001C7C7E">
        <w:rPr>
          <w:lang w:val="en-GB"/>
        </w:rPr>
        <w:t xml:space="preserve"> </w:t>
      </w:r>
      <w:r w:rsidRPr="008C5A7A">
        <w:rPr>
          <w:lang w:val="en-GB"/>
        </w:rPr>
        <w:t>rental</w:t>
      </w:r>
      <w:r w:rsidR="001C7C7E">
        <w:rPr>
          <w:lang w:val="en-GB"/>
        </w:rPr>
        <w:t xml:space="preserve"> </w:t>
      </w:r>
      <w:r w:rsidRPr="008C5A7A">
        <w:rPr>
          <w:lang w:val="en-GB"/>
        </w:rPr>
        <w:t>growth</w:t>
      </w:r>
      <w:r w:rsidR="001C7C7E">
        <w:rPr>
          <w:lang w:val="en-GB"/>
        </w:rPr>
        <w:t xml:space="preserve"> </w:t>
      </w:r>
      <w:r w:rsidRPr="008C5A7A">
        <w:rPr>
          <w:lang w:val="en-GB"/>
        </w:rPr>
        <w:t>didn</w:t>
      </w:r>
      <w:r w:rsidR="001C7C7E">
        <w:rPr>
          <w:lang w:val="en-GB"/>
        </w:rPr>
        <w:t>’</w:t>
      </w:r>
      <w:r w:rsidRPr="008C5A7A">
        <w:rPr>
          <w:lang w:val="en-GB"/>
        </w:rPr>
        <w:t>t</w:t>
      </w:r>
      <w:r w:rsidR="001C7C7E">
        <w:rPr>
          <w:lang w:val="en-GB"/>
        </w:rPr>
        <w:t xml:space="preserve"> </w:t>
      </w:r>
      <w:r w:rsidRPr="008C5A7A">
        <w:rPr>
          <w:lang w:val="en-GB"/>
        </w:rPr>
        <w:t>save</w:t>
      </w:r>
      <w:r w:rsidR="001C7C7E">
        <w:rPr>
          <w:lang w:val="en-GB"/>
        </w:rPr>
        <w:t xml:space="preserve"> </w:t>
      </w:r>
      <w:r w:rsidRPr="008C5A7A">
        <w:rPr>
          <w:lang w:val="en-GB"/>
        </w:rPr>
        <w:t>the</w:t>
      </w:r>
      <w:r w:rsidR="001C7C7E">
        <w:rPr>
          <w:lang w:val="en-GB"/>
        </w:rPr>
        <w:t xml:space="preserve"> </w:t>
      </w:r>
      <w:r w:rsidRPr="008C5A7A">
        <w:rPr>
          <w:lang w:val="en-GB"/>
        </w:rPr>
        <w:t>sector.</w:t>
      </w:r>
      <w:r w:rsidR="001C7C7E">
        <w:rPr>
          <w:lang w:val="en-GB"/>
        </w:rPr>
        <w:t xml:space="preserve"> </w:t>
      </w:r>
      <w:r w:rsidRPr="008C5A7A">
        <w:rPr>
          <w:lang w:val="en-GB"/>
        </w:rPr>
        <w:t>To</w:t>
      </w:r>
      <w:r w:rsidR="001C7C7E">
        <w:rPr>
          <w:lang w:val="en-GB"/>
        </w:rPr>
        <w:t xml:space="preserve"> </w:t>
      </w:r>
      <w:r w:rsidRPr="008C5A7A">
        <w:rPr>
          <w:lang w:val="en-GB"/>
        </w:rPr>
        <w:t>continue</w:t>
      </w:r>
      <w:r w:rsidR="001C7C7E">
        <w:rPr>
          <w:lang w:val="en-GB"/>
        </w:rPr>
        <w:t xml:space="preserve"> </w:t>
      </w:r>
      <w:r w:rsidRPr="008C5A7A">
        <w:rPr>
          <w:lang w:val="en-GB"/>
        </w:rPr>
        <w:t>reading,</w:t>
      </w:r>
      <w:r w:rsidR="001C7C7E">
        <w:rPr>
          <w:lang w:val="en-GB"/>
        </w:rPr>
        <w:t xml:space="preserve"> </w:t>
      </w:r>
      <w:r w:rsidRPr="008C5A7A">
        <w:rPr>
          <w:lang w:val="en-GB"/>
        </w:rPr>
        <w:t>please</w:t>
      </w:r>
      <w:r w:rsidR="001C7C7E">
        <w:rPr>
          <w:lang w:val="en-GB"/>
        </w:rPr>
        <w:t xml:space="preserve"> </w:t>
      </w:r>
      <w:hyperlink r:id="rId21"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r w:rsidR="001C7C7E">
        <w:rPr>
          <w:lang w:val="en-GB"/>
        </w:rPr>
        <w:t xml:space="preserve"> </w:t>
      </w:r>
    </w:p>
    <w:p w:rsidR="002E187C" w:rsidRPr="008C5A7A" w:rsidRDefault="002E187C" w:rsidP="00183A10">
      <w:pPr>
        <w:pStyle w:val="FPBullet"/>
        <w:rPr>
          <w:lang w:val="en-GB"/>
        </w:rPr>
      </w:pPr>
      <w:r w:rsidRPr="008C5A7A">
        <w:rPr>
          <w:b/>
          <w:bCs/>
          <w:iCs/>
          <w:lang w:val="en-GB"/>
        </w:rPr>
        <w:t>Recent</w:t>
      </w:r>
      <w:r w:rsidR="001C7C7E">
        <w:rPr>
          <w:b/>
          <w:bCs/>
          <w:iCs/>
          <w:lang w:val="en-GB"/>
        </w:rPr>
        <w:t xml:space="preserve"> </w:t>
      </w:r>
      <w:r w:rsidRPr="008C5A7A">
        <w:rPr>
          <w:b/>
          <w:bCs/>
          <w:iCs/>
          <w:lang w:val="en-GB"/>
        </w:rPr>
        <w:t>note:</w:t>
      </w:r>
      <w:r w:rsidR="001C7C7E">
        <w:rPr>
          <w:b/>
          <w:bCs/>
          <w:lang w:val="en-GB"/>
        </w:rPr>
        <w:t xml:space="preserve"> </w:t>
      </w:r>
      <w:r w:rsidRPr="008C5A7A">
        <w:rPr>
          <w:b/>
          <w:bCs/>
          <w:lang w:val="en-GB"/>
        </w:rPr>
        <w:t>Wereldhave:</w:t>
      </w:r>
      <w:r w:rsidR="001C7C7E">
        <w:rPr>
          <w:b/>
          <w:bCs/>
          <w:lang w:val="en-GB"/>
        </w:rPr>
        <w:t xml:space="preserve"> </w:t>
      </w:r>
      <w:r w:rsidRPr="008C5A7A">
        <w:rPr>
          <w:b/>
          <w:bCs/>
          <w:lang w:val="en-GB"/>
        </w:rPr>
        <w:t>Investor</w:t>
      </w:r>
      <w:r w:rsidR="001C7C7E">
        <w:rPr>
          <w:b/>
          <w:bCs/>
          <w:lang w:val="en-GB"/>
        </w:rPr>
        <w:t xml:space="preserve"> </w:t>
      </w:r>
      <w:r w:rsidRPr="008C5A7A">
        <w:rPr>
          <w:b/>
          <w:bCs/>
          <w:lang w:val="en-GB"/>
        </w:rPr>
        <w:t>day</w:t>
      </w:r>
      <w:r w:rsidR="001C7C7E">
        <w:rPr>
          <w:b/>
          <w:bCs/>
          <w:lang w:val="en-GB"/>
        </w:rPr>
        <w:t xml:space="preserve"> </w:t>
      </w:r>
      <w:r w:rsidRPr="008C5A7A">
        <w:rPr>
          <w:b/>
          <w:bCs/>
          <w:lang w:val="en-GB"/>
        </w:rPr>
        <w:t>takeaways,</w:t>
      </w:r>
      <w:r w:rsidR="001C7C7E">
        <w:rPr>
          <w:b/>
          <w:bCs/>
          <w:lang w:val="en-GB"/>
        </w:rPr>
        <w:t xml:space="preserve"> </w:t>
      </w:r>
      <w:r w:rsidRPr="008C5A7A">
        <w:rPr>
          <w:b/>
          <w:bCs/>
          <w:lang w:val="en-GB"/>
        </w:rPr>
        <w:t>active</w:t>
      </w:r>
      <w:r w:rsidR="001C7C7E">
        <w:rPr>
          <w:b/>
          <w:bCs/>
          <w:lang w:val="en-GB"/>
        </w:rPr>
        <w:t xml:space="preserve"> </w:t>
      </w:r>
      <w:r w:rsidRPr="008C5A7A">
        <w:rPr>
          <w:b/>
          <w:bCs/>
          <w:lang w:val="en-GB"/>
        </w:rPr>
        <w:t>asset</w:t>
      </w:r>
      <w:r w:rsidR="001C7C7E">
        <w:rPr>
          <w:b/>
          <w:bCs/>
          <w:lang w:val="en-GB"/>
        </w:rPr>
        <w:t xml:space="preserve"> </w:t>
      </w:r>
      <w:r w:rsidRPr="008C5A7A">
        <w:rPr>
          <w:b/>
          <w:bCs/>
          <w:lang w:val="en-GB"/>
        </w:rPr>
        <w:t>management</w:t>
      </w:r>
      <w:r w:rsidR="001C7C7E">
        <w:rPr>
          <w:b/>
          <w:bCs/>
          <w:lang w:val="en-GB"/>
        </w:rPr>
        <w:t xml:space="preserve"> </w:t>
      </w:r>
      <w:r w:rsidRPr="008C5A7A">
        <w:rPr>
          <w:b/>
          <w:bCs/>
          <w:lang w:val="en-GB"/>
        </w:rPr>
        <w:t>continues</w:t>
      </w:r>
      <w:r w:rsidRPr="008C5A7A">
        <w:rPr>
          <w:lang w:val="en-GB"/>
        </w:rPr>
        <w:t>.</w:t>
      </w:r>
      <w:r w:rsidR="001C7C7E">
        <w:rPr>
          <w:lang w:val="en-GB"/>
        </w:rPr>
        <w:t xml:space="preserve"> </w:t>
      </w:r>
      <w:r w:rsidRPr="008C5A7A">
        <w:rPr>
          <w:lang w:val="en-GB"/>
        </w:rPr>
        <w:t>Wereldhave</w:t>
      </w:r>
      <w:r w:rsidR="001C7C7E">
        <w:rPr>
          <w:lang w:val="en-GB"/>
        </w:rPr>
        <w:t xml:space="preserve"> </w:t>
      </w:r>
      <w:r w:rsidRPr="008C5A7A">
        <w:rPr>
          <w:lang w:val="en-GB"/>
        </w:rPr>
        <w:t>hosted</w:t>
      </w:r>
      <w:r w:rsidR="001C7C7E">
        <w:rPr>
          <w:lang w:val="en-GB"/>
        </w:rPr>
        <w:t xml:space="preserve"> </w:t>
      </w:r>
      <w:r w:rsidRPr="008C5A7A">
        <w:rPr>
          <w:lang w:val="en-GB"/>
        </w:rPr>
        <w:t>an</w:t>
      </w:r>
      <w:r w:rsidR="001C7C7E">
        <w:rPr>
          <w:lang w:val="en-GB"/>
        </w:rPr>
        <w:t xml:space="preserve"> </w:t>
      </w:r>
      <w:r w:rsidRPr="008C5A7A">
        <w:rPr>
          <w:lang w:val="en-GB"/>
        </w:rPr>
        <w:t>investor</w:t>
      </w:r>
      <w:r w:rsidR="001C7C7E">
        <w:rPr>
          <w:lang w:val="en-GB"/>
        </w:rPr>
        <w:t xml:space="preserve"> </w:t>
      </w:r>
      <w:r w:rsidRPr="008C5A7A">
        <w:rPr>
          <w:lang w:val="en-GB"/>
        </w:rPr>
        <w:t>day</w:t>
      </w:r>
      <w:r w:rsidR="001C7C7E">
        <w:rPr>
          <w:lang w:val="en-GB"/>
        </w:rPr>
        <w:t xml:space="preserve"> </w:t>
      </w:r>
      <w:r w:rsidRPr="008C5A7A">
        <w:rPr>
          <w:lang w:val="en-GB"/>
        </w:rPr>
        <w:t>in</w:t>
      </w:r>
      <w:r w:rsidR="001C7C7E">
        <w:rPr>
          <w:lang w:val="en-GB"/>
        </w:rPr>
        <w:t xml:space="preserve"> </w:t>
      </w:r>
      <w:r w:rsidRPr="008C5A7A">
        <w:rPr>
          <w:lang w:val="en-GB"/>
        </w:rPr>
        <w:t>Amsterdam,</w:t>
      </w:r>
      <w:r w:rsidR="001C7C7E">
        <w:rPr>
          <w:lang w:val="en-GB"/>
        </w:rPr>
        <w:t xml:space="preserve"> </w:t>
      </w:r>
      <w:r w:rsidRPr="008C5A7A">
        <w:rPr>
          <w:lang w:val="en-GB"/>
        </w:rPr>
        <w:t>which</w:t>
      </w:r>
      <w:r w:rsidR="001C7C7E">
        <w:rPr>
          <w:lang w:val="en-GB"/>
        </w:rPr>
        <w:t xml:space="preserve"> </w:t>
      </w:r>
      <w:r w:rsidRPr="008C5A7A">
        <w:rPr>
          <w:lang w:val="en-GB"/>
        </w:rPr>
        <w:t>included</w:t>
      </w:r>
      <w:r w:rsidR="001C7C7E">
        <w:rPr>
          <w:lang w:val="en-GB"/>
        </w:rPr>
        <w:t xml:space="preserve"> </w:t>
      </w:r>
      <w:r w:rsidRPr="008C5A7A">
        <w:rPr>
          <w:lang w:val="en-GB"/>
        </w:rPr>
        <w:t>management</w:t>
      </w:r>
      <w:r w:rsidR="001C7C7E">
        <w:rPr>
          <w:lang w:val="en-GB"/>
        </w:rPr>
        <w:t xml:space="preserve"> </w:t>
      </w:r>
      <w:r w:rsidRPr="008C5A7A">
        <w:rPr>
          <w:lang w:val="en-GB"/>
        </w:rPr>
        <w:t>presentations</w:t>
      </w:r>
      <w:r w:rsidR="001C7C7E">
        <w:rPr>
          <w:lang w:val="en-GB"/>
        </w:rPr>
        <w:t xml:space="preserve"> </w:t>
      </w:r>
      <w:r w:rsidRPr="008C5A7A">
        <w:rPr>
          <w:lang w:val="en-GB"/>
        </w:rPr>
        <w:t>and</w:t>
      </w:r>
      <w:r w:rsidR="001C7C7E">
        <w:rPr>
          <w:lang w:val="en-GB"/>
        </w:rPr>
        <w:t xml:space="preserve"> </w:t>
      </w:r>
      <w:r w:rsidRPr="008C5A7A">
        <w:rPr>
          <w:lang w:val="en-GB"/>
        </w:rPr>
        <w:t>visits</w:t>
      </w:r>
      <w:r w:rsidR="001C7C7E">
        <w:rPr>
          <w:lang w:val="en-GB"/>
        </w:rPr>
        <w:t xml:space="preserve"> </w:t>
      </w:r>
      <w:r w:rsidRPr="008C5A7A">
        <w:rPr>
          <w:lang w:val="en-GB"/>
        </w:rPr>
        <w:t>to</w:t>
      </w:r>
      <w:r w:rsidR="001C7C7E">
        <w:rPr>
          <w:lang w:val="en-GB"/>
        </w:rPr>
        <w:t xml:space="preserve"> </w:t>
      </w:r>
      <w:r w:rsidRPr="008C5A7A">
        <w:rPr>
          <w:lang w:val="en-GB"/>
        </w:rPr>
        <w:t>three</w:t>
      </w:r>
      <w:r w:rsidR="001C7C7E">
        <w:rPr>
          <w:lang w:val="en-GB"/>
        </w:rPr>
        <w:t xml:space="preserve"> </w:t>
      </w:r>
      <w:r w:rsidRPr="008C5A7A">
        <w:rPr>
          <w:lang w:val="en-GB"/>
        </w:rPr>
        <w:t>shopping</w:t>
      </w:r>
      <w:r w:rsidR="001C7C7E">
        <w:rPr>
          <w:lang w:val="en-GB"/>
        </w:rPr>
        <w:t xml:space="preserve"> </w:t>
      </w:r>
      <w:r w:rsidRPr="008C5A7A">
        <w:rPr>
          <w:lang w:val="en-GB"/>
        </w:rPr>
        <w:t>centres.</w:t>
      </w:r>
      <w:r w:rsidR="001C7C7E">
        <w:rPr>
          <w:lang w:val="en-GB"/>
        </w:rPr>
        <w:t xml:space="preserve"> </w:t>
      </w:r>
      <w:r w:rsidRPr="008C5A7A">
        <w:rPr>
          <w:lang w:val="en-GB"/>
        </w:rPr>
        <w:t>Our</w:t>
      </w:r>
      <w:r w:rsidR="001C7C7E">
        <w:rPr>
          <w:lang w:val="en-GB"/>
        </w:rPr>
        <w:t xml:space="preserve"> </w:t>
      </w:r>
      <w:r w:rsidRPr="008C5A7A">
        <w:rPr>
          <w:lang w:val="en-GB"/>
        </w:rPr>
        <w:t>takeaways:</w:t>
      </w:r>
      <w:r w:rsidR="001C7C7E">
        <w:rPr>
          <w:lang w:val="en-GB"/>
        </w:rPr>
        <w:t xml:space="preserve"> </w:t>
      </w:r>
      <w:r w:rsidRPr="008C5A7A">
        <w:rPr>
          <w:lang w:val="en-GB"/>
        </w:rPr>
        <w:t>(1)</w:t>
      </w:r>
      <w:r w:rsidR="001C7C7E">
        <w:rPr>
          <w:lang w:val="en-GB"/>
        </w:rPr>
        <w:t xml:space="preserve"> </w:t>
      </w:r>
      <w:r w:rsidRPr="008C5A7A">
        <w:rPr>
          <w:lang w:val="en-GB"/>
        </w:rPr>
        <w:t>Management</w:t>
      </w:r>
      <w:r w:rsidR="001C7C7E">
        <w:rPr>
          <w:lang w:val="en-GB"/>
        </w:rPr>
        <w:t xml:space="preserve"> </w:t>
      </w:r>
      <w:r w:rsidRPr="008C5A7A">
        <w:rPr>
          <w:lang w:val="en-GB"/>
        </w:rPr>
        <w:t>has</w:t>
      </w:r>
      <w:r w:rsidR="001C7C7E">
        <w:rPr>
          <w:lang w:val="en-GB"/>
        </w:rPr>
        <w:t xml:space="preserve"> </w:t>
      </w:r>
      <w:r w:rsidRPr="008C5A7A">
        <w:rPr>
          <w:lang w:val="en-GB"/>
        </w:rPr>
        <w:t>active</w:t>
      </w:r>
      <w:r w:rsidR="001C7C7E">
        <w:rPr>
          <w:lang w:val="en-GB"/>
        </w:rPr>
        <w:t xml:space="preserve"> </w:t>
      </w:r>
      <w:r w:rsidRPr="008C5A7A">
        <w:rPr>
          <w:lang w:val="en-GB"/>
        </w:rPr>
        <w:t>plans</w:t>
      </w:r>
      <w:r w:rsidR="001C7C7E">
        <w:rPr>
          <w:lang w:val="en-GB"/>
        </w:rPr>
        <w:t xml:space="preserve"> </w:t>
      </w:r>
      <w:r w:rsidRPr="008C5A7A">
        <w:rPr>
          <w:lang w:val="en-GB"/>
        </w:rPr>
        <w:t>across</w:t>
      </w:r>
      <w:r w:rsidR="001C7C7E">
        <w:rPr>
          <w:lang w:val="en-GB"/>
        </w:rPr>
        <w:t xml:space="preserve"> </w:t>
      </w:r>
      <w:r w:rsidRPr="008C5A7A">
        <w:rPr>
          <w:lang w:val="en-GB"/>
        </w:rPr>
        <w:t>all</w:t>
      </w:r>
      <w:r w:rsidR="001C7C7E">
        <w:rPr>
          <w:lang w:val="en-GB"/>
        </w:rPr>
        <w:t xml:space="preserve"> </w:t>
      </w:r>
      <w:r w:rsidRPr="008C5A7A">
        <w:rPr>
          <w:lang w:val="en-GB"/>
        </w:rPr>
        <w:t>the</w:t>
      </w:r>
      <w:r w:rsidR="001C7C7E">
        <w:rPr>
          <w:lang w:val="en-GB"/>
        </w:rPr>
        <w:t xml:space="preserve"> </w:t>
      </w:r>
      <w:r w:rsidRPr="008C5A7A">
        <w:rPr>
          <w:lang w:val="en-GB"/>
        </w:rPr>
        <w:t>Dutch</w:t>
      </w:r>
      <w:r w:rsidR="001C7C7E">
        <w:rPr>
          <w:lang w:val="en-GB"/>
        </w:rPr>
        <w:t xml:space="preserve"> </w:t>
      </w:r>
      <w:r w:rsidRPr="008C5A7A">
        <w:rPr>
          <w:lang w:val="en-GB"/>
        </w:rPr>
        <w:t>centres</w:t>
      </w:r>
      <w:r w:rsidR="001C7C7E">
        <w:rPr>
          <w:lang w:val="en-GB"/>
        </w:rPr>
        <w:t xml:space="preserve"> </w:t>
      </w:r>
      <w:r w:rsidRPr="008C5A7A">
        <w:rPr>
          <w:lang w:val="en-GB"/>
        </w:rPr>
        <w:t>(€80m</w:t>
      </w:r>
      <w:r w:rsidR="001C7C7E">
        <w:rPr>
          <w:lang w:val="en-GB"/>
        </w:rPr>
        <w:t xml:space="preserve"> </w:t>
      </w:r>
      <w:r w:rsidRPr="008C5A7A">
        <w:rPr>
          <w:lang w:val="en-GB"/>
        </w:rPr>
        <w:t>capex</w:t>
      </w:r>
      <w:r w:rsidR="001C7C7E">
        <w:rPr>
          <w:lang w:val="en-GB"/>
        </w:rPr>
        <w:t xml:space="preserve"> </w:t>
      </w:r>
      <w:r w:rsidRPr="008C5A7A">
        <w:rPr>
          <w:lang w:val="en-GB"/>
        </w:rPr>
        <w:t>at</w:t>
      </w:r>
      <w:r w:rsidR="001C7C7E">
        <w:rPr>
          <w:lang w:val="en-GB"/>
        </w:rPr>
        <w:t xml:space="preserve"> </w:t>
      </w:r>
      <w:r w:rsidRPr="008C5A7A">
        <w:rPr>
          <w:lang w:val="en-GB"/>
        </w:rPr>
        <w:t>5.9%</w:t>
      </w:r>
      <w:r w:rsidR="001C7C7E">
        <w:rPr>
          <w:lang w:val="en-GB"/>
        </w:rPr>
        <w:t xml:space="preserve"> </w:t>
      </w:r>
      <w:r w:rsidRPr="008C5A7A">
        <w:rPr>
          <w:lang w:val="en-GB"/>
        </w:rPr>
        <w:t>yield),</w:t>
      </w:r>
      <w:r w:rsidR="001C7C7E">
        <w:rPr>
          <w:lang w:val="en-GB"/>
        </w:rPr>
        <w:t xml:space="preserve"> </w:t>
      </w:r>
      <w:r w:rsidRPr="008C5A7A">
        <w:rPr>
          <w:lang w:val="en-GB"/>
        </w:rPr>
        <w:t>including</w:t>
      </w:r>
      <w:r w:rsidR="001C7C7E">
        <w:rPr>
          <w:lang w:val="en-GB"/>
        </w:rPr>
        <w:t xml:space="preserve"> </w:t>
      </w:r>
      <w:r w:rsidRPr="008C5A7A">
        <w:rPr>
          <w:lang w:val="en-GB"/>
        </w:rPr>
        <w:t>re-tenanting,</w:t>
      </w:r>
      <w:r w:rsidR="001C7C7E">
        <w:rPr>
          <w:lang w:val="en-GB"/>
        </w:rPr>
        <w:t xml:space="preserve"> </w:t>
      </w:r>
      <w:r w:rsidRPr="008C5A7A">
        <w:rPr>
          <w:lang w:val="en-GB"/>
        </w:rPr>
        <w:t>re-routing/unit</w:t>
      </w:r>
      <w:r w:rsidR="001C7C7E">
        <w:rPr>
          <w:lang w:val="en-GB"/>
        </w:rPr>
        <w:t xml:space="preserve"> </w:t>
      </w:r>
      <w:r w:rsidRPr="008C5A7A">
        <w:rPr>
          <w:lang w:val="en-GB"/>
        </w:rPr>
        <w:t>amalgamation,</w:t>
      </w:r>
      <w:r w:rsidR="001C7C7E">
        <w:rPr>
          <w:lang w:val="en-GB"/>
        </w:rPr>
        <w:t xml:space="preserve"> </w:t>
      </w:r>
      <w:r w:rsidRPr="008C5A7A">
        <w:rPr>
          <w:lang w:val="en-GB"/>
        </w:rPr>
        <w:t>upgrading,</w:t>
      </w:r>
      <w:r w:rsidR="001C7C7E">
        <w:rPr>
          <w:lang w:val="en-GB"/>
        </w:rPr>
        <w:t xml:space="preserve"> </w:t>
      </w:r>
      <w:r w:rsidRPr="008C5A7A">
        <w:rPr>
          <w:lang w:val="en-GB"/>
        </w:rPr>
        <w:t>and</w:t>
      </w:r>
      <w:r w:rsidR="001C7C7E">
        <w:rPr>
          <w:lang w:val="en-GB"/>
        </w:rPr>
        <w:t xml:space="preserve"> </w:t>
      </w:r>
      <w:r w:rsidRPr="008C5A7A">
        <w:rPr>
          <w:lang w:val="en-GB"/>
        </w:rPr>
        <w:t>adding</w:t>
      </w:r>
      <w:r w:rsidR="001C7C7E">
        <w:rPr>
          <w:lang w:val="en-GB"/>
        </w:rPr>
        <w:t xml:space="preserve"> </w:t>
      </w:r>
      <w:r w:rsidRPr="008C5A7A">
        <w:rPr>
          <w:lang w:val="en-GB"/>
        </w:rPr>
        <w:t>Food</w:t>
      </w:r>
      <w:r w:rsidR="001C7C7E">
        <w:rPr>
          <w:lang w:val="en-GB"/>
        </w:rPr>
        <w:t xml:space="preserve"> </w:t>
      </w:r>
      <w:r w:rsidRPr="008C5A7A">
        <w:rPr>
          <w:lang w:val="en-GB"/>
        </w:rPr>
        <w:t>&amp;</w:t>
      </w:r>
      <w:r w:rsidR="001C7C7E">
        <w:rPr>
          <w:lang w:val="en-GB"/>
        </w:rPr>
        <w:t xml:space="preserve"> </w:t>
      </w:r>
      <w:r w:rsidRPr="008C5A7A">
        <w:rPr>
          <w:lang w:val="en-GB"/>
        </w:rPr>
        <w:t>Leisure,</w:t>
      </w:r>
      <w:r w:rsidR="001C7C7E">
        <w:rPr>
          <w:lang w:val="en-GB"/>
        </w:rPr>
        <w:t xml:space="preserve"> </w:t>
      </w:r>
      <w:r w:rsidRPr="008C5A7A">
        <w:rPr>
          <w:lang w:val="en-GB"/>
        </w:rPr>
        <w:t>(2)</w:t>
      </w:r>
      <w:r w:rsidR="001C7C7E">
        <w:rPr>
          <w:lang w:val="en-GB"/>
        </w:rPr>
        <w:t xml:space="preserve"> </w:t>
      </w:r>
      <w:r w:rsidRPr="008C5A7A">
        <w:rPr>
          <w:lang w:val="en-GB"/>
        </w:rPr>
        <w:t>the</w:t>
      </w:r>
      <w:r w:rsidR="001C7C7E">
        <w:rPr>
          <w:lang w:val="en-GB"/>
        </w:rPr>
        <w:t xml:space="preserve"> </w:t>
      </w:r>
      <w:r w:rsidRPr="008C5A7A">
        <w:rPr>
          <w:lang w:val="en-GB"/>
        </w:rPr>
        <w:t>Dutch</w:t>
      </w:r>
      <w:r w:rsidR="001C7C7E">
        <w:rPr>
          <w:lang w:val="en-GB"/>
        </w:rPr>
        <w:t xml:space="preserve"> </w:t>
      </w:r>
      <w:r w:rsidRPr="008C5A7A">
        <w:rPr>
          <w:lang w:val="en-GB"/>
        </w:rPr>
        <w:t>retail</w:t>
      </w:r>
      <w:r w:rsidR="001C7C7E">
        <w:rPr>
          <w:lang w:val="en-GB"/>
        </w:rPr>
        <w:t xml:space="preserve"> </w:t>
      </w:r>
      <w:r w:rsidRPr="008C5A7A">
        <w:rPr>
          <w:lang w:val="en-GB"/>
        </w:rPr>
        <w:t>environment</w:t>
      </w:r>
      <w:r w:rsidR="001C7C7E">
        <w:rPr>
          <w:lang w:val="en-GB"/>
        </w:rPr>
        <w:t xml:space="preserve"> </w:t>
      </w:r>
      <w:r w:rsidRPr="008C5A7A">
        <w:rPr>
          <w:lang w:val="en-GB"/>
        </w:rPr>
        <w:t>remains</w:t>
      </w:r>
      <w:r w:rsidR="001C7C7E">
        <w:rPr>
          <w:lang w:val="en-GB"/>
        </w:rPr>
        <w:t xml:space="preserve"> </w:t>
      </w:r>
      <w:r w:rsidRPr="008C5A7A">
        <w:rPr>
          <w:lang w:val="en-GB"/>
        </w:rPr>
        <w:t>tough,</w:t>
      </w:r>
      <w:r w:rsidR="001C7C7E">
        <w:rPr>
          <w:lang w:val="en-GB"/>
        </w:rPr>
        <w:t xml:space="preserve"> </w:t>
      </w:r>
      <w:r w:rsidRPr="008C5A7A">
        <w:rPr>
          <w:lang w:val="en-GB"/>
        </w:rPr>
        <w:t>but</w:t>
      </w:r>
      <w:r w:rsidR="001C7C7E">
        <w:rPr>
          <w:lang w:val="en-GB"/>
        </w:rPr>
        <w:t xml:space="preserve"> </w:t>
      </w:r>
      <w:r w:rsidRPr="008C5A7A">
        <w:rPr>
          <w:lang w:val="en-GB"/>
        </w:rPr>
        <w:t>there</w:t>
      </w:r>
      <w:r w:rsidR="001C7C7E">
        <w:rPr>
          <w:lang w:val="en-GB"/>
        </w:rPr>
        <w:t xml:space="preserve"> </w:t>
      </w:r>
      <w:r w:rsidRPr="008C5A7A">
        <w:rPr>
          <w:lang w:val="en-GB"/>
        </w:rPr>
        <w:t>are</w:t>
      </w:r>
      <w:r w:rsidR="001C7C7E">
        <w:rPr>
          <w:lang w:val="en-GB"/>
        </w:rPr>
        <w:t xml:space="preserve"> </w:t>
      </w:r>
      <w:r w:rsidRPr="008C5A7A">
        <w:rPr>
          <w:lang w:val="en-GB"/>
        </w:rPr>
        <w:t>some</w:t>
      </w:r>
      <w:r w:rsidR="001C7C7E">
        <w:rPr>
          <w:lang w:val="en-GB"/>
        </w:rPr>
        <w:t xml:space="preserve"> </w:t>
      </w:r>
      <w:r w:rsidRPr="008C5A7A">
        <w:rPr>
          <w:lang w:val="en-GB"/>
        </w:rPr>
        <w:t>small</w:t>
      </w:r>
      <w:r w:rsidR="001C7C7E">
        <w:rPr>
          <w:lang w:val="en-GB"/>
        </w:rPr>
        <w:t xml:space="preserve"> </w:t>
      </w:r>
      <w:r w:rsidRPr="008C5A7A">
        <w:rPr>
          <w:lang w:val="en-GB"/>
        </w:rPr>
        <w:t>signs</w:t>
      </w:r>
      <w:r w:rsidR="001C7C7E">
        <w:rPr>
          <w:lang w:val="en-GB"/>
        </w:rPr>
        <w:t xml:space="preserve"> </w:t>
      </w:r>
      <w:r w:rsidRPr="008C5A7A">
        <w:rPr>
          <w:lang w:val="en-GB"/>
        </w:rPr>
        <w:t>of</w:t>
      </w:r>
      <w:r w:rsidR="001C7C7E">
        <w:rPr>
          <w:lang w:val="en-GB"/>
        </w:rPr>
        <w:t xml:space="preserve"> </w:t>
      </w:r>
      <w:r w:rsidRPr="008C5A7A">
        <w:rPr>
          <w:lang w:val="en-GB"/>
        </w:rPr>
        <w:t>improvement</w:t>
      </w:r>
      <w:r w:rsidR="001C7C7E">
        <w:rPr>
          <w:lang w:val="en-GB"/>
        </w:rPr>
        <w:t xml:space="preserve"> </w:t>
      </w:r>
      <w:r w:rsidRPr="008C5A7A">
        <w:rPr>
          <w:lang w:val="en-GB"/>
        </w:rPr>
        <w:t>(we</w:t>
      </w:r>
      <w:r w:rsidR="001C7C7E">
        <w:rPr>
          <w:lang w:val="en-GB"/>
        </w:rPr>
        <w:t xml:space="preserve"> </w:t>
      </w:r>
      <w:r w:rsidRPr="008C5A7A">
        <w:rPr>
          <w:lang w:val="en-GB"/>
        </w:rPr>
        <w:t>remain</w:t>
      </w:r>
      <w:r w:rsidR="001C7C7E">
        <w:rPr>
          <w:lang w:val="en-GB"/>
        </w:rPr>
        <w:t xml:space="preserve"> </w:t>
      </w:r>
      <w:r w:rsidRPr="008C5A7A">
        <w:rPr>
          <w:lang w:val="en-GB"/>
        </w:rPr>
        <w:t>cautious),</w:t>
      </w:r>
      <w:r w:rsidR="001C7C7E">
        <w:rPr>
          <w:lang w:val="en-GB"/>
        </w:rPr>
        <w:t xml:space="preserve"> </w:t>
      </w:r>
      <w:r w:rsidRPr="008C5A7A">
        <w:rPr>
          <w:lang w:val="en-GB"/>
        </w:rPr>
        <w:t>(3)</w:t>
      </w:r>
      <w:r w:rsidR="001C7C7E">
        <w:rPr>
          <w:lang w:val="en-GB"/>
        </w:rPr>
        <w:t xml:space="preserve"> </w:t>
      </w:r>
      <w:r w:rsidRPr="008C5A7A">
        <w:rPr>
          <w:lang w:val="en-GB"/>
        </w:rPr>
        <w:t>Recent</w:t>
      </w:r>
      <w:r w:rsidR="001C7C7E">
        <w:rPr>
          <w:lang w:val="en-GB"/>
        </w:rPr>
        <w:t xml:space="preserve"> </w:t>
      </w:r>
      <w:r w:rsidRPr="008C5A7A">
        <w:rPr>
          <w:lang w:val="en-GB"/>
        </w:rPr>
        <w:t>acquisition</w:t>
      </w:r>
      <w:r w:rsidR="001C7C7E">
        <w:rPr>
          <w:lang w:val="en-GB"/>
        </w:rPr>
        <w:t xml:space="preserve"> </w:t>
      </w:r>
      <w:r w:rsidRPr="008C5A7A">
        <w:rPr>
          <w:lang w:val="en-GB"/>
        </w:rPr>
        <w:t>Vier</w:t>
      </w:r>
      <w:r w:rsidR="001C7C7E">
        <w:rPr>
          <w:lang w:val="en-GB"/>
        </w:rPr>
        <w:t xml:space="preserve"> </w:t>
      </w:r>
      <w:r w:rsidRPr="008C5A7A">
        <w:rPr>
          <w:lang w:val="en-GB"/>
        </w:rPr>
        <w:t>Meren</w:t>
      </w:r>
      <w:r w:rsidR="001C7C7E">
        <w:rPr>
          <w:lang w:val="en-GB"/>
        </w:rPr>
        <w:t xml:space="preserve"> </w:t>
      </w:r>
      <w:r w:rsidRPr="008C5A7A">
        <w:rPr>
          <w:lang w:val="en-GB"/>
        </w:rPr>
        <w:t>in</w:t>
      </w:r>
      <w:r w:rsidR="001C7C7E">
        <w:rPr>
          <w:lang w:val="en-GB"/>
        </w:rPr>
        <w:t xml:space="preserve"> </w:t>
      </w:r>
      <w:r w:rsidRPr="008C5A7A">
        <w:rPr>
          <w:lang w:val="en-GB"/>
        </w:rPr>
        <w:t>Hoofdorp</w:t>
      </w:r>
      <w:r w:rsidR="001C7C7E">
        <w:rPr>
          <w:lang w:val="en-GB"/>
        </w:rPr>
        <w:t xml:space="preserve"> </w:t>
      </w:r>
      <w:r w:rsidRPr="008C5A7A">
        <w:rPr>
          <w:lang w:val="en-GB"/>
        </w:rPr>
        <w:t>(from</w:t>
      </w:r>
      <w:r w:rsidR="001C7C7E">
        <w:rPr>
          <w:lang w:val="en-GB"/>
        </w:rPr>
        <w:t xml:space="preserve"> </w:t>
      </w:r>
      <w:r w:rsidRPr="008C5A7A">
        <w:rPr>
          <w:lang w:val="en-GB"/>
        </w:rPr>
        <w:t>Unibail)</w:t>
      </w:r>
      <w:r w:rsidR="001C7C7E">
        <w:rPr>
          <w:lang w:val="en-GB"/>
        </w:rPr>
        <w:t xml:space="preserve"> </w:t>
      </w:r>
      <w:r w:rsidRPr="008C5A7A">
        <w:rPr>
          <w:lang w:val="en-GB"/>
        </w:rPr>
        <w:t>is</w:t>
      </w:r>
      <w:r w:rsidR="001C7C7E">
        <w:rPr>
          <w:lang w:val="en-GB"/>
        </w:rPr>
        <w:t xml:space="preserve"> </w:t>
      </w:r>
      <w:r w:rsidRPr="008C5A7A">
        <w:rPr>
          <w:lang w:val="en-GB"/>
        </w:rPr>
        <w:t>a</w:t>
      </w:r>
      <w:r w:rsidR="001C7C7E">
        <w:rPr>
          <w:lang w:val="en-GB"/>
        </w:rPr>
        <w:t xml:space="preserve"> </w:t>
      </w:r>
      <w:r w:rsidRPr="008C5A7A">
        <w:rPr>
          <w:lang w:val="en-GB"/>
        </w:rPr>
        <w:t>good</w:t>
      </w:r>
      <w:r w:rsidR="001C7C7E">
        <w:rPr>
          <w:lang w:val="en-GB"/>
        </w:rPr>
        <w:t xml:space="preserve"> </w:t>
      </w:r>
      <w:r w:rsidRPr="008C5A7A">
        <w:rPr>
          <w:lang w:val="en-GB"/>
        </w:rPr>
        <w:t>asset</w:t>
      </w:r>
      <w:r w:rsidR="001C7C7E">
        <w:rPr>
          <w:lang w:val="en-GB"/>
        </w:rPr>
        <w:t xml:space="preserve"> </w:t>
      </w:r>
      <w:r w:rsidRPr="008C5A7A">
        <w:rPr>
          <w:lang w:val="en-GB"/>
        </w:rPr>
        <w:t>in</w:t>
      </w:r>
      <w:r w:rsidR="001C7C7E">
        <w:rPr>
          <w:lang w:val="en-GB"/>
        </w:rPr>
        <w:t xml:space="preserve"> </w:t>
      </w:r>
      <w:r w:rsidRPr="008C5A7A">
        <w:rPr>
          <w:lang w:val="en-GB"/>
        </w:rPr>
        <w:t>our</w:t>
      </w:r>
      <w:r w:rsidR="001C7C7E">
        <w:rPr>
          <w:lang w:val="en-GB"/>
        </w:rPr>
        <w:t xml:space="preserve"> </w:t>
      </w:r>
      <w:r w:rsidRPr="008C5A7A">
        <w:rPr>
          <w:lang w:val="en-GB"/>
        </w:rPr>
        <w:t>view,</w:t>
      </w:r>
      <w:r w:rsidR="001C7C7E">
        <w:rPr>
          <w:lang w:val="en-GB"/>
        </w:rPr>
        <w:t xml:space="preserve"> </w:t>
      </w:r>
      <w:r w:rsidRPr="008C5A7A">
        <w:rPr>
          <w:lang w:val="en-GB"/>
        </w:rPr>
        <w:t>(4)</w:t>
      </w:r>
      <w:r w:rsidR="001C7C7E">
        <w:rPr>
          <w:lang w:val="en-GB"/>
        </w:rPr>
        <w:t xml:space="preserve"> </w:t>
      </w:r>
      <w:r w:rsidRPr="008C5A7A">
        <w:rPr>
          <w:lang w:val="en-GB"/>
        </w:rPr>
        <w:t>It</w:t>
      </w:r>
      <w:r w:rsidR="001C7C7E">
        <w:rPr>
          <w:lang w:val="en-GB"/>
        </w:rPr>
        <w:t xml:space="preserve"> </w:t>
      </w:r>
      <w:r w:rsidRPr="008C5A7A">
        <w:rPr>
          <w:lang w:val="en-GB"/>
        </w:rPr>
        <w:t>will</w:t>
      </w:r>
      <w:r w:rsidR="001C7C7E">
        <w:rPr>
          <w:lang w:val="en-GB"/>
        </w:rPr>
        <w:t xml:space="preserve"> </w:t>
      </w:r>
      <w:r w:rsidRPr="008C5A7A">
        <w:rPr>
          <w:lang w:val="en-GB"/>
        </w:rPr>
        <w:t>be</w:t>
      </w:r>
      <w:r w:rsidR="001C7C7E">
        <w:rPr>
          <w:lang w:val="en-GB"/>
        </w:rPr>
        <w:t xml:space="preserve"> </w:t>
      </w:r>
      <w:r w:rsidRPr="008C5A7A">
        <w:rPr>
          <w:lang w:val="en-GB"/>
        </w:rPr>
        <w:t>tricky</w:t>
      </w:r>
      <w:r w:rsidR="001C7C7E">
        <w:rPr>
          <w:lang w:val="en-GB"/>
        </w:rPr>
        <w:t xml:space="preserve"> </w:t>
      </w:r>
      <w:r w:rsidRPr="008C5A7A">
        <w:rPr>
          <w:lang w:val="en-GB"/>
        </w:rPr>
        <w:t>to</w:t>
      </w:r>
      <w:r w:rsidR="001C7C7E">
        <w:rPr>
          <w:lang w:val="en-GB"/>
        </w:rPr>
        <w:t xml:space="preserve"> </w:t>
      </w:r>
      <w:r w:rsidRPr="008C5A7A">
        <w:rPr>
          <w:lang w:val="en-GB"/>
        </w:rPr>
        <w:t>find</w:t>
      </w:r>
      <w:r w:rsidR="001C7C7E">
        <w:rPr>
          <w:lang w:val="en-GB"/>
        </w:rPr>
        <w:t xml:space="preserve"> </w:t>
      </w:r>
      <w:r w:rsidRPr="008C5A7A">
        <w:rPr>
          <w:lang w:val="en-GB"/>
        </w:rPr>
        <w:t>further</w:t>
      </w:r>
      <w:r w:rsidR="001C7C7E">
        <w:rPr>
          <w:lang w:val="en-GB"/>
        </w:rPr>
        <w:t xml:space="preserve"> </w:t>
      </w:r>
      <w:r w:rsidRPr="008C5A7A">
        <w:rPr>
          <w:lang w:val="en-GB"/>
        </w:rPr>
        <w:t>attractive</w:t>
      </w:r>
      <w:r w:rsidR="001C7C7E">
        <w:rPr>
          <w:lang w:val="en-GB"/>
        </w:rPr>
        <w:t xml:space="preserve"> </w:t>
      </w:r>
      <w:r w:rsidRPr="008C5A7A">
        <w:rPr>
          <w:lang w:val="en-GB"/>
        </w:rPr>
        <w:t>acquisition</w:t>
      </w:r>
      <w:r w:rsidR="001C7C7E">
        <w:rPr>
          <w:lang w:val="en-GB"/>
        </w:rPr>
        <w:t xml:space="preserve"> </w:t>
      </w:r>
      <w:r w:rsidRPr="008C5A7A">
        <w:rPr>
          <w:lang w:val="en-GB"/>
        </w:rPr>
        <w:t>opportunities.</w:t>
      </w:r>
      <w:r w:rsidR="001C7C7E">
        <w:rPr>
          <w:lang w:val="en-GB"/>
        </w:rPr>
        <w:t xml:space="preserve"> </w:t>
      </w:r>
      <w:r w:rsidRPr="008C5A7A">
        <w:rPr>
          <w:lang w:val="en-GB"/>
        </w:rPr>
        <w:t>Overall,</w:t>
      </w:r>
      <w:r w:rsidR="001C7C7E">
        <w:rPr>
          <w:lang w:val="en-GB"/>
        </w:rPr>
        <w:t xml:space="preserve"> </w:t>
      </w:r>
      <w:r w:rsidRPr="008C5A7A">
        <w:rPr>
          <w:lang w:val="en-GB"/>
        </w:rPr>
        <w:t>we</w:t>
      </w:r>
      <w:r w:rsidR="001C7C7E">
        <w:rPr>
          <w:lang w:val="en-GB"/>
        </w:rPr>
        <w:t xml:space="preserve"> </w:t>
      </w:r>
      <w:r w:rsidRPr="008C5A7A">
        <w:rPr>
          <w:lang w:val="en-GB"/>
        </w:rPr>
        <w:t>see</w:t>
      </w:r>
      <w:r w:rsidR="001C7C7E">
        <w:rPr>
          <w:lang w:val="en-GB"/>
        </w:rPr>
        <w:t xml:space="preserve"> </w:t>
      </w:r>
      <w:r w:rsidRPr="008C5A7A">
        <w:rPr>
          <w:lang w:val="en-GB"/>
        </w:rPr>
        <w:t>the</w:t>
      </w:r>
      <w:r w:rsidR="001C7C7E">
        <w:rPr>
          <w:lang w:val="en-GB"/>
        </w:rPr>
        <w:t xml:space="preserve"> </w:t>
      </w:r>
      <w:r w:rsidRPr="008C5A7A">
        <w:rPr>
          <w:lang w:val="en-GB"/>
        </w:rPr>
        <w:t>company</w:t>
      </w:r>
      <w:r w:rsidR="001C7C7E">
        <w:rPr>
          <w:lang w:val="en-GB"/>
        </w:rPr>
        <w:t xml:space="preserve"> </w:t>
      </w:r>
      <w:r w:rsidRPr="008C5A7A">
        <w:rPr>
          <w:lang w:val="en-GB"/>
        </w:rPr>
        <w:t>as</w:t>
      </w:r>
      <w:r w:rsidR="001C7C7E">
        <w:rPr>
          <w:lang w:val="en-GB"/>
        </w:rPr>
        <w:t xml:space="preserve"> </w:t>
      </w:r>
      <w:r w:rsidRPr="008C5A7A">
        <w:rPr>
          <w:lang w:val="en-GB"/>
        </w:rPr>
        <w:t>being</w:t>
      </w:r>
      <w:r w:rsidR="001C7C7E">
        <w:rPr>
          <w:lang w:val="en-GB"/>
        </w:rPr>
        <w:t xml:space="preserve"> </w:t>
      </w:r>
      <w:r w:rsidRPr="008C5A7A">
        <w:rPr>
          <w:lang w:val="en-GB"/>
        </w:rPr>
        <w:t>one</w:t>
      </w:r>
      <w:r w:rsidR="001C7C7E">
        <w:rPr>
          <w:lang w:val="en-GB"/>
        </w:rPr>
        <w:t xml:space="preserve"> </w:t>
      </w:r>
      <w:r w:rsidRPr="008C5A7A">
        <w:rPr>
          <w:lang w:val="en-GB"/>
        </w:rPr>
        <w:t>to</w:t>
      </w:r>
      <w:r w:rsidR="001C7C7E">
        <w:rPr>
          <w:lang w:val="en-GB"/>
        </w:rPr>
        <w:t xml:space="preserve"> </w:t>
      </w:r>
      <w:r w:rsidRPr="008C5A7A">
        <w:rPr>
          <w:lang w:val="en-GB"/>
        </w:rPr>
        <w:t>watch,</w:t>
      </w:r>
      <w:r w:rsidR="001C7C7E">
        <w:rPr>
          <w:lang w:val="en-GB"/>
        </w:rPr>
        <w:t xml:space="preserve"> </w:t>
      </w:r>
      <w:r w:rsidRPr="008C5A7A">
        <w:rPr>
          <w:lang w:val="en-GB"/>
        </w:rPr>
        <w:t>but</w:t>
      </w:r>
      <w:r w:rsidR="001C7C7E">
        <w:rPr>
          <w:lang w:val="en-GB"/>
        </w:rPr>
        <w:t xml:space="preserve"> </w:t>
      </w:r>
      <w:r w:rsidRPr="008C5A7A">
        <w:rPr>
          <w:lang w:val="en-GB"/>
        </w:rPr>
        <w:t>we</w:t>
      </w:r>
      <w:r w:rsidR="001C7C7E">
        <w:rPr>
          <w:lang w:val="en-GB"/>
        </w:rPr>
        <w:t xml:space="preserve"> </w:t>
      </w:r>
      <w:r w:rsidRPr="008C5A7A">
        <w:rPr>
          <w:lang w:val="en-GB"/>
        </w:rPr>
        <w:t>remain</w:t>
      </w:r>
      <w:r w:rsidR="001C7C7E">
        <w:rPr>
          <w:lang w:val="en-GB"/>
        </w:rPr>
        <w:t xml:space="preserve"> </w:t>
      </w:r>
      <w:r w:rsidRPr="008C5A7A">
        <w:rPr>
          <w:lang w:val="en-GB"/>
        </w:rPr>
        <w:t>Neutral</w:t>
      </w:r>
      <w:r w:rsidR="001C7C7E">
        <w:rPr>
          <w:lang w:val="en-GB"/>
        </w:rPr>
        <w:t xml:space="preserve"> </w:t>
      </w:r>
      <w:r w:rsidRPr="008C5A7A">
        <w:rPr>
          <w:lang w:val="en-GB"/>
        </w:rPr>
        <w:t>for</w:t>
      </w:r>
      <w:r w:rsidR="001C7C7E">
        <w:rPr>
          <w:lang w:val="en-GB"/>
        </w:rPr>
        <w:t xml:space="preserve"> </w:t>
      </w:r>
      <w:r w:rsidRPr="008C5A7A">
        <w:rPr>
          <w:lang w:val="en-GB"/>
        </w:rPr>
        <w:t>now,</w:t>
      </w:r>
      <w:r w:rsidR="001C7C7E">
        <w:rPr>
          <w:lang w:val="en-GB"/>
        </w:rPr>
        <w:t xml:space="preserve"> </w:t>
      </w:r>
      <w:r w:rsidRPr="008C5A7A">
        <w:rPr>
          <w:lang w:val="en-GB"/>
        </w:rPr>
        <w:t>relative</w:t>
      </w:r>
      <w:r w:rsidR="001C7C7E">
        <w:rPr>
          <w:lang w:val="en-GB"/>
        </w:rPr>
        <w:t xml:space="preserve"> </w:t>
      </w:r>
      <w:r w:rsidRPr="008C5A7A">
        <w:rPr>
          <w:lang w:val="en-GB"/>
        </w:rPr>
        <w:t>upside</w:t>
      </w:r>
      <w:r w:rsidR="001C7C7E">
        <w:rPr>
          <w:lang w:val="en-GB"/>
        </w:rPr>
        <w:t xml:space="preserve"> </w:t>
      </w:r>
      <w:r w:rsidRPr="008C5A7A">
        <w:rPr>
          <w:lang w:val="en-GB"/>
        </w:rPr>
        <w:t>and</w:t>
      </w:r>
      <w:r w:rsidR="001C7C7E">
        <w:rPr>
          <w:lang w:val="en-GB"/>
        </w:rPr>
        <w:t xml:space="preserve"> </w:t>
      </w:r>
      <w:r w:rsidRPr="008C5A7A">
        <w:rPr>
          <w:lang w:val="en-GB"/>
        </w:rPr>
        <w:t>limited</w:t>
      </w:r>
      <w:r w:rsidR="001C7C7E">
        <w:rPr>
          <w:lang w:val="en-GB"/>
        </w:rPr>
        <w:t xml:space="preserve"> </w:t>
      </w:r>
      <w:r w:rsidRPr="008C5A7A">
        <w:rPr>
          <w:lang w:val="en-GB"/>
        </w:rPr>
        <w:t>near-term</w:t>
      </w:r>
      <w:r w:rsidR="001C7C7E">
        <w:rPr>
          <w:lang w:val="en-GB"/>
        </w:rPr>
        <w:t xml:space="preserve"> </w:t>
      </w:r>
      <w:r w:rsidRPr="008C5A7A">
        <w:rPr>
          <w:lang w:val="en-GB"/>
        </w:rPr>
        <w:t>catalysts.</w:t>
      </w:r>
      <w:r w:rsidR="001C7C7E">
        <w:rPr>
          <w:lang w:val="en-GB"/>
        </w:rPr>
        <w:t xml:space="preserve"> </w:t>
      </w:r>
      <w:r w:rsidRPr="008C5A7A">
        <w:rPr>
          <w:lang w:val="en-GB"/>
        </w:rPr>
        <w:t>To</w:t>
      </w:r>
      <w:r w:rsidR="001C7C7E">
        <w:rPr>
          <w:lang w:val="en-GB"/>
        </w:rPr>
        <w:t xml:space="preserve"> </w:t>
      </w:r>
      <w:r w:rsidRPr="008C5A7A">
        <w:rPr>
          <w:lang w:val="en-GB"/>
        </w:rPr>
        <w:t>continue</w:t>
      </w:r>
      <w:r w:rsidR="001C7C7E">
        <w:rPr>
          <w:lang w:val="en-GB"/>
        </w:rPr>
        <w:t xml:space="preserve"> </w:t>
      </w:r>
      <w:r w:rsidRPr="008C5A7A">
        <w:rPr>
          <w:lang w:val="en-GB"/>
        </w:rPr>
        <w:t>reading,</w:t>
      </w:r>
      <w:r w:rsidR="001C7C7E">
        <w:rPr>
          <w:lang w:val="en-GB"/>
        </w:rPr>
        <w:t xml:space="preserve"> </w:t>
      </w:r>
      <w:r w:rsidRPr="008C5A7A">
        <w:rPr>
          <w:lang w:val="en-GB"/>
        </w:rPr>
        <w:t>please</w:t>
      </w:r>
      <w:r w:rsidR="001C7C7E">
        <w:rPr>
          <w:lang w:val="en-GB"/>
        </w:rPr>
        <w:t xml:space="preserve"> </w:t>
      </w:r>
      <w:hyperlink r:id="rId22"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p>
    <w:p w:rsidR="002E187C" w:rsidRPr="008C5A7A" w:rsidRDefault="002E187C" w:rsidP="00183A10">
      <w:pPr>
        <w:pStyle w:val="FPBullet"/>
        <w:rPr>
          <w:lang w:val="en-GB"/>
        </w:rPr>
      </w:pPr>
      <w:r w:rsidRPr="008C5A7A">
        <w:rPr>
          <w:b/>
          <w:bCs/>
          <w:color w:val="000000"/>
          <w:lang w:val="en-GB"/>
        </w:rPr>
        <w:t>Recent</w:t>
      </w:r>
      <w:r w:rsidR="001C7C7E">
        <w:rPr>
          <w:b/>
          <w:bCs/>
          <w:color w:val="000000"/>
          <w:lang w:val="en-GB"/>
        </w:rPr>
        <w:t xml:space="preserve"> </w:t>
      </w:r>
      <w:r w:rsidRPr="008C5A7A">
        <w:rPr>
          <w:b/>
          <w:bCs/>
          <w:color w:val="000000"/>
          <w:lang w:val="en-GB"/>
        </w:rPr>
        <w:t>note:</w:t>
      </w:r>
      <w:r w:rsidR="001C7C7E">
        <w:rPr>
          <w:b/>
          <w:bCs/>
          <w:color w:val="000000"/>
          <w:lang w:val="en-GB"/>
        </w:rPr>
        <w:t xml:space="preserve"> </w:t>
      </w:r>
      <w:r w:rsidRPr="008C5A7A">
        <w:rPr>
          <w:b/>
          <w:bCs/>
          <w:color w:val="000000"/>
          <w:lang w:val="en-GB"/>
        </w:rPr>
        <w:t>Property:</w:t>
      </w:r>
      <w:r w:rsidR="001C7C7E">
        <w:rPr>
          <w:b/>
          <w:bCs/>
          <w:color w:val="000000"/>
          <w:lang w:val="en-GB"/>
        </w:rPr>
        <w:t xml:space="preserve"> </w:t>
      </w:r>
      <w:r w:rsidRPr="008C5A7A">
        <w:rPr>
          <w:b/>
          <w:bCs/>
          <w:color w:val="000000"/>
          <w:lang w:val="en-GB"/>
        </w:rPr>
        <w:t>Dining</w:t>
      </w:r>
      <w:r w:rsidR="001C7C7E">
        <w:rPr>
          <w:b/>
          <w:bCs/>
          <w:color w:val="000000"/>
          <w:lang w:val="en-GB"/>
        </w:rPr>
        <w:t xml:space="preserve"> </w:t>
      </w:r>
      <w:r w:rsidRPr="008C5A7A">
        <w:rPr>
          <w:b/>
          <w:bCs/>
          <w:color w:val="000000"/>
          <w:lang w:val="en-GB"/>
        </w:rPr>
        <w:t>out</w:t>
      </w:r>
      <w:r w:rsidR="001C7C7E">
        <w:rPr>
          <w:b/>
          <w:bCs/>
          <w:color w:val="000000"/>
          <w:lang w:val="en-GB"/>
        </w:rPr>
        <w:t xml:space="preserve"> </w:t>
      </w:r>
      <w:r w:rsidRPr="008C5A7A">
        <w:rPr>
          <w:b/>
          <w:bCs/>
          <w:color w:val="000000"/>
          <w:lang w:val="en-GB"/>
        </w:rPr>
        <w:t>on</w:t>
      </w:r>
      <w:r w:rsidR="001C7C7E">
        <w:rPr>
          <w:b/>
          <w:bCs/>
          <w:color w:val="000000"/>
          <w:lang w:val="en-GB"/>
        </w:rPr>
        <w:t xml:space="preserve"> </w:t>
      </w:r>
      <w:r w:rsidRPr="008C5A7A">
        <w:rPr>
          <w:b/>
          <w:bCs/>
          <w:color w:val="000000"/>
          <w:lang w:val="en-GB"/>
        </w:rPr>
        <w:t>European</w:t>
      </w:r>
      <w:r w:rsidR="001C7C7E">
        <w:rPr>
          <w:b/>
          <w:bCs/>
          <w:color w:val="000000"/>
          <w:lang w:val="en-GB"/>
        </w:rPr>
        <w:t xml:space="preserve"> </w:t>
      </w:r>
      <w:r w:rsidRPr="008C5A7A">
        <w:rPr>
          <w:b/>
          <w:bCs/>
          <w:color w:val="000000"/>
          <w:lang w:val="en-GB"/>
        </w:rPr>
        <w:t>Retail.</w:t>
      </w:r>
      <w:r w:rsidR="001C7C7E">
        <w:rPr>
          <w:color w:val="000000"/>
          <w:lang w:val="en-GB"/>
        </w:rPr>
        <w:t xml:space="preserve"> </w:t>
      </w:r>
      <w:r w:rsidRPr="008C5A7A">
        <w:rPr>
          <w:color w:val="000000"/>
          <w:lang w:val="en-GB"/>
        </w:rPr>
        <w:t>European</w:t>
      </w:r>
      <w:r w:rsidR="001C7C7E">
        <w:rPr>
          <w:color w:val="000000"/>
          <w:lang w:val="en-GB"/>
        </w:rPr>
        <w:t xml:space="preserve"> </w:t>
      </w:r>
      <w:r w:rsidRPr="008C5A7A">
        <w:rPr>
          <w:color w:val="000000"/>
          <w:lang w:val="en-GB"/>
        </w:rPr>
        <w:t>retail</w:t>
      </w:r>
      <w:r w:rsidR="001C7C7E">
        <w:rPr>
          <w:color w:val="000000"/>
          <w:lang w:val="en-GB"/>
        </w:rPr>
        <w:t xml:space="preserve"> </w:t>
      </w:r>
      <w:r w:rsidRPr="008C5A7A">
        <w:rPr>
          <w:color w:val="000000"/>
          <w:lang w:val="en-GB"/>
        </w:rPr>
        <w:t>property</w:t>
      </w:r>
      <w:r w:rsidR="001C7C7E">
        <w:rPr>
          <w:color w:val="000000"/>
          <w:lang w:val="en-GB"/>
        </w:rPr>
        <w:t xml:space="preserve"> </w:t>
      </w:r>
      <w:r w:rsidRPr="008C5A7A">
        <w:rPr>
          <w:color w:val="000000"/>
          <w:lang w:val="en-GB"/>
        </w:rPr>
        <w:t>companies</w:t>
      </w:r>
      <w:r w:rsidR="001C7C7E">
        <w:rPr>
          <w:color w:val="000000"/>
          <w:lang w:val="en-GB"/>
        </w:rPr>
        <w:t xml:space="preserve"> </w:t>
      </w:r>
      <w:r w:rsidRPr="008C5A7A">
        <w:rPr>
          <w:color w:val="000000"/>
          <w:lang w:val="en-GB"/>
        </w:rPr>
        <w:t>are</w:t>
      </w:r>
      <w:r w:rsidR="001C7C7E">
        <w:rPr>
          <w:color w:val="000000"/>
          <w:lang w:val="en-GB"/>
        </w:rPr>
        <w:t xml:space="preserve"> </w:t>
      </w:r>
      <w:r w:rsidRPr="008C5A7A">
        <w:rPr>
          <w:color w:val="000000"/>
          <w:lang w:val="en-GB"/>
        </w:rPr>
        <w:t>responding</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demand</w:t>
      </w:r>
      <w:r w:rsidR="001C7C7E">
        <w:rPr>
          <w:color w:val="000000"/>
          <w:lang w:val="en-GB"/>
        </w:rPr>
        <w:t xml:space="preserve"> </w:t>
      </w:r>
      <w:r w:rsidRPr="008C5A7A">
        <w:rPr>
          <w:color w:val="000000"/>
          <w:lang w:val="en-GB"/>
        </w:rPr>
        <w:t>for</w:t>
      </w:r>
      <w:r w:rsidR="001C7C7E">
        <w:rPr>
          <w:color w:val="000000"/>
          <w:lang w:val="en-GB"/>
        </w:rPr>
        <w:t xml:space="preserve"> </w:t>
      </w:r>
      <w:r w:rsidRPr="008C5A7A">
        <w:rPr>
          <w:color w:val="000000"/>
          <w:lang w:val="en-GB"/>
        </w:rPr>
        <w:t>an</w:t>
      </w:r>
      <w:r w:rsidR="001C7C7E">
        <w:rPr>
          <w:color w:val="000000"/>
          <w:lang w:val="en-GB"/>
        </w:rPr>
        <w:t xml:space="preserve"> </w:t>
      </w:r>
      <w:r w:rsidRPr="008C5A7A">
        <w:rPr>
          <w:color w:val="000000"/>
          <w:lang w:val="en-GB"/>
        </w:rPr>
        <w:t>enhanced</w:t>
      </w:r>
      <w:r w:rsidR="001C7C7E">
        <w:rPr>
          <w:color w:val="000000"/>
          <w:lang w:val="en-GB"/>
        </w:rPr>
        <w:t xml:space="preserve"> </w:t>
      </w:r>
      <w:r w:rsidRPr="008C5A7A">
        <w:rPr>
          <w:color w:val="000000"/>
          <w:lang w:val="en-GB"/>
        </w:rPr>
        <w:t>Leisure</w:t>
      </w:r>
      <w:r w:rsidR="001C7C7E">
        <w:rPr>
          <w:color w:val="000000"/>
          <w:lang w:val="en-GB"/>
        </w:rPr>
        <w:t xml:space="preserve"> </w:t>
      </w:r>
      <w:r w:rsidRPr="008C5A7A">
        <w:rPr>
          <w:color w:val="000000"/>
          <w:lang w:val="en-GB"/>
        </w:rPr>
        <w:t>experience</w:t>
      </w:r>
      <w:r w:rsidR="001C7C7E">
        <w:rPr>
          <w:color w:val="000000"/>
          <w:lang w:val="en-GB"/>
        </w:rPr>
        <w:t xml:space="preserve"> </w:t>
      </w:r>
      <w:r w:rsidRPr="008C5A7A">
        <w:rPr>
          <w:color w:val="000000"/>
          <w:lang w:val="en-GB"/>
        </w:rPr>
        <w:t>in</w:t>
      </w:r>
      <w:r w:rsidR="001C7C7E">
        <w:rPr>
          <w:color w:val="000000"/>
          <w:lang w:val="en-GB"/>
        </w:rPr>
        <w:t xml:space="preserve"> </w:t>
      </w:r>
      <w:r w:rsidRPr="008C5A7A">
        <w:rPr>
          <w:color w:val="000000"/>
          <w:lang w:val="en-GB"/>
        </w:rPr>
        <w:t>shopping</w:t>
      </w:r>
      <w:r w:rsidR="001C7C7E">
        <w:rPr>
          <w:color w:val="000000"/>
          <w:lang w:val="en-GB"/>
        </w:rPr>
        <w:t xml:space="preserve"> </w:t>
      </w:r>
      <w:r w:rsidRPr="008C5A7A">
        <w:rPr>
          <w:color w:val="000000"/>
          <w:lang w:val="en-GB"/>
        </w:rPr>
        <w:t>centres.</w:t>
      </w:r>
      <w:r w:rsidR="001C7C7E">
        <w:rPr>
          <w:color w:val="000000"/>
          <w:lang w:val="en-GB"/>
        </w:rPr>
        <w:t xml:space="preserve"> </w:t>
      </w:r>
      <w:r w:rsidRPr="008C5A7A">
        <w:rPr>
          <w:color w:val="000000"/>
          <w:lang w:val="en-GB"/>
        </w:rPr>
        <w:t>Compared</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newest</w:t>
      </w:r>
      <w:r w:rsidR="001C7C7E">
        <w:rPr>
          <w:color w:val="000000"/>
          <w:lang w:val="en-GB"/>
        </w:rPr>
        <w:t xml:space="preserve"> </w:t>
      </w:r>
      <w:r w:rsidRPr="008C5A7A">
        <w:rPr>
          <w:color w:val="000000"/>
          <w:lang w:val="en-GB"/>
        </w:rPr>
        <w:t>malls</w:t>
      </w:r>
      <w:r w:rsidR="001C7C7E">
        <w:rPr>
          <w:color w:val="000000"/>
          <w:lang w:val="en-GB"/>
        </w:rPr>
        <w:t xml:space="preserve"> </w:t>
      </w:r>
      <w:r w:rsidRPr="008C5A7A">
        <w:rPr>
          <w:color w:val="000000"/>
          <w:lang w:val="en-GB"/>
        </w:rPr>
        <w:t>being</w:t>
      </w:r>
      <w:r w:rsidR="001C7C7E">
        <w:rPr>
          <w:color w:val="000000"/>
          <w:lang w:val="en-GB"/>
        </w:rPr>
        <w:t xml:space="preserve"> </w:t>
      </w:r>
      <w:r w:rsidRPr="008C5A7A">
        <w:rPr>
          <w:color w:val="000000"/>
          <w:lang w:val="en-GB"/>
        </w:rPr>
        <w:t>opened,</w:t>
      </w:r>
      <w:r w:rsidR="001C7C7E">
        <w:rPr>
          <w:color w:val="000000"/>
          <w:lang w:val="en-GB"/>
        </w:rPr>
        <w:t xml:space="preserve"> </w:t>
      </w:r>
      <w:r w:rsidRPr="008C5A7A">
        <w:rPr>
          <w:color w:val="000000"/>
          <w:lang w:val="en-GB"/>
        </w:rPr>
        <w:t>where</w:t>
      </w:r>
      <w:r w:rsidR="001C7C7E">
        <w:rPr>
          <w:color w:val="000000"/>
          <w:lang w:val="en-GB"/>
        </w:rPr>
        <w:t xml:space="preserve"> </w:t>
      </w:r>
      <w:r w:rsidRPr="008C5A7A">
        <w:rPr>
          <w:color w:val="000000"/>
          <w:lang w:val="en-GB"/>
        </w:rPr>
        <w:t>c.</w:t>
      </w:r>
      <w:r w:rsidR="001C7C7E">
        <w:rPr>
          <w:color w:val="000000"/>
          <w:lang w:val="en-GB"/>
        </w:rPr>
        <w:t xml:space="preserve"> </w:t>
      </w:r>
      <w:r w:rsidRPr="008C5A7A">
        <w:rPr>
          <w:color w:val="000000"/>
          <w:lang w:val="en-GB"/>
        </w:rPr>
        <w:t>20-25%</w:t>
      </w:r>
      <w:r w:rsidR="001C7C7E">
        <w:rPr>
          <w:color w:val="000000"/>
          <w:lang w:val="en-GB"/>
        </w:rPr>
        <w:t xml:space="preserve"> </w:t>
      </w:r>
      <w:r w:rsidRPr="008C5A7A">
        <w:rPr>
          <w:color w:val="000000"/>
          <w:lang w:val="en-GB"/>
        </w:rPr>
        <w:t>of</w:t>
      </w:r>
      <w:r w:rsidR="001C7C7E">
        <w:rPr>
          <w:color w:val="000000"/>
          <w:lang w:val="en-GB"/>
        </w:rPr>
        <w:t xml:space="preserve"> </w:t>
      </w:r>
      <w:r w:rsidRPr="008C5A7A">
        <w:rPr>
          <w:color w:val="000000"/>
          <w:lang w:val="en-GB"/>
        </w:rPr>
        <w:t>space</w:t>
      </w:r>
      <w:r w:rsidR="001C7C7E">
        <w:rPr>
          <w:color w:val="000000"/>
          <w:lang w:val="en-GB"/>
        </w:rPr>
        <w:t xml:space="preserve"> </w:t>
      </w:r>
      <w:r w:rsidRPr="008C5A7A">
        <w:rPr>
          <w:color w:val="000000"/>
          <w:lang w:val="en-GB"/>
        </w:rPr>
        <w:t>is</w:t>
      </w:r>
      <w:r w:rsidR="001C7C7E">
        <w:rPr>
          <w:color w:val="000000"/>
          <w:lang w:val="en-GB"/>
        </w:rPr>
        <w:t xml:space="preserve"> </w:t>
      </w:r>
      <w:r w:rsidRPr="008C5A7A">
        <w:rPr>
          <w:color w:val="000000"/>
          <w:lang w:val="en-GB"/>
        </w:rPr>
        <w:t>Food</w:t>
      </w:r>
      <w:r w:rsidR="001C7C7E">
        <w:rPr>
          <w:color w:val="000000"/>
          <w:lang w:val="en-GB"/>
        </w:rPr>
        <w:t xml:space="preserve"> </w:t>
      </w:r>
      <w:r w:rsidRPr="008C5A7A">
        <w:rPr>
          <w:color w:val="000000"/>
          <w:lang w:val="en-GB"/>
        </w:rPr>
        <w:t>&amp;</w:t>
      </w:r>
      <w:r w:rsidR="001C7C7E">
        <w:rPr>
          <w:color w:val="000000"/>
          <w:lang w:val="en-GB"/>
        </w:rPr>
        <w:t xml:space="preserve"> </w:t>
      </w:r>
      <w:r w:rsidRPr="008C5A7A">
        <w:rPr>
          <w:color w:val="000000"/>
          <w:lang w:val="en-GB"/>
        </w:rPr>
        <w:t>Leisure,</w:t>
      </w:r>
      <w:r w:rsidR="001C7C7E">
        <w:rPr>
          <w:color w:val="000000"/>
          <w:lang w:val="en-GB"/>
        </w:rPr>
        <w:t xml:space="preserve"> </w:t>
      </w:r>
      <w:r w:rsidRPr="008C5A7A">
        <w:rPr>
          <w:color w:val="000000"/>
          <w:lang w:val="en-GB"/>
        </w:rPr>
        <w:t>listed</w:t>
      </w:r>
      <w:r w:rsidR="001C7C7E">
        <w:rPr>
          <w:color w:val="000000"/>
          <w:lang w:val="en-GB"/>
        </w:rPr>
        <w:t xml:space="preserve"> </w:t>
      </w:r>
      <w:r w:rsidRPr="008C5A7A">
        <w:rPr>
          <w:color w:val="000000"/>
          <w:lang w:val="en-GB"/>
        </w:rPr>
        <w:t>portfolios</w:t>
      </w:r>
      <w:r w:rsidR="001C7C7E">
        <w:rPr>
          <w:color w:val="000000"/>
          <w:lang w:val="en-GB"/>
        </w:rPr>
        <w:t xml:space="preserve"> </w:t>
      </w:r>
      <w:r w:rsidRPr="008C5A7A">
        <w:rPr>
          <w:color w:val="000000"/>
          <w:lang w:val="en-GB"/>
        </w:rPr>
        <w:t>are</w:t>
      </w:r>
      <w:r w:rsidR="001C7C7E">
        <w:rPr>
          <w:color w:val="000000"/>
          <w:lang w:val="en-GB"/>
        </w:rPr>
        <w:t xml:space="preserve"> </w:t>
      </w:r>
      <w:r w:rsidRPr="008C5A7A">
        <w:rPr>
          <w:color w:val="000000"/>
          <w:lang w:val="en-GB"/>
        </w:rPr>
        <w:t>generally</w:t>
      </w:r>
      <w:r w:rsidR="001C7C7E">
        <w:rPr>
          <w:color w:val="000000"/>
          <w:lang w:val="en-GB"/>
        </w:rPr>
        <w:t xml:space="preserve"> </w:t>
      </w:r>
      <w:r w:rsidRPr="008C5A7A">
        <w:rPr>
          <w:color w:val="000000"/>
          <w:lang w:val="en-GB"/>
        </w:rPr>
        <w:t>undersupplied</w:t>
      </w:r>
      <w:r w:rsidR="001C7C7E">
        <w:rPr>
          <w:color w:val="000000"/>
          <w:lang w:val="en-GB"/>
        </w:rPr>
        <w:t xml:space="preserve"> </w:t>
      </w:r>
      <w:r w:rsidRPr="008C5A7A">
        <w:rPr>
          <w:color w:val="000000"/>
          <w:lang w:val="en-GB"/>
        </w:rPr>
        <w:t>(average:</w:t>
      </w:r>
      <w:r w:rsidR="001C7C7E">
        <w:rPr>
          <w:color w:val="000000"/>
          <w:lang w:val="en-GB"/>
        </w:rPr>
        <w:t xml:space="preserve"> </w:t>
      </w:r>
      <w:r w:rsidRPr="008C5A7A">
        <w:rPr>
          <w:color w:val="000000"/>
          <w:lang w:val="en-GB"/>
        </w:rPr>
        <w:t>10%),</w:t>
      </w:r>
      <w:r w:rsidR="001C7C7E">
        <w:rPr>
          <w:color w:val="000000"/>
          <w:lang w:val="en-GB"/>
        </w:rPr>
        <w:t xml:space="preserve"> </w:t>
      </w:r>
      <w:r w:rsidRPr="008C5A7A">
        <w:rPr>
          <w:color w:val="000000"/>
          <w:lang w:val="en-GB"/>
        </w:rPr>
        <w:t>but</w:t>
      </w:r>
      <w:r w:rsidR="001C7C7E">
        <w:rPr>
          <w:color w:val="000000"/>
          <w:lang w:val="en-GB"/>
        </w:rPr>
        <w:t xml:space="preserve"> </w:t>
      </w:r>
      <w:r w:rsidRPr="008C5A7A">
        <w:rPr>
          <w:color w:val="000000"/>
          <w:lang w:val="en-GB"/>
        </w:rPr>
        <w:t>this</w:t>
      </w:r>
      <w:r w:rsidR="001C7C7E">
        <w:rPr>
          <w:color w:val="000000"/>
          <w:lang w:val="en-GB"/>
        </w:rPr>
        <w:t xml:space="preserve"> </w:t>
      </w:r>
      <w:r w:rsidRPr="008C5A7A">
        <w:rPr>
          <w:color w:val="000000"/>
          <w:lang w:val="en-GB"/>
        </w:rPr>
        <w:t>is</w:t>
      </w:r>
      <w:r w:rsidR="001C7C7E">
        <w:rPr>
          <w:color w:val="000000"/>
          <w:lang w:val="en-GB"/>
        </w:rPr>
        <w:t xml:space="preserve"> </w:t>
      </w:r>
      <w:r w:rsidRPr="008C5A7A">
        <w:rPr>
          <w:color w:val="000000"/>
          <w:lang w:val="en-GB"/>
        </w:rPr>
        <w:t>being</w:t>
      </w:r>
      <w:r w:rsidR="001C7C7E">
        <w:rPr>
          <w:color w:val="000000"/>
          <w:lang w:val="en-GB"/>
        </w:rPr>
        <w:t xml:space="preserve"> </w:t>
      </w:r>
      <w:r w:rsidRPr="008C5A7A">
        <w:rPr>
          <w:color w:val="000000"/>
          <w:lang w:val="en-GB"/>
        </w:rPr>
        <w:t>addressed</w:t>
      </w:r>
      <w:r w:rsidR="001C7C7E">
        <w:rPr>
          <w:color w:val="000000"/>
          <w:lang w:val="en-GB"/>
        </w:rPr>
        <w:t xml:space="preserve"> </w:t>
      </w:r>
      <w:r w:rsidRPr="008C5A7A">
        <w:rPr>
          <w:color w:val="000000"/>
          <w:lang w:val="en-GB"/>
        </w:rPr>
        <w:t>in</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development</w:t>
      </w:r>
      <w:r w:rsidR="001C7C7E">
        <w:rPr>
          <w:color w:val="000000"/>
          <w:lang w:val="en-GB"/>
        </w:rPr>
        <w:t xml:space="preserve"> </w:t>
      </w:r>
      <w:r w:rsidRPr="008C5A7A">
        <w:rPr>
          <w:color w:val="000000"/>
          <w:lang w:val="en-GB"/>
        </w:rPr>
        <w:t>pipelines.</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current</w:t>
      </w:r>
      <w:r w:rsidR="001C7C7E">
        <w:rPr>
          <w:color w:val="000000"/>
          <w:lang w:val="en-GB"/>
        </w:rPr>
        <w:t xml:space="preserve"> </w:t>
      </w:r>
      <w:r w:rsidRPr="008C5A7A">
        <w:rPr>
          <w:color w:val="000000"/>
          <w:lang w:val="en-GB"/>
        </w:rPr>
        <w:t>leaders</w:t>
      </w:r>
      <w:r w:rsidR="001C7C7E">
        <w:rPr>
          <w:color w:val="000000"/>
          <w:lang w:val="en-GB"/>
        </w:rPr>
        <w:t xml:space="preserve"> </w:t>
      </w:r>
      <w:r w:rsidRPr="008C5A7A">
        <w:rPr>
          <w:color w:val="000000"/>
          <w:lang w:val="en-GB"/>
        </w:rPr>
        <w:t>are</w:t>
      </w:r>
      <w:r w:rsidR="001C7C7E">
        <w:rPr>
          <w:color w:val="000000"/>
          <w:lang w:val="en-GB"/>
        </w:rPr>
        <w:t xml:space="preserve"> </w:t>
      </w:r>
      <w:r w:rsidRPr="008C5A7A">
        <w:rPr>
          <w:color w:val="000000"/>
          <w:lang w:val="en-GB"/>
        </w:rPr>
        <w:t>Land</w:t>
      </w:r>
      <w:r w:rsidR="001C7C7E">
        <w:rPr>
          <w:color w:val="000000"/>
          <w:lang w:val="en-GB"/>
        </w:rPr>
        <w:t xml:space="preserve"> </w:t>
      </w:r>
      <w:r w:rsidRPr="008C5A7A">
        <w:rPr>
          <w:color w:val="000000"/>
          <w:lang w:val="en-GB"/>
        </w:rPr>
        <w:t>Secs</w:t>
      </w:r>
      <w:r w:rsidR="001C7C7E">
        <w:rPr>
          <w:color w:val="000000"/>
          <w:lang w:val="en-GB"/>
        </w:rPr>
        <w:t xml:space="preserve"> </w:t>
      </w:r>
      <w:r w:rsidRPr="008C5A7A">
        <w:rPr>
          <w:color w:val="000000"/>
          <w:lang w:val="en-GB"/>
        </w:rPr>
        <w:t>(14%</w:t>
      </w:r>
      <w:r w:rsidR="001C7C7E">
        <w:rPr>
          <w:color w:val="000000"/>
          <w:lang w:val="en-GB"/>
        </w:rPr>
        <w:t xml:space="preserve"> </w:t>
      </w:r>
      <w:r w:rsidRPr="008C5A7A">
        <w:rPr>
          <w:color w:val="000000"/>
          <w:lang w:val="en-GB"/>
        </w:rPr>
        <w:t>of</w:t>
      </w:r>
      <w:r w:rsidR="001C7C7E">
        <w:rPr>
          <w:color w:val="000000"/>
          <w:lang w:val="en-GB"/>
        </w:rPr>
        <w:t xml:space="preserve"> </w:t>
      </w:r>
      <w:r w:rsidRPr="008C5A7A">
        <w:rPr>
          <w:color w:val="000000"/>
          <w:lang w:val="en-GB"/>
        </w:rPr>
        <w:t>portfolio)</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Unibail</w:t>
      </w:r>
      <w:r w:rsidR="001C7C7E">
        <w:rPr>
          <w:color w:val="000000"/>
          <w:lang w:val="en-GB"/>
        </w:rPr>
        <w:t xml:space="preserve"> </w:t>
      </w:r>
      <w:r w:rsidRPr="008C5A7A">
        <w:rPr>
          <w:color w:val="000000"/>
          <w:lang w:val="en-GB"/>
        </w:rPr>
        <w:t>(15-20%),</w:t>
      </w:r>
      <w:r w:rsidR="001C7C7E">
        <w:rPr>
          <w:color w:val="000000"/>
          <w:lang w:val="en-GB"/>
        </w:rPr>
        <w:t xml:space="preserve"> </w:t>
      </w:r>
      <w:r w:rsidRPr="008C5A7A">
        <w:rPr>
          <w:color w:val="000000"/>
          <w:lang w:val="en-GB"/>
        </w:rPr>
        <w:t>while</w:t>
      </w:r>
      <w:r w:rsidR="001C7C7E">
        <w:rPr>
          <w:color w:val="000000"/>
          <w:lang w:val="en-GB"/>
        </w:rPr>
        <w:t xml:space="preserve"> </w:t>
      </w:r>
      <w:r w:rsidRPr="008C5A7A">
        <w:rPr>
          <w:color w:val="000000"/>
          <w:lang w:val="en-GB"/>
        </w:rPr>
        <w:t>Intu</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Hammerson</w:t>
      </w:r>
      <w:r w:rsidR="001C7C7E">
        <w:rPr>
          <w:color w:val="000000"/>
          <w:lang w:val="en-GB"/>
        </w:rPr>
        <w:t xml:space="preserve"> </w:t>
      </w:r>
      <w:r w:rsidRPr="008C5A7A">
        <w:rPr>
          <w:color w:val="000000"/>
          <w:lang w:val="en-GB"/>
        </w:rPr>
        <w:t>are</w:t>
      </w:r>
      <w:r w:rsidR="001C7C7E">
        <w:rPr>
          <w:color w:val="000000"/>
          <w:lang w:val="en-GB"/>
        </w:rPr>
        <w:t xml:space="preserve"> </w:t>
      </w:r>
      <w:r w:rsidRPr="008C5A7A">
        <w:rPr>
          <w:color w:val="000000"/>
          <w:lang w:val="en-GB"/>
        </w:rPr>
        <w:t>adding</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most</w:t>
      </w:r>
      <w:r w:rsidR="001C7C7E">
        <w:rPr>
          <w:color w:val="000000"/>
          <w:lang w:val="en-GB"/>
        </w:rPr>
        <w:t xml:space="preserve"> </w:t>
      </w:r>
      <w:r w:rsidRPr="008C5A7A">
        <w:rPr>
          <w:color w:val="000000"/>
          <w:lang w:val="en-GB"/>
        </w:rPr>
        <w:t>F&amp;L</w:t>
      </w:r>
      <w:r w:rsidR="001C7C7E">
        <w:rPr>
          <w:color w:val="000000"/>
          <w:lang w:val="en-GB"/>
        </w:rPr>
        <w:t xml:space="preserve"> </w:t>
      </w:r>
      <w:r w:rsidRPr="008C5A7A">
        <w:rPr>
          <w:color w:val="000000"/>
          <w:lang w:val="en-GB"/>
        </w:rPr>
        <w:t>space</w:t>
      </w:r>
      <w:r w:rsidR="001C7C7E">
        <w:rPr>
          <w:color w:val="000000"/>
          <w:lang w:val="en-GB"/>
        </w:rPr>
        <w:t xml:space="preserve"> </w:t>
      </w:r>
      <w:r w:rsidRPr="008C5A7A">
        <w:rPr>
          <w:color w:val="000000"/>
          <w:lang w:val="en-GB"/>
        </w:rPr>
        <w:t>(+80%</w:t>
      </w:r>
      <w:r w:rsidR="001C7C7E">
        <w:rPr>
          <w:color w:val="000000"/>
          <w:lang w:val="en-GB"/>
        </w:rPr>
        <w:t xml:space="preserve"> </w:t>
      </w:r>
      <w:r w:rsidRPr="008C5A7A">
        <w:rPr>
          <w:color w:val="000000"/>
          <w:lang w:val="en-GB"/>
        </w:rPr>
        <w:t>increase</w:t>
      </w:r>
      <w:r w:rsidR="001C7C7E">
        <w:rPr>
          <w:color w:val="000000"/>
          <w:lang w:val="en-GB"/>
        </w:rPr>
        <w:t xml:space="preserve"> </w:t>
      </w:r>
      <w:r w:rsidRPr="008C5A7A">
        <w:rPr>
          <w:color w:val="000000"/>
          <w:lang w:val="en-GB"/>
        </w:rPr>
        <w:t>in</w:t>
      </w:r>
      <w:r w:rsidR="001C7C7E">
        <w:rPr>
          <w:color w:val="000000"/>
          <w:lang w:val="en-GB"/>
        </w:rPr>
        <w:t xml:space="preserve"> </w:t>
      </w:r>
      <w:r w:rsidRPr="008C5A7A">
        <w:rPr>
          <w:color w:val="000000"/>
          <w:lang w:val="en-GB"/>
        </w:rPr>
        <w:t>F&amp;L</w:t>
      </w:r>
      <w:r w:rsidR="001C7C7E">
        <w:rPr>
          <w:color w:val="000000"/>
          <w:lang w:val="en-GB"/>
        </w:rPr>
        <w:t xml:space="preserve"> </w:t>
      </w:r>
      <w:r w:rsidRPr="008C5A7A">
        <w:rPr>
          <w:color w:val="000000"/>
          <w:lang w:val="en-GB"/>
        </w:rPr>
        <w:t>space).</w:t>
      </w:r>
      <w:r w:rsidR="001C7C7E">
        <w:rPr>
          <w:color w:val="000000"/>
          <w:lang w:val="en-GB"/>
        </w:rPr>
        <w:t xml:space="preserve"> </w:t>
      </w:r>
      <w:r w:rsidRPr="008C5A7A">
        <w:rPr>
          <w:color w:val="000000"/>
          <w:lang w:val="en-GB"/>
        </w:rPr>
        <w:t>We</w:t>
      </w:r>
      <w:r w:rsidR="001C7C7E">
        <w:rPr>
          <w:color w:val="000000"/>
          <w:lang w:val="en-GB"/>
        </w:rPr>
        <w:t xml:space="preserve"> </w:t>
      </w:r>
      <w:r w:rsidRPr="008C5A7A">
        <w:rPr>
          <w:color w:val="000000"/>
          <w:lang w:val="en-GB"/>
        </w:rPr>
        <w:t>find</w:t>
      </w:r>
      <w:r w:rsidR="001C7C7E">
        <w:rPr>
          <w:color w:val="000000"/>
          <w:lang w:val="en-GB"/>
        </w:rPr>
        <w:t xml:space="preserve"> </w:t>
      </w:r>
      <w:r w:rsidRPr="008C5A7A">
        <w:rPr>
          <w:color w:val="000000"/>
          <w:lang w:val="en-GB"/>
        </w:rPr>
        <w:t>adding</w:t>
      </w:r>
      <w:r w:rsidR="001C7C7E">
        <w:rPr>
          <w:color w:val="000000"/>
          <w:lang w:val="en-GB"/>
        </w:rPr>
        <w:t xml:space="preserve"> </w:t>
      </w:r>
      <w:r w:rsidRPr="008C5A7A">
        <w:rPr>
          <w:color w:val="000000"/>
          <w:lang w:val="en-GB"/>
        </w:rPr>
        <w:t>F&amp;L</w:t>
      </w:r>
      <w:r w:rsidR="001C7C7E">
        <w:rPr>
          <w:color w:val="000000"/>
          <w:lang w:val="en-GB"/>
        </w:rPr>
        <w:t xml:space="preserve"> </w:t>
      </w:r>
      <w:r w:rsidRPr="008C5A7A">
        <w:rPr>
          <w:color w:val="000000"/>
          <w:lang w:val="en-GB"/>
        </w:rPr>
        <w:t>space</w:t>
      </w:r>
      <w:r w:rsidR="001C7C7E">
        <w:rPr>
          <w:color w:val="000000"/>
          <w:lang w:val="en-GB"/>
        </w:rPr>
        <w:t xml:space="preserve"> </w:t>
      </w:r>
      <w:r w:rsidRPr="008C5A7A">
        <w:rPr>
          <w:color w:val="000000"/>
          <w:lang w:val="en-GB"/>
        </w:rPr>
        <w:t>can</w:t>
      </w:r>
      <w:r w:rsidR="001C7C7E">
        <w:rPr>
          <w:color w:val="000000"/>
          <w:lang w:val="en-GB"/>
        </w:rPr>
        <w:t xml:space="preserve"> </w:t>
      </w:r>
      <w:r w:rsidRPr="008C5A7A">
        <w:rPr>
          <w:color w:val="000000"/>
          <w:lang w:val="en-GB"/>
        </w:rPr>
        <w:t>boost</w:t>
      </w:r>
      <w:r w:rsidR="001C7C7E">
        <w:rPr>
          <w:color w:val="000000"/>
          <w:lang w:val="en-GB"/>
        </w:rPr>
        <w:t xml:space="preserve"> </w:t>
      </w:r>
      <w:r w:rsidRPr="008C5A7A">
        <w:rPr>
          <w:color w:val="000000"/>
          <w:lang w:val="en-GB"/>
        </w:rPr>
        <w:t>footfall,</w:t>
      </w:r>
      <w:r w:rsidR="001C7C7E">
        <w:rPr>
          <w:color w:val="000000"/>
          <w:lang w:val="en-GB"/>
        </w:rPr>
        <w:t xml:space="preserve"> </w:t>
      </w:r>
      <w:r w:rsidRPr="008C5A7A">
        <w:rPr>
          <w:color w:val="000000"/>
          <w:lang w:val="en-GB"/>
        </w:rPr>
        <w:t>dwell</w:t>
      </w:r>
      <w:r w:rsidR="001C7C7E">
        <w:rPr>
          <w:color w:val="000000"/>
          <w:lang w:val="en-GB"/>
        </w:rPr>
        <w:t xml:space="preserve"> </w:t>
      </w:r>
      <w:r w:rsidRPr="008C5A7A">
        <w:rPr>
          <w:color w:val="000000"/>
          <w:lang w:val="en-GB"/>
        </w:rPr>
        <w:t>times</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retail</w:t>
      </w:r>
      <w:r w:rsidR="001C7C7E">
        <w:rPr>
          <w:color w:val="000000"/>
          <w:lang w:val="en-GB"/>
        </w:rPr>
        <w:t xml:space="preserve"> </w:t>
      </w:r>
      <w:r w:rsidRPr="008C5A7A">
        <w:rPr>
          <w:color w:val="000000"/>
          <w:lang w:val="en-GB"/>
        </w:rPr>
        <w:t>spend,</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we</w:t>
      </w:r>
      <w:r w:rsidR="001C7C7E">
        <w:rPr>
          <w:color w:val="000000"/>
          <w:lang w:val="en-GB"/>
        </w:rPr>
        <w:t xml:space="preserve"> </w:t>
      </w:r>
      <w:r w:rsidRPr="008C5A7A">
        <w:rPr>
          <w:color w:val="000000"/>
          <w:lang w:val="en-GB"/>
        </w:rPr>
        <w:t>expect</w:t>
      </w:r>
      <w:r w:rsidR="001C7C7E">
        <w:rPr>
          <w:color w:val="000000"/>
          <w:lang w:val="en-GB"/>
        </w:rPr>
        <w:t xml:space="preserve"> </w:t>
      </w:r>
      <w:r w:rsidRPr="008C5A7A">
        <w:rPr>
          <w:color w:val="000000"/>
          <w:lang w:val="en-GB"/>
        </w:rPr>
        <w:t>this</w:t>
      </w:r>
      <w:r w:rsidR="001C7C7E">
        <w:rPr>
          <w:color w:val="000000"/>
          <w:lang w:val="en-GB"/>
        </w:rPr>
        <w:t xml:space="preserve"> </w:t>
      </w:r>
      <w:r w:rsidRPr="008C5A7A">
        <w:rPr>
          <w:color w:val="000000"/>
          <w:lang w:val="en-GB"/>
        </w:rPr>
        <w:t>trend</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continue.</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continue</w:t>
      </w:r>
      <w:r w:rsidR="001C7C7E">
        <w:rPr>
          <w:color w:val="000000"/>
          <w:lang w:val="en-GB"/>
        </w:rPr>
        <w:t xml:space="preserve"> </w:t>
      </w:r>
      <w:r w:rsidRPr="008C5A7A">
        <w:rPr>
          <w:color w:val="000000"/>
          <w:lang w:val="en-GB"/>
        </w:rPr>
        <w:t>reading,</w:t>
      </w:r>
      <w:r w:rsidR="001C7C7E">
        <w:rPr>
          <w:color w:val="000000"/>
          <w:lang w:val="en-GB"/>
        </w:rPr>
        <w:t xml:space="preserve"> </w:t>
      </w:r>
      <w:r w:rsidRPr="008C5A7A">
        <w:rPr>
          <w:color w:val="000000"/>
          <w:lang w:val="en-GB"/>
        </w:rPr>
        <w:t>please</w:t>
      </w:r>
      <w:r w:rsidR="001C7C7E">
        <w:rPr>
          <w:color w:val="000000"/>
          <w:lang w:val="en-GB"/>
        </w:rPr>
        <w:t xml:space="preserve"> </w:t>
      </w:r>
      <w:hyperlink r:id="rId23" w:tgtFrame="\_blank\"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color w:val="000000"/>
          <w:lang w:val="en-GB"/>
        </w:rPr>
        <w:t>.</w:t>
      </w:r>
    </w:p>
    <w:p w:rsidR="002E187C" w:rsidRPr="008C5A7A" w:rsidRDefault="002E187C" w:rsidP="00183A10">
      <w:pPr>
        <w:pStyle w:val="FPBullet"/>
        <w:rPr>
          <w:lang w:val="en-GB"/>
        </w:rPr>
      </w:pPr>
      <w:r w:rsidRPr="008C5A7A">
        <w:rPr>
          <w:b/>
          <w:bCs/>
          <w:lang w:val="en-GB"/>
        </w:rPr>
        <w:t>Recent</w:t>
      </w:r>
      <w:r w:rsidR="001C7C7E">
        <w:rPr>
          <w:b/>
          <w:bCs/>
          <w:lang w:val="en-GB"/>
        </w:rPr>
        <w:t xml:space="preserve"> </w:t>
      </w:r>
      <w:r w:rsidRPr="008C5A7A">
        <w:rPr>
          <w:b/>
          <w:bCs/>
          <w:lang w:val="en-GB"/>
        </w:rPr>
        <w:t>note:</w:t>
      </w:r>
      <w:r w:rsidR="001C7C7E">
        <w:rPr>
          <w:b/>
          <w:bCs/>
          <w:lang w:val="en-GB"/>
        </w:rPr>
        <w:t xml:space="preserve"> </w:t>
      </w:r>
      <w:r w:rsidRPr="008C5A7A">
        <w:rPr>
          <w:b/>
          <w:bCs/>
          <w:lang w:val="en-GB"/>
        </w:rPr>
        <w:t>UK</w:t>
      </w:r>
      <w:r w:rsidR="001C7C7E">
        <w:rPr>
          <w:b/>
          <w:bCs/>
          <w:lang w:val="en-GB"/>
        </w:rPr>
        <w:t xml:space="preserve"> </w:t>
      </w:r>
      <w:r w:rsidRPr="008C5A7A">
        <w:rPr>
          <w:b/>
          <w:bCs/>
          <w:lang w:val="en-GB"/>
        </w:rPr>
        <w:t>Property:</w:t>
      </w:r>
      <w:r w:rsidR="001C7C7E">
        <w:rPr>
          <w:b/>
          <w:bCs/>
          <w:lang w:val="en-GB"/>
        </w:rPr>
        <w:t xml:space="preserve"> </w:t>
      </w:r>
      <w:r w:rsidRPr="008C5A7A">
        <w:rPr>
          <w:b/>
          <w:bCs/>
          <w:lang w:val="en-GB"/>
        </w:rPr>
        <w:t>Feeling</w:t>
      </w:r>
      <w:r w:rsidR="001C7C7E">
        <w:rPr>
          <w:b/>
          <w:bCs/>
          <w:lang w:val="en-GB"/>
        </w:rPr>
        <w:t xml:space="preserve"> </w:t>
      </w:r>
      <w:r w:rsidRPr="008C5A7A">
        <w:rPr>
          <w:b/>
          <w:bCs/>
          <w:lang w:val="en-GB"/>
        </w:rPr>
        <w:t>Gilty...</w:t>
      </w:r>
      <w:r w:rsidR="001C7C7E">
        <w:rPr>
          <w:b/>
          <w:bCs/>
          <w:lang w:val="en-GB"/>
        </w:rPr>
        <w:t xml:space="preserve"> </w:t>
      </w:r>
      <w:r w:rsidRPr="008C5A7A">
        <w:rPr>
          <w:b/>
          <w:bCs/>
          <w:lang w:val="en-GB"/>
        </w:rPr>
        <w:t>but</w:t>
      </w:r>
      <w:r w:rsidR="001C7C7E">
        <w:rPr>
          <w:b/>
          <w:bCs/>
          <w:lang w:val="en-GB"/>
        </w:rPr>
        <w:t xml:space="preserve"> </w:t>
      </w:r>
      <w:r w:rsidRPr="008C5A7A">
        <w:rPr>
          <w:b/>
          <w:bCs/>
          <w:lang w:val="en-GB"/>
        </w:rPr>
        <w:t>fall</w:t>
      </w:r>
      <w:r w:rsidR="001C7C7E">
        <w:rPr>
          <w:b/>
          <w:bCs/>
          <w:lang w:val="en-GB"/>
        </w:rPr>
        <w:t xml:space="preserve"> </w:t>
      </w:r>
      <w:r w:rsidRPr="008C5A7A">
        <w:rPr>
          <w:b/>
          <w:bCs/>
          <w:lang w:val="en-GB"/>
        </w:rPr>
        <w:t>in</w:t>
      </w:r>
      <w:r w:rsidR="001C7C7E">
        <w:rPr>
          <w:b/>
          <w:bCs/>
          <w:lang w:val="en-GB"/>
        </w:rPr>
        <w:t xml:space="preserve"> </w:t>
      </w:r>
      <w:r w:rsidRPr="008C5A7A">
        <w:rPr>
          <w:b/>
          <w:bCs/>
          <w:lang w:val="en-GB"/>
        </w:rPr>
        <w:t>bond</w:t>
      </w:r>
      <w:r w:rsidR="001C7C7E">
        <w:rPr>
          <w:b/>
          <w:bCs/>
          <w:lang w:val="en-GB"/>
        </w:rPr>
        <w:t xml:space="preserve"> </w:t>
      </w:r>
      <w:r w:rsidRPr="008C5A7A">
        <w:rPr>
          <w:b/>
          <w:bCs/>
          <w:lang w:val="en-GB"/>
        </w:rPr>
        <w:t>yields</w:t>
      </w:r>
      <w:r w:rsidR="001C7C7E">
        <w:rPr>
          <w:b/>
          <w:bCs/>
          <w:lang w:val="en-GB"/>
        </w:rPr>
        <w:t xml:space="preserve"> </w:t>
      </w:r>
      <w:r w:rsidRPr="008C5A7A">
        <w:rPr>
          <w:b/>
          <w:bCs/>
          <w:lang w:val="en-GB"/>
        </w:rPr>
        <w:t>not</w:t>
      </w:r>
      <w:r w:rsidR="001C7C7E">
        <w:rPr>
          <w:b/>
          <w:bCs/>
          <w:lang w:val="en-GB"/>
        </w:rPr>
        <w:t xml:space="preserve"> </w:t>
      </w:r>
      <w:r w:rsidRPr="008C5A7A">
        <w:rPr>
          <w:b/>
          <w:bCs/>
          <w:lang w:val="en-GB"/>
        </w:rPr>
        <w:t>enough</w:t>
      </w:r>
      <w:r w:rsidR="001C7C7E">
        <w:rPr>
          <w:b/>
          <w:bCs/>
          <w:lang w:val="en-GB"/>
        </w:rPr>
        <w:t xml:space="preserve"> </w:t>
      </w:r>
      <w:r w:rsidRPr="008C5A7A">
        <w:rPr>
          <w:b/>
          <w:bCs/>
          <w:lang w:val="en-GB"/>
        </w:rPr>
        <w:t>to</w:t>
      </w:r>
      <w:r w:rsidR="001C7C7E">
        <w:rPr>
          <w:b/>
          <w:bCs/>
          <w:lang w:val="en-GB"/>
        </w:rPr>
        <w:t xml:space="preserve"> </w:t>
      </w:r>
      <w:r w:rsidRPr="008C5A7A">
        <w:rPr>
          <w:b/>
          <w:bCs/>
          <w:lang w:val="en-GB"/>
        </w:rPr>
        <w:t>upgrade</w:t>
      </w:r>
      <w:r w:rsidR="001C7C7E">
        <w:rPr>
          <w:b/>
          <w:bCs/>
          <w:lang w:val="en-GB"/>
        </w:rPr>
        <w:t xml:space="preserve"> </w:t>
      </w:r>
      <w:r w:rsidRPr="008C5A7A">
        <w:rPr>
          <w:b/>
          <w:bCs/>
          <w:lang w:val="en-GB"/>
        </w:rPr>
        <w:t>outlook</w:t>
      </w:r>
      <w:r w:rsidRPr="008C5A7A">
        <w:rPr>
          <w:lang w:val="en-GB"/>
        </w:rPr>
        <w:t>.</w:t>
      </w:r>
      <w:r w:rsidR="001C7C7E">
        <w:rPr>
          <w:lang w:val="en-GB"/>
        </w:rPr>
        <w:t xml:space="preserve"> </w:t>
      </w:r>
      <w:r w:rsidRPr="008C5A7A">
        <w:rPr>
          <w:lang w:val="en-GB"/>
        </w:rPr>
        <w:t>In</w:t>
      </w:r>
      <w:r w:rsidR="001C7C7E">
        <w:rPr>
          <w:lang w:val="en-GB"/>
        </w:rPr>
        <w:t xml:space="preserve"> </w:t>
      </w:r>
      <w:r w:rsidRPr="008C5A7A">
        <w:rPr>
          <w:lang w:val="en-GB"/>
        </w:rPr>
        <w:t>our</w:t>
      </w:r>
      <w:r w:rsidR="001C7C7E">
        <w:rPr>
          <w:lang w:val="en-GB"/>
        </w:rPr>
        <w:t xml:space="preserve"> </w:t>
      </w:r>
      <w:r w:rsidRPr="008C5A7A">
        <w:rPr>
          <w:lang w:val="en-GB"/>
        </w:rPr>
        <w:t>view,</w:t>
      </w:r>
      <w:r w:rsidR="001C7C7E">
        <w:rPr>
          <w:lang w:val="en-GB"/>
        </w:rPr>
        <w:t xml:space="preserve"> </w:t>
      </w:r>
      <w:r w:rsidRPr="008C5A7A">
        <w:rPr>
          <w:lang w:val="en-GB"/>
        </w:rPr>
        <w:t>the</w:t>
      </w:r>
      <w:r w:rsidR="001C7C7E">
        <w:rPr>
          <w:lang w:val="en-GB"/>
        </w:rPr>
        <w:t xml:space="preserve"> </w:t>
      </w:r>
      <w:r w:rsidRPr="008C5A7A">
        <w:rPr>
          <w:lang w:val="en-GB"/>
        </w:rPr>
        <w:t>trend</w:t>
      </w:r>
      <w:r w:rsidR="001C7C7E">
        <w:rPr>
          <w:lang w:val="en-GB"/>
        </w:rPr>
        <w:t xml:space="preserve"> </w:t>
      </w:r>
      <w:r w:rsidRPr="008C5A7A">
        <w:rPr>
          <w:lang w:val="en-GB"/>
        </w:rPr>
        <w:t>for</w:t>
      </w:r>
      <w:r w:rsidR="001C7C7E">
        <w:rPr>
          <w:lang w:val="en-GB"/>
        </w:rPr>
        <w:t xml:space="preserve"> </w:t>
      </w:r>
      <w:r w:rsidRPr="008C5A7A">
        <w:rPr>
          <w:lang w:val="en-GB"/>
        </w:rPr>
        <w:t>UK</w:t>
      </w:r>
      <w:r w:rsidR="001C7C7E">
        <w:rPr>
          <w:lang w:val="en-GB"/>
        </w:rPr>
        <w:t xml:space="preserve"> </w:t>
      </w:r>
      <w:r w:rsidRPr="008C5A7A">
        <w:rPr>
          <w:lang w:val="en-GB"/>
        </w:rPr>
        <w:t>rates</w:t>
      </w:r>
      <w:r w:rsidR="001C7C7E">
        <w:rPr>
          <w:lang w:val="en-GB"/>
        </w:rPr>
        <w:t xml:space="preserve"> </w:t>
      </w:r>
      <w:r w:rsidRPr="008C5A7A">
        <w:rPr>
          <w:lang w:val="en-GB"/>
        </w:rPr>
        <w:t>is</w:t>
      </w:r>
      <w:r w:rsidR="001C7C7E">
        <w:rPr>
          <w:lang w:val="en-GB"/>
        </w:rPr>
        <w:t xml:space="preserve"> </w:t>
      </w:r>
      <w:r w:rsidRPr="008C5A7A">
        <w:rPr>
          <w:lang w:val="en-GB"/>
        </w:rPr>
        <w:t>upwards,</w:t>
      </w:r>
      <w:r w:rsidR="001C7C7E">
        <w:rPr>
          <w:lang w:val="en-GB"/>
        </w:rPr>
        <w:t xml:space="preserve"> </w:t>
      </w:r>
      <w:r w:rsidRPr="008C5A7A">
        <w:rPr>
          <w:lang w:val="en-GB"/>
        </w:rPr>
        <w:t>despite</w:t>
      </w:r>
      <w:r w:rsidR="001C7C7E">
        <w:rPr>
          <w:lang w:val="en-GB"/>
        </w:rPr>
        <w:t xml:space="preserve"> </w:t>
      </w:r>
      <w:r w:rsidRPr="008C5A7A">
        <w:rPr>
          <w:lang w:val="en-GB"/>
        </w:rPr>
        <w:t>the</w:t>
      </w:r>
      <w:r w:rsidR="001C7C7E">
        <w:rPr>
          <w:lang w:val="en-GB"/>
        </w:rPr>
        <w:t xml:space="preserve"> </w:t>
      </w:r>
      <w:r w:rsidRPr="008C5A7A">
        <w:rPr>
          <w:lang w:val="en-GB"/>
        </w:rPr>
        <w:t>YTD</w:t>
      </w:r>
      <w:r w:rsidR="001C7C7E">
        <w:rPr>
          <w:lang w:val="en-GB"/>
        </w:rPr>
        <w:t xml:space="preserve"> </w:t>
      </w:r>
      <w:r w:rsidRPr="008C5A7A">
        <w:rPr>
          <w:lang w:val="en-GB"/>
        </w:rPr>
        <w:t>move.</w:t>
      </w:r>
      <w:r w:rsidR="001C7C7E">
        <w:rPr>
          <w:lang w:val="en-GB"/>
        </w:rPr>
        <w:t xml:space="preserve"> </w:t>
      </w:r>
      <w:r w:rsidRPr="008C5A7A">
        <w:rPr>
          <w:lang w:val="en-GB"/>
        </w:rPr>
        <w:t>We</w:t>
      </w:r>
      <w:r w:rsidR="001C7C7E">
        <w:rPr>
          <w:lang w:val="en-GB"/>
        </w:rPr>
        <w:t xml:space="preserve"> </w:t>
      </w:r>
      <w:r w:rsidRPr="008C5A7A">
        <w:rPr>
          <w:lang w:val="en-GB"/>
        </w:rPr>
        <w:t>flex</w:t>
      </w:r>
      <w:r w:rsidR="001C7C7E">
        <w:rPr>
          <w:lang w:val="en-GB"/>
        </w:rPr>
        <w:t xml:space="preserve"> </w:t>
      </w:r>
      <w:r w:rsidRPr="008C5A7A">
        <w:rPr>
          <w:lang w:val="en-GB"/>
        </w:rPr>
        <w:t>our</w:t>
      </w:r>
      <w:r w:rsidR="001C7C7E">
        <w:rPr>
          <w:lang w:val="en-GB"/>
        </w:rPr>
        <w:t xml:space="preserve"> </w:t>
      </w:r>
      <w:r w:rsidRPr="008C5A7A">
        <w:rPr>
          <w:lang w:val="en-GB"/>
        </w:rPr>
        <w:t>models,</w:t>
      </w:r>
      <w:r w:rsidR="001C7C7E">
        <w:rPr>
          <w:lang w:val="en-GB"/>
        </w:rPr>
        <w:t xml:space="preserve"> </w:t>
      </w:r>
      <w:r w:rsidRPr="008C5A7A">
        <w:rPr>
          <w:lang w:val="en-GB"/>
        </w:rPr>
        <w:t>pricing</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current</w:t>
      </w:r>
      <w:r w:rsidR="001C7C7E">
        <w:rPr>
          <w:lang w:val="en-GB"/>
        </w:rPr>
        <w:t xml:space="preserve"> </w:t>
      </w:r>
      <w:r w:rsidRPr="008C5A7A">
        <w:rPr>
          <w:lang w:val="en-GB"/>
        </w:rPr>
        <w:t>Gilt</w:t>
      </w:r>
      <w:r w:rsidR="001C7C7E">
        <w:rPr>
          <w:lang w:val="en-GB"/>
        </w:rPr>
        <w:t xml:space="preserve"> </w:t>
      </w:r>
      <w:r w:rsidRPr="008C5A7A">
        <w:rPr>
          <w:lang w:val="en-GB"/>
        </w:rPr>
        <w:t>(270bps)</w:t>
      </w:r>
      <w:r w:rsidR="001C7C7E">
        <w:rPr>
          <w:lang w:val="en-GB"/>
        </w:rPr>
        <w:t xml:space="preserve"> </w:t>
      </w:r>
      <w:r w:rsidRPr="008C5A7A">
        <w:rPr>
          <w:lang w:val="en-GB"/>
        </w:rPr>
        <w:t>and</w:t>
      </w:r>
      <w:r w:rsidR="001C7C7E">
        <w:rPr>
          <w:lang w:val="en-GB"/>
        </w:rPr>
        <w:t xml:space="preserve"> </w:t>
      </w:r>
      <w:r w:rsidRPr="008C5A7A">
        <w:rPr>
          <w:lang w:val="en-GB"/>
        </w:rPr>
        <w:t>find</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offers</w:t>
      </w:r>
      <w:r w:rsidR="001C7C7E">
        <w:rPr>
          <w:lang w:val="en-GB"/>
        </w:rPr>
        <w:t xml:space="preserve"> ‘</w:t>
      </w:r>
      <w:r w:rsidRPr="008C5A7A">
        <w:rPr>
          <w:lang w:val="en-GB"/>
        </w:rPr>
        <w:t>just</w:t>
      </w:r>
      <w:r w:rsidR="001C7C7E">
        <w:rPr>
          <w:lang w:val="en-GB"/>
        </w:rPr>
        <w:t xml:space="preserve">’ </w:t>
      </w:r>
      <w:r w:rsidRPr="008C5A7A">
        <w:rPr>
          <w:lang w:val="en-GB"/>
        </w:rPr>
        <w:t>11%</w:t>
      </w:r>
      <w:r w:rsidR="001C7C7E">
        <w:rPr>
          <w:lang w:val="en-GB"/>
        </w:rPr>
        <w:t xml:space="preserve"> </w:t>
      </w:r>
      <w:r w:rsidRPr="008C5A7A">
        <w:rPr>
          <w:lang w:val="en-GB"/>
        </w:rPr>
        <w:t>upside</w:t>
      </w:r>
      <w:r w:rsidR="001C7C7E">
        <w:rPr>
          <w:lang w:val="en-GB"/>
        </w:rPr>
        <w:t xml:space="preserve"> </w:t>
      </w:r>
      <w:r w:rsidRPr="008C5A7A">
        <w:rPr>
          <w:lang w:val="en-GB"/>
        </w:rPr>
        <w:t>to</w:t>
      </w:r>
      <w:r w:rsidR="001C7C7E">
        <w:rPr>
          <w:lang w:val="en-GB"/>
        </w:rPr>
        <w:t xml:space="preserve"> </w:t>
      </w:r>
      <w:r w:rsidRPr="008C5A7A">
        <w:rPr>
          <w:lang w:val="en-GB"/>
        </w:rPr>
        <w:t>valuations</w:t>
      </w:r>
      <w:r w:rsidR="001C7C7E">
        <w:rPr>
          <w:lang w:val="en-GB"/>
        </w:rPr>
        <w:t xml:space="preserve"> </w:t>
      </w:r>
      <w:r w:rsidRPr="008C5A7A">
        <w:rPr>
          <w:lang w:val="en-GB"/>
        </w:rPr>
        <w:t>in</w:t>
      </w:r>
      <w:r w:rsidR="001C7C7E">
        <w:rPr>
          <w:lang w:val="en-GB"/>
        </w:rPr>
        <w:t xml:space="preserve"> </w:t>
      </w:r>
      <w:r w:rsidRPr="008C5A7A">
        <w:rPr>
          <w:lang w:val="en-GB"/>
        </w:rPr>
        <w:t>this</w:t>
      </w:r>
      <w:r w:rsidR="001C7C7E">
        <w:rPr>
          <w:lang w:val="en-GB"/>
        </w:rPr>
        <w:t xml:space="preserve"> </w:t>
      </w:r>
      <w:r w:rsidRPr="008C5A7A">
        <w:rPr>
          <w:lang w:val="en-GB"/>
        </w:rPr>
        <w:t>scenario.</w:t>
      </w:r>
      <w:r w:rsidR="001C7C7E">
        <w:rPr>
          <w:lang w:val="en-GB"/>
        </w:rPr>
        <w:t xml:space="preserve"> </w:t>
      </w:r>
      <w:r w:rsidRPr="008C5A7A">
        <w:rPr>
          <w:lang w:val="en-GB"/>
        </w:rPr>
        <w:t>The</w:t>
      </w:r>
      <w:r w:rsidR="001C7C7E">
        <w:rPr>
          <w:lang w:val="en-GB"/>
        </w:rPr>
        <w:t xml:space="preserve"> </w:t>
      </w:r>
      <w:r w:rsidRPr="008C5A7A">
        <w:rPr>
          <w:lang w:val="en-GB"/>
        </w:rPr>
        <w:t>risk-return</w:t>
      </w:r>
      <w:r w:rsidR="001C7C7E">
        <w:rPr>
          <w:lang w:val="en-GB"/>
        </w:rPr>
        <w:t xml:space="preserve"> </w:t>
      </w:r>
      <w:r w:rsidRPr="008C5A7A">
        <w:rPr>
          <w:lang w:val="en-GB"/>
        </w:rPr>
        <w:t>profile</w:t>
      </w:r>
      <w:r w:rsidR="001C7C7E">
        <w:rPr>
          <w:lang w:val="en-GB"/>
        </w:rPr>
        <w:t xml:space="preserve"> </w:t>
      </w:r>
      <w:r w:rsidRPr="008C5A7A">
        <w:rPr>
          <w:lang w:val="en-GB"/>
        </w:rPr>
        <w:t>for</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appears</w:t>
      </w:r>
      <w:r w:rsidR="001C7C7E">
        <w:rPr>
          <w:lang w:val="en-GB"/>
        </w:rPr>
        <w:t xml:space="preserve"> </w:t>
      </w:r>
      <w:r w:rsidRPr="008C5A7A">
        <w:rPr>
          <w:lang w:val="en-GB"/>
        </w:rPr>
        <w:t>to</w:t>
      </w:r>
      <w:r w:rsidR="001C7C7E">
        <w:rPr>
          <w:lang w:val="en-GB"/>
        </w:rPr>
        <w:t xml:space="preserve"> </w:t>
      </w:r>
      <w:r w:rsidRPr="008C5A7A">
        <w:rPr>
          <w:lang w:val="en-GB"/>
        </w:rPr>
        <w:t>be</w:t>
      </w:r>
      <w:r w:rsidR="001C7C7E">
        <w:rPr>
          <w:lang w:val="en-GB"/>
        </w:rPr>
        <w:t xml:space="preserve"> </w:t>
      </w:r>
      <w:r w:rsidRPr="008C5A7A">
        <w:rPr>
          <w:lang w:val="en-GB"/>
        </w:rPr>
        <w:t>deteriorating</w:t>
      </w:r>
      <w:r w:rsidR="001C7C7E">
        <w:rPr>
          <w:lang w:val="en-GB"/>
        </w:rPr>
        <w:t xml:space="preserve"> </w:t>
      </w:r>
      <w:r w:rsidRPr="008C5A7A">
        <w:rPr>
          <w:lang w:val="en-GB"/>
        </w:rPr>
        <w:t>given:</w:t>
      </w:r>
      <w:r w:rsidR="001C7C7E">
        <w:rPr>
          <w:lang w:val="en-GB"/>
        </w:rPr>
        <w:t xml:space="preserve"> </w:t>
      </w:r>
      <w:r w:rsidRPr="008C5A7A">
        <w:rPr>
          <w:lang w:val="en-GB"/>
        </w:rPr>
        <w:t>1)</w:t>
      </w:r>
      <w:r w:rsidR="001C7C7E">
        <w:rPr>
          <w:lang w:val="en-GB"/>
        </w:rPr>
        <w:t xml:space="preserve"> </w:t>
      </w:r>
      <w:r w:rsidRPr="008C5A7A">
        <w:rPr>
          <w:lang w:val="en-GB"/>
        </w:rPr>
        <w:t>expectations</w:t>
      </w:r>
      <w:r w:rsidR="001C7C7E">
        <w:rPr>
          <w:lang w:val="en-GB"/>
        </w:rPr>
        <w:t xml:space="preserve"> </w:t>
      </w:r>
      <w:r w:rsidRPr="008C5A7A">
        <w:rPr>
          <w:lang w:val="en-GB"/>
        </w:rPr>
        <w:t>for</w:t>
      </w:r>
      <w:r w:rsidR="001C7C7E">
        <w:rPr>
          <w:lang w:val="en-GB"/>
        </w:rPr>
        <w:t xml:space="preserve"> </w:t>
      </w:r>
      <w:r w:rsidRPr="008C5A7A">
        <w:rPr>
          <w:lang w:val="en-GB"/>
        </w:rPr>
        <w:t>the</w:t>
      </w:r>
      <w:r w:rsidR="001C7C7E">
        <w:rPr>
          <w:lang w:val="en-GB"/>
        </w:rPr>
        <w:t xml:space="preserve"> </w:t>
      </w:r>
      <w:r w:rsidRPr="008C5A7A">
        <w:rPr>
          <w:lang w:val="en-GB"/>
        </w:rPr>
        <w:t>10-yr</w:t>
      </w:r>
      <w:r w:rsidR="001C7C7E">
        <w:rPr>
          <w:lang w:val="en-GB"/>
        </w:rPr>
        <w:t xml:space="preserve"> </w:t>
      </w:r>
      <w:r w:rsidRPr="008C5A7A">
        <w:rPr>
          <w:lang w:val="en-GB"/>
        </w:rPr>
        <w:t>Gilt</w:t>
      </w:r>
      <w:r w:rsidR="001C7C7E">
        <w:rPr>
          <w:lang w:val="en-GB"/>
        </w:rPr>
        <w:t xml:space="preserve"> </w:t>
      </w:r>
      <w:r w:rsidRPr="008C5A7A">
        <w:rPr>
          <w:lang w:val="en-GB"/>
        </w:rPr>
        <w:t>to</w:t>
      </w:r>
      <w:r w:rsidR="001C7C7E">
        <w:rPr>
          <w:lang w:val="en-GB"/>
        </w:rPr>
        <w:t xml:space="preserve"> </w:t>
      </w:r>
      <w:r w:rsidRPr="008C5A7A">
        <w:rPr>
          <w:lang w:val="en-GB"/>
        </w:rPr>
        <w:t>reach</w:t>
      </w:r>
      <w:r w:rsidR="001C7C7E">
        <w:rPr>
          <w:lang w:val="en-GB"/>
        </w:rPr>
        <w:t xml:space="preserve"> </w:t>
      </w:r>
      <w:r w:rsidRPr="008C5A7A">
        <w:rPr>
          <w:lang w:val="en-GB"/>
        </w:rPr>
        <w:t>370bps</w:t>
      </w:r>
      <w:r w:rsidR="001C7C7E">
        <w:rPr>
          <w:lang w:val="en-GB"/>
        </w:rPr>
        <w:t xml:space="preserve"> </w:t>
      </w:r>
      <w:r w:rsidRPr="008C5A7A">
        <w:rPr>
          <w:lang w:val="en-GB"/>
        </w:rPr>
        <w:t>by</w:t>
      </w:r>
      <w:r w:rsidR="001C7C7E">
        <w:rPr>
          <w:lang w:val="en-GB"/>
        </w:rPr>
        <w:t xml:space="preserve"> </w:t>
      </w:r>
      <w:r w:rsidRPr="008C5A7A">
        <w:rPr>
          <w:lang w:val="en-GB"/>
        </w:rPr>
        <w:t>Dec-14</w:t>
      </w:r>
      <w:r w:rsidR="001C7C7E">
        <w:rPr>
          <w:lang w:val="en-GB"/>
        </w:rPr>
        <w:t xml:space="preserve"> </w:t>
      </w:r>
      <w:r w:rsidRPr="008C5A7A">
        <w:rPr>
          <w:lang w:val="en-GB"/>
        </w:rPr>
        <w:t>(+100bps</w:t>
      </w:r>
      <w:r w:rsidR="001C7C7E">
        <w:rPr>
          <w:lang w:val="en-GB"/>
        </w:rPr>
        <w:t xml:space="preserve"> </w:t>
      </w:r>
      <w:r w:rsidRPr="008C5A7A">
        <w:rPr>
          <w:lang w:val="en-GB"/>
        </w:rPr>
        <w:t>over</w:t>
      </w:r>
      <w:r w:rsidR="001C7C7E">
        <w:rPr>
          <w:lang w:val="en-GB"/>
        </w:rPr>
        <w:t xml:space="preserve"> </w:t>
      </w:r>
      <w:r w:rsidRPr="008C5A7A">
        <w:rPr>
          <w:lang w:val="en-GB"/>
        </w:rPr>
        <w:t>9</w:t>
      </w:r>
      <w:r w:rsidR="001C7C7E">
        <w:rPr>
          <w:lang w:val="en-GB"/>
        </w:rPr>
        <w:t xml:space="preserve"> </w:t>
      </w:r>
      <w:r w:rsidRPr="008C5A7A">
        <w:rPr>
          <w:lang w:val="en-GB"/>
        </w:rPr>
        <w:t>months);</w:t>
      </w:r>
      <w:r w:rsidR="001C7C7E">
        <w:rPr>
          <w:lang w:val="en-GB"/>
        </w:rPr>
        <w:t xml:space="preserve"> </w:t>
      </w:r>
      <w:r w:rsidRPr="008C5A7A">
        <w:rPr>
          <w:lang w:val="en-GB"/>
        </w:rPr>
        <w:t>2)</w:t>
      </w:r>
      <w:r w:rsidR="001C7C7E">
        <w:rPr>
          <w:lang w:val="en-GB"/>
        </w:rPr>
        <w:t xml:space="preserve"> </w:t>
      </w:r>
      <w:r w:rsidRPr="008C5A7A">
        <w:rPr>
          <w:lang w:val="en-GB"/>
        </w:rPr>
        <w:t>lacklustre</w:t>
      </w:r>
      <w:r w:rsidR="001C7C7E">
        <w:rPr>
          <w:lang w:val="en-GB"/>
        </w:rPr>
        <w:t xml:space="preserve"> </w:t>
      </w:r>
      <w:r w:rsidRPr="008C5A7A">
        <w:rPr>
          <w:lang w:val="en-GB"/>
        </w:rPr>
        <w:t>share</w:t>
      </w:r>
      <w:r w:rsidR="001C7C7E">
        <w:rPr>
          <w:lang w:val="en-GB"/>
        </w:rPr>
        <w:t xml:space="preserve"> </w:t>
      </w:r>
      <w:r w:rsidRPr="008C5A7A">
        <w:rPr>
          <w:lang w:val="en-GB"/>
        </w:rPr>
        <w:t>price</w:t>
      </w:r>
      <w:r w:rsidR="001C7C7E">
        <w:rPr>
          <w:lang w:val="en-GB"/>
        </w:rPr>
        <w:t xml:space="preserve"> </w:t>
      </w:r>
      <w:r w:rsidRPr="008C5A7A">
        <w:rPr>
          <w:lang w:val="en-GB"/>
        </w:rPr>
        <w:t>reactions</w:t>
      </w:r>
      <w:r w:rsidR="001C7C7E">
        <w:rPr>
          <w:lang w:val="en-GB"/>
        </w:rPr>
        <w:t xml:space="preserve"> </w:t>
      </w:r>
      <w:r w:rsidRPr="008C5A7A">
        <w:rPr>
          <w:lang w:val="en-GB"/>
        </w:rPr>
        <w:t>to</w:t>
      </w:r>
      <w:r w:rsidR="001C7C7E">
        <w:rPr>
          <w:lang w:val="en-GB"/>
        </w:rPr>
        <w:t xml:space="preserve"> </w:t>
      </w:r>
      <w:r w:rsidRPr="008C5A7A">
        <w:rPr>
          <w:lang w:val="en-GB"/>
        </w:rPr>
        <w:t>stellar</w:t>
      </w:r>
      <w:r w:rsidR="001C7C7E">
        <w:rPr>
          <w:lang w:val="en-GB"/>
        </w:rPr>
        <w:t xml:space="preserve"> </w:t>
      </w:r>
      <w:r w:rsidRPr="008C5A7A">
        <w:rPr>
          <w:lang w:val="en-GB"/>
        </w:rPr>
        <w:t>results;</w:t>
      </w:r>
      <w:r w:rsidR="001C7C7E">
        <w:rPr>
          <w:lang w:val="en-GB"/>
        </w:rPr>
        <w:t xml:space="preserve"> </w:t>
      </w:r>
      <w:r w:rsidRPr="008C5A7A">
        <w:rPr>
          <w:lang w:val="en-GB"/>
        </w:rPr>
        <w:t>and</w:t>
      </w:r>
      <w:r w:rsidR="001C7C7E">
        <w:rPr>
          <w:lang w:val="en-GB"/>
        </w:rPr>
        <w:t xml:space="preserve"> </w:t>
      </w:r>
      <w:r w:rsidRPr="008C5A7A">
        <w:rPr>
          <w:lang w:val="en-GB"/>
        </w:rPr>
        <w:t>3)</w:t>
      </w:r>
      <w:r w:rsidR="001C7C7E">
        <w:rPr>
          <w:lang w:val="en-GB"/>
        </w:rPr>
        <w:t xml:space="preserve"> </w:t>
      </w:r>
      <w:r w:rsidRPr="008C5A7A">
        <w:rPr>
          <w:lang w:val="en-GB"/>
        </w:rPr>
        <w:t>the</w:t>
      </w:r>
      <w:r w:rsidR="001C7C7E">
        <w:rPr>
          <w:lang w:val="en-GB"/>
        </w:rPr>
        <w:t xml:space="preserve"> </w:t>
      </w:r>
      <w:r w:rsidRPr="008C5A7A">
        <w:rPr>
          <w:lang w:val="en-GB"/>
        </w:rPr>
        <w:t>correlation</w:t>
      </w:r>
      <w:r w:rsidR="001C7C7E">
        <w:rPr>
          <w:lang w:val="en-GB"/>
        </w:rPr>
        <w:t xml:space="preserve"> </w:t>
      </w:r>
      <w:r w:rsidRPr="008C5A7A">
        <w:rPr>
          <w:lang w:val="en-GB"/>
        </w:rPr>
        <w:t>of</w:t>
      </w:r>
      <w:r w:rsidR="001C7C7E">
        <w:rPr>
          <w:lang w:val="en-GB"/>
        </w:rPr>
        <w:t xml:space="preserve"> </w:t>
      </w:r>
      <w:r w:rsidRPr="008C5A7A">
        <w:rPr>
          <w:lang w:val="en-GB"/>
        </w:rPr>
        <w:t>the</w:t>
      </w:r>
      <w:r w:rsidR="001C7C7E">
        <w:rPr>
          <w:lang w:val="en-GB"/>
        </w:rPr>
        <w:t xml:space="preserve"> </w:t>
      </w:r>
      <w:r w:rsidRPr="008C5A7A">
        <w:rPr>
          <w:lang w:val="en-GB"/>
        </w:rPr>
        <w:t>current</w:t>
      </w:r>
      <w:r w:rsidR="001C7C7E">
        <w:rPr>
          <w:lang w:val="en-GB"/>
        </w:rPr>
        <w:t xml:space="preserve"> </w:t>
      </w:r>
      <w:r w:rsidRPr="008C5A7A">
        <w:rPr>
          <w:lang w:val="en-GB"/>
        </w:rPr>
        <w:t>recovery</w:t>
      </w:r>
      <w:r w:rsidR="001C7C7E">
        <w:rPr>
          <w:lang w:val="en-GB"/>
        </w:rPr>
        <w:t xml:space="preserve"> </w:t>
      </w:r>
      <w:r w:rsidRPr="008C5A7A">
        <w:rPr>
          <w:lang w:val="en-GB"/>
        </w:rPr>
        <w:t>with</w:t>
      </w:r>
      <w:r w:rsidR="001C7C7E">
        <w:rPr>
          <w:lang w:val="en-GB"/>
        </w:rPr>
        <w:t xml:space="preserve"> </w:t>
      </w:r>
      <w:r w:rsidRPr="008C5A7A">
        <w:rPr>
          <w:lang w:val="en-GB"/>
        </w:rPr>
        <w:t>that</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90</w:t>
      </w:r>
      <w:r w:rsidR="001C7C7E">
        <w:rPr>
          <w:lang w:val="en-GB"/>
        </w:rPr>
        <w:t>’</w:t>
      </w:r>
      <w:r w:rsidRPr="008C5A7A">
        <w:rPr>
          <w:lang w:val="en-GB"/>
        </w:rPr>
        <w:t>s,</w:t>
      </w:r>
      <w:r w:rsidR="001C7C7E">
        <w:rPr>
          <w:lang w:val="en-GB"/>
        </w:rPr>
        <w:t xml:space="preserve"> </w:t>
      </w:r>
      <w:r w:rsidRPr="008C5A7A">
        <w:rPr>
          <w:lang w:val="en-GB"/>
        </w:rPr>
        <w:t>which</w:t>
      </w:r>
      <w:r w:rsidR="001C7C7E">
        <w:rPr>
          <w:lang w:val="en-GB"/>
        </w:rPr>
        <w:t xml:space="preserve"> </w:t>
      </w:r>
      <w:r w:rsidRPr="008C5A7A">
        <w:rPr>
          <w:lang w:val="en-GB"/>
        </w:rPr>
        <w:t>points</w:t>
      </w:r>
      <w:r w:rsidR="001C7C7E">
        <w:rPr>
          <w:lang w:val="en-GB"/>
        </w:rPr>
        <w:t xml:space="preserve"> </w:t>
      </w:r>
      <w:r w:rsidRPr="008C5A7A">
        <w:rPr>
          <w:lang w:val="en-GB"/>
        </w:rPr>
        <w:t>to</w:t>
      </w:r>
      <w:r w:rsidR="001C7C7E">
        <w:rPr>
          <w:lang w:val="en-GB"/>
        </w:rPr>
        <w:t xml:space="preserve"> </w:t>
      </w:r>
      <w:r w:rsidRPr="008C5A7A">
        <w:rPr>
          <w:lang w:val="en-GB"/>
        </w:rPr>
        <w:t>a</w:t>
      </w:r>
      <w:r w:rsidR="001C7C7E">
        <w:rPr>
          <w:lang w:val="en-GB"/>
        </w:rPr>
        <w:t xml:space="preserve"> </w:t>
      </w:r>
      <w:r w:rsidRPr="008C5A7A">
        <w:rPr>
          <w:lang w:val="en-GB"/>
        </w:rPr>
        <w:t>correction.</w:t>
      </w:r>
      <w:r w:rsidR="001C7C7E">
        <w:rPr>
          <w:lang w:val="en-GB"/>
        </w:rPr>
        <w:t xml:space="preserve"> </w:t>
      </w:r>
      <w:r w:rsidRPr="008C5A7A">
        <w:rPr>
          <w:lang w:val="en-GB"/>
        </w:rPr>
        <w:t>Although</w:t>
      </w:r>
      <w:r w:rsidR="001C7C7E">
        <w:rPr>
          <w:lang w:val="en-GB"/>
        </w:rPr>
        <w:t xml:space="preserve"> </w:t>
      </w:r>
      <w:r w:rsidRPr="008C5A7A">
        <w:rPr>
          <w:lang w:val="en-GB"/>
        </w:rPr>
        <w:t>momentum</w:t>
      </w:r>
      <w:r w:rsidR="001C7C7E">
        <w:rPr>
          <w:lang w:val="en-GB"/>
        </w:rPr>
        <w:t xml:space="preserve"> </w:t>
      </w:r>
      <w:r w:rsidRPr="008C5A7A">
        <w:rPr>
          <w:lang w:val="en-GB"/>
        </w:rPr>
        <w:t>is</w:t>
      </w:r>
      <w:r w:rsidR="001C7C7E">
        <w:rPr>
          <w:lang w:val="en-GB"/>
        </w:rPr>
        <w:t xml:space="preserve"> </w:t>
      </w:r>
      <w:r w:rsidRPr="008C5A7A">
        <w:rPr>
          <w:lang w:val="en-GB"/>
        </w:rPr>
        <w:t>to</w:t>
      </w:r>
      <w:r w:rsidR="001C7C7E">
        <w:rPr>
          <w:lang w:val="en-GB"/>
        </w:rPr>
        <w:t xml:space="preserve"> </w:t>
      </w:r>
      <w:r w:rsidRPr="008C5A7A">
        <w:rPr>
          <w:lang w:val="en-GB"/>
        </w:rPr>
        <w:t>the</w:t>
      </w:r>
      <w:r w:rsidR="001C7C7E">
        <w:rPr>
          <w:lang w:val="en-GB"/>
        </w:rPr>
        <w:t xml:space="preserve"> </w:t>
      </w:r>
      <w:r w:rsidRPr="008C5A7A">
        <w:rPr>
          <w:lang w:val="en-GB"/>
        </w:rPr>
        <w:t>upside,</w:t>
      </w:r>
      <w:r w:rsidR="001C7C7E">
        <w:rPr>
          <w:lang w:val="en-GB"/>
        </w:rPr>
        <w:t xml:space="preserve"> </w:t>
      </w:r>
      <w:r w:rsidRPr="008C5A7A">
        <w:rPr>
          <w:iCs/>
          <w:u w:val="single"/>
          <w:lang w:val="en-GB"/>
        </w:rPr>
        <w:t>we</w:t>
      </w:r>
      <w:r w:rsidR="001C7C7E">
        <w:rPr>
          <w:iCs/>
          <w:u w:val="single"/>
          <w:lang w:val="en-GB"/>
        </w:rPr>
        <w:t xml:space="preserve"> </w:t>
      </w:r>
      <w:r w:rsidRPr="008C5A7A">
        <w:rPr>
          <w:iCs/>
          <w:u w:val="single"/>
          <w:lang w:val="en-GB"/>
        </w:rPr>
        <w:t>wouldn</w:t>
      </w:r>
      <w:r w:rsidR="001C7C7E">
        <w:rPr>
          <w:iCs/>
          <w:u w:val="single"/>
          <w:lang w:val="en-GB"/>
        </w:rPr>
        <w:t>’</w:t>
      </w:r>
      <w:r w:rsidRPr="008C5A7A">
        <w:rPr>
          <w:iCs/>
          <w:u w:val="single"/>
          <w:lang w:val="en-GB"/>
        </w:rPr>
        <w:t>t</w:t>
      </w:r>
      <w:r w:rsidR="001C7C7E">
        <w:rPr>
          <w:iCs/>
          <w:u w:val="single"/>
          <w:lang w:val="en-GB"/>
        </w:rPr>
        <w:t xml:space="preserve"> </w:t>
      </w:r>
      <w:r w:rsidRPr="008C5A7A">
        <w:rPr>
          <w:iCs/>
          <w:u w:val="single"/>
          <w:lang w:val="en-GB"/>
        </w:rPr>
        <w:t>be</w:t>
      </w:r>
      <w:r w:rsidR="001C7C7E">
        <w:rPr>
          <w:iCs/>
          <w:u w:val="single"/>
          <w:lang w:val="en-GB"/>
        </w:rPr>
        <w:t xml:space="preserve"> </w:t>
      </w:r>
      <w:r w:rsidRPr="008C5A7A">
        <w:rPr>
          <w:iCs/>
          <w:u w:val="single"/>
          <w:lang w:val="en-GB"/>
        </w:rPr>
        <w:t>aggressively</w:t>
      </w:r>
      <w:r w:rsidR="001C7C7E">
        <w:rPr>
          <w:iCs/>
          <w:u w:val="single"/>
          <w:lang w:val="en-GB"/>
        </w:rPr>
        <w:t xml:space="preserve"> </w:t>
      </w:r>
      <w:r w:rsidRPr="008C5A7A">
        <w:rPr>
          <w:iCs/>
          <w:u w:val="single"/>
          <w:lang w:val="en-GB"/>
        </w:rPr>
        <w:t>buying</w:t>
      </w:r>
      <w:r w:rsidR="001C7C7E">
        <w:rPr>
          <w:iCs/>
          <w:u w:val="single"/>
          <w:lang w:val="en-GB"/>
        </w:rPr>
        <w:t xml:space="preserve"> </w:t>
      </w:r>
      <w:r w:rsidRPr="008C5A7A">
        <w:rPr>
          <w:iCs/>
          <w:u w:val="single"/>
          <w:lang w:val="en-GB"/>
        </w:rPr>
        <w:t>the</w:t>
      </w:r>
      <w:r w:rsidR="001C7C7E">
        <w:rPr>
          <w:iCs/>
          <w:u w:val="single"/>
          <w:lang w:val="en-GB"/>
        </w:rPr>
        <w:t xml:space="preserve"> </w:t>
      </w:r>
      <w:r w:rsidRPr="008C5A7A">
        <w:rPr>
          <w:iCs/>
          <w:u w:val="single"/>
          <w:lang w:val="en-GB"/>
        </w:rPr>
        <w:t>sector</w:t>
      </w:r>
      <w:r w:rsidR="001C7C7E">
        <w:rPr>
          <w:iCs/>
          <w:u w:val="single"/>
          <w:lang w:val="en-GB"/>
        </w:rPr>
        <w:t xml:space="preserve"> </w:t>
      </w:r>
      <w:r w:rsidRPr="008C5A7A">
        <w:rPr>
          <w:iCs/>
          <w:u w:val="single"/>
          <w:lang w:val="en-GB"/>
        </w:rPr>
        <w:t>here,</w:t>
      </w:r>
      <w:r w:rsidR="001C7C7E">
        <w:rPr>
          <w:iCs/>
          <w:u w:val="single"/>
          <w:lang w:val="en-GB"/>
        </w:rPr>
        <w:t xml:space="preserve"> </w:t>
      </w:r>
      <w:r w:rsidRPr="008C5A7A">
        <w:rPr>
          <w:iCs/>
          <w:u w:val="single"/>
          <w:lang w:val="en-GB"/>
        </w:rPr>
        <w:t>waiting</w:t>
      </w:r>
      <w:r w:rsidR="001C7C7E">
        <w:rPr>
          <w:iCs/>
          <w:u w:val="single"/>
          <w:lang w:val="en-GB"/>
        </w:rPr>
        <w:t xml:space="preserve"> </w:t>
      </w:r>
      <w:r w:rsidRPr="008C5A7A">
        <w:rPr>
          <w:iCs/>
          <w:u w:val="single"/>
          <w:lang w:val="en-GB"/>
        </w:rPr>
        <w:t>for</w:t>
      </w:r>
      <w:r w:rsidR="001C7C7E">
        <w:rPr>
          <w:iCs/>
          <w:u w:val="single"/>
          <w:lang w:val="en-GB"/>
        </w:rPr>
        <w:t xml:space="preserve"> </w:t>
      </w:r>
      <w:r w:rsidRPr="008C5A7A">
        <w:rPr>
          <w:iCs/>
          <w:u w:val="single"/>
          <w:lang w:val="en-GB"/>
        </w:rPr>
        <w:t>a</w:t>
      </w:r>
      <w:r w:rsidR="001C7C7E">
        <w:rPr>
          <w:iCs/>
          <w:u w:val="single"/>
          <w:lang w:val="en-GB"/>
        </w:rPr>
        <w:t xml:space="preserve"> </w:t>
      </w:r>
      <w:r w:rsidRPr="008C5A7A">
        <w:rPr>
          <w:iCs/>
          <w:u w:val="single"/>
          <w:lang w:val="en-GB"/>
        </w:rPr>
        <w:t>pull</w:t>
      </w:r>
      <w:r w:rsidR="001C7C7E">
        <w:rPr>
          <w:iCs/>
          <w:u w:val="single"/>
          <w:lang w:val="en-GB"/>
        </w:rPr>
        <w:t xml:space="preserve"> </w:t>
      </w:r>
      <w:r w:rsidRPr="008C5A7A">
        <w:rPr>
          <w:iCs/>
          <w:u w:val="single"/>
          <w:lang w:val="en-GB"/>
        </w:rPr>
        <w:t>back</w:t>
      </w:r>
      <w:r w:rsidR="001C7C7E">
        <w:rPr>
          <w:iCs/>
          <w:u w:val="single"/>
          <w:lang w:val="en-GB"/>
        </w:rPr>
        <w:t xml:space="preserve"> </w:t>
      </w:r>
      <w:r w:rsidRPr="008C5A7A">
        <w:rPr>
          <w:iCs/>
          <w:u w:val="single"/>
          <w:lang w:val="en-GB"/>
        </w:rPr>
        <w:t>while</w:t>
      </w:r>
      <w:r w:rsidR="001C7C7E">
        <w:rPr>
          <w:iCs/>
          <w:u w:val="single"/>
          <w:lang w:val="en-GB"/>
        </w:rPr>
        <w:t xml:space="preserve"> </w:t>
      </w:r>
      <w:r w:rsidRPr="008C5A7A">
        <w:rPr>
          <w:iCs/>
          <w:u w:val="single"/>
          <w:lang w:val="en-GB"/>
        </w:rPr>
        <w:t>we</w:t>
      </w:r>
      <w:r w:rsidR="001C7C7E">
        <w:rPr>
          <w:iCs/>
          <w:u w:val="single"/>
          <w:lang w:val="en-GB"/>
        </w:rPr>
        <w:t xml:space="preserve"> </w:t>
      </w:r>
      <w:r w:rsidRPr="008C5A7A">
        <w:rPr>
          <w:iCs/>
          <w:u w:val="single"/>
          <w:lang w:val="en-GB"/>
        </w:rPr>
        <w:t>continue</w:t>
      </w:r>
      <w:r w:rsidR="001C7C7E">
        <w:rPr>
          <w:iCs/>
          <w:u w:val="single"/>
          <w:lang w:val="en-GB"/>
        </w:rPr>
        <w:t xml:space="preserve"> </w:t>
      </w:r>
      <w:r w:rsidRPr="008C5A7A">
        <w:rPr>
          <w:iCs/>
          <w:u w:val="single"/>
          <w:lang w:val="en-GB"/>
        </w:rPr>
        <w:t>to</w:t>
      </w:r>
      <w:r w:rsidR="001C7C7E">
        <w:rPr>
          <w:iCs/>
          <w:u w:val="single"/>
          <w:lang w:val="en-GB"/>
        </w:rPr>
        <w:t xml:space="preserve"> </w:t>
      </w:r>
      <w:r w:rsidRPr="008C5A7A">
        <w:rPr>
          <w:iCs/>
          <w:u w:val="single"/>
          <w:lang w:val="en-GB"/>
        </w:rPr>
        <w:t>prefer</w:t>
      </w:r>
      <w:r w:rsidR="001C7C7E">
        <w:rPr>
          <w:iCs/>
          <w:u w:val="single"/>
          <w:lang w:val="en-GB"/>
        </w:rPr>
        <w:t xml:space="preserve"> </w:t>
      </w:r>
      <w:r w:rsidRPr="008C5A7A">
        <w:rPr>
          <w:iCs/>
          <w:u w:val="single"/>
          <w:lang w:val="en-GB"/>
        </w:rPr>
        <w:t>SMIDs</w:t>
      </w:r>
      <w:r w:rsidR="001C7C7E">
        <w:rPr>
          <w:iCs/>
          <w:u w:val="single"/>
          <w:lang w:val="en-GB"/>
        </w:rPr>
        <w:t xml:space="preserve"> </w:t>
      </w:r>
      <w:r w:rsidRPr="008C5A7A">
        <w:rPr>
          <w:iCs/>
          <w:u w:val="single"/>
          <w:lang w:val="en-GB"/>
        </w:rPr>
        <w:t>–</w:t>
      </w:r>
      <w:r w:rsidR="001C7C7E">
        <w:rPr>
          <w:iCs/>
          <w:u w:val="single"/>
          <w:lang w:val="en-GB"/>
        </w:rPr>
        <w:t xml:space="preserve"> </w:t>
      </w:r>
      <w:r w:rsidRPr="008C5A7A">
        <w:rPr>
          <w:iCs/>
          <w:u w:val="single"/>
          <w:lang w:val="en-GB"/>
        </w:rPr>
        <w:t>Quintain</w:t>
      </w:r>
      <w:r w:rsidR="001C7C7E">
        <w:rPr>
          <w:iCs/>
          <w:u w:val="single"/>
          <w:lang w:val="en-GB"/>
        </w:rPr>
        <w:t xml:space="preserve"> </w:t>
      </w:r>
      <w:r w:rsidRPr="008C5A7A">
        <w:rPr>
          <w:iCs/>
          <w:u w:val="single"/>
          <w:lang w:val="en-GB"/>
        </w:rPr>
        <w:t>&amp;</w:t>
      </w:r>
      <w:r w:rsidR="001C7C7E">
        <w:rPr>
          <w:iCs/>
          <w:u w:val="single"/>
          <w:lang w:val="en-GB"/>
        </w:rPr>
        <w:t xml:space="preserve"> </w:t>
      </w:r>
      <w:r w:rsidRPr="008C5A7A">
        <w:rPr>
          <w:iCs/>
          <w:u w:val="single"/>
          <w:lang w:val="en-GB"/>
        </w:rPr>
        <w:t>St</w:t>
      </w:r>
      <w:r w:rsidR="001C7C7E">
        <w:rPr>
          <w:iCs/>
          <w:u w:val="single"/>
          <w:lang w:val="en-GB"/>
        </w:rPr>
        <w:t xml:space="preserve"> </w:t>
      </w:r>
      <w:r w:rsidRPr="008C5A7A">
        <w:rPr>
          <w:iCs/>
          <w:u w:val="single"/>
          <w:lang w:val="en-GB"/>
        </w:rPr>
        <w:t>Modwen</w:t>
      </w:r>
      <w:r w:rsidR="001C7C7E">
        <w:rPr>
          <w:lang w:val="en-GB"/>
        </w:rPr>
        <w:t xml:space="preserve"> </w:t>
      </w:r>
      <w:r w:rsidRPr="008C5A7A">
        <w:rPr>
          <w:lang w:val="en-GB"/>
        </w:rPr>
        <w:t>–</w:t>
      </w:r>
      <w:r w:rsidR="001C7C7E">
        <w:rPr>
          <w:lang w:val="en-GB"/>
        </w:rPr>
        <w:t xml:space="preserve"> </w:t>
      </w:r>
      <w:r w:rsidRPr="008C5A7A">
        <w:rPr>
          <w:lang w:val="en-GB"/>
        </w:rPr>
        <w:t>which</w:t>
      </w:r>
      <w:r w:rsidR="001C7C7E">
        <w:rPr>
          <w:lang w:val="en-GB"/>
        </w:rPr>
        <w:t xml:space="preserve"> </w:t>
      </w:r>
      <w:r w:rsidRPr="008C5A7A">
        <w:rPr>
          <w:lang w:val="en-GB"/>
        </w:rPr>
        <w:t>we</w:t>
      </w:r>
      <w:r w:rsidR="001C7C7E">
        <w:rPr>
          <w:lang w:val="en-GB"/>
        </w:rPr>
        <w:t xml:space="preserve"> </w:t>
      </w:r>
      <w:r w:rsidRPr="008C5A7A">
        <w:rPr>
          <w:lang w:val="en-GB"/>
        </w:rPr>
        <w:t>note</w:t>
      </w:r>
      <w:r w:rsidR="001C7C7E">
        <w:rPr>
          <w:lang w:val="en-GB"/>
        </w:rPr>
        <w:t xml:space="preserve"> </w:t>
      </w:r>
      <w:r w:rsidRPr="008C5A7A">
        <w:rPr>
          <w:lang w:val="en-GB"/>
        </w:rPr>
        <w:t>offer</w:t>
      </w:r>
      <w:r w:rsidR="001C7C7E">
        <w:rPr>
          <w:lang w:val="en-GB"/>
        </w:rPr>
        <w:t xml:space="preserve"> </w:t>
      </w:r>
      <w:r w:rsidRPr="008C5A7A">
        <w:rPr>
          <w:lang w:val="en-GB"/>
        </w:rPr>
        <w:t>more</w:t>
      </w:r>
      <w:r w:rsidR="001C7C7E">
        <w:rPr>
          <w:lang w:val="en-GB"/>
        </w:rPr>
        <w:t xml:space="preserve"> </w:t>
      </w:r>
      <w:r w:rsidRPr="008C5A7A">
        <w:rPr>
          <w:lang w:val="en-GB"/>
        </w:rPr>
        <w:t>upside</w:t>
      </w:r>
      <w:r w:rsidR="001C7C7E">
        <w:rPr>
          <w:lang w:val="en-GB"/>
        </w:rPr>
        <w:t xml:space="preserve"> </w:t>
      </w:r>
      <w:r w:rsidRPr="008C5A7A">
        <w:rPr>
          <w:lang w:val="en-GB"/>
        </w:rPr>
        <w:t>&amp;</w:t>
      </w:r>
      <w:r w:rsidR="001C7C7E">
        <w:rPr>
          <w:lang w:val="en-GB"/>
        </w:rPr>
        <w:t xml:space="preserve"> </w:t>
      </w:r>
      <w:r w:rsidRPr="008C5A7A">
        <w:rPr>
          <w:lang w:val="en-GB"/>
        </w:rPr>
        <w:t>outperform</w:t>
      </w:r>
      <w:r w:rsidR="001C7C7E">
        <w:rPr>
          <w:lang w:val="en-GB"/>
        </w:rPr>
        <w:t xml:space="preserve"> </w:t>
      </w:r>
      <w:r w:rsidRPr="008C5A7A">
        <w:rPr>
          <w:lang w:val="en-GB"/>
        </w:rPr>
        <w:t>large</w:t>
      </w:r>
      <w:r w:rsidR="001C7C7E">
        <w:rPr>
          <w:lang w:val="en-GB"/>
        </w:rPr>
        <w:t xml:space="preserve"> </w:t>
      </w:r>
      <w:r w:rsidRPr="008C5A7A">
        <w:rPr>
          <w:lang w:val="en-GB"/>
        </w:rPr>
        <w:t>caps</w:t>
      </w:r>
      <w:r w:rsidR="001C7C7E">
        <w:rPr>
          <w:lang w:val="en-GB"/>
        </w:rPr>
        <w:t xml:space="preserve"> </w:t>
      </w:r>
      <w:r w:rsidRPr="008C5A7A">
        <w:rPr>
          <w:lang w:val="en-GB"/>
        </w:rPr>
        <w:t>in</w:t>
      </w:r>
      <w:r w:rsidR="001C7C7E">
        <w:rPr>
          <w:lang w:val="en-GB"/>
        </w:rPr>
        <w:t xml:space="preserve"> </w:t>
      </w:r>
      <w:r w:rsidRPr="008C5A7A">
        <w:rPr>
          <w:lang w:val="en-GB"/>
        </w:rPr>
        <w:t>a</w:t>
      </w:r>
      <w:r w:rsidR="001C7C7E">
        <w:rPr>
          <w:lang w:val="en-GB"/>
        </w:rPr>
        <w:t xml:space="preserve"> </w:t>
      </w:r>
      <w:r w:rsidRPr="008C5A7A">
        <w:rPr>
          <w:lang w:val="en-GB"/>
        </w:rPr>
        <w:t>rising</w:t>
      </w:r>
      <w:r w:rsidR="001C7C7E">
        <w:rPr>
          <w:lang w:val="en-GB"/>
        </w:rPr>
        <w:t xml:space="preserve"> </w:t>
      </w:r>
      <w:r w:rsidRPr="008C5A7A">
        <w:rPr>
          <w:lang w:val="en-GB"/>
        </w:rPr>
        <w:t>yield</w:t>
      </w:r>
      <w:r w:rsidR="001C7C7E">
        <w:rPr>
          <w:lang w:val="en-GB"/>
        </w:rPr>
        <w:t xml:space="preserve"> </w:t>
      </w:r>
      <w:r w:rsidRPr="008C5A7A">
        <w:rPr>
          <w:lang w:val="en-GB"/>
        </w:rPr>
        <w:t>environment.</w:t>
      </w:r>
      <w:r w:rsidR="001C7C7E">
        <w:rPr>
          <w:lang w:val="en-GB"/>
        </w:rPr>
        <w:t xml:space="preserve"> </w:t>
      </w:r>
      <w:r w:rsidRPr="008C5A7A">
        <w:rPr>
          <w:lang w:val="en-GB"/>
        </w:rPr>
        <w:t>To</w:t>
      </w:r>
      <w:r w:rsidR="001C7C7E">
        <w:rPr>
          <w:lang w:val="en-GB"/>
        </w:rPr>
        <w:t xml:space="preserve"> </w:t>
      </w:r>
      <w:r w:rsidRPr="008C5A7A">
        <w:rPr>
          <w:lang w:val="en-GB"/>
        </w:rPr>
        <w:t>continue</w:t>
      </w:r>
      <w:r w:rsidR="001C7C7E">
        <w:rPr>
          <w:lang w:val="en-GB"/>
        </w:rPr>
        <w:t xml:space="preserve"> </w:t>
      </w:r>
      <w:r w:rsidRPr="008C5A7A">
        <w:rPr>
          <w:lang w:val="en-GB"/>
        </w:rPr>
        <w:t>reading,</w:t>
      </w:r>
      <w:r w:rsidR="001C7C7E">
        <w:rPr>
          <w:lang w:val="en-GB"/>
        </w:rPr>
        <w:t xml:space="preserve"> </w:t>
      </w:r>
      <w:r w:rsidRPr="008C5A7A">
        <w:rPr>
          <w:lang w:val="en-GB"/>
        </w:rPr>
        <w:t>please</w:t>
      </w:r>
      <w:r w:rsidR="001C7C7E">
        <w:rPr>
          <w:lang w:val="en-GB"/>
        </w:rPr>
        <w:t xml:space="preserve"> </w:t>
      </w:r>
      <w:hyperlink r:id="rId24"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r w:rsidR="001C7C7E">
        <w:rPr>
          <w:lang w:val="en-GB"/>
        </w:rPr>
        <w:t xml:space="preserve"> </w:t>
      </w:r>
    </w:p>
    <w:p w:rsidR="002E187C" w:rsidRPr="008C5A7A" w:rsidRDefault="002E187C" w:rsidP="00183A10">
      <w:pPr>
        <w:pStyle w:val="FPBullet"/>
        <w:rPr>
          <w:b/>
          <w:bCs/>
          <w:spacing w:val="-2"/>
          <w:lang w:val="en-GB"/>
        </w:rPr>
      </w:pPr>
      <w:r w:rsidRPr="008C5A7A">
        <w:rPr>
          <w:b/>
          <w:color w:val="000000"/>
          <w:szCs w:val="22"/>
          <w:lang w:val="en-GB"/>
        </w:rPr>
        <w:t>Recent</w:t>
      </w:r>
      <w:r w:rsidR="001C7C7E">
        <w:rPr>
          <w:b/>
          <w:color w:val="000000"/>
          <w:szCs w:val="22"/>
          <w:lang w:val="en-GB"/>
        </w:rPr>
        <w:t xml:space="preserve"> </w:t>
      </w:r>
      <w:r w:rsidRPr="008C5A7A">
        <w:rPr>
          <w:b/>
          <w:color w:val="000000"/>
          <w:szCs w:val="22"/>
          <w:lang w:val="en-GB"/>
        </w:rPr>
        <w:t>note:</w:t>
      </w:r>
      <w:r w:rsidR="001C7C7E">
        <w:rPr>
          <w:b/>
          <w:color w:val="000000"/>
          <w:szCs w:val="22"/>
          <w:lang w:val="en-GB"/>
        </w:rPr>
        <w:t xml:space="preserve"> </w:t>
      </w:r>
      <w:r w:rsidRPr="008C5A7A">
        <w:rPr>
          <w:b/>
          <w:color w:val="000000"/>
          <w:szCs w:val="22"/>
          <w:lang w:val="en-GB"/>
        </w:rPr>
        <w:t>Quintain</w:t>
      </w:r>
      <w:r w:rsidR="001C7C7E">
        <w:rPr>
          <w:b/>
          <w:color w:val="000000"/>
          <w:szCs w:val="22"/>
          <w:lang w:val="en-GB"/>
        </w:rPr>
        <w:t xml:space="preserve"> </w:t>
      </w:r>
      <w:r w:rsidRPr="008C5A7A">
        <w:rPr>
          <w:b/>
          <w:color w:val="000000"/>
          <w:szCs w:val="22"/>
          <w:lang w:val="en-GB"/>
        </w:rPr>
        <w:t>Estates</w:t>
      </w:r>
      <w:r w:rsidR="001C7C7E">
        <w:rPr>
          <w:b/>
          <w:color w:val="000000"/>
          <w:szCs w:val="22"/>
          <w:lang w:val="en-GB"/>
        </w:rPr>
        <w:t xml:space="preserve"> </w:t>
      </w:r>
      <w:r w:rsidRPr="008C5A7A">
        <w:rPr>
          <w:b/>
          <w:color w:val="000000"/>
          <w:szCs w:val="22"/>
          <w:lang w:val="en-GB"/>
        </w:rPr>
        <w:t>&amp;</w:t>
      </w:r>
      <w:r w:rsidR="001C7C7E">
        <w:rPr>
          <w:b/>
          <w:color w:val="000000"/>
          <w:szCs w:val="22"/>
          <w:lang w:val="en-GB"/>
        </w:rPr>
        <w:t xml:space="preserve"> </w:t>
      </w:r>
      <w:r w:rsidRPr="008C5A7A">
        <w:rPr>
          <w:b/>
          <w:color w:val="000000"/>
          <w:szCs w:val="22"/>
          <w:lang w:val="en-GB"/>
        </w:rPr>
        <w:t>Development:</w:t>
      </w:r>
      <w:r w:rsidR="001C7C7E">
        <w:rPr>
          <w:b/>
          <w:color w:val="000000"/>
          <w:szCs w:val="22"/>
          <w:lang w:val="en-GB"/>
        </w:rPr>
        <w:t xml:space="preserve"> </w:t>
      </w:r>
      <w:r w:rsidRPr="008C5A7A">
        <w:rPr>
          <w:b/>
          <w:color w:val="000000"/>
          <w:szCs w:val="22"/>
          <w:lang w:val="en-GB"/>
        </w:rPr>
        <w:t>Last</w:t>
      </w:r>
      <w:r w:rsidR="001C7C7E">
        <w:rPr>
          <w:b/>
          <w:color w:val="000000"/>
          <w:szCs w:val="22"/>
          <w:lang w:val="en-GB"/>
        </w:rPr>
        <w:t xml:space="preserve"> </w:t>
      </w:r>
      <w:r w:rsidRPr="008C5A7A">
        <w:rPr>
          <w:b/>
          <w:color w:val="000000"/>
          <w:szCs w:val="22"/>
          <w:lang w:val="en-GB"/>
        </w:rPr>
        <w:t>chance</w:t>
      </w:r>
      <w:r w:rsidR="001C7C7E">
        <w:rPr>
          <w:b/>
          <w:color w:val="000000"/>
          <w:szCs w:val="22"/>
          <w:lang w:val="en-GB"/>
        </w:rPr>
        <w:t xml:space="preserve"> </w:t>
      </w:r>
      <w:r w:rsidRPr="008C5A7A">
        <w:rPr>
          <w:b/>
          <w:color w:val="000000"/>
          <w:szCs w:val="22"/>
          <w:lang w:val="en-GB"/>
        </w:rPr>
        <w:t>to</w:t>
      </w:r>
      <w:r w:rsidR="001C7C7E">
        <w:rPr>
          <w:b/>
          <w:color w:val="000000"/>
          <w:szCs w:val="22"/>
          <w:lang w:val="en-GB"/>
        </w:rPr>
        <w:t xml:space="preserve"> </w:t>
      </w:r>
      <w:r w:rsidRPr="008C5A7A">
        <w:rPr>
          <w:b/>
          <w:color w:val="000000"/>
          <w:szCs w:val="22"/>
          <w:lang w:val="en-GB"/>
        </w:rPr>
        <w:t>get</w:t>
      </w:r>
      <w:r w:rsidR="001C7C7E">
        <w:rPr>
          <w:b/>
          <w:color w:val="000000"/>
          <w:szCs w:val="22"/>
          <w:lang w:val="en-GB"/>
        </w:rPr>
        <w:t xml:space="preserve"> </w:t>
      </w:r>
      <w:r w:rsidRPr="008C5A7A">
        <w:rPr>
          <w:b/>
          <w:color w:val="000000"/>
          <w:szCs w:val="22"/>
          <w:lang w:val="en-GB"/>
        </w:rPr>
        <w:t>your</w:t>
      </w:r>
      <w:r w:rsidR="001C7C7E">
        <w:rPr>
          <w:b/>
          <w:color w:val="000000"/>
          <w:szCs w:val="22"/>
          <w:lang w:val="en-GB"/>
        </w:rPr>
        <w:t xml:space="preserve"> </w:t>
      </w:r>
      <w:r w:rsidRPr="008C5A7A">
        <w:rPr>
          <w:b/>
          <w:color w:val="000000"/>
          <w:szCs w:val="22"/>
          <w:lang w:val="en-GB"/>
        </w:rPr>
        <w:t>ticket</w:t>
      </w:r>
      <w:r w:rsidR="001C7C7E">
        <w:rPr>
          <w:b/>
          <w:color w:val="000000"/>
          <w:szCs w:val="22"/>
          <w:lang w:val="en-GB"/>
        </w:rPr>
        <w:t xml:space="preserve"> </w:t>
      </w:r>
      <w:r w:rsidRPr="008C5A7A">
        <w:rPr>
          <w:b/>
          <w:color w:val="000000"/>
          <w:szCs w:val="22"/>
          <w:lang w:val="en-GB"/>
        </w:rPr>
        <w:t>to</w:t>
      </w:r>
      <w:r w:rsidR="001C7C7E">
        <w:rPr>
          <w:b/>
          <w:color w:val="000000"/>
          <w:szCs w:val="22"/>
          <w:lang w:val="en-GB"/>
        </w:rPr>
        <w:t xml:space="preserve"> </w:t>
      </w:r>
      <w:r w:rsidRPr="008C5A7A">
        <w:rPr>
          <w:b/>
          <w:color w:val="000000"/>
          <w:szCs w:val="22"/>
          <w:lang w:val="en-GB"/>
        </w:rPr>
        <w:t>Wembley.</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revisit</w:t>
      </w:r>
      <w:r w:rsidR="001C7C7E">
        <w:rPr>
          <w:color w:val="000000"/>
          <w:szCs w:val="22"/>
          <w:lang w:val="en-GB"/>
        </w:rPr>
        <w:t xml:space="preserve"> </w:t>
      </w:r>
      <w:r w:rsidRPr="008C5A7A">
        <w:rPr>
          <w:color w:val="000000"/>
          <w:szCs w:val="22"/>
          <w:lang w:val="en-GB"/>
        </w:rPr>
        <w:t>our</w:t>
      </w:r>
      <w:r w:rsidR="001C7C7E">
        <w:rPr>
          <w:color w:val="000000"/>
          <w:szCs w:val="22"/>
          <w:lang w:val="en-GB"/>
        </w:rPr>
        <w:t xml:space="preserve"> </w:t>
      </w:r>
      <w:r w:rsidRPr="008C5A7A">
        <w:rPr>
          <w:color w:val="000000"/>
          <w:szCs w:val="22"/>
          <w:lang w:val="en-GB"/>
        </w:rPr>
        <w:t>original</w:t>
      </w:r>
      <w:r w:rsidR="001C7C7E">
        <w:rPr>
          <w:color w:val="000000"/>
          <w:szCs w:val="22"/>
          <w:lang w:val="en-GB"/>
        </w:rPr>
        <w:t xml:space="preserve"> </w:t>
      </w:r>
      <w:r w:rsidRPr="008C5A7A">
        <w:rPr>
          <w:color w:val="000000"/>
          <w:szCs w:val="22"/>
          <w:lang w:val="en-GB"/>
        </w:rPr>
        <w:t>analysis</w:t>
      </w:r>
      <w:r w:rsidR="001C7C7E">
        <w:rPr>
          <w:color w:val="000000"/>
          <w:szCs w:val="22"/>
          <w:lang w:val="en-GB"/>
        </w:rPr>
        <w:t xml:space="preserve"> </w:t>
      </w:r>
      <w:r w:rsidRPr="008C5A7A">
        <w:rPr>
          <w:color w:val="000000"/>
          <w:szCs w:val="22"/>
          <w:lang w:val="en-GB"/>
        </w:rPr>
        <w:t>on</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potential</w:t>
      </w:r>
      <w:r w:rsidR="001C7C7E">
        <w:rPr>
          <w:color w:val="000000"/>
          <w:szCs w:val="22"/>
          <w:lang w:val="en-GB"/>
        </w:rPr>
        <w:t xml:space="preserve"> </w:t>
      </w:r>
      <w:r w:rsidRPr="008C5A7A">
        <w:rPr>
          <w:color w:val="000000"/>
          <w:szCs w:val="22"/>
          <w:lang w:val="en-GB"/>
        </w:rPr>
        <w:t>selling</w:t>
      </w:r>
      <w:r w:rsidR="001C7C7E">
        <w:rPr>
          <w:color w:val="000000"/>
          <w:szCs w:val="22"/>
          <w:lang w:val="en-GB"/>
        </w:rPr>
        <w:t xml:space="preserve"> </w:t>
      </w:r>
      <w:r w:rsidRPr="008C5A7A">
        <w:rPr>
          <w:color w:val="000000"/>
          <w:szCs w:val="22"/>
          <w:lang w:val="en-GB"/>
        </w:rPr>
        <w:t>price</w:t>
      </w:r>
      <w:r w:rsidR="001C7C7E">
        <w:rPr>
          <w:color w:val="000000"/>
          <w:szCs w:val="22"/>
          <w:lang w:val="en-GB"/>
        </w:rPr>
        <w:t xml:space="preserve"> </w:t>
      </w:r>
      <w:r w:rsidRPr="008C5A7A">
        <w:rPr>
          <w:color w:val="000000"/>
          <w:szCs w:val="22"/>
          <w:lang w:val="en-GB"/>
        </w:rPr>
        <w:t>of</w:t>
      </w:r>
      <w:r w:rsidR="001C7C7E">
        <w:rPr>
          <w:color w:val="000000"/>
          <w:szCs w:val="22"/>
          <w:lang w:val="en-GB"/>
        </w:rPr>
        <w:t xml:space="preserve"> </w:t>
      </w:r>
      <w:r w:rsidRPr="008C5A7A">
        <w:rPr>
          <w:color w:val="000000"/>
          <w:szCs w:val="22"/>
          <w:lang w:val="en-GB"/>
        </w:rPr>
        <w:t>Wembley</w:t>
      </w:r>
      <w:r w:rsidR="001C7C7E">
        <w:rPr>
          <w:color w:val="000000"/>
          <w:szCs w:val="22"/>
          <w:lang w:val="en-GB"/>
        </w:rPr>
        <w:t xml:space="preserve"> </w:t>
      </w:r>
      <w:r w:rsidRPr="008C5A7A">
        <w:rPr>
          <w:color w:val="000000"/>
          <w:szCs w:val="22"/>
          <w:lang w:val="en-GB"/>
        </w:rPr>
        <w:t>based</w:t>
      </w:r>
      <w:r w:rsidR="001C7C7E">
        <w:rPr>
          <w:color w:val="000000"/>
          <w:szCs w:val="22"/>
          <w:lang w:val="en-GB"/>
        </w:rPr>
        <w:t xml:space="preserve"> </w:t>
      </w:r>
      <w:r w:rsidRPr="008C5A7A">
        <w:rPr>
          <w:color w:val="000000"/>
          <w:szCs w:val="22"/>
          <w:lang w:val="en-GB"/>
        </w:rPr>
        <w:t>on</w:t>
      </w:r>
      <w:r w:rsidR="001C7C7E">
        <w:rPr>
          <w:color w:val="000000"/>
          <w:szCs w:val="22"/>
          <w:lang w:val="en-GB"/>
        </w:rPr>
        <w:t xml:space="preserve"> </w:t>
      </w:r>
      <w:r w:rsidRPr="008C5A7A">
        <w:rPr>
          <w:color w:val="000000"/>
          <w:szCs w:val="22"/>
          <w:lang w:val="en-GB"/>
        </w:rPr>
        <w:t>1)</w:t>
      </w:r>
      <w:r w:rsidR="001C7C7E">
        <w:rPr>
          <w:color w:val="000000"/>
          <w:szCs w:val="22"/>
          <w:lang w:val="en-GB"/>
        </w:rPr>
        <w:t xml:space="preserve"> </w:t>
      </w:r>
      <w:r w:rsidRPr="008C5A7A">
        <w:rPr>
          <w:color w:val="000000"/>
          <w:szCs w:val="22"/>
          <w:lang w:val="en-GB"/>
        </w:rPr>
        <w:t>local</w:t>
      </w:r>
      <w:r w:rsidR="001C7C7E">
        <w:rPr>
          <w:color w:val="000000"/>
          <w:szCs w:val="22"/>
          <w:lang w:val="en-GB"/>
        </w:rPr>
        <w:t xml:space="preserve"> </w:t>
      </w:r>
      <w:r w:rsidRPr="008C5A7A">
        <w:rPr>
          <w:color w:val="000000"/>
          <w:szCs w:val="22"/>
          <w:lang w:val="en-GB"/>
        </w:rPr>
        <w:t>borough</w:t>
      </w:r>
      <w:r w:rsidR="001C7C7E">
        <w:rPr>
          <w:color w:val="000000"/>
          <w:szCs w:val="22"/>
          <w:lang w:val="en-GB"/>
        </w:rPr>
        <w:t xml:space="preserve"> </w:t>
      </w:r>
      <w:r w:rsidRPr="008C5A7A">
        <w:rPr>
          <w:color w:val="000000"/>
          <w:szCs w:val="22"/>
          <w:lang w:val="en-GB"/>
        </w:rPr>
        <w:t>average</w:t>
      </w:r>
      <w:r w:rsidR="001C7C7E">
        <w:rPr>
          <w:color w:val="000000"/>
          <w:szCs w:val="22"/>
          <w:lang w:val="en-GB"/>
        </w:rPr>
        <w:t xml:space="preserve"> </w:t>
      </w:r>
      <w:r w:rsidRPr="008C5A7A">
        <w:rPr>
          <w:color w:val="000000"/>
          <w:szCs w:val="22"/>
          <w:lang w:val="en-GB"/>
        </w:rPr>
        <w:lastRenderedPageBreak/>
        <w:t>flat</w:t>
      </w:r>
      <w:r w:rsidR="001C7C7E">
        <w:rPr>
          <w:color w:val="000000"/>
          <w:szCs w:val="22"/>
          <w:lang w:val="en-GB"/>
        </w:rPr>
        <w:t xml:space="preserve"> </w:t>
      </w:r>
      <w:r w:rsidRPr="008C5A7A">
        <w:rPr>
          <w:color w:val="000000"/>
          <w:szCs w:val="22"/>
          <w:lang w:val="en-GB"/>
        </w:rPr>
        <w:t>prices;</w:t>
      </w:r>
      <w:r w:rsidR="001C7C7E">
        <w:rPr>
          <w:color w:val="000000"/>
          <w:szCs w:val="22"/>
          <w:lang w:val="en-GB"/>
        </w:rPr>
        <w:t xml:space="preserve"> </w:t>
      </w:r>
      <w:r w:rsidRPr="008C5A7A">
        <w:rPr>
          <w:color w:val="000000"/>
          <w:szCs w:val="22"/>
          <w:lang w:val="en-GB"/>
        </w:rPr>
        <w:t>and</w:t>
      </w:r>
      <w:r w:rsidR="001C7C7E">
        <w:rPr>
          <w:color w:val="000000"/>
          <w:szCs w:val="22"/>
          <w:lang w:val="en-GB"/>
        </w:rPr>
        <w:t xml:space="preserve"> </w:t>
      </w:r>
      <w:r w:rsidRPr="008C5A7A">
        <w:rPr>
          <w:color w:val="000000"/>
          <w:szCs w:val="22"/>
          <w:lang w:val="en-GB"/>
        </w:rPr>
        <w:t>2)</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average</w:t>
      </w:r>
      <w:r w:rsidR="001C7C7E">
        <w:rPr>
          <w:color w:val="000000"/>
          <w:szCs w:val="22"/>
          <w:lang w:val="en-GB"/>
        </w:rPr>
        <w:t xml:space="preserve"> </w:t>
      </w:r>
      <w:r w:rsidRPr="008C5A7A">
        <w:rPr>
          <w:color w:val="000000"/>
          <w:szCs w:val="22"/>
          <w:lang w:val="en-GB"/>
        </w:rPr>
        <w:t>premium</w:t>
      </w:r>
      <w:r w:rsidR="001C7C7E">
        <w:rPr>
          <w:color w:val="000000"/>
          <w:szCs w:val="22"/>
          <w:lang w:val="en-GB"/>
        </w:rPr>
        <w:t xml:space="preserve"> </w:t>
      </w:r>
      <w:r w:rsidRPr="008C5A7A">
        <w:rPr>
          <w:color w:val="000000"/>
          <w:szCs w:val="22"/>
          <w:lang w:val="en-GB"/>
        </w:rPr>
        <w:t>of</w:t>
      </w:r>
      <w:r w:rsidR="001C7C7E">
        <w:rPr>
          <w:color w:val="000000"/>
          <w:szCs w:val="22"/>
          <w:lang w:val="en-GB"/>
        </w:rPr>
        <w:t xml:space="preserve"> </w:t>
      </w:r>
      <w:r w:rsidRPr="008C5A7A">
        <w:rPr>
          <w:color w:val="000000"/>
          <w:szCs w:val="22"/>
          <w:lang w:val="en-GB"/>
        </w:rPr>
        <w:t>new</w:t>
      </w:r>
      <w:r w:rsidR="001C7C7E">
        <w:rPr>
          <w:color w:val="000000"/>
          <w:szCs w:val="22"/>
          <w:lang w:val="en-GB"/>
        </w:rPr>
        <w:t xml:space="preserve"> </w:t>
      </w:r>
      <w:r w:rsidRPr="008C5A7A">
        <w:rPr>
          <w:color w:val="000000"/>
          <w:szCs w:val="22"/>
          <w:lang w:val="en-GB"/>
        </w:rPr>
        <w:t>build</w:t>
      </w:r>
      <w:r w:rsidR="001C7C7E">
        <w:rPr>
          <w:color w:val="000000"/>
          <w:szCs w:val="22"/>
          <w:lang w:val="en-GB"/>
        </w:rPr>
        <w:t xml:space="preserve"> </w:t>
      </w:r>
      <w:r w:rsidRPr="008C5A7A">
        <w:rPr>
          <w:color w:val="000000"/>
          <w:szCs w:val="22"/>
          <w:lang w:val="en-GB"/>
        </w:rPr>
        <w:t>over</w:t>
      </w:r>
      <w:r w:rsidR="001C7C7E">
        <w:rPr>
          <w:color w:val="000000"/>
          <w:szCs w:val="22"/>
          <w:lang w:val="en-GB"/>
        </w:rPr>
        <w:t xml:space="preserve"> </w:t>
      </w:r>
      <w:r w:rsidRPr="008C5A7A">
        <w:rPr>
          <w:color w:val="000000"/>
          <w:szCs w:val="22"/>
          <w:lang w:val="en-GB"/>
        </w:rPr>
        <w:t>existing</w:t>
      </w:r>
      <w:r w:rsidR="001C7C7E">
        <w:rPr>
          <w:color w:val="000000"/>
          <w:szCs w:val="22"/>
          <w:lang w:val="en-GB"/>
        </w:rPr>
        <w:t xml:space="preserve"> </w:t>
      </w:r>
      <w:r w:rsidRPr="008C5A7A">
        <w:rPr>
          <w:color w:val="000000"/>
          <w:szCs w:val="22"/>
          <w:lang w:val="en-GB"/>
        </w:rPr>
        <w:t>flats</w:t>
      </w:r>
      <w:r w:rsidR="001C7C7E">
        <w:rPr>
          <w:color w:val="000000"/>
          <w:szCs w:val="22"/>
          <w:lang w:val="en-GB"/>
        </w:rPr>
        <w:t xml:space="preserve"> </w:t>
      </w:r>
      <w:r w:rsidRPr="008C5A7A">
        <w:rPr>
          <w:color w:val="000000"/>
          <w:szCs w:val="22"/>
          <w:lang w:val="en-GB"/>
        </w:rPr>
        <w:t>around</w:t>
      </w:r>
      <w:r w:rsidR="001C7C7E">
        <w:rPr>
          <w:color w:val="000000"/>
          <w:szCs w:val="22"/>
          <w:lang w:val="en-GB"/>
        </w:rPr>
        <w:t xml:space="preserve"> </w:t>
      </w:r>
      <w:r w:rsidRPr="008C5A7A">
        <w:rPr>
          <w:color w:val="000000"/>
          <w:szCs w:val="22"/>
          <w:lang w:val="en-GB"/>
        </w:rPr>
        <w:t>London.</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find</w:t>
      </w:r>
      <w:r w:rsidR="001C7C7E">
        <w:rPr>
          <w:color w:val="000000"/>
          <w:szCs w:val="22"/>
          <w:lang w:val="en-GB"/>
        </w:rPr>
        <w:t xml:space="preserve"> </w:t>
      </w:r>
      <w:r w:rsidRPr="008C5A7A">
        <w:rPr>
          <w:color w:val="000000"/>
          <w:szCs w:val="22"/>
          <w:lang w:val="en-GB"/>
        </w:rPr>
        <w:t>that</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average</w:t>
      </w:r>
      <w:r w:rsidR="001C7C7E">
        <w:rPr>
          <w:color w:val="000000"/>
          <w:szCs w:val="22"/>
          <w:lang w:val="en-GB"/>
        </w:rPr>
        <w:t xml:space="preserve"> </w:t>
      </w:r>
      <w:r w:rsidRPr="008C5A7A">
        <w:rPr>
          <w:color w:val="000000"/>
          <w:szCs w:val="22"/>
          <w:lang w:val="en-GB"/>
        </w:rPr>
        <w:t>asking</w:t>
      </w:r>
      <w:r w:rsidR="001C7C7E">
        <w:rPr>
          <w:color w:val="000000"/>
          <w:szCs w:val="22"/>
          <w:lang w:val="en-GB"/>
        </w:rPr>
        <w:t xml:space="preserve"> </w:t>
      </w:r>
      <w:r w:rsidRPr="008C5A7A">
        <w:rPr>
          <w:color w:val="000000"/>
          <w:szCs w:val="22"/>
          <w:lang w:val="en-GB"/>
        </w:rPr>
        <w:t>price</w:t>
      </w:r>
      <w:r w:rsidR="001C7C7E">
        <w:rPr>
          <w:color w:val="000000"/>
          <w:szCs w:val="22"/>
          <w:lang w:val="en-GB"/>
        </w:rPr>
        <w:t xml:space="preserve"> </w:t>
      </w:r>
      <w:r w:rsidRPr="008C5A7A">
        <w:rPr>
          <w:color w:val="000000"/>
          <w:szCs w:val="22"/>
          <w:lang w:val="en-GB"/>
        </w:rPr>
        <w:t>in</w:t>
      </w:r>
      <w:r w:rsidR="001C7C7E">
        <w:rPr>
          <w:color w:val="000000"/>
          <w:szCs w:val="22"/>
          <w:lang w:val="en-GB"/>
        </w:rPr>
        <w:t xml:space="preserve"> </w:t>
      </w:r>
      <w:r w:rsidRPr="008C5A7A">
        <w:rPr>
          <w:color w:val="000000"/>
          <w:szCs w:val="22"/>
          <w:lang w:val="en-GB"/>
        </w:rPr>
        <w:t>Wembley</w:t>
      </w:r>
      <w:r w:rsidR="001C7C7E">
        <w:rPr>
          <w:color w:val="000000"/>
          <w:szCs w:val="22"/>
          <w:lang w:val="en-GB"/>
        </w:rPr>
        <w:t>’</w:t>
      </w:r>
      <w:r w:rsidRPr="008C5A7A">
        <w:rPr>
          <w:color w:val="000000"/>
          <w:szCs w:val="22"/>
          <w:lang w:val="en-GB"/>
        </w:rPr>
        <w:t>s</w:t>
      </w:r>
      <w:r w:rsidR="001C7C7E">
        <w:rPr>
          <w:color w:val="000000"/>
          <w:szCs w:val="22"/>
          <w:lang w:val="en-GB"/>
        </w:rPr>
        <w:t xml:space="preserve"> </w:t>
      </w:r>
      <w:r w:rsidRPr="008C5A7A">
        <w:rPr>
          <w:color w:val="000000"/>
          <w:szCs w:val="22"/>
          <w:lang w:val="en-GB"/>
        </w:rPr>
        <w:t>surrounding</w:t>
      </w:r>
      <w:r w:rsidR="001C7C7E">
        <w:rPr>
          <w:color w:val="000000"/>
          <w:szCs w:val="22"/>
          <w:lang w:val="en-GB"/>
        </w:rPr>
        <w:t xml:space="preserve"> </w:t>
      </w:r>
      <w:r w:rsidRPr="008C5A7A">
        <w:rPr>
          <w:color w:val="000000"/>
          <w:szCs w:val="22"/>
          <w:lang w:val="en-GB"/>
        </w:rPr>
        <w:t>postcodes</w:t>
      </w:r>
      <w:r w:rsidR="001C7C7E">
        <w:rPr>
          <w:color w:val="000000"/>
          <w:szCs w:val="22"/>
          <w:lang w:val="en-GB"/>
        </w:rPr>
        <w:t xml:space="preserve"> </w:t>
      </w:r>
      <w:r w:rsidRPr="008C5A7A">
        <w:rPr>
          <w:color w:val="000000"/>
          <w:szCs w:val="22"/>
          <w:lang w:val="en-GB"/>
        </w:rPr>
        <w:t>has</w:t>
      </w:r>
      <w:r w:rsidR="001C7C7E">
        <w:rPr>
          <w:color w:val="000000"/>
          <w:szCs w:val="22"/>
          <w:lang w:val="en-GB"/>
        </w:rPr>
        <w:t xml:space="preserve"> </w:t>
      </w:r>
      <w:r w:rsidRPr="008C5A7A">
        <w:rPr>
          <w:color w:val="000000"/>
          <w:szCs w:val="22"/>
          <w:lang w:val="en-GB"/>
        </w:rPr>
        <w:t>increased</w:t>
      </w:r>
      <w:r w:rsidR="001C7C7E">
        <w:rPr>
          <w:color w:val="000000"/>
          <w:szCs w:val="22"/>
          <w:lang w:val="en-GB"/>
        </w:rPr>
        <w:t xml:space="preserve"> </w:t>
      </w:r>
      <w:r w:rsidRPr="008C5A7A">
        <w:rPr>
          <w:color w:val="000000"/>
          <w:szCs w:val="22"/>
          <w:lang w:val="en-GB"/>
        </w:rPr>
        <w:t>by</w:t>
      </w:r>
      <w:r w:rsidR="001C7C7E">
        <w:rPr>
          <w:color w:val="000000"/>
          <w:szCs w:val="22"/>
          <w:lang w:val="en-GB"/>
        </w:rPr>
        <w:t xml:space="preserve"> </w:t>
      </w:r>
      <w:r w:rsidRPr="008C5A7A">
        <w:rPr>
          <w:color w:val="000000"/>
          <w:szCs w:val="22"/>
          <w:lang w:val="en-GB"/>
        </w:rPr>
        <w:t>12.2%</w:t>
      </w:r>
      <w:r w:rsidR="001C7C7E">
        <w:rPr>
          <w:color w:val="000000"/>
          <w:szCs w:val="22"/>
          <w:lang w:val="en-GB"/>
        </w:rPr>
        <w:t xml:space="preserve"> </w:t>
      </w:r>
      <w:r w:rsidRPr="008C5A7A">
        <w:rPr>
          <w:color w:val="000000"/>
          <w:szCs w:val="22"/>
          <w:lang w:val="en-GB"/>
        </w:rPr>
        <w:t>since</w:t>
      </w:r>
      <w:r w:rsidR="001C7C7E">
        <w:rPr>
          <w:color w:val="000000"/>
          <w:szCs w:val="22"/>
          <w:lang w:val="en-GB"/>
        </w:rPr>
        <w:t xml:space="preserve"> </w:t>
      </w:r>
      <w:r w:rsidRPr="008C5A7A">
        <w:rPr>
          <w:color w:val="000000"/>
          <w:szCs w:val="22"/>
          <w:lang w:val="en-GB"/>
        </w:rPr>
        <w:t>January</w:t>
      </w:r>
      <w:r w:rsidR="001C7C7E">
        <w:rPr>
          <w:color w:val="000000"/>
          <w:szCs w:val="22"/>
          <w:lang w:val="en-GB"/>
        </w:rPr>
        <w:t xml:space="preserve"> </w:t>
      </w:r>
      <w:r w:rsidRPr="008C5A7A">
        <w:rPr>
          <w:color w:val="000000"/>
          <w:szCs w:val="22"/>
          <w:lang w:val="en-GB"/>
        </w:rPr>
        <w:t>2013;</w:t>
      </w:r>
      <w:r w:rsidR="001C7C7E">
        <w:rPr>
          <w:color w:val="000000"/>
          <w:szCs w:val="22"/>
          <w:lang w:val="en-GB"/>
        </w:rPr>
        <w:t xml:space="preserve"> </w:t>
      </w:r>
      <w:r w:rsidRPr="008C5A7A">
        <w:rPr>
          <w:color w:val="000000"/>
          <w:szCs w:val="22"/>
          <w:lang w:val="en-GB"/>
        </w:rPr>
        <w:t>however,</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i/>
          <w:iCs/>
          <w:color w:val="000000"/>
          <w:szCs w:val="22"/>
          <w:lang w:val="en-GB"/>
        </w:rPr>
        <w:t>premium</w:t>
      </w:r>
      <w:r w:rsidR="001C7C7E">
        <w:rPr>
          <w:i/>
          <w:iCs/>
          <w:color w:val="000000"/>
          <w:szCs w:val="22"/>
          <w:lang w:val="en-GB"/>
        </w:rPr>
        <w:t xml:space="preserve"> </w:t>
      </w:r>
      <w:r w:rsidRPr="008C5A7A">
        <w:rPr>
          <w:i/>
          <w:iCs/>
          <w:color w:val="000000"/>
          <w:szCs w:val="22"/>
          <w:lang w:val="en-GB"/>
        </w:rPr>
        <w:t>of</w:t>
      </w:r>
      <w:r w:rsidR="001C7C7E">
        <w:rPr>
          <w:i/>
          <w:iCs/>
          <w:color w:val="000000"/>
          <w:szCs w:val="22"/>
          <w:lang w:val="en-GB"/>
        </w:rPr>
        <w:t xml:space="preserve"> </w:t>
      </w:r>
      <w:r w:rsidRPr="008C5A7A">
        <w:rPr>
          <w:i/>
          <w:iCs/>
          <w:color w:val="000000"/>
          <w:szCs w:val="22"/>
          <w:lang w:val="en-GB"/>
        </w:rPr>
        <w:t>new</w:t>
      </w:r>
      <w:r w:rsidR="001C7C7E">
        <w:rPr>
          <w:i/>
          <w:iCs/>
          <w:color w:val="000000"/>
          <w:szCs w:val="22"/>
          <w:lang w:val="en-GB"/>
        </w:rPr>
        <w:t xml:space="preserve"> </w:t>
      </w:r>
      <w:r w:rsidRPr="008C5A7A">
        <w:rPr>
          <w:i/>
          <w:iCs/>
          <w:color w:val="000000"/>
          <w:szCs w:val="22"/>
          <w:lang w:val="en-GB"/>
        </w:rPr>
        <w:t>over</w:t>
      </w:r>
      <w:r w:rsidR="001C7C7E">
        <w:rPr>
          <w:i/>
          <w:iCs/>
          <w:color w:val="000000"/>
          <w:szCs w:val="22"/>
          <w:lang w:val="en-GB"/>
        </w:rPr>
        <w:t xml:space="preserve"> </w:t>
      </w:r>
      <w:r w:rsidRPr="008C5A7A">
        <w:rPr>
          <w:i/>
          <w:iCs/>
          <w:color w:val="000000"/>
          <w:szCs w:val="22"/>
          <w:lang w:val="en-GB"/>
        </w:rPr>
        <w:t>existing</w:t>
      </w:r>
      <w:r w:rsidR="001C7C7E">
        <w:rPr>
          <w:i/>
          <w:iCs/>
          <w:color w:val="000000"/>
          <w:szCs w:val="22"/>
          <w:lang w:val="en-GB"/>
        </w:rPr>
        <w:t xml:space="preserve"> </w:t>
      </w:r>
      <w:r w:rsidRPr="008C5A7A">
        <w:rPr>
          <w:i/>
          <w:iCs/>
          <w:color w:val="000000"/>
          <w:szCs w:val="22"/>
          <w:lang w:val="en-GB"/>
        </w:rPr>
        <w:t>stock</w:t>
      </w:r>
      <w:r w:rsidR="001C7C7E">
        <w:rPr>
          <w:i/>
          <w:iCs/>
          <w:color w:val="000000"/>
          <w:szCs w:val="22"/>
          <w:lang w:val="en-GB"/>
        </w:rPr>
        <w:t xml:space="preserve"> </w:t>
      </w:r>
      <w:r w:rsidRPr="008C5A7A">
        <w:rPr>
          <w:color w:val="000000"/>
          <w:szCs w:val="22"/>
          <w:lang w:val="en-GB"/>
        </w:rPr>
        <w:t>has</w:t>
      </w:r>
      <w:r w:rsidR="001C7C7E">
        <w:rPr>
          <w:color w:val="000000"/>
          <w:szCs w:val="22"/>
          <w:lang w:val="en-GB"/>
        </w:rPr>
        <w:t xml:space="preserve"> </w:t>
      </w:r>
      <w:r w:rsidRPr="008C5A7A">
        <w:rPr>
          <w:color w:val="000000"/>
          <w:szCs w:val="22"/>
          <w:lang w:val="en-GB"/>
        </w:rPr>
        <w:t>increased</w:t>
      </w:r>
      <w:r w:rsidR="001C7C7E">
        <w:rPr>
          <w:color w:val="000000"/>
          <w:szCs w:val="22"/>
          <w:lang w:val="en-GB"/>
        </w:rPr>
        <w:t xml:space="preserve"> </w:t>
      </w:r>
      <w:r w:rsidRPr="008C5A7A">
        <w:rPr>
          <w:color w:val="000000"/>
          <w:szCs w:val="22"/>
          <w:lang w:val="en-GB"/>
        </w:rPr>
        <w:t>from</w:t>
      </w:r>
      <w:r w:rsidR="001C7C7E">
        <w:rPr>
          <w:color w:val="000000"/>
          <w:szCs w:val="22"/>
          <w:lang w:val="en-GB"/>
        </w:rPr>
        <w:t xml:space="preserve"> </w:t>
      </w:r>
      <w:r w:rsidRPr="008C5A7A">
        <w:rPr>
          <w:color w:val="000000"/>
          <w:szCs w:val="22"/>
          <w:lang w:val="en-GB"/>
        </w:rPr>
        <w:t>28%</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44%.</w:t>
      </w:r>
      <w:r w:rsidR="001C7C7E">
        <w:rPr>
          <w:color w:val="000000"/>
          <w:szCs w:val="22"/>
          <w:lang w:val="en-GB"/>
        </w:rPr>
        <w:t xml:space="preserve"> </w:t>
      </w:r>
      <w:r w:rsidRPr="008C5A7A">
        <w:rPr>
          <w:color w:val="000000"/>
          <w:szCs w:val="22"/>
          <w:lang w:val="en-GB"/>
        </w:rPr>
        <w:t>Conservatively</w:t>
      </w:r>
      <w:r w:rsidR="001C7C7E">
        <w:rPr>
          <w:color w:val="000000"/>
          <w:szCs w:val="22"/>
          <w:lang w:val="en-GB"/>
        </w:rPr>
        <w:t xml:space="preserve"> </w:t>
      </w:r>
      <w:r w:rsidRPr="008C5A7A">
        <w:rPr>
          <w:color w:val="000000"/>
          <w:szCs w:val="22"/>
          <w:lang w:val="en-GB"/>
        </w:rPr>
        <w:t>taking</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previous</w:t>
      </w:r>
      <w:r w:rsidR="001C7C7E">
        <w:rPr>
          <w:color w:val="000000"/>
          <w:szCs w:val="22"/>
          <w:lang w:val="en-GB"/>
        </w:rPr>
        <w:t xml:space="preserve"> </w:t>
      </w:r>
      <w:r w:rsidRPr="008C5A7A">
        <w:rPr>
          <w:color w:val="000000"/>
          <w:szCs w:val="22"/>
          <w:lang w:val="en-GB"/>
        </w:rPr>
        <w:t>premium</w:t>
      </w:r>
      <w:r w:rsidR="001C7C7E">
        <w:rPr>
          <w:color w:val="000000"/>
          <w:szCs w:val="22"/>
          <w:lang w:val="en-GB"/>
        </w:rPr>
        <w:t xml:space="preserve"> </w:t>
      </w:r>
      <w:r w:rsidRPr="008C5A7A">
        <w:rPr>
          <w:color w:val="000000"/>
          <w:szCs w:val="22"/>
          <w:lang w:val="en-GB"/>
        </w:rPr>
        <w:t>for</w:t>
      </w:r>
      <w:r w:rsidR="001C7C7E">
        <w:rPr>
          <w:color w:val="000000"/>
          <w:szCs w:val="22"/>
          <w:lang w:val="en-GB"/>
        </w:rPr>
        <w:t xml:space="preserve"> </w:t>
      </w:r>
      <w:r w:rsidRPr="008C5A7A">
        <w:rPr>
          <w:color w:val="000000"/>
          <w:szCs w:val="22"/>
          <w:lang w:val="en-GB"/>
        </w:rPr>
        <w:t>new</w:t>
      </w:r>
      <w:r w:rsidR="001C7C7E">
        <w:rPr>
          <w:color w:val="000000"/>
          <w:szCs w:val="22"/>
          <w:lang w:val="en-GB"/>
        </w:rPr>
        <w:t xml:space="preserve"> </w:t>
      </w:r>
      <w:r w:rsidRPr="008C5A7A">
        <w:rPr>
          <w:color w:val="000000"/>
          <w:szCs w:val="22"/>
          <w:lang w:val="en-GB"/>
        </w:rPr>
        <w:t>builds</w:t>
      </w:r>
      <w:r w:rsidR="001C7C7E">
        <w:rPr>
          <w:color w:val="000000"/>
          <w:szCs w:val="22"/>
          <w:lang w:val="en-GB"/>
        </w:rPr>
        <w:t xml:space="preserve"> </w:t>
      </w:r>
      <w:r w:rsidRPr="008C5A7A">
        <w:rPr>
          <w:color w:val="000000"/>
          <w:szCs w:val="22"/>
          <w:lang w:val="en-GB"/>
        </w:rPr>
        <w:t>with</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new</w:t>
      </w:r>
      <w:r w:rsidR="001C7C7E">
        <w:rPr>
          <w:color w:val="000000"/>
          <w:szCs w:val="22"/>
          <w:lang w:val="en-GB"/>
        </w:rPr>
        <w:t xml:space="preserve"> </w:t>
      </w:r>
      <w:r w:rsidRPr="008C5A7A">
        <w:rPr>
          <w:color w:val="000000"/>
          <w:szCs w:val="22"/>
          <w:lang w:val="en-GB"/>
        </w:rPr>
        <w:t>postcode</w:t>
      </w:r>
      <w:r w:rsidR="001C7C7E">
        <w:rPr>
          <w:color w:val="000000"/>
          <w:szCs w:val="22"/>
          <w:lang w:val="en-GB"/>
        </w:rPr>
        <w:t xml:space="preserve"> </w:t>
      </w:r>
      <w:r w:rsidRPr="008C5A7A">
        <w:rPr>
          <w:color w:val="000000"/>
          <w:szCs w:val="22"/>
          <w:lang w:val="en-GB"/>
        </w:rPr>
        <w:t>average,</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come</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a</w:t>
      </w:r>
      <w:r w:rsidR="001C7C7E">
        <w:rPr>
          <w:color w:val="000000"/>
          <w:szCs w:val="22"/>
          <w:lang w:val="en-GB"/>
        </w:rPr>
        <w:t xml:space="preserve"> </w:t>
      </w:r>
      <w:r w:rsidRPr="008C5A7A">
        <w:rPr>
          <w:color w:val="000000"/>
          <w:szCs w:val="22"/>
          <w:lang w:val="en-GB"/>
        </w:rPr>
        <w:t>selling</w:t>
      </w:r>
      <w:r w:rsidR="001C7C7E">
        <w:rPr>
          <w:color w:val="000000"/>
          <w:szCs w:val="22"/>
          <w:lang w:val="en-GB"/>
        </w:rPr>
        <w:t xml:space="preserve"> </w:t>
      </w:r>
      <w:r w:rsidRPr="008C5A7A">
        <w:rPr>
          <w:color w:val="000000"/>
          <w:szCs w:val="22"/>
          <w:lang w:val="en-GB"/>
        </w:rPr>
        <w:t>price</w:t>
      </w:r>
      <w:r w:rsidR="001C7C7E">
        <w:rPr>
          <w:color w:val="000000"/>
          <w:szCs w:val="22"/>
          <w:lang w:val="en-GB"/>
        </w:rPr>
        <w:t xml:space="preserve"> </w:t>
      </w:r>
      <w:r w:rsidRPr="008C5A7A">
        <w:rPr>
          <w:color w:val="000000"/>
          <w:szCs w:val="22"/>
          <w:lang w:val="en-GB"/>
        </w:rPr>
        <w:t>today</w:t>
      </w:r>
      <w:r w:rsidR="001C7C7E">
        <w:rPr>
          <w:color w:val="000000"/>
          <w:szCs w:val="22"/>
          <w:lang w:val="en-GB"/>
        </w:rPr>
        <w:t xml:space="preserve"> </w:t>
      </w:r>
      <w:r w:rsidRPr="008C5A7A">
        <w:rPr>
          <w:color w:val="000000"/>
          <w:szCs w:val="22"/>
          <w:lang w:val="en-GB"/>
        </w:rPr>
        <w:t>of</w:t>
      </w:r>
      <w:r w:rsidR="001C7C7E">
        <w:rPr>
          <w:color w:val="000000"/>
          <w:szCs w:val="22"/>
          <w:lang w:val="en-GB"/>
        </w:rPr>
        <w:t xml:space="preserve"> </w:t>
      </w:r>
      <w:r w:rsidRPr="008C5A7A">
        <w:rPr>
          <w:color w:val="000000"/>
          <w:szCs w:val="22"/>
          <w:lang w:val="en-GB"/>
        </w:rPr>
        <w:t>£535</w:t>
      </w:r>
      <w:r w:rsidR="001C7C7E">
        <w:rPr>
          <w:color w:val="000000"/>
          <w:szCs w:val="22"/>
          <w:lang w:val="en-GB"/>
        </w:rPr>
        <w:t xml:space="preserve"> </w:t>
      </w:r>
      <w:r w:rsidRPr="008C5A7A">
        <w:rPr>
          <w:color w:val="000000"/>
          <w:szCs w:val="22"/>
          <w:lang w:val="en-GB"/>
        </w:rPr>
        <w:t>psf.</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also</w:t>
      </w:r>
      <w:r w:rsidR="001C7C7E">
        <w:rPr>
          <w:color w:val="000000"/>
          <w:szCs w:val="22"/>
          <w:lang w:val="en-GB"/>
        </w:rPr>
        <w:t xml:space="preserve"> </w:t>
      </w:r>
      <w:r w:rsidRPr="008C5A7A">
        <w:rPr>
          <w:color w:val="000000"/>
          <w:szCs w:val="22"/>
          <w:lang w:val="en-GB"/>
        </w:rPr>
        <w:t>see</w:t>
      </w:r>
      <w:r w:rsidR="001C7C7E">
        <w:rPr>
          <w:color w:val="000000"/>
          <w:szCs w:val="22"/>
          <w:lang w:val="en-GB"/>
        </w:rPr>
        <w:t xml:space="preserve"> </w:t>
      </w:r>
      <w:r w:rsidRPr="008C5A7A">
        <w:rPr>
          <w:color w:val="000000"/>
          <w:szCs w:val="22"/>
          <w:lang w:val="en-GB"/>
        </w:rPr>
        <w:t>an</w:t>
      </w:r>
      <w:r w:rsidR="001C7C7E">
        <w:rPr>
          <w:color w:val="000000"/>
          <w:szCs w:val="22"/>
          <w:lang w:val="en-GB"/>
        </w:rPr>
        <w:t xml:space="preserve"> </w:t>
      </w:r>
      <w:r w:rsidRPr="008C5A7A">
        <w:rPr>
          <w:color w:val="000000"/>
          <w:szCs w:val="22"/>
          <w:lang w:val="en-GB"/>
        </w:rPr>
        <w:t>opportunity</w:t>
      </w:r>
      <w:r w:rsidR="001C7C7E">
        <w:rPr>
          <w:color w:val="000000"/>
          <w:szCs w:val="22"/>
          <w:lang w:val="en-GB"/>
        </w:rPr>
        <w:t xml:space="preserve"> </w:t>
      </w:r>
      <w:r w:rsidRPr="008C5A7A">
        <w:rPr>
          <w:color w:val="000000"/>
          <w:szCs w:val="22"/>
          <w:lang w:val="en-GB"/>
        </w:rPr>
        <w:t>for</w:t>
      </w:r>
      <w:r w:rsidR="001C7C7E">
        <w:rPr>
          <w:color w:val="000000"/>
          <w:szCs w:val="22"/>
          <w:lang w:val="en-GB"/>
        </w:rPr>
        <w:t xml:space="preserve"> </w:t>
      </w:r>
      <w:r w:rsidRPr="008C5A7A">
        <w:rPr>
          <w:color w:val="000000"/>
          <w:szCs w:val="22"/>
          <w:lang w:val="en-GB"/>
        </w:rPr>
        <w:t>Private</w:t>
      </w:r>
      <w:r w:rsidR="001C7C7E">
        <w:rPr>
          <w:color w:val="000000"/>
          <w:szCs w:val="22"/>
          <w:lang w:val="en-GB"/>
        </w:rPr>
        <w:t xml:space="preserve"> </w:t>
      </w:r>
      <w:r w:rsidRPr="008C5A7A">
        <w:rPr>
          <w:color w:val="000000"/>
          <w:szCs w:val="22"/>
          <w:lang w:val="en-GB"/>
        </w:rPr>
        <w:t>Rented</w:t>
      </w:r>
      <w:r w:rsidR="001C7C7E">
        <w:rPr>
          <w:color w:val="000000"/>
          <w:szCs w:val="22"/>
          <w:lang w:val="en-GB"/>
        </w:rPr>
        <w:t xml:space="preserve"> </w:t>
      </w:r>
      <w:r w:rsidRPr="008C5A7A">
        <w:rPr>
          <w:color w:val="000000"/>
          <w:szCs w:val="22"/>
          <w:lang w:val="en-GB"/>
        </w:rPr>
        <w:t>Sector</w:t>
      </w:r>
      <w:r w:rsidR="001C7C7E">
        <w:rPr>
          <w:color w:val="000000"/>
          <w:szCs w:val="22"/>
          <w:lang w:val="en-GB"/>
        </w:rPr>
        <w:t xml:space="preserve"> </w:t>
      </w:r>
      <w:r w:rsidRPr="008C5A7A">
        <w:rPr>
          <w:color w:val="000000"/>
          <w:szCs w:val="22"/>
          <w:lang w:val="en-GB"/>
        </w:rPr>
        <w:t>development</w:t>
      </w:r>
      <w:r w:rsidR="001C7C7E">
        <w:rPr>
          <w:color w:val="000000"/>
          <w:szCs w:val="22"/>
          <w:lang w:val="en-GB"/>
        </w:rPr>
        <w:t xml:space="preserve"> </w:t>
      </w:r>
      <w:r w:rsidRPr="008C5A7A">
        <w:rPr>
          <w:color w:val="000000"/>
          <w:szCs w:val="22"/>
          <w:lang w:val="en-GB"/>
        </w:rPr>
        <w:t>that</w:t>
      </w:r>
      <w:r w:rsidR="001C7C7E">
        <w:rPr>
          <w:color w:val="000000"/>
          <w:szCs w:val="22"/>
          <w:lang w:val="en-GB"/>
        </w:rPr>
        <w:t xml:space="preserve"> </w:t>
      </w:r>
      <w:r w:rsidRPr="008C5A7A">
        <w:rPr>
          <w:color w:val="000000"/>
          <w:szCs w:val="22"/>
          <w:lang w:val="en-GB"/>
        </w:rPr>
        <w:t>could</w:t>
      </w:r>
      <w:r w:rsidR="001C7C7E">
        <w:rPr>
          <w:color w:val="000000"/>
          <w:szCs w:val="22"/>
          <w:lang w:val="en-GB"/>
        </w:rPr>
        <w:t xml:space="preserve"> </w:t>
      </w:r>
      <w:r w:rsidRPr="008C5A7A">
        <w:rPr>
          <w:color w:val="000000"/>
          <w:szCs w:val="22"/>
          <w:lang w:val="en-GB"/>
        </w:rPr>
        <w:t>be</w:t>
      </w:r>
      <w:r w:rsidR="001C7C7E">
        <w:rPr>
          <w:color w:val="000000"/>
          <w:szCs w:val="22"/>
          <w:lang w:val="en-GB"/>
        </w:rPr>
        <w:t xml:space="preserve"> </w:t>
      </w:r>
      <w:r w:rsidRPr="008C5A7A">
        <w:rPr>
          <w:color w:val="000000"/>
          <w:szCs w:val="22"/>
          <w:lang w:val="en-GB"/>
        </w:rPr>
        <w:t>worth</w:t>
      </w:r>
      <w:r w:rsidR="001C7C7E">
        <w:rPr>
          <w:color w:val="000000"/>
          <w:szCs w:val="22"/>
          <w:lang w:val="en-GB"/>
        </w:rPr>
        <w:t xml:space="preserve"> </w:t>
      </w:r>
      <w:r w:rsidRPr="008C5A7A">
        <w:rPr>
          <w:color w:val="000000"/>
          <w:szCs w:val="22"/>
          <w:lang w:val="en-GB"/>
        </w:rPr>
        <w:t>5p</w:t>
      </w:r>
      <w:r w:rsidR="001C7C7E">
        <w:rPr>
          <w:color w:val="000000"/>
          <w:szCs w:val="22"/>
          <w:lang w:val="en-GB"/>
        </w:rPr>
        <w:t xml:space="preserve"> </w:t>
      </w:r>
      <w:r w:rsidRPr="008C5A7A">
        <w:rPr>
          <w:color w:val="000000"/>
          <w:szCs w:val="22"/>
          <w:lang w:val="en-GB"/>
        </w:rPr>
        <w:t>ps</w:t>
      </w:r>
      <w:r w:rsidR="001C7C7E">
        <w:rPr>
          <w:color w:val="000000"/>
          <w:szCs w:val="22"/>
          <w:lang w:val="en-GB"/>
        </w:rPr>
        <w:t xml:space="preserve"> </w:t>
      </w:r>
      <w:r w:rsidRPr="008C5A7A">
        <w:rPr>
          <w:color w:val="000000"/>
          <w:szCs w:val="22"/>
          <w:lang w:val="en-GB"/>
        </w:rPr>
        <w:t>by</w:t>
      </w:r>
      <w:r w:rsidR="001C7C7E">
        <w:rPr>
          <w:color w:val="000000"/>
          <w:szCs w:val="22"/>
          <w:lang w:val="en-GB"/>
        </w:rPr>
        <w:t xml:space="preserve"> </w:t>
      </w:r>
      <w:r w:rsidRPr="008C5A7A">
        <w:rPr>
          <w:color w:val="000000"/>
          <w:szCs w:val="22"/>
          <w:lang w:val="en-GB"/>
        </w:rPr>
        <w:t>2015.</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upgrade</w:t>
      </w:r>
      <w:r w:rsidR="001C7C7E">
        <w:rPr>
          <w:color w:val="000000"/>
          <w:szCs w:val="22"/>
          <w:lang w:val="en-GB"/>
        </w:rPr>
        <w:t xml:space="preserve"> </w:t>
      </w:r>
      <w:r w:rsidRPr="008C5A7A">
        <w:rPr>
          <w:color w:val="000000"/>
          <w:szCs w:val="22"/>
          <w:lang w:val="en-GB"/>
        </w:rPr>
        <w:t>our</w:t>
      </w:r>
      <w:r w:rsidR="001C7C7E">
        <w:rPr>
          <w:color w:val="000000"/>
          <w:szCs w:val="22"/>
          <w:lang w:val="en-GB"/>
        </w:rPr>
        <w:t xml:space="preserve"> </w:t>
      </w:r>
      <w:r w:rsidRPr="008C5A7A">
        <w:rPr>
          <w:color w:val="000000"/>
          <w:szCs w:val="22"/>
          <w:lang w:val="en-GB"/>
        </w:rPr>
        <w:t>NAV</w:t>
      </w:r>
      <w:r w:rsidR="001C7C7E">
        <w:rPr>
          <w:color w:val="000000"/>
          <w:szCs w:val="22"/>
          <w:lang w:val="en-GB"/>
        </w:rPr>
        <w:t xml:space="preserve"> </w:t>
      </w:r>
      <w:r w:rsidRPr="008C5A7A">
        <w:rPr>
          <w:color w:val="000000"/>
          <w:szCs w:val="22"/>
          <w:lang w:val="en-GB"/>
        </w:rPr>
        <w:t>profile</w:t>
      </w:r>
      <w:r w:rsidR="001C7C7E">
        <w:rPr>
          <w:color w:val="000000"/>
          <w:szCs w:val="22"/>
          <w:lang w:val="en-GB"/>
        </w:rPr>
        <w:t xml:space="preserve"> </w:t>
      </w:r>
      <w:r w:rsidRPr="008C5A7A">
        <w:rPr>
          <w:color w:val="000000"/>
          <w:szCs w:val="22"/>
          <w:lang w:val="en-GB"/>
        </w:rPr>
        <w:t>and</w:t>
      </w:r>
      <w:r w:rsidR="001C7C7E">
        <w:rPr>
          <w:color w:val="000000"/>
          <w:szCs w:val="22"/>
          <w:lang w:val="en-GB"/>
        </w:rPr>
        <w:t xml:space="preserve"> </w:t>
      </w:r>
      <w:r w:rsidRPr="008C5A7A">
        <w:rPr>
          <w:color w:val="000000"/>
          <w:szCs w:val="22"/>
          <w:lang w:val="en-GB"/>
        </w:rPr>
        <w:t>January</w:t>
      </w:r>
      <w:r w:rsidR="001C7C7E">
        <w:rPr>
          <w:color w:val="000000"/>
          <w:szCs w:val="22"/>
          <w:lang w:val="en-GB"/>
        </w:rPr>
        <w:t xml:space="preserve"> </w:t>
      </w:r>
      <w:r w:rsidRPr="008C5A7A">
        <w:rPr>
          <w:color w:val="000000"/>
          <w:szCs w:val="22"/>
          <w:lang w:val="en-GB"/>
        </w:rPr>
        <w:t>2015</w:t>
      </w:r>
      <w:r w:rsidR="001C7C7E">
        <w:rPr>
          <w:color w:val="000000"/>
          <w:szCs w:val="22"/>
          <w:lang w:val="en-GB"/>
        </w:rPr>
        <w:t xml:space="preserve"> </w:t>
      </w:r>
      <w:r w:rsidRPr="008C5A7A">
        <w:rPr>
          <w:color w:val="000000"/>
          <w:szCs w:val="22"/>
          <w:lang w:val="en-GB"/>
        </w:rPr>
        <w:t>price</w:t>
      </w:r>
      <w:r w:rsidR="001C7C7E">
        <w:rPr>
          <w:color w:val="000000"/>
          <w:szCs w:val="22"/>
          <w:lang w:val="en-GB"/>
        </w:rPr>
        <w:t xml:space="preserve"> </w:t>
      </w:r>
      <w:r w:rsidRPr="008C5A7A">
        <w:rPr>
          <w:color w:val="000000"/>
          <w:szCs w:val="22"/>
          <w:lang w:val="en-GB"/>
        </w:rPr>
        <w:t>target</w:t>
      </w:r>
      <w:r w:rsidR="001C7C7E">
        <w:rPr>
          <w:color w:val="000000"/>
          <w:szCs w:val="22"/>
          <w:lang w:val="en-GB"/>
        </w:rPr>
        <w:t xml:space="preserve"> </w:t>
      </w:r>
      <w:r w:rsidRPr="008C5A7A">
        <w:rPr>
          <w:color w:val="000000"/>
          <w:szCs w:val="22"/>
          <w:lang w:val="en-GB"/>
        </w:rPr>
        <w:t>from</w:t>
      </w:r>
      <w:r w:rsidR="001C7C7E">
        <w:rPr>
          <w:color w:val="000000"/>
          <w:szCs w:val="22"/>
          <w:lang w:val="en-GB"/>
        </w:rPr>
        <w:t xml:space="preserve"> </w:t>
      </w:r>
      <w:r w:rsidRPr="008C5A7A">
        <w:rPr>
          <w:color w:val="000000"/>
          <w:szCs w:val="22"/>
          <w:lang w:val="en-GB"/>
        </w:rPr>
        <w:t>110p</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130,</w:t>
      </w:r>
      <w:r w:rsidR="001C7C7E">
        <w:rPr>
          <w:color w:val="000000"/>
          <w:szCs w:val="22"/>
          <w:lang w:val="en-GB"/>
        </w:rPr>
        <w:t xml:space="preserve"> </w:t>
      </w:r>
      <w:r w:rsidRPr="008C5A7A">
        <w:rPr>
          <w:color w:val="000000"/>
          <w:szCs w:val="22"/>
          <w:lang w:val="en-GB"/>
        </w:rPr>
        <w:t>giving</w:t>
      </w:r>
      <w:r w:rsidR="001C7C7E">
        <w:rPr>
          <w:color w:val="000000"/>
          <w:szCs w:val="22"/>
          <w:lang w:val="en-GB"/>
        </w:rPr>
        <w:t xml:space="preserve"> </w:t>
      </w:r>
      <w:r w:rsidRPr="008C5A7A">
        <w:rPr>
          <w:color w:val="000000"/>
          <w:szCs w:val="22"/>
          <w:lang w:val="en-GB"/>
        </w:rPr>
        <w:t>25%</w:t>
      </w:r>
      <w:r w:rsidR="001C7C7E">
        <w:rPr>
          <w:color w:val="000000"/>
          <w:szCs w:val="22"/>
          <w:lang w:val="en-GB"/>
        </w:rPr>
        <w:t xml:space="preserve"> </w:t>
      </w:r>
      <w:r w:rsidRPr="008C5A7A">
        <w:rPr>
          <w:color w:val="000000"/>
          <w:szCs w:val="22"/>
          <w:lang w:val="en-GB"/>
        </w:rPr>
        <w:t>potential</w:t>
      </w:r>
      <w:r w:rsidR="001C7C7E">
        <w:rPr>
          <w:color w:val="000000"/>
          <w:szCs w:val="22"/>
          <w:lang w:val="en-GB"/>
        </w:rPr>
        <w:t xml:space="preserve"> </w:t>
      </w:r>
      <w:r w:rsidRPr="008C5A7A">
        <w:rPr>
          <w:color w:val="000000"/>
          <w:szCs w:val="22"/>
          <w:lang w:val="en-GB"/>
        </w:rPr>
        <w:t>upside.</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continue</w:t>
      </w:r>
      <w:r w:rsidR="001C7C7E">
        <w:rPr>
          <w:color w:val="000000"/>
          <w:szCs w:val="22"/>
          <w:lang w:val="en-GB"/>
        </w:rPr>
        <w:t xml:space="preserve"> </w:t>
      </w:r>
      <w:r w:rsidRPr="008C5A7A">
        <w:rPr>
          <w:color w:val="000000"/>
          <w:szCs w:val="22"/>
          <w:lang w:val="en-GB"/>
        </w:rPr>
        <w:t>reading,</w:t>
      </w:r>
      <w:r w:rsidR="001C7C7E">
        <w:rPr>
          <w:color w:val="000000"/>
          <w:szCs w:val="22"/>
          <w:lang w:val="en-GB"/>
        </w:rPr>
        <w:t xml:space="preserve"> </w:t>
      </w:r>
      <w:r w:rsidRPr="008C5A7A">
        <w:rPr>
          <w:color w:val="000000"/>
          <w:szCs w:val="22"/>
          <w:lang w:val="en-GB"/>
        </w:rPr>
        <w:t>please</w:t>
      </w:r>
      <w:r w:rsidR="001C7C7E">
        <w:rPr>
          <w:color w:val="000000"/>
          <w:szCs w:val="22"/>
          <w:lang w:val="en-GB"/>
        </w:rPr>
        <w:t xml:space="preserve"> </w:t>
      </w:r>
      <w:hyperlink r:id="rId25" w:history="1">
        <w:r w:rsidRPr="008C5A7A">
          <w:rPr>
            <w:rStyle w:val="Hyperlink"/>
            <w:szCs w:val="22"/>
            <w:lang w:val="en-GB"/>
          </w:rPr>
          <w:t>click</w:t>
        </w:r>
        <w:r w:rsidR="001C7C7E">
          <w:rPr>
            <w:rStyle w:val="Hyperlink"/>
            <w:szCs w:val="22"/>
            <w:lang w:val="en-GB"/>
          </w:rPr>
          <w:t xml:space="preserve"> </w:t>
        </w:r>
        <w:r w:rsidRPr="008C5A7A">
          <w:rPr>
            <w:rStyle w:val="Hyperlink"/>
            <w:szCs w:val="22"/>
            <w:lang w:val="en-GB"/>
          </w:rPr>
          <w:t>here</w:t>
        </w:r>
      </w:hyperlink>
      <w:r w:rsidRPr="008C5A7A">
        <w:rPr>
          <w:color w:val="000000"/>
          <w:szCs w:val="22"/>
          <w:lang w:val="en-GB"/>
        </w:rPr>
        <w:t>.</w:t>
      </w:r>
      <w:r w:rsidR="001C7C7E">
        <w:rPr>
          <w:color w:val="000000"/>
          <w:szCs w:val="22"/>
          <w:lang w:val="en-GB"/>
        </w:rPr>
        <w:t xml:space="preserve"> </w:t>
      </w:r>
    </w:p>
    <w:p w:rsidR="002E187C" w:rsidRPr="008C5A7A" w:rsidRDefault="002E187C" w:rsidP="002E187C">
      <w:pPr>
        <w:pStyle w:val="FPBullet"/>
        <w:rPr>
          <w:b/>
          <w:bCs/>
          <w:i/>
          <w:iCs/>
          <w:lang w:val="en-GB"/>
        </w:rPr>
      </w:pPr>
      <w:r w:rsidRPr="008C5A7A">
        <w:rPr>
          <w:b/>
          <w:lang w:val="en-GB"/>
        </w:rPr>
        <w:t>Recent</w:t>
      </w:r>
      <w:r w:rsidR="001C7C7E">
        <w:rPr>
          <w:b/>
          <w:lang w:val="en-GB"/>
        </w:rPr>
        <w:t xml:space="preserve"> </w:t>
      </w:r>
      <w:r w:rsidRPr="008C5A7A">
        <w:rPr>
          <w:b/>
          <w:lang w:val="en-GB"/>
        </w:rPr>
        <w:t>note:</w:t>
      </w:r>
      <w:r w:rsidR="001C7C7E">
        <w:rPr>
          <w:b/>
          <w:lang w:val="en-GB"/>
        </w:rPr>
        <w:t xml:space="preserve"> </w:t>
      </w:r>
      <w:r w:rsidRPr="008C5A7A">
        <w:rPr>
          <w:b/>
          <w:lang w:val="en-GB"/>
        </w:rPr>
        <w:t>European</w:t>
      </w:r>
      <w:r w:rsidR="001C7C7E">
        <w:rPr>
          <w:b/>
          <w:lang w:val="en-GB"/>
        </w:rPr>
        <w:t xml:space="preserve"> </w:t>
      </w:r>
      <w:r w:rsidRPr="008C5A7A">
        <w:rPr>
          <w:b/>
          <w:lang w:val="en-GB"/>
        </w:rPr>
        <w:t>Property:</w:t>
      </w:r>
      <w:r w:rsidR="001C7C7E">
        <w:rPr>
          <w:b/>
          <w:lang w:val="en-GB"/>
        </w:rPr>
        <w:t xml:space="preserve"> </w:t>
      </w:r>
      <w:r w:rsidRPr="008C5A7A">
        <w:rPr>
          <w:b/>
          <w:lang w:val="en-GB"/>
        </w:rPr>
        <w:t>2014</w:t>
      </w:r>
      <w:r w:rsidR="001C7C7E">
        <w:rPr>
          <w:b/>
          <w:lang w:val="en-GB"/>
        </w:rPr>
        <w:t xml:space="preserve"> </w:t>
      </w:r>
      <w:r w:rsidRPr="008C5A7A">
        <w:rPr>
          <w:b/>
          <w:lang w:val="en-GB"/>
        </w:rPr>
        <w:t>Conference</w:t>
      </w:r>
      <w:r w:rsidR="001C7C7E">
        <w:rPr>
          <w:b/>
          <w:lang w:val="en-GB"/>
        </w:rPr>
        <w:t xml:space="preserve"> </w:t>
      </w:r>
      <w:r w:rsidRPr="008C5A7A">
        <w:rPr>
          <w:b/>
          <w:lang w:val="en-GB"/>
        </w:rPr>
        <w:t>takeaways:</w:t>
      </w:r>
      <w:r w:rsidR="001C7C7E">
        <w:rPr>
          <w:b/>
          <w:lang w:val="en-GB"/>
        </w:rPr>
        <w:t xml:space="preserve"> </w:t>
      </w:r>
      <w:r w:rsidRPr="008C5A7A">
        <w:rPr>
          <w:b/>
          <w:lang w:val="en-GB"/>
        </w:rPr>
        <w:t>Running</w:t>
      </w:r>
      <w:r w:rsidR="001C7C7E">
        <w:rPr>
          <w:b/>
          <w:lang w:val="en-GB"/>
        </w:rPr>
        <w:t xml:space="preserve"> </w:t>
      </w:r>
      <w:r w:rsidRPr="008C5A7A">
        <w:rPr>
          <w:b/>
          <w:lang w:val="en-GB"/>
        </w:rPr>
        <w:t>with</w:t>
      </w:r>
      <w:r w:rsidR="001C7C7E">
        <w:rPr>
          <w:b/>
          <w:lang w:val="en-GB"/>
        </w:rPr>
        <w:t xml:space="preserve"> </w:t>
      </w:r>
      <w:r w:rsidRPr="008C5A7A">
        <w:rPr>
          <w:b/>
          <w:lang w:val="en-GB"/>
        </w:rPr>
        <w:t>the</w:t>
      </w:r>
      <w:r w:rsidR="001C7C7E">
        <w:rPr>
          <w:b/>
          <w:lang w:val="en-GB"/>
        </w:rPr>
        <w:t xml:space="preserve"> </w:t>
      </w:r>
      <w:r w:rsidRPr="008C5A7A">
        <w:rPr>
          <w:b/>
          <w:lang w:val="en-GB"/>
        </w:rPr>
        <w:t>bulls.</w:t>
      </w:r>
      <w:r w:rsidR="001C7C7E">
        <w:rPr>
          <w:b/>
          <w:lang w:val="en-GB"/>
        </w:rPr>
        <w:t xml:space="preserve"> </w:t>
      </w:r>
      <w:r w:rsidRPr="008C5A7A">
        <w:rPr>
          <w:lang w:val="en-GB"/>
        </w:rPr>
        <w:t>We</w:t>
      </w:r>
      <w:r w:rsidR="001C7C7E">
        <w:rPr>
          <w:lang w:val="en-GB"/>
        </w:rPr>
        <w:t xml:space="preserve"> </w:t>
      </w:r>
      <w:r w:rsidRPr="008C5A7A">
        <w:rPr>
          <w:lang w:val="en-GB"/>
        </w:rPr>
        <w:t>hosted</w:t>
      </w:r>
      <w:r w:rsidR="001C7C7E">
        <w:rPr>
          <w:lang w:val="en-GB"/>
        </w:rPr>
        <w:t xml:space="preserve"> </w:t>
      </w:r>
      <w:r w:rsidRPr="008C5A7A">
        <w:rPr>
          <w:lang w:val="en-GB"/>
        </w:rPr>
        <w:t>two</w:t>
      </w:r>
      <w:r w:rsidR="001C7C7E">
        <w:rPr>
          <w:lang w:val="en-GB"/>
        </w:rPr>
        <w:t xml:space="preserve"> </w:t>
      </w:r>
      <w:r w:rsidRPr="008C5A7A">
        <w:rPr>
          <w:lang w:val="en-GB"/>
        </w:rPr>
        <w:t>property</w:t>
      </w:r>
      <w:r w:rsidR="001C7C7E">
        <w:rPr>
          <w:lang w:val="en-GB"/>
        </w:rPr>
        <w:t xml:space="preserve"> </w:t>
      </w:r>
      <w:r w:rsidRPr="008C5A7A">
        <w:rPr>
          <w:lang w:val="en-GB"/>
        </w:rPr>
        <w:t>tours</w:t>
      </w:r>
      <w:r w:rsidR="001C7C7E">
        <w:rPr>
          <w:lang w:val="en-GB"/>
        </w:rPr>
        <w:t xml:space="preserve"> </w:t>
      </w:r>
      <w:r w:rsidRPr="008C5A7A">
        <w:rPr>
          <w:lang w:val="en-GB"/>
        </w:rPr>
        <w:t>in</w:t>
      </w:r>
      <w:r w:rsidR="001C7C7E">
        <w:rPr>
          <w:lang w:val="en-GB"/>
        </w:rPr>
        <w:t xml:space="preserve"> </w:t>
      </w:r>
      <w:r w:rsidRPr="008C5A7A">
        <w:rPr>
          <w:lang w:val="en-GB"/>
        </w:rPr>
        <w:t>London</w:t>
      </w:r>
      <w:r w:rsidR="001C7C7E">
        <w:rPr>
          <w:lang w:val="en-GB"/>
        </w:rPr>
        <w:t xml:space="preserve"> </w:t>
      </w:r>
      <w:r w:rsidRPr="008C5A7A">
        <w:rPr>
          <w:lang w:val="en-GB"/>
        </w:rPr>
        <w:t>and</w:t>
      </w:r>
      <w:r w:rsidR="001C7C7E">
        <w:rPr>
          <w:lang w:val="en-GB"/>
        </w:rPr>
        <w:t xml:space="preserve"> </w:t>
      </w:r>
      <w:r w:rsidRPr="008C5A7A">
        <w:rPr>
          <w:lang w:val="en-GB"/>
        </w:rPr>
        <w:t>our</w:t>
      </w:r>
      <w:r w:rsidR="001C7C7E">
        <w:rPr>
          <w:lang w:val="en-GB"/>
        </w:rPr>
        <w:t xml:space="preserve"> </w:t>
      </w:r>
      <w:r w:rsidRPr="008C5A7A">
        <w:rPr>
          <w:lang w:val="en-GB"/>
        </w:rPr>
        <w:t>(biggest</w:t>
      </w:r>
      <w:r w:rsidR="001C7C7E">
        <w:rPr>
          <w:lang w:val="en-GB"/>
        </w:rPr>
        <w:t xml:space="preserve"> </w:t>
      </w:r>
      <w:r w:rsidRPr="008C5A7A">
        <w:rPr>
          <w:lang w:val="en-GB"/>
        </w:rPr>
        <w:t>ever)</w:t>
      </w:r>
      <w:r w:rsidR="001C7C7E">
        <w:rPr>
          <w:lang w:val="en-GB"/>
        </w:rPr>
        <w:t xml:space="preserve"> </w:t>
      </w:r>
      <w:r w:rsidRPr="008C5A7A">
        <w:rPr>
          <w:lang w:val="en-GB"/>
        </w:rPr>
        <w:t>annual</w:t>
      </w:r>
      <w:r w:rsidR="001C7C7E">
        <w:rPr>
          <w:lang w:val="en-GB"/>
        </w:rPr>
        <w:t xml:space="preserve"> </w:t>
      </w:r>
      <w:r w:rsidRPr="008C5A7A">
        <w:rPr>
          <w:lang w:val="en-GB"/>
        </w:rPr>
        <w:t>conference.</w:t>
      </w:r>
      <w:r w:rsidR="001C7C7E">
        <w:rPr>
          <w:lang w:val="en-GB"/>
        </w:rPr>
        <w:t xml:space="preserve"> </w:t>
      </w:r>
      <w:r w:rsidRPr="008C5A7A">
        <w:rPr>
          <w:lang w:val="en-GB"/>
        </w:rPr>
        <w:t>We</w:t>
      </w:r>
      <w:r w:rsidR="001C7C7E">
        <w:rPr>
          <w:lang w:val="en-GB"/>
        </w:rPr>
        <w:t xml:space="preserve"> </w:t>
      </w:r>
      <w:r w:rsidRPr="008C5A7A">
        <w:rPr>
          <w:lang w:val="en-GB"/>
        </w:rPr>
        <w:t>noted</w:t>
      </w:r>
      <w:r w:rsidR="001C7C7E">
        <w:rPr>
          <w:lang w:val="en-GB"/>
        </w:rPr>
        <w:t xml:space="preserve"> </w:t>
      </w:r>
      <w:r w:rsidRPr="008C5A7A">
        <w:rPr>
          <w:lang w:val="en-GB"/>
        </w:rPr>
        <w:t>that</w:t>
      </w:r>
      <w:r w:rsidR="001C7C7E">
        <w:rPr>
          <w:lang w:val="en-GB"/>
        </w:rPr>
        <w:t xml:space="preserve"> </w:t>
      </w:r>
      <w:r w:rsidRPr="008C5A7A">
        <w:rPr>
          <w:lang w:val="en-GB"/>
        </w:rPr>
        <w:t>optimism</w:t>
      </w:r>
      <w:r w:rsidR="001C7C7E">
        <w:rPr>
          <w:lang w:val="en-GB"/>
        </w:rPr>
        <w:t xml:space="preserve"> </w:t>
      </w:r>
      <w:r w:rsidRPr="008C5A7A">
        <w:rPr>
          <w:lang w:val="en-GB"/>
        </w:rPr>
        <w:t>is</w:t>
      </w:r>
      <w:r w:rsidR="001C7C7E">
        <w:rPr>
          <w:lang w:val="en-GB"/>
        </w:rPr>
        <w:t xml:space="preserve"> </w:t>
      </w:r>
      <w:r w:rsidRPr="008C5A7A">
        <w:rPr>
          <w:lang w:val="en-GB"/>
        </w:rPr>
        <w:t>no</w:t>
      </w:r>
      <w:r w:rsidR="001C7C7E">
        <w:rPr>
          <w:lang w:val="en-GB"/>
        </w:rPr>
        <w:t xml:space="preserve"> </w:t>
      </w:r>
      <w:r w:rsidRPr="008C5A7A">
        <w:rPr>
          <w:lang w:val="en-GB"/>
        </w:rPr>
        <w:t>longer</w:t>
      </w:r>
      <w:r w:rsidR="001C7C7E">
        <w:rPr>
          <w:lang w:val="en-GB"/>
        </w:rPr>
        <w:t xml:space="preserve"> </w:t>
      </w:r>
      <w:r w:rsidRPr="008C5A7A">
        <w:rPr>
          <w:lang w:val="en-GB"/>
        </w:rPr>
        <w:t>confined</w:t>
      </w:r>
      <w:r w:rsidR="001C7C7E">
        <w:rPr>
          <w:lang w:val="en-GB"/>
        </w:rPr>
        <w:t xml:space="preserve"> </w:t>
      </w:r>
      <w:r w:rsidRPr="008C5A7A">
        <w:rPr>
          <w:lang w:val="en-GB"/>
        </w:rPr>
        <w:t>to</w:t>
      </w:r>
      <w:r w:rsidR="001C7C7E">
        <w:rPr>
          <w:lang w:val="en-GB"/>
        </w:rPr>
        <w:t xml:space="preserve"> </w:t>
      </w:r>
      <w:r w:rsidRPr="008C5A7A">
        <w:rPr>
          <w:lang w:val="en-GB"/>
        </w:rPr>
        <w:t>core</w:t>
      </w:r>
      <w:r w:rsidR="001C7C7E">
        <w:rPr>
          <w:lang w:val="en-GB"/>
        </w:rPr>
        <w:t xml:space="preserve"> </w:t>
      </w:r>
      <w:r w:rsidRPr="008C5A7A">
        <w:rPr>
          <w:lang w:val="en-GB"/>
        </w:rPr>
        <w:t>markets,</w:t>
      </w:r>
      <w:r w:rsidR="001C7C7E">
        <w:rPr>
          <w:lang w:val="en-GB"/>
        </w:rPr>
        <w:t xml:space="preserve"> </w:t>
      </w:r>
      <w:r w:rsidRPr="008C5A7A">
        <w:rPr>
          <w:lang w:val="en-GB"/>
        </w:rPr>
        <w:t>and</w:t>
      </w:r>
      <w:r w:rsidR="001C7C7E">
        <w:rPr>
          <w:lang w:val="en-GB"/>
        </w:rPr>
        <w:t xml:space="preserve"> </w:t>
      </w:r>
      <w:r w:rsidRPr="008C5A7A">
        <w:rPr>
          <w:lang w:val="en-GB"/>
        </w:rPr>
        <w:t>across</w:t>
      </w:r>
      <w:r w:rsidR="001C7C7E">
        <w:rPr>
          <w:lang w:val="en-GB"/>
        </w:rPr>
        <w:t xml:space="preserve"> </w:t>
      </w:r>
      <w:r w:rsidRPr="008C5A7A">
        <w:rPr>
          <w:lang w:val="en-GB"/>
        </w:rPr>
        <w:t>Europe</w:t>
      </w:r>
      <w:r w:rsidR="001C7C7E">
        <w:rPr>
          <w:lang w:val="en-GB"/>
        </w:rPr>
        <w:t xml:space="preserve"> </w:t>
      </w:r>
      <w:r w:rsidRPr="008C5A7A">
        <w:rPr>
          <w:lang w:val="en-GB"/>
        </w:rPr>
        <w:t>both</w:t>
      </w:r>
      <w:r w:rsidR="001C7C7E">
        <w:rPr>
          <w:lang w:val="en-GB"/>
        </w:rPr>
        <w:t xml:space="preserve"> </w:t>
      </w:r>
      <w:r w:rsidRPr="008C5A7A">
        <w:rPr>
          <w:lang w:val="en-GB"/>
        </w:rPr>
        <w:t>occupational</w:t>
      </w:r>
      <w:r w:rsidR="001C7C7E">
        <w:rPr>
          <w:lang w:val="en-GB"/>
        </w:rPr>
        <w:t xml:space="preserve"> </w:t>
      </w:r>
      <w:r w:rsidRPr="008C5A7A">
        <w:rPr>
          <w:lang w:val="en-GB"/>
        </w:rPr>
        <w:t>and</w:t>
      </w:r>
      <w:r w:rsidR="001C7C7E">
        <w:rPr>
          <w:lang w:val="en-GB"/>
        </w:rPr>
        <w:t xml:space="preserve"> </w:t>
      </w:r>
      <w:r w:rsidRPr="008C5A7A">
        <w:rPr>
          <w:lang w:val="en-GB"/>
        </w:rPr>
        <w:t>investor</w:t>
      </w:r>
      <w:r w:rsidR="001C7C7E">
        <w:rPr>
          <w:lang w:val="en-GB"/>
        </w:rPr>
        <w:t xml:space="preserve"> </w:t>
      </w:r>
      <w:r w:rsidRPr="008C5A7A">
        <w:rPr>
          <w:lang w:val="en-GB"/>
        </w:rPr>
        <w:t>sentiment</w:t>
      </w:r>
      <w:r w:rsidR="001C7C7E">
        <w:rPr>
          <w:lang w:val="en-GB"/>
        </w:rPr>
        <w:t xml:space="preserve"> </w:t>
      </w:r>
      <w:r w:rsidRPr="008C5A7A">
        <w:rPr>
          <w:lang w:val="en-GB"/>
        </w:rPr>
        <w:t>is</w:t>
      </w:r>
      <w:r w:rsidR="001C7C7E">
        <w:rPr>
          <w:lang w:val="en-GB"/>
        </w:rPr>
        <w:t xml:space="preserve"> </w:t>
      </w:r>
      <w:r w:rsidRPr="008C5A7A">
        <w:rPr>
          <w:lang w:val="en-GB"/>
        </w:rPr>
        <w:t>the</w:t>
      </w:r>
      <w:r w:rsidR="001C7C7E">
        <w:rPr>
          <w:lang w:val="en-GB"/>
        </w:rPr>
        <w:t xml:space="preserve"> </w:t>
      </w:r>
      <w:r w:rsidRPr="008C5A7A">
        <w:rPr>
          <w:lang w:val="en-GB"/>
        </w:rPr>
        <w:t>most</w:t>
      </w:r>
      <w:r w:rsidR="001C7C7E">
        <w:rPr>
          <w:lang w:val="en-GB"/>
        </w:rPr>
        <w:t xml:space="preserve"> </w:t>
      </w:r>
      <w:r w:rsidRPr="008C5A7A">
        <w:rPr>
          <w:lang w:val="en-GB"/>
        </w:rPr>
        <w:t>bullish</w:t>
      </w:r>
      <w:r w:rsidR="001C7C7E">
        <w:rPr>
          <w:lang w:val="en-GB"/>
        </w:rPr>
        <w:t xml:space="preserve"> </w:t>
      </w:r>
      <w:r w:rsidRPr="008C5A7A">
        <w:rPr>
          <w:lang w:val="en-GB"/>
        </w:rPr>
        <w:t>for</w:t>
      </w:r>
      <w:r w:rsidR="001C7C7E">
        <w:rPr>
          <w:lang w:val="en-GB"/>
        </w:rPr>
        <w:t xml:space="preserve"> </w:t>
      </w:r>
      <w:r w:rsidRPr="008C5A7A">
        <w:rPr>
          <w:lang w:val="en-GB"/>
        </w:rPr>
        <w:t>years.</w:t>
      </w:r>
      <w:r w:rsidR="001C7C7E">
        <w:rPr>
          <w:lang w:val="en-GB"/>
        </w:rPr>
        <w:t xml:space="preserve"> </w:t>
      </w:r>
      <w:r w:rsidRPr="008C5A7A">
        <w:rPr>
          <w:lang w:val="en-GB"/>
        </w:rPr>
        <w:t>This</w:t>
      </w:r>
      <w:r w:rsidR="001C7C7E">
        <w:rPr>
          <w:lang w:val="en-GB"/>
        </w:rPr>
        <w:t xml:space="preserve"> </w:t>
      </w:r>
      <w:r w:rsidRPr="008C5A7A">
        <w:rPr>
          <w:lang w:val="en-GB"/>
        </w:rPr>
        <w:t>note</w:t>
      </w:r>
      <w:r w:rsidR="001C7C7E">
        <w:rPr>
          <w:lang w:val="en-GB"/>
        </w:rPr>
        <w:t xml:space="preserve"> </w:t>
      </w:r>
      <w:r w:rsidRPr="008C5A7A">
        <w:rPr>
          <w:lang w:val="en-GB"/>
        </w:rPr>
        <w:t>summarises</w:t>
      </w:r>
      <w:r w:rsidR="001C7C7E">
        <w:rPr>
          <w:lang w:val="en-GB"/>
        </w:rPr>
        <w:t xml:space="preserve"> </w:t>
      </w:r>
      <w:r w:rsidRPr="008C5A7A">
        <w:rPr>
          <w:lang w:val="en-GB"/>
        </w:rPr>
        <w:t>our</w:t>
      </w:r>
      <w:r w:rsidR="001C7C7E">
        <w:rPr>
          <w:lang w:val="en-GB"/>
        </w:rPr>
        <w:t xml:space="preserve"> </w:t>
      </w:r>
      <w:r w:rsidRPr="008C5A7A">
        <w:rPr>
          <w:lang w:val="en-GB"/>
        </w:rPr>
        <w:t>conference</w:t>
      </w:r>
      <w:r w:rsidR="001C7C7E">
        <w:rPr>
          <w:lang w:val="en-GB"/>
        </w:rPr>
        <w:t xml:space="preserve"> </w:t>
      </w:r>
      <w:r w:rsidRPr="008C5A7A">
        <w:rPr>
          <w:lang w:val="en-GB"/>
        </w:rPr>
        <w:t>highlights</w:t>
      </w:r>
      <w:r w:rsidR="001C7C7E">
        <w:rPr>
          <w:lang w:val="en-GB"/>
        </w:rPr>
        <w:t xml:space="preserve"> </w:t>
      </w:r>
      <w:r w:rsidRPr="008C5A7A">
        <w:rPr>
          <w:lang w:val="en-GB"/>
        </w:rPr>
        <w:t>including:</w:t>
      </w:r>
      <w:r w:rsidR="001C7C7E">
        <w:rPr>
          <w:lang w:val="en-GB"/>
        </w:rPr>
        <w:t xml:space="preserve"> </w:t>
      </w:r>
      <w:r w:rsidRPr="008C5A7A">
        <w:rPr>
          <w:lang w:val="en-GB"/>
        </w:rPr>
        <w:t>1)</w:t>
      </w:r>
      <w:r w:rsidR="001C7C7E">
        <w:rPr>
          <w:lang w:val="en-GB"/>
        </w:rPr>
        <w:t xml:space="preserve"> </w:t>
      </w:r>
      <w:r w:rsidRPr="008C5A7A">
        <w:rPr>
          <w:lang w:val="en-GB"/>
        </w:rPr>
        <w:t>total</w:t>
      </w:r>
      <w:r w:rsidR="001C7C7E">
        <w:rPr>
          <w:lang w:val="en-GB"/>
        </w:rPr>
        <w:t xml:space="preserve"> </w:t>
      </w:r>
      <w:r w:rsidRPr="008C5A7A">
        <w:rPr>
          <w:lang w:val="en-GB"/>
        </w:rPr>
        <w:t>return</w:t>
      </w:r>
      <w:r w:rsidR="001C7C7E">
        <w:rPr>
          <w:lang w:val="en-GB"/>
        </w:rPr>
        <w:t xml:space="preserve"> </w:t>
      </w:r>
      <w:r w:rsidRPr="008C5A7A">
        <w:rPr>
          <w:lang w:val="en-GB"/>
        </w:rPr>
        <w:t>expectations</w:t>
      </w:r>
      <w:r w:rsidR="001C7C7E">
        <w:rPr>
          <w:lang w:val="en-GB"/>
        </w:rPr>
        <w:t xml:space="preserve"> </w:t>
      </w:r>
      <w:r w:rsidRPr="008C5A7A">
        <w:rPr>
          <w:lang w:val="en-GB"/>
        </w:rPr>
        <w:t>from</w:t>
      </w:r>
      <w:r w:rsidR="001C7C7E">
        <w:rPr>
          <w:lang w:val="en-GB"/>
        </w:rPr>
        <w:t xml:space="preserve"> </w:t>
      </w:r>
      <w:r w:rsidRPr="008C5A7A">
        <w:rPr>
          <w:lang w:val="en-GB"/>
        </w:rPr>
        <w:t>CEOs</w:t>
      </w:r>
      <w:r w:rsidR="001C7C7E">
        <w:rPr>
          <w:lang w:val="en-GB"/>
        </w:rPr>
        <w:t xml:space="preserve"> </w:t>
      </w:r>
      <w:r w:rsidRPr="008C5A7A">
        <w:rPr>
          <w:lang w:val="en-GB"/>
        </w:rPr>
        <w:t>and</w:t>
      </w:r>
      <w:r w:rsidR="001C7C7E">
        <w:rPr>
          <w:lang w:val="en-GB"/>
        </w:rPr>
        <w:t xml:space="preserve"> </w:t>
      </w:r>
      <w:r w:rsidRPr="008C5A7A">
        <w:rPr>
          <w:lang w:val="en-GB"/>
        </w:rPr>
        <w:t>investors</w:t>
      </w:r>
      <w:r w:rsidR="001C7C7E">
        <w:rPr>
          <w:lang w:val="en-GB"/>
        </w:rPr>
        <w:t xml:space="preserve"> </w:t>
      </w:r>
      <w:r w:rsidRPr="008C5A7A">
        <w:rPr>
          <w:lang w:val="en-GB"/>
        </w:rPr>
        <w:t>seem</w:t>
      </w:r>
      <w:r w:rsidR="001C7C7E">
        <w:rPr>
          <w:lang w:val="en-GB"/>
        </w:rPr>
        <w:t xml:space="preserve"> </w:t>
      </w:r>
      <w:r w:rsidRPr="008C5A7A">
        <w:rPr>
          <w:lang w:val="en-GB"/>
        </w:rPr>
        <w:t>optimistic</w:t>
      </w:r>
      <w:r w:rsidR="001C7C7E">
        <w:rPr>
          <w:lang w:val="en-GB"/>
        </w:rPr>
        <w:t xml:space="preserve"> </w:t>
      </w:r>
      <w:r w:rsidRPr="008C5A7A">
        <w:rPr>
          <w:lang w:val="en-GB"/>
        </w:rPr>
        <w:t>to</w:t>
      </w:r>
      <w:r w:rsidR="001C7C7E">
        <w:rPr>
          <w:lang w:val="en-GB"/>
        </w:rPr>
        <w:t xml:space="preserve"> </w:t>
      </w:r>
      <w:r w:rsidRPr="008C5A7A">
        <w:rPr>
          <w:lang w:val="en-GB"/>
        </w:rPr>
        <w:t>us;</w:t>
      </w:r>
      <w:r w:rsidR="001C7C7E">
        <w:rPr>
          <w:lang w:val="en-GB"/>
        </w:rPr>
        <w:t xml:space="preserve"> </w:t>
      </w:r>
      <w:r w:rsidRPr="008C5A7A">
        <w:rPr>
          <w:lang w:val="en-GB"/>
        </w:rPr>
        <w:t>2)</w:t>
      </w:r>
      <w:r w:rsidR="001C7C7E">
        <w:rPr>
          <w:lang w:val="en-GB"/>
        </w:rPr>
        <w:t xml:space="preserve"> </w:t>
      </w:r>
      <w:r w:rsidRPr="008C5A7A">
        <w:rPr>
          <w:lang w:val="en-GB"/>
        </w:rPr>
        <w:t>however,</w:t>
      </w:r>
      <w:r w:rsidR="001C7C7E">
        <w:rPr>
          <w:lang w:val="en-GB"/>
        </w:rPr>
        <w:t xml:space="preserve"> </w:t>
      </w:r>
      <w:r w:rsidRPr="008C5A7A">
        <w:rPr>
          <w:lang w:val="en-GB"/>
        </w:rPr>
        <w:t>a</w:t>
      </w:r>
      <w:r w:rsidR="001C7C7E">
        <w:rPr>
          <w:lang w:val="en-GB"/>
        </w:rPr>
        <w:t xml:space="preserve"> </w:t>
      </w:r>
      <w:r w:rsidRPr="008C5A7A">
        <w:rPr>
          <w:lang w:val="en-GB"/>
        </w:rPr>
        <w:t>wave</w:t>
      </w:r>
      <w:r w:rsidR="001C7C7E">
        <w:rPr>
          <w:lang w:val="en-GB"/>
        </w:rPr>
        <w:t xml:space="preserve"> </w:t>
      </w:r>
      <w:r w:rsidRPr="008C5A7A">
        <w:rPr>
          <w:lang w:val="en-GB"/>
        </w:rPr>
        <w:t>of</w:t>
      </w:r>
      <w:r w:rsidR="001C7C7E">
        <w:rPr>
          <w:lang w:val="en-GB"/>
        </w:rPr>
        <w:t xml:space="preserve"> </w:t>
      </w:r>
      <w:r w:rsidRPr="008C5A7A">
        <w:rPr>
          <w:lang w:val="en-GB"/>
        </w:rPr>
        <w:t>capital</w:t>
      </w:r>
      <w:r w:rsidR="001C7C7E">
        <w:rPr>
          <w:lang w:val="en-GB"/>
        </w:rPr>
        <w:t xml:space="preserve"> </w:t>
      </w:r>
      <w:r w:rsidRPr="008C5A7A">
        <w:rPr>
          <w:lang w:val="en-GB"/>
        </w:rPr>
        <w:t>is</w:t>
      </w:r>
      <w:r w:rsidR="001C7C7E">
        <w:rPr>
          <w:lang w:val="en-GB"/>
        </w:rPr>
        <w:t xml:space="preserve"> </w:t>
      </w:r>
      <w:r w:rsidRPr="008C5A7A">
        <w:rPr>
          <w:lang w:val="en-GB"/>
        </w:rPr>
        <w:t>bearing</w:t>
      </w:r>
      <w:r w:rsidR="001C7C7E">
        <w:rPr>
          <w:lang w:val="en-GB"/>
        </w:rPr>
        <w:t xml:space="preserve"> </w:t>
      </w:r>
      <w:r w:rsidRPr="008C5A7A">
        <w:rPr>
          <w:lang w:val="en-GB"/>
        </w:rPr>
        <w:t>down</w:t>
      </w:r>
      <w:r w:rsidR="001C7C7E">
        <w:rPr>
          <w:lang w:val="en-GB"/>
        </w:rPr>
        <w:t xml:space="preserve"> </w:t>
      </w:r>
      <w:r w:rsidRPr="008C5A7A">
        <w:rPr>
          <w:lang w:val="en-GB"/>
        </w:rPr>
        <w:t>on</w:t>
      </w:r>
      <w:r w:rsidR="001C7C7E">
        <w:rPr>
          <w:lang w:val="en-GB"/>
        </w:rPr>
        <w:t xml:space="preserve"> </w:t>
      </w:r>
      <w:r w:rsidRPr="008C5A7A">
        <w:rPr>
          <w:lang w:val="en-GB"/>
        </w:rPr>
        <w:t>European</w:t>
      </w:r>
      <w:r w:rsidR="001C7C7E">
        <w:rPr>
          <w:lang w:val="en-GB"/>
        </w:rPr>
        <w:t xml:space="preserve"> </w:t>
      </w:r>
      <w:r w:rsidRPr="008C5A7A">
        <w:rPr>
          <w:lang w:val="en-GB"/>
        </w:rPr>
        <w:t>property</w:t>
      </w:r>
      <w:r w:rsidR="001C7C7E">
        <w:rPr>
          <w:lang w:val="en-GB"/>
        </w:rPr>
        <w:t xml:space="preserve"> </w:t>
      </w:r>
      <w:r w:rsidRPr="008C5A7A">
        <w:rPr>
          <w:lang w:val="en-GB"/>
        </w:rPr>
        <w:t>in</w:t>
      </w:r>
      <w:r w:rsidR="001C7C7E">
        <w:rPr>
          <w:lang w:val="en-GB"/>
        </w:rPr>
        <w:t xml:space="preserve"> </w:t>
      </w:r>
      <w:r w:rsidRPr="008C5A7A">
        <w:rPr>
          <w:lang w:val="en-GB"/>
        </w:rPr>
        <w:t>2014;</w:t>
      </w:r>
      <w:r w:rsidR="001C7C7E">
        <w:rPr>
          <w:lang w:val="en-GB"/>
        </w:rPr>
        <w:t xml:space="preserve"> </w:t>
      </w:r>
      <w:r w:rsidRPr="008C5A7A">
        <w:rPr>
          <w:lang w:val="en-GB"/>
        </w:rPr>
        <w:t>and</w:t>
      </w:r>
      <w:r w:rsidR="001C7C7E">
        <w:rPr>
          <w:lang w:val="en-GB"/>
        </w:rPr>
        <w:t xml:space="preserve"> </w:t>
      </w:r>
      <w:r w:rsidRPr="008C5A7A">
        <w:rPr>
          <w:lang w:val="en-GB"/>
        </w:rPr>
        <w:t>3)</w:t>
      </w:r>
      <w:r w:rsidR="001C7C7E">
        <w:rPr>
          <w:lang w:val="en-GB"/>
        </w:rPr>
        <w:t> </w:t>
      </w:r>
      <w:r w:rsidRPr="008C5A7A">
        <w:rPr>
          <w:lang w:val="en-GB"/>
        </w:rPr>
        <w:t>London</w:t>
      </w:r>
      <w:r w:rsidR="001C7C7E">
        <w:rPr>
          <w:lang w:val="en-GB"/>
        </w:rPr>
        <w:t xml:space="preserve"> </w:t>
      </w:r>
      <w:r w:rsidRPr="008C5A7A">
        <w:rPr>
          <w:lang w:val="en-GB"/>
        </w:rPr>
        <w:t>offices</w:t>
      </w:r>
      <w:r w:rsidR="001C7C7E">
        <w:rPr>
          <w:lang w:val="en-GB"/>
        </w:rPr>
        <w:t xml:space="preserve"> </w:t>
      </w:r>
      <w:r w:rsidRPr="008C5A7A">
        <w:rPr>
          <w:lang w:val="en-GB"/>
        </w:rPr>
        <w:t>are</w:t>
      </w:r>
      <w:r w:rsidR="001C7C7E">
        <w:rPr>
          <w:lang w:val="en-GB"/>
        </w:rPr>
        <w:t xml:space="preserve"> </w:t>
      </w:r>
      <w:r w:rsidRPr="008C5A7A">
        <w:rPr>
          <w:lang w:val="en-GB"/>
        </w:rPr>
        <w:t>in</w:t>
      </w:r>
      <w:r w:rsidR="001C7C7E">
        <w:rPr>
          <w:lang w:val="en-GB"/>
        </w:rPr>
        <w:t xml:space="preserve"> </w:t>
      </w:r>
      <w:r w:rsidRPr="008C5A7A">
        <w:rPr>
          <w:lang w:val="en-GB"/>
        </w:rPr>
        <w:t>delivery</w:t>
      </w:r>
      <w:r w:rsidR="001C7C7E">
        <w:rPr>
          <w:lang w:val="en-GB"/>
        </w:rPr>
        <w:t xml:space="preserve"> </w:t>
      </w:r>
      <w:r w:rsidRPr="008C5A7A">
        <w:rPr>
          <w:lang w:val="en-GB"/>
        </w:rPr>
        <w:t>phase,</w:t>
      </w:r>
      <w:r w:rsidR="001C7C7E">
        <w:rPr>
          <w:lang w:val="en-GB"/>
        </w:rPr>
        <w:t xml:space="preserve"> </w:t>
      </w:r>
      <w:r w:rsidRPr="008C5A7A">
        <w:rPr>
          <w:lang w:val="en-GB"/>
        </w:rPr>
        <w:t>next</w:t>
      </w:r>
      <w:r w:rsidR="001C7C7E">
        <w:rPr>
          <w:lang w:val="en-GB"/>
        </w:rPr>
        <w:t xml:space="preserve"> </w:t>
      </w:r>
      <w:r w:rsidRPr="008C5A7A">
        <w:rPr>
          <w:lang w:val="en-GB"/>
        </w:rPr>
        <w:t>comes</w:t>
      </w:r>
      <w:r w:rsidR="001C7C7E">
        <w:rPr>
          <w:lang w:val="en-GB"/>
        </w:rPr>
        <w:t xml:space="preserve"> </w:t>
      </w:r>
      <w:r w:rsidRPr="008C5A7A">
        <w:rPr>
          <w:lang w:val="en-GB"/>
        </w:rPr>
        <w:t>de-risking.</w:t>
      </w:r>
      <w:r w:rsidR="001C7C7E">
        <w:rPr>
          <w:lang w:val="en-GB"/>
        </w:rPr>
        <w:t xml:space="preserve"> </w:t>
      </w:r>
      <w:r w:rsidRPr="008C5A7A">
        <w:rPr>
          <w:lang w:val="en-GB"/>
        </w:rPr>
        <w:t>A</w:t>
      </w:r>
      <w:r w:rsidR="001C7C7E">
        <w:rPr>
          <w:lang w:val="en-GB"/>
        </w:rPr>
        <w:t xml:space="preserve"> </w:t>
      </w:r>
      <w:r w:rsidRPr="008C5A7A">
        <w:rPr>
          <w:lang w:val="en-GB"/>
        </w:rPr>
        <w:t>sense</w:t>
      </w:r>
      <w:r w:rsidR="001C7C7E">
        <w:rPr>
          <w:lang w:val="en-GB"/>
        </w:rPr>
        <w:t xml:space="preserve"> </w:t>
      </w:r>
      <w:r w:rsidRPr="008C5A7A">
        <w:rPr>
          <w:lang w:val="en-GB"/>
        </w:rPr>
        <w:t>of</w:t>
      </w:r>
      <w:r w:rsidR="001C7C7E">
        <w:rPr>
          <w:lang w:val="en-GB"/>
        </w:rPr>
        <w:t xml:space="preserve"> </w:t>
      </w:r>
      <w:r w:rsidRPr="008C5A7A">
        <w:rPr>
          <w:lang w:val="en-GB"/>
        </w:rPr>
        <w:t>bullishness</w:t>
      </w:r>
      <w:r w:rsidR="001C7C7E">
        <w:rPr>
          <w:lang w:val="en-GB"/>
        </w:rPr>
        <w:t xml:space="preserve"> </w:t>
      </w:r>
      <w:r w:rsidRPr="008C5A7A">
        <w:rPr>
          <w:lang w:val="en-GB"/>
        </w:rPr>
        <w:t>was</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air;</w:t>
      </w:r>
      <w:r w:rsidR="001C7C7E">
        <w:rPr>
          <w:lang w:val="en-GB"/>
        </w:rPr>
        <w:t xml:space="preserve"> </w:t>
      </w:r>
      <w:r w:rsidRPr="008C5A7A">
        <w:rPr>
          <w:lang w:val="en-GB"/>
        </w:rPr>
        <w:t>however,</w:t>
      </w:r>
      <w:r w:rsidR="001C7C7E">
        <w:rPr>
          <w:lang w:val="en-GB"/>
        </w:rPr>
        <w:t xml:space="preserve"> </w:t>
      </w:r>
      <w:r w:rsidRPr="008C5A7A">
        <w:rPr>
          <w:lang w:val="en-GB"/>
        </w:rPr>
        <w:t>so</w:t>
      </w:r>
      <w:r w:rsidR="001C7C7E">
        <w:rPr>
          <w:lang w:val="en-GB"/>
        </w:rPr>
        <w:t xml:space="preserve"> </w:t>
      </w:r>
      <w:r w:rsidRPr="008C5A7A">
        <w:rPr>
          <w:lang w:val="en-GB"/>
        </w:rPr>
        <w:t>was</w:t>
      </w:r>
      <w:r w:rsidR="001C7C7E">
        <w:rPr>
          <w:lang w:val="en-GB"/>
        </w:rPr>
        <w:t xml:space="preserve"> </w:t>
      </w:r>
      <w:r w:rsidRPr="008C5A7A">
        <w:rPr>
          <w:lang w:val="en-GB"/>
        </w:rPr>
        <w:t>caution.</w:t>
      </w:r>
      <w:r w:rsidR="001C7C7E">
        <w:rPr>
          <w:lang w:val="en-GB"/>
        </w:rPr>
        <w:t xml:space="preserve"> </w:t>
      </w:r>
      <w:r w:rsidRPr="008C5A7A">
        <w:rPr>
          <w:lang w:val="en-GB"/>
        </w:rPr>
        <w:t>Our</w:t>
      </w:r>
      <w:r w:rsidR="001C7C7E">
        <w:rPr>
          <w:lang w:val="en-GB"/>
        </w:rPr>
        <w:t xml:space="preserve"> </w:t>
      </w:r>
      <w:r w:rsidRPr="008C5A7A">
        <w:rPr>
          <w:lang w:val="en-GB"/>
        </w:rPr>
        <w:t>favourite</w:t>
      </w:r>
      <w:r w:rsidR="001C7C7E">
        <w:rPr>
          <w:lang w:val="en-GB"/>
        </w:rPr>
        <w:t xml:space="preserve"> </w:t>
      </w:r>
      <w:r w:rsidRPr="008C5A7A">
        <w:rPr>
          <w:lang w:val="en-GB"/>
        </w:rPr>
        <w:t>quote?</w:t>
      </w:r>
      <w:r w:rsidR="001C7C7E">
        <w:rPr>
          <w:lang w:val="en-GB"/>
        </w:rPr>
        <w:t xml:space="preserve"> “</w:t>
      </w:r>
      <w:r w:rsidRPr="008C5A7A">
        <w:rPr>
          <w:lang w:val="en-GB"/>
        </w:rPr>
        <w:t>Who</w:t>
      </w:r>
      <w:r w:rsidR="001C7C7E">
        <w:rPr>
          <w:lang w:val="en-GB"/>
        </w:rPr>
        <w:t xml:space="preserve"> </w:t>
      </w:r>
      <w:r w:rsidRPr="008C5A7A">
        <w:rPr>
          <w:lang w:val="en-GB"/>
        </w:rPr>
        <w:t>is</w:t>
      </w:r>
      <w:r w:rsidR="001C7C7E">
        <w:rPr>
          <w:lang w:val="en-GB"/>
        </w:rPr>
        <w:t xml:space="preserve"> </w:t>
      </w:r>
      <w:r w:rsidRPr="008C5A7A">
        <w:rPr>
          <w:lang w:val="en-GB"/>
        </w:rPr>
        <w:t>going</w:t>
      </w:r>
      <w:r w:rsidR="001C7C7E">
        <w:rPr>
          <w:lang w:val="en-GB"/>
        </w:rPr>
        <w:t xml:space="preserve"> </w:t>
      </w:r>
      <w:r w:rsidRPr="008C5A7A">
        <w:rPr>
          <w:lang w:val="en-GB"/>
        </w:rPr>
        <w:t>to</w:t>
      </w:r>
      <w:r w:rsidR="001C7C7E">
        <w:rPr>
          <w:lang w:val="en-GB"/>
        </w:rPr>
        <w:t xml:space="preserve"> </w:t>
      </w:r>
      <w:r w:rsidRPr="008C5A7A">
        <w:rPr>
          <w:lang w:val="en-GB"/>
        </w:rPr>
        <w:t>buy</w:t>
      </w:r>
      <w:r w:rsidR="001C7C7E">
        <w:rPr>
          <w:lang w:val="en-GB"/>
        </w:rPr>
        <w:t xml:space="preserve"> </w:t>
      </w:r>
      <w:r w:rsidRPr="008C5A7A">
        <w:rPr>
          <w:lang w:val="en-GB"/>
        </w:rPr>
        <w:t>from</w:t>
      </w:r>
      <w:r w:rsidR="001C7C7E">
        <w:rPr>
          <w:lang w:val="en-GB"/>
        </w:rPr>
        <w:t xml:space="preserve"> </w:t>
      </w:r>
      <w:r w:rsidRPr="008C5A7A">
        <w:rPr>
          <w:lang w:val="en-GB"/>
        </w:rPr>
        <w:t>you</w:t>
      </w:r>
      <w:r w:rsidR="001C7C7E">
        <w:rPr>
          <w:lang w:val="en-GB"/>
        </w:rPr>
        <w:t xml:space="preserve"> </w:t>
      </w:r>
      <w:r w:rsidRPr="008C5A7A">
        <w:rPr>
          <w:lang w:val="en-GB"/>
        </w:rPr>
        <w:t>so</w:t>
      </w:r>
      <w:r w:rsidR="001C7C7E">
        <w:rPr>
          <w:lang w:val="en-GB"/>
        </w:rPr>
        <w:t xml:space="preserve"> </w:t>
      </w:r>
      <w:r w:rsidRPr="008C5A7A">
        <w:rPr>
          <w:lang w:val="en-GB"/>
        </w:rPr>
        <w:t>you</w:t>
      </w:r>
      <w:r w:rsidR="001C7C7E">
        <w:rPr>
          <w:lang w:val="en-GB"/>
        </w:rPr>
        <w:t xml:space="preserve"> </w:t>
      </w:r>
      <w:r w:rsidRPr="008C5A7A">
        <w:rPr>
          <w:lang w:val="en-GB"/>
        </w:rPr>
        <w:t>can</w:t>
      </w:r>
      <w:r w:rsidR="001C7C7E">
        <w:rPr>
          <w:lang w:val="en-GB"/>
        </w:rPr>
        <w:t xml:space="preserve"> </w:t>
      </w:r>
      <w:r w:rsidRPr="008C5A7A">
        <w:rPr>
          <w:lang w:val="en-GB"/>
        </w:rPr>
        <w:t>realise</w:t>
      </w:r>
      <w:r w:rsidR="001C7C7E">
        <w:rPr>
          <w:lang w:val="en-GB"/>
        </w:rPr>
        <w:t xml:space="preserve"> </w:t>
      </w:r>
      <w:r w:rsidRPr="008C5A7A">
        <w:rPr>
          <w:lang w:val="en-GB"/>
        </w:rPr>
        <w:t>your</w:t>
      </w:r>
      <w:r w:rsidR="001C7C7E">
        <w:rPr>
          <w:lang w:val="en-GB"/>
        </w:rPr>
        <w:t xml:space="preserve"> </w:t>
      </w:r>
      <w:r w:rsidRPr="008C5A7A">
        <w:rPr>
          <w:lang w:val="en-GB"/>
        </w:rPr>
        <w:t>15%</w:t>
      </w:r>
      <w:r w:rsidR="001C7C7E">
        <w:rPr>
          <w:lang w:val="en-GB"/>
        </w:rPr>
        <w:t xml:space="preserve"> </w:t>
      </w:r>
      <w:r w:rsidRPr="008C5A7A">
        <w:rPr>
          <w:lang w:val="en-GB"/>
        </w:rPr>
        <w:t>IRR?</w:t>
      </w:r>
      <w:r w:rsidR="001C7C7E">
        <w:rPr>
          <w:lang w:val="en-GB"/>
        </w:rPr>
        <w:t>”</w:t>
      </w:r>
      <w:r w:rsidR="001C7C7E">
        <w:rPr>
          <w:i/>
          <w:lang w:val="en-GB"/>
        </w:rPr>
        <w:t xml:space="preserve"> </w:t>
      </w:r>
      <w:r w:rsidRPr="008C5A7A">
        <w:rPr>
          <w:lang w:val="en-GB"/>
        </w:rPr>
        <w:t>To</w:t>
      </w:r>
      <w:r w:rsidR="001C7C7E">
        <w:rPr>
          <w:lang w:val="en-GB"/>
        </w:rPr>
        <w:t xml:space="preserve"> </w:t>
      </w:r>
      <w:r w:rsidRPr="008C5A7A">
        <w:rPr>
          <w:lang w:val="en-GB"/>
        </w:rPr>
        <w:t>continue</w:t>
      </w:r>
      <w:r w:rsidR="001C7C7E">
        <w:rPr>
          <w:lang w:val="en-GB"/>
        </w:rPr>
        <w:t xml:space="preserve"> </w:t>
      </w:r>
      <w:r w:rsidRPr="008C5A7A">
        <w:rPr>
          <w:lang w:val="en-GB"/>
        </w:rPr>
        <w:t>reading,</w:t>
      </w:r>
      <w:r w:rsidR="001C7C7E">
        <w:rPr>
          <w:lang w:val="en-GB"/>
        </w:rPr>
        <w:t xml:space="preserve"> </w:t>
      </w:r>
      <w:r w:rsidRPr="008C5A7A">
        <w:rPr>
          <w:lang w:val="en-GB"/>
        </w:rPr>
        <w:t>please</w:t>
      </w:r>
      <w:r w:rsidR="001C7C7E">
        <w:rPr>
          <w:lang w:val="en-GB"/>
        </w:rPr>
        <w:t xml:space="preserve"> </w:t>
      </w:r>
      <w:hyperlink r:id="rId26" w:history="1">
        <w:r w:rsidRPr="008C5A7A">
          <w:rPr>
            <w:rStyle w:val="Hyperlink"/>
            <w:lang w:val="en-GB"/>
          </w:rPr>
          <w:t>click</w:t>
        </w:r>
        <w:r w:rsidR="001C7C7E">
          <w:rPr>
            <w:rStyle w:val="Hyperlink"/>
            <w:lang w:val="en-GB"/>
          </w:rPr>
          <w:t xml:space="preserve"> </w:t>
        </w:r>
        <w:r w:rsidRPr="008C5A7A">
          <w:rPr>
            <w:rStyle w:val="Hyperlink"/>
            <w:lang w:val="en-GB"/>
          </w:rPr>
          <w:t>here</w:t>
        </w:r>
      </w:hyperlink>
      <w:r w:rsidRPr="008C5A7A">
        <w:rPr>
          <w:lang w:val="en-GB"/>
        </w:rPr>
        <w:t>.</w:t>
      </w:r>
      <w:r w:rsidR="001C7C7E">
        <w:rPr>
          <w:lang w:val="en-GB"/>
        </w:rPr>
        <w:t xml:space="preserve"> </w:t>
      </w:r>
    </w:p>
    <w:p w:rsidR="002E187C" w:rsidRPr="008C5A7A" w:rsidRDefault="002E187C" w:rsidP="002E187C">
      <w:pPr>
        <w:pStyle w:val="FPBullet"/>
        <w:rPr>
          <w:b/>
          <w:bCs/>
          <w:i/>
          <w:iCs/>
          <w:lang w:val="en-GB"/>
        </w:rPr>
      </w:pPr>
      <w:r w:rsidRPr="008C5A7A">
        <w:rPr>
          <w:b/>
          <w:color w:val="000000"/>
          <w:szCs w:val="22"/>
          <w:lang w:val="en-GB"/>
        </w:rPr>
        <w:t>Recent</w:t>
      </w:r>
      <w:r w:rsidR="001C7C7E">
        <w:rPr>
          <w:b/>
          <w:color w:val="000000"/>
          <w:szCs w:val="22"/>
          <w:lang w:val="en-GB"/>
        </w:rPr>
        <w:t xml:space="preserve"> </w:t>
      </w:r>
      <w:r w:rsidRPr="008C5A7A">
        <w:rPr>
          <w:b/>
          <w:color w:val="000000"/>
          <w:szCs w:val="22"/>
          <w:lang w:val="en-GB"/>
        </w:rPr>
        <w:t>note:</w:t>
      </w:r>
      <w:r w:rsidR="001C7C7E">
        <w:rPr>
          <w:b/>
          <w:color w:val="000000"/>
          <w:szCs w:val="22"/>
          <w:lang w:val="en-GB"/>
        </w:rPr>
        <w:t xml:space="preserve"> </w:t>
      </w:r>
      <w:r w:rsidRPr="008C5A7A">
        <w:rPr>
          <w:b/>
          <w:color w:val="000000"/>
          <w:szCs w:val="22"/>
          <w:lang w:val="en-GB"/>
        </w:rPr>
        <w:t>Total</w:t>
      </w:r>
      <w:r w:rsidR="001C7C7E">
        <w:rPr>
          <w:b/>
          <w:color w:val="000000"/>
          <w:szCs w:val="22"/>
          <w:lang w:val="en-GB"/>
        </w:rPr>
        <w:t xml:space="preserve"> </w:t>
      </w:r>
      <w:r w:rsidRPr="008C5A7A">
        <w:rPr>
          <w:b/>
          <w:color w:val="000000"/>
          <w:szCs w:val="22"/>
          <w:lang w:val="en-GB"/>
        </w:rPr>
        <w:t>returns</w:t>
      </w:r>
      <w:r w:rsidR="001C7C7E">
        <w:rPr>
          <w:b/>
          <w:color w:val="000000"/>
          <w:szCs w:val="22"/>
          <w:lang w:val="en-GB"/>
        </w:rPr>
        <w:t xml:space="preserve"> </w:t>
      </w:r>
      <w:r w:rsidRPr="008C5A7A">
        <w:rPr>
          <w:b/>
          <w:color w:val="000000"/>
          <w:szCs w:val="22"/>
          <w:lang w:val="en-GB"/>
        </w:rPr>
        <w:t>to</w:t>
      </w:r>
      <w:r w:rsidR="001C7C7E">
        <w:rPr>
          <w:b/>
          <w:color w:val="000000"/>
          <w:szCs w:val="22"/>
          <w:lang w:val="en-GB"/>
        </w:rPr>
        <w:t xml:space="preserve"> </w:t>
      </w:r>
      <w:r w:rsidRPr="008C5A7A">
        <w:rPr>
          <w:b/>
          <w:color w:val="000000"/>
          <w:szCs w:val="22"/>
          <w:lang w:val="en-GB"/>
        </w:rPr>
        <w:t>slow</w:t>
      </w:r>
      <w:r w:rsidR="001C7C7E">
        <w:rPr>
          <w:b/>
          <w:color w:val="000000"/>
          <w:szCs w:val="22"/>
          <w:lang w:val="en-GB"/>
        </w:rPr>
        <w:t xml:space="preserve"> </w:t>
      </w:r>
      <w:r w:rsidRPr="008C5A7A">
        <w:rPr>
          <w:b/>
          <w:color w:val="000000"/>
          <w:szCs w:val="22"/>
          <w:lang w:val="en-GB"/>
        </w:rPr>
        <w:t>in</w:t>
      </w:r>
      <w:r w:rsidR="001C7C7E">
        <w:rPr>
          <w:b/>
          <w:color w:val="000000"/>
          <w:szCs w:val="22"/>
          <w:lang w:val="en-GB"/>
        </w:rPr>
        <w:t xml:space="preserve"> </w:t>
      </w:r>
      <w:r w:rsidRPr="008C5A7A">
        <w:rPr>
          <w:b/>
          <w:color w:val="000000"/>
          <w:szCs w:val="22"/>
          <w:lang w:val="en-GB"/>
        </w:rPr>
        <w:t>2014</w:t>
      </w:r>
      <w:r w:rsidR="001C7C7E">
        <w:rPr>
          <w:b/>
          <w:color w:val="000000"/>
          <w:szCs w:val="22"/>
          <w:lang w:val="en-GB"/>
        </w:rPr>
        <w:t xml:space="preserve"> </w:t>
      </w:r>
      <w:r w:rsidRPr="008C5A7A">
        <w:rPr>
          <w:b/>
          <w:color w:val="000000"/>
          <w:szCs w:val="22"/>
          <w:lang w:val="en-GB"/>
        </w:rPr>
        <w:t>but</w:t>
      </w:r>
      <w:r w:rsidR="001C7C7E">
        <w:rPr>
          <w:b/>
          <w:color w:val="000000"/>
          <w:szCs w:val="22"/>
          <w:lang w:val="en-GB"/>
        </w:rPr>
        <w:t xml:space="preserve"> </w:t>
      </w:r>
      <w:r w:rsidRPr="008C5A7A">
        <w:rPr>
          <w:b/>
          <w:color w:val="000000"/>
          <w:szCs w:val="22"/>
          <w:lang w:val="en-GB"/>
        </w:rPr>
        <w:t>still</w:t>
      </w:r>
      <w:r w:rsidR="001C7C7E">
        <w:rPr>
          <w:b/>
          <w:color w:val="000000"/>
          <w:szCs w:val="22"/>
          <w:lang w:val="en-GB"/>
        </w:rPr>
        <w:t xml:space="preserve"> </w:t>
      </w:r>
      <w:r w:rsidRPr="008C5A7A">
        <w:rPr>
          <w:b/>
          <w:color w:val="000000"/>
          <w:szCs w:val="22"/>
          <w:lang w:val="en-GB"/>
        </w:rPr>
        <w:t>plenty</w:t>
      </w:r>
      <w:r w:rsidR="001C7C7E">
        <w:rPr>
          <w:b/>
          <w:color w:val="000000"/>
          <w:szCs w:val="22"/>
          <w:lang w:val="en-GB"/>
        </w:rPr>
        <w:t xml:space="preserve"> </w:t>
      </w:r>
      <w:r w:rsidRPr="008C5A7A">
        <w:rPr>
          <w:b/>
          <w:color w:val="000000"/>
          <w:szCs w:val="22"/>
          <w:lang w:val="en-GB"/>
        </w:rPr>
        <w:t>to</w:t>
      </w:r>
      <w:r w:rsidR="001C7C7E">
        <w:rPr>
          <w:b/>
          <w:color w:val="000000"/>
          <w:szCs w:val="22"/>
          <w:lang w:val="en-GB"/>
        </w:rPr>
        <w:t xml:space="preserve"> </w:t>
      </w:r>
      <w:r w:rsidRPr="008C5A7A">
        <w:rPr>
          <w:b/>
          <w:color w:val="000000"/>
          <w:szCs w:val="22"/>
          <w:lang w:val="en-GB"/>
        </w:rPr>
        <w:t>go</w:t>
      </w:r>
      <w:r w:rsidR="001C7C7E">
        <w:rPr>
          <w:b/>
          <w:color w:val="000000"/>
          <w:szCs w:val="22"/>
          <w:lang w:val="en-GB"/>
        </w:rPr>
        <w:t xml:space="preserve"> </w:t>
      </w:r>
      <w:r w:rsidRPr="008C5A7A">
        <w:rPr>
          <w:b/>
          <w:color w:val="000000"/>
          <w:szCs w:val="22"/>
          <w:lang w:val="en-GB"/>
        </w:rPr>
        <w:t>for.</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continue</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Great</w:t>
      </w:r>
      <w:r w:rsidR="001C7C7E">
        <w:rPr>
          <w:color w:val="000000"/>
          <w:szCs w:val="22"/>
          <w:lang w:val="en-GB"/>
        </w:rPr>
        <w:t xml:space="preserve"> </w:t>
      </w:r>
      <w:r w:rsidRPr="008C5A7A">
        <w:rPr>
          <w:color w:val="000000"/>
          <w:szCs w:val="22"/>
          <w:lang w:val="en-GB"/>
        </w:rPr>
        <w:t>Rotation</w:t>
      </w:r>
      <w:r w:rsidR="001C7C7E">
        <w:rPr>
          <w:color w:val="000000"/>
          <w:szCs w:val="22"/>
          <w:lang w:val="en-GB"/>
        </w:rPr>
        <w:t xml:space="preserve"> </w:t>
      </w:r>
      <w:r w:rsidRPr="008C5A7A">
        <w:rPr>
          <w:color w:val="000000"/>
          <w:szCs w:val="22"/>
          <w:lang w:val="en-GB"/>
        </w:rPr>
        <w:t>theme</w:t>
      </w:r>
      <w:r w:rsidR="001C7C7E">
        <w:rPr>
          <w:color w:val="000000"/>
          <w:szCs w:val="22"/>
          <w:lang w:val="en-GB"/>
        </w:rPr>
        <w:t xml:space="preserve"> </w:t>
      </w:r>
      <w:r w:rsidRPr="008C5A7A">
        <w:rPr>
          <w:color w:val="000000"/>
          <w:szCs w:val="22"/>
          <w:lang w:val="en-GB"/>
        </w:rPr>
        <w:t>in</w:t>
      </w:r>
      <w:r w:rsidR="001C7C7E">
        <w:rPr>
          <w:color w:val="000000"/>
          <w:szCs w:val="22"/>
          <w:lang w:val="en-GB"/>
        </w:rPr>
        <w:t xml:space="preserve"> </w:t>
      </w:r>
      <w:r w:rsidRPr="008C5A7A">
        <w:rPr>
          <w:color w:val="000000"/>
          <w:szCs w:val="22"/>
          <w:lang w:val="en-GB"/>
        </w:rPr>
        <w:t>2014,</w:t>
      </w:r>
      <w:r w:rsidR="001C7C7E">
        <w:rPr>
          <w:color w:val="000000"/>
          <w:szCs w:val="22"/>
          <w:lang w:val="en-GB"/>
        </w:rPr>
        <w:t xml:space="preserve"> </w:t>
      </w:r>
      <w:r w:rsidRPr="008C5A7A">
        <w:rPr>
          <w:color w:val="000000"/>
          <w:szCs w:val="22"/>
          <w:lang w:val="en-GB"/>
        </w:rPr>
        <w:t>with</w:t>
      </w:r>
      <w:r w:rsidR="001C7C7E">
        <w:rPr>
          <w:color w:val="000000"/>
          <w:szCs w:val="22"/>
          <w:lang w:val="en-GB"/>
        </w:rPr>
        <w:t xml:space="preserve"> </w:t>
      </w:r>
      <w:r w:rsidRPr="008C5A7A">
        <w:rPr>
          <w:color w:val="000000"/>
          <w:szCs w:val="22"/>
          <w:lang w:val="en-GB"/>
        </w:rPr>
        <w:t>UK</w:t>
      </w:r>
      <w:r w:rsidR="001C7C7E">
        <w:rPr>
          <w:color w:val="000000"/>
          <w:szCs w:val="22"/>
          <w:lang w:val="en-GB"/>
        </w:rPr>
        <w:t xml:space="preserve"> </w:t>
      </w:r>
      <w:r w:rsidRPr="008C5A7A">
        <w:rPr>
          <w:color w:val="000000"/>
          <w:szCs w:val="22"/>
          <w:lang w:val="en-GB"/>
        </w:rPr>
        <w:t>prime</w:t>
      </w:r>
      <w:r w:rsidR="001C7C7E">
        <w:rPr>
          <w:color w:val="000000"/>
          <w:szCs w:val="22"/>
          <w:lang w:val="en-GB"/>
        </w:rPr>
        <w:t xml:space="preserve"> </w:t>
      </w:r>
      <w:r w:rsidRPr="008C5A7A">
        <w:rPr>
          <w:color w:val="000000"/>
          <w:szCs w:val="22"/>
          <w:lang w:val="en-GB"/>
        </w:rPr>
        <w:t>property</w:t>
      </w:r>
      <w:r w:rsidR="001C7C7E">
        <w:rPr>
          <w:color w:val="000000"/>
          <w:szCs w:val="22"/>
          <w:lang w:val="en-GB"/>
        </w:rPr>
        <w:t xml:space="preserve"> </w:t>
      </w:r>
      <w:r w:rsidRPr="008C5A7A">
        <w:rPr>
          <w:color w:val="000000"/>
          <w:szCs w:val="22"/>
          <w:lang w:val="en-GB"/>
        </w:rPr>
        <w:t>facing</w:t>
      </w:r>
      <w:r w:rsidR="001C7C7E">
        <w:rPr>
          <w:color w:val="000000"/>
          <w:szCs w:val="22"/>
          <w:lang w:val="en-GB"/>
        </w:rPr>
        <w:t xml:space="preserve"> </w:t>
      </w:r>
      <w:r w:rsidRPr="008C5A7A">
        <w:rPr>
          <w:color w:val="000000"/>
          <w:szCs w:val="22"/>
          <w:lang w:val="en-GB"/>
        </w:rPr>
        <w:t>rising</w:t>
      </w:r>
      <w:r w:rsidR="001C7C7E">
        <w:rPr>
          <w:color w:val="000000"/>
          <w:szCs w:val="22"/>
          <w:lang w:val="en-GB"/>
        </w:rPr>
        <w:t xml:space="preserve"> </w:t>
      </w:r>
      <w:r w:rsidRPr="008C5A7A">
        <w:rPr>
          <w:color w:val="000000"/>
          <w:szCs w:val="22"/>
          <w:lang w:val="en-GB"/>
        </w:rPr>
        <w:t>bond</w:t>
      </w:r>
      <w:r w:rsidR="001C7C7E">
        <w:rPr>
          <w:color w:val="000000"/>
          <w:szCs w:val="22"/>
          <w:lang w:val="en-GB"/>
        </w:rPr>
        <w:t xml:space="preserve"> </w:t>
      </w:r>
      <w:r w:rsidRPr="008C5A7A">
        <w:rPr>
          <w:color w:val="000000"/>
          <w:szCs w:val="22"/>
          <w:lang w:val="en-GB"/>
        </w:rPr>
        <w:t>yields</w:t>
      </w:r>
      <w:r w:rsidR="001C7C7E">
        <w:rPr>
          <w:color w:val="000000"/>
          <w:szCs w:val="22"/>
          <w:lang w:val="en-GB"/>
        </w:rPr>
        <w:t xml:space="preserve"> </w:t>
      </w:r>
      <w:r w:rsidRPr="008C5A7A">
        <w:rPr>
          <w:color w:val="000000"/>
          <w:szCs w:val="22"/>
          <w:lang w:val="en-GB"/>
        </w:rPr>
        <w:t>while</w:t>
      </w:r>
      <w:r w:rsidR="001C7C7E">
        <w:rPr>
          <w:color w:val="000000"/>
          <w:szCs w:val="22"/>
          <w:lang w:val="en-GB"/>
        </w:rPr>
        <w:t xml:space="preserve"> </w:t>
      </w:r>
      <w:r w:rsidRPr="008C5A7A">
        <w:rPr>
          <w:color w:val="000000"/>
          <w:szCs w:val="22"/>
          <w:lang w:val="en-GB"/>
        </w:rPr>
        <w:t>UK</w:t>
      </w:r>
      <w:r w:rsidR="001C7C7E">
        <w:rPr>
          <w:color w:val="000000"/>
          <w:szCs w:val="22"/>
          <w:lang w:val="en-GB"/>
        </w:rPr>
        <w:t xml:space="preserve"> </w:t>
      </w:r>
      <w:r w:rsidRPr="008C5A7A">
        <w:rPr>
          <w:color w:val="000000"/>
          <w:szCs w:val="22"/>
          <w:lang w:val="en-GB"/>
        </w:rPr>
        <w:t>secondary</w:t>
      </w:r>
      <w:r w:rsidR="001C7C7E">
        <w:rPr>
          <w:color w:val="000000"/>
          <w:szCs w:val="22"/>
          <w:lang w:val="en-GB"/>
        </w:rPr>
        <w:t xml:space="preserve"> </w:t>
      </w:r>
      <w:r w:rsidRPr="008C5A7A">
        <w:rPr>
          <w:color w:val="000000"/>
          <w:szCs w:val="22"/>
          <w:lang w:val="en-GB"/>
        </w:rPr>
        <w:t>and</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continent</w:t>
      </w:r>
      <w:r w:rsidR="001C7C7E">
        <w:rPr>
          <w:color w:val="000000"/>
          <w:szCs w:val="22"/>
          <w:lang w:val="en-GB"/>
        </w:rPr>
        <w:t xml:space="preserve"> </w:t>
      </w:r>
      <w:r w:rsidRPr="008C5A7A">
        <w:rPr>
          <w:color w:val="000000"/>
          <w:szCs w:val="22"/>
          <w:lang w:val="en-GB"/>
        </w:rPr>
        <w:t>appear</w:t>
      </w:r>
      <w:r w:rsidR="001C7C7E">
        <w:rPr>
          <w:color w:val="000000"/>
          <w:szCs w:val="22"/>
          <w:lang w:val="en-GB"/>
        </w:rPr>
        <w:t xml:space="preserve"> </w:t>
      </w:r>
      <w:r w:rsidRPr="008C5A7A">
        <w:rPr>
          <w:color w:val="000000"/>
          <w:szCs w:val="22"/>
          <w:lang w:val="en-GB"/>
        </w:rPr>
        <w:t>set</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benefit</w:t>
      </w:r>
      <w:r w:rsidR="001C7C7E">
        <w:rPr>
          <w:color w:val="000000"/>
          <w:szCs w:val="22"/>
          <w:lang w:val="en-GB"/>
        </w:rPr>
        <w:t xml:space="preserve"> </w:t>
      </w:r>
      <w:r w:rsidRPr="008C5A7A">
        <w:rPr>
          <w:color w:val="000000"/>
          <w:szCs w:val="22"/>
          <w:lang w:val="en-GB"/>
        </w:rPr>
        <w:t>from</w:t>
      </w:r>
      <w:r w:rsidR="001C7C7E">
        <w:rPr>
          <w:color w:val="000000"/>
          <w:szCs w:val="22"/>
          <w:lang w:val="en-GB"/>
        </w:rPr>
        <w:t xml:space="preserve"> </w:t>
      </w:r>
      <w:r w:rsidRPr="008C5A7A">
        <w:rPr>
          <w:color w:val="000000"/>
          <w:szCs w:val="22"/>
          <w:lang w:val="en-GB"/>
        </w:rPr>
        <w:t>improving</w:t>
      </w:r>
      <w:r w:rsidR="001C7C7E">
        <w:rPr>
          <w:color w:val="000000"/>
          <w:szCs w:val="22"/>
          <w:lang w:val="en-GB"/>
        </w:rPr>
        <w:t xml:space="preserve"> </w:t>
      </w:r>
      <w:r w:rsidRPr="008C5A7A">
        <w:rPr>
          <w:color w:val="000000"/>
          <w:szCs w:val="22"/>
          <w:lang w:val="en-GB"/>
        </w:rPr>
        <w:t>GDP</w:t>
      </w:r>
      <w:r w:rsidR="001C7C7E">
        <w:rPr>
          <w:color w:val="000000"/>
          <w:szCs w:val="22"/>
          <w:lang w:val="en-GB"/>
        </w:rPr>
        <w:t xml:space="preserve"> </w:t>
      </w:r>
      <w:r w:rsidRPr="008C5A7A">
        <w:rPr>
          <w:color w:val="000000"/>
          <w:szCs w:val="22"/>
          <w:lang w:val="en-GB"/>
        </w:rPr>
        <w:t>growth.</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upgrade</w:t>
      </w:r>
      <w:r w:rsidR="001C7C7E">
        <w:rPr>
          <w:color w:val="000000"/>
          <w:szCs w:val="22"/>
          <w:lang w:val="en-GB"/>
        </w:rPr>
        <w:t xml:space="preserve"> </w:t>
      </w:r>
      <w:r w:rsidRPr="008C5A7A">
        <w:rPr>
          <w:color w:val="000000"/>
          <w:szCs w:val="22"/>
          <w:lang w:val="en-GB"/>
        </w:rPr>
        <w:t>price</w:t>
      </w:r>
      <w:r w:rsidR="001C7C7E">
        <w:rPr>
          <w:color w:val="000000"/>
          <w:szCs w:val="22"/>
          <w:lang w:val="en-GB"/>
        </w:rPr>
        <w:t xml:space="preserve"> </w:t>
      </w:r>
      <w:r w:rsidRPr="008C5A7A">
        <w:rPr>
          <w:color w:val="000000"/>
          <w:szCs w:val="22"/>
          <w:lang w:val="en-GB"/>
        </w:rPr>
        <w:t>targets</w:t>
      </w:r>
      <w:r w:rsidR="001C7C7E">
        <w:rPr>
          <w:color w:val="000000"/>
          <w:szCs w:val="22"/>
          <w:lang w:val="en-GB"/>
        </w:rPr>
        <w:t xml:space="preserve"> </w:t>
      </w:r>
      <w:r w:rsidRPr="008C5A7A">
        <w:rPr>
          <w:color w:val="000000"/>
          <w:szCs w:val="22"/>
          <w:lang w:val="en-GB"/>
        </w:rPr>
        <w:t>by</w:t>
      </w:r>
      <w:r w:rsidR="001C7C7E">
        <w:rPr>
          <w:color w:val="000000"/>
          <w:szCs w:val="22"/>
          <w:lang w:val="en-GB"/>
        </w:rPr>
        <w:t xml:space="preserve"> </w:t>
      </w:r>
      <w:r w:rsidRPr="008C5A7A">
        <w:rPr>
          <w:color w:val="000000"/>
          <w:szCs w:val="22"/>
          <w:lang w:val="en-GB"/>
        </w:rPr>
        <w:t>an</w:t>
      </w:r>
      <w:r w:rsidR="001C7C7E">
        <w:rPr>
          <w:color w:val="000000"/>
          <w:szCs w:val="22"/>
          <w:lang w:val="en-GB"/>
        </w:rPr>
        <w:t xml:space="preserve"> </w:t>
      </w:r>
      <w:r w:rsidRPr="008C5A7A">
        <w:rPr>
          <w:color w:val="000000"/>
          <w:szCs w:val="22"/>
          <w:lang w:val="en-GB"/>
        </w:rPr>
        <w:t>average</w:t>
      </w:r>
      <w:r w:rsidR="001C7C7E">
        <w:rPr>
          <w:color w:val="000000"/>
          <w:szCs w:val="22"/>
          <w:lang w:val="en-GB"/>
        </w:rPr>
        <w:t xml:space="preserve"> </w:t>
      </w:r>
      <w:r w:rsidRPr="008C5A7A">
        <w:rPr>
          <w:color w:val="000000"/>
          <w:szCs w:val="22"/>
          <w:lang w:val="en-GB"/>
        </w:rPr>
        <w:t>of</w:t>
      </w:r>
      <w:r w:rsidR="001C7C7E">
        <w:rPr>
          <w:color w:val="000000"/>
          <w:szCs w:val="22"/>
          <w:lang w:val="en-GB"/>
        </w:rPr>
        <w:t xml:space="preserve"> </w:t>
      </w:r>
      <w:r w:rsidRPr="008C5A7A">
        <w:rPr>
          <w:color w:val="000000"/>
          <w:szCs w:val="22"/>
          <w:lang w:val="en-GB"/>
        </w:rPr>
        <w:t>8%,</w:t>
      </w:r>
      <w:r w:rsidR="001C7C7E">
        <w:rPr>
          <w:color w:val="000000"/>
          <w:szCs w:val="22"/>
          <w:lang w:val="en-GB"/>
        </w:rPr>
        <w:t xml:space="preserve"> </w:t>
      </w:r>
      <w:r w:rsidRPr="008C5A7A">
        <w:rPr>
          <w:color w:val="000000"/>
          <w:szCs w:val="22"/>
          <w:lang w:val="en-GB"/>
        </w:rPr>
        <w:t>largely</w:t>
      </w:r>
      <w:r w:rsidR="001C7C7E">
        <w:rPr>
          <w:color w:val="000000"/>
          <w:szCs w:val="22"/>
          <w:lang w:val="en-GB"/>
        </w:rPr>
        <w:t xml:space="preserve"> </w:t>
      </w:r>
      <w:r w:rsidRPr="008C5A7A">
        <w:rPr>
          <w:color w:val="000000"/>
          <w:szCs w:val="22"/>
          <w:lang w:val="en-GB"/>
        </w:rPr>
        <w:t>due</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increased</w:t>
      </w:r>
      <w:r w:rsidR="001C7C7E">
        <w:rPr>
          <w:color w:val="000000"/>
          <w:szCs w:val="22"/>
          <w:lang w:val="en-GB"/>
        </w:rPr>
        <w:t xml:space="preserve"> </w:t>
      </w:r>
      <w:r w:rsidRPr="008C5A7A">
        <w:rPr>
          <w:color w:val="000000"/>
          <w:szCs w:val="22"/>
          <w:lang w:val="en-GB"/>
        </w:rPr>
        <w:t>rental</w:t>
      </w:r>
      <w:r w:rsidR="001C7C7E">
        <w:rPr>
          <w:color w:val="000000"/>
          <w:szCs w:val="22"/>
          <w:lang w:val="en-GB"/>
        </w:rPr>
        <w:t xml:space="preserve"> </w:t>
      </w:r>
      <w:r w:rsidRPr="008C5A7A">
        <w:rPr>
          <w:color w:val="000000"/>
          <w:szCs w:val="22"/>
          <w:lang w:val="en-GB"/>
        </w:rPr>
        <w:t>growth</w:t>
      </w:r>
      <w:r w:rsidR="001C7C7E">
        <w:rPr>
          <w:color w:val="000000"/>
          <w:szCs w:val="22"/>
          <w:lang w:val="en-GB"/>
        </w:rPr>
        <w:t xml:space="preserve"> </w:t>
      </w:r>
      <w:r w:rsidRPr="008C5A7A">
        <w:rPr>
          <w:color w:val="000000"/>
          <w:szCs w:val="22"/>
          <w:lang w:val="en-GB"/>
        </w:rPr>
        <w:t>forecasts,</w:t>
      </w:r>
      <w:r w:rsidR="001C7C7E">
        <w:rPr>
          <w:color w:val="000000"/>
          <w:szCs w:val="22"/>
          <w:lang w:val="en-GB"/>
        </w:rPr>
        <w:t xml:space="preserve"> </w:t>
      </w:r>
      <w:r w:rsidRPr="008C5A7A">
        <w:rPr>
          <w:color w:val="000000"/>
          <w:szCs w:val="22"/>
          <w:lang w:val="en-GB"/>
        </w:rPr>
        <w:t>for</w:t>
      </w:r>
      <w:r w:rsidR="001C7C7E">
        <w:rPr>
          <w:color w:val="000000"/>
          <w:szCs w:val="22"/>
          <w:lang w:val="en-GB"/>
        </w:rPr>
        <w:t xml:space="preserve"> </w:t>
      </w:r>
      <w:r w:rsidRPr="008C5A7A">
        <w:rPr>
          <w:color w:val="000000"/>
          <w:szCs w:val="22"/>
          <w:lang w:val="en-GB"/>
        </w:rPr>
        <w:t>7%</w:t>
      </w:r>
      <w:r w:rsidR="001C7C7E">
        <w:rPr>
          <w:color w:val="000000"/>
          <w:szCs w:val="22"/>
          <w:lang w:val="en-GB"/>
        </w:rPr>
        <w:t xml:space="preserve"> </w:t>
      </w:r>
      <w:r w:rsidRPr="008C5A7A">
        <w:rPr>
          <w:color w:val="000000"/>
          <w:szCs w:val="22"/>
          <w:lang w:val="en-GB"/>
        </w:rPr>
        <w:t>sector</w:t>
      </w:r>
      <w:r w:rsidR="001C7C7E">
        <w:rPr>
          <w:color w:val="000000"/>
          <w:szCs w:val="22"/>
          <w:lang w:val="en-GB"/>
        </w:rPr>
        <w:t xml:space="preserve"> </w:t>
      </w:r>
      <w:r w:rsidRPr="008C5A7A">
        <w:rPr>
          <w:color w:val="000000"/>
          <w:szCs w:val="22"/>
          <w:lang w:val="en-GB"/>
        </w:rPr>
        <w:t>upside</w:t>
      </w:r>
      <w:r w:rsidR="001C7C7E">
        <w:rPr>
          <w:color w:val="000000"/>
          <w:szCs w:val="22"/>
          <w:lang w:val="en-GB"/>
        </w:rPr>
        <w:t xml:space="preserve"> </w:t>
      </w:r>
      <w:r w:rsidRPr="008C5A7A">
        <w:rPr>
          <w:color w:val="000000"/>
          <w:szCs w:val="22"/>
          <w:lang w:val="en-GB"/>
        </w:rPr>
        <w:t>potential</w:t>
      </w:r>
      <w:r w:rsidR="001C7C7E">
        <w:rPr>
          <w:color w:val="000000"/>
          <w:szCs w:val="22"/>
          <w:lang w:val="en-GB"/>
        </w:rPr>
        <w:t xml:space="preserve"> </w:t>
      </w:r>
      <w:r w:rsidRPr="008C5A7A">
        <w:rPr>
          <w:color w:val="000000"/>
          <w:szCs w:val="22"/>
          <w:lang w:val="en-GB"/>
        </w:rPr>
        <w:t>and</w:t>
      </w:r>
      <w:r w:rsidR="001C7C7E">
        <w:rPr>
          <w:color w:val="000000"/>
          <w:szCs w:val="22"/>
          <w:lang w:val="en-GB"/>
        </w:rPr>
        <w:t xml:space="preserve"> </w:t>
      </w:r>
      <w:r w:rsidRPr="008C5A7A">
        <w:rPr>
          <w:color w:val="000000"/>
          <w:szCs w:val="22"/>
          <w:lang w:val="en-GB"/>
        </w:rPr>
        <w:t>note</w:t>
      </w:r>
      <w:r w:rsidR="001C7C7E">
        <w:rPr>
          <w:color w:val="000000"/>
          <w:szCs w:val="22"/>
          <w:lang w:val="en-GB"/>
        </w:rPr>
        <w:t xml:space="preserve"> </w:t>
      </w:r>
      <w:r w:rsidRPr="008C5A7A">
        <w:rPr>
          <w:color w:val="000000"/>
          <w:szCs w:val="22"/>
          <w:lang w:val="en-GB"/>
        </w:rPr>
        <w:t>a</w:t>
      </w:r>
      <w:r w:rsidR="001C7C7E">
        <w:rPr>
          <w:color w:val="000000"/>
          <w:szCs w:val="22"/>
          <w:lang w:val="en-GB"/>
        </w:rPr>
        <w:t xml:space="preserve"> </w:t>
      </w:r>
      <w:r w:rsidRPr="008C5A7A">
        <w:rPr>
          <w:color w:val="000000"/>
          <w:szCs w:val="22"/>
          <w:lang w:val="en-GB"/>
        </w:rPr>
        <w:t>deteriorating</w:t>
      </w:r>
      <w:r w:rsidR="001C7C7E">
        <w:rPr>
          <w:color w:val="000000"/>
          <w:szCs w:val="22"/>
          <w:lang w:val="en-GB"/>
        </w:rPr>
        <w:t xml:space="preserve"> </w:t>
      </w:r>
      <w:r w:rsidRPr="008C5A7A">
        <w:rPr>
          <w:color w:val="000000"/>
          <w:szCs w:val="22"/>
          <w:lang w:val="en-GB"/>
        </w:rPr>
        <w:t>risk/return</w:t>
      </w:r>
      <w:r w:rsidR="001C7C7E">
        <w:rPr>
          <w:color w:val="000000"/>
          <w:szCs w:val="22"/>
          <w:lang w:val="en-GB"/>
        </w:rPr>
        <w:t xml:space="preserve"> </w:t>
      </w:r>
      <w:r w:rsidRPr="008C5A7A">
        <w:rPr>
          <w:color w:val="000000"/>
          <w:szCs w:val="22"/>
          <w:lang w:val="en-GB"/>
        </w:rPr>
        <w:t>profile</w:t>
      </w:r>
      <w:r w:rsidR="001C7C7E">
        <w:rPr>
          <w:color w:val="000000"/>
          <w:szCs w:val="22"/>
          <w:lang w:val="en-GB"/>
        </w:rPr>
        <w:t xml:space="preserve"> </w:t>
      </w:r>
      <w:r w:rsidRPr="008C5A7A">
        <w:rPr>
          <w:color w:val="000000"/>
          <w:szCs w:val="22"/>
          <w:lang w:val="en-GB"/>
        </w:rPr>
        <w:t>in</w:t>
      </w:r>
      <w:r w:rsidR="001C7C7E">
        <w:rPr>
          <w:color w:val="000000"/>
          <w:szCs w:val="22"/>
          <w:lang w:val="en-GB"/>
        </w:rPr>
        <w:t xml:space="preserve"> </w:t>
      </w:r>
      <w:r w:rsidRPr="008C5A7A">
        <w:rPr>
          <w:color w:val="000000"/>
          <w:szCs w:val="22"/>
          <w:lang w:val="en-GB"/>
        </w:rPr>
        <w:t>2014.</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remain</w:t>
      </w:r>
      <w:r w:rsidR="001C7C7E">
        <w:rPr>
          <w:color w:val="000000"/>
          <w:szCs w:val="22"/>
          <w:lang w:val="en-GB"/>
        </w:rPr>
        <w:t xml:space="preserve"> </w:t>
      </w:r>
      <w:r w:rsidRPr="008C5A7A">
        <w:rPr>
          <w:color w:val="000000"/>
          <w:szCs w:val="22"/>
          <w:lang w:val="en-GB"/>
        </w:rPr>
        <w:t>constructive,</w:t>
      </w:r>
      <w:r w:rsidR="001C7C7E">
        <w:rPr>
          <w:color w:val="000000"/>
          <w:szCs w:val="22"/>
          <w:lang w:val="en-GB"/>
        </w:rPr>
        <w:t xml:space="preserve"> </w:t>
      </w:r>
      <w:r w:rsidRPr="008C5A7A">
        <w:rPr>
          <w:color w:val="000000"/>
          <w:szCs w:val="22"/>
          <w:lang w:val="en-GB"/>
        </w:rPr>
        <w:t>however,</w:t>
      </w:r>
      <w:r w:rsidR="001C7C7E">
        <w:rPr>
          <w:color w:val="000000"/>
          <w:szCs w:val="22"/>
          <w:lang w:val="en-GB"/>
        </w:rPr>
        <w:t xml:space="preserve"> </w:t>
      </w:r>
      <w:r w:rsidRPr="008C5A7A">
        <w:rPr>
          <w:color w:val="000000"/>
          <w:szCs w:val="22"/>
          <w:lang w:val="en-GB"/>
        </w:rPr>
        <w:t>and</w:t>
      </w:r>
      <w:r w:rsidR="001C7C7E">
        <w:rPr>
          <w:color w:val="000000"/>
          <w:szCs w:val="22"/>
          <w:lang w:val="en-GB"/>
        </w:rPr>
        <w:t xml:space="preserve"> </w:t>
      </w:r>
      <w:r w:rsidRPr="008C5A7A">
        <w:rPr>
          <w:color w:val="000000"/>
          <w:szCs w:val="22"/>
          <w:lang w:val="en-GB"/>
        </w:rPr>
        <w:t>see</w:t>
      </w:r>
      <w:r w:rsidR="001C7C7E">
        <w:rPr>
          <w:color w:val="000000"/>
          <w:szCs w:val="22"/>
          <w:lang w:val="en-GB"/>
        </w:rPr>
        <w:t xml:space="preserve"> </w:t>
      </w:r>
      <w:r w:rsidRPr="008C5A7A">
        <w:rPr>
          <w:color w:val="000000"/>
          <w:szCs w:val="22"/>
          <w:lang w:val="en-GB"/>
        </w:rPr>
        <w:t>reasons</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be</w:t>
      </w:r>
      <w:r w:rsidR="001C7C7E">
        <w:rPr>
          <w:color w:val="000000"/>
          <w:szCs w:val="22"/>
          <w:lang w:val="en-GB"/>
        </w:rPr>
        <w:t xml:space="preserve"> </w:t>
      </w:r>
      <w:r w:rsidRPr="008C5A7A">
        <w:rPr>
          <w:color w:val="000000"/>
          <w:szCs w:val="22"/>
          <w:lang w:val="en-GB"/>
        </w:rPr>
        <w:t>positive</w:t>
      </w:r>
      <w:r w:rsidR="001C7C7E">
        <w:rPr>
          <w:color w:val="000000"/>
          <w:szCs w:val="22"/>
          <w:lang w:val="en-GB"/>
        </w:rPr>
        <w:t xml:space="preserve"> </w:t>
      </w:r>
      <w:r w:rsidRPr="008C5A7A">
        <w:rPr>
          <w:color w:val="000000"/>
          <w:szCs w:val="22"/>
          <w:lang w:val="en-GB"/>
        </w:rPr>
        <w:t>including:</w:t>
      </w:r>
      <w:r w:rsidR="001C7C7E">
        <w:rPr>
          <w:color w:val="000000"/>
          <w:szCs w:val="22"/>
          <w:lang w:val="en-GB"/>
        </w:rPr>
        <w:t xml:space="preserve"> </w:t>
      </w:r>
      <w:r w:rsidRPr="008C5A7A">
        <w:rPr>
          <w:color w:val="000000"/>
          <w:szCs w:val="22"/>
          <w:lang w:val="en-GB"/>
        </w:rPr>
        <w:t>1)</w:t>
      </w:r>
      <w:r w:rsidR="001C7C7E">
        <w:rPr>
          <w:color w:val="000000"/>
          <w:szCs w:val="22"/>
          <w:lang w:val="en-GB"/>
        </w:rPr>
        <w:t xml:space="preserve"> </w:t>
      </w:r>
      <w:r w:rsidRPr="008C5A7A">
        <w:rPr>
          <w:color w:val="000000"/>
          <w:szCs w:val="22"/>
          <w:lang w:val="en-GB"/>
        </w:rPr>
        <w:t>Top</w:t>
      </w:r>
      <w:r w:rsidR="001C7C7E">
        <w:rPr>
          <w:color w:val="000000"/>
          <w:szCs w:val="22"/>
          <w:lang w:val="en-GB"/>
        </w:rPr>
        <w:t xml:space="preserve"> </w:t>
      </w:r>
      <w:r w:rsidRPr="008C5A7A">
        <w:rPr>
          <w:color w:val="000000"/>
          <w:szCs w:val="22"/>
          <w:lang w:val="en-GB"/>
        </w:rPr>
        <w:t>Picks</w:t>
      </w:r>
      <w:r w:rsidR="001C7C7E">
        <w:rPr>
          <w:color w:val="000000"/>
          <w:szCs w:val="22"/>
          <w:lang w:val="en-GB"/>
        </w:rPr>
        <w:t xml:space="preserve"> </w:t>
      </w:r>
      <w:r w:rsidRPr="008C5A7A">
        <w:rPr>
          <w:color w:val="000000"/>
          <w:szCs w:val="22"/>
          <w:lang w:val="en-GB"/>
        </w:rPr>
        <w:t>offer</w:t>
      </w:r>
      <w:r w:rsidR="001C7C7E">
        <w:rPr>
          <w:color w:val="000000"/>
          <w:szCs w:val="22"/>
          <w:lang w:val="en-GB"/>
        </w:rPr>
        <w:t xml:space="preserve"> </w:t>
      </w:r>
      <w:r w:rsidRPr="008C5A7A">
        <w:rPr>
          <w:color w:val="000000"/>
          <w:szCs w:val="22"/>
          <w:lang w:val="en-GB"/>
        </w:rPr>
        <w:t>13%</w:t>
      </w:r>
      <w:r w:rsidR="001C7C7E">
        <w:rPr>
          <w:color w:val="000000"/>
          <w:szCs w:val="22"/>
          <w:lang w:val="en-GB"/>
        </w:rPr>
        <w:t xml:space="preserve"> </w:t>
      </w:r>
      <w:r w:rsidRPr="008C5A7A">
        <w:rPr>
          <w:color w:val="000000"/>
          <w:szCs w:val="22"/>
          <w:lang w:val="en-GB"/>
        </w:rPr>
        <w:t>upside</w:t>
      </w:r>
      <w:r w:rsidR="001C7C7E">
        <w:rPr>
          <w:color w:val="000000"/>
          <w:szCs w:val="22"/>
          <w:lang w:val="en-GB"/>
        </w:rPr>
        <w:t xml:space="preserve"> </w:t>
      </w:r>
      <w:r w:rsidRPr="008C5A7A">
        <w:rPr>
          <w:color w:val="000000"/>
          <w:szCs w:val="22"/>
          <w:lang w:val="en-GB"/>
        </w:rPr>
        <w:t>potential,</w:t>
      </w:r>
      <w:r w:rsidR="001C7C7E">
        <w:rPr>
          <w:color w:val="000000"/>
          <w:szCs w:val="22"/>
          <w:lang w:val="en-GB"/>
        </w:rPr>
        <w:t xml:space="preserve"> </w:t>
      </w:r>
      <w:r w:rsidRPr="008C5A7A">
        <w:rPr>
          <w:color w:val="000000"/>
          <w:szCs w:val="22"/>
          <w:lang w:val="en-GB"/>
        </w:rPr>
        <w:t>2)</w:t>
      </w:r>
      <w:r w:rsidR="001C7C7E">
        <w:rPr>
          <w:color w:val="000000"/>
          <w:szCs w:val="22"/>
          <w:lang w:val="en-GB"/>
        </w:rPr>
        <w:t xml:space="preserve"> </w:t>
      </w:r>
      <w:r w:rsidRPr="008C5A7A">
        <w:rPr>
          <w:color w:val="000000"/>
          <w:szCs w:val="22"/>
          <w:lang w:val="en-GB"/>
        </w:rPr>
        <w:t>good</w:t>
      </w:r>
      <w:r w:rsidR="001C7C7E">
        <w:rPr>
          <w:color w:val="000000"/>
          <w:szCs w:val="22"/>
          <w:lang w:val="en-GB"/>
        </w:rPr>
        <w:t xml:space="preserve"> </w:t>
      </w:r>
      <w:r w:rsidRPr="008C5A7A">
        <w:rPr>
          <w:color w:val="000000"/>
          <w:szCs w:val="22"/>
          <w:lang w:val="en-GB"/>
        </w:rPr>
        <w:t>secondary</w:t>
      </w:r>
      <w:r w:rsidR="001C7C7E">
        <w:rPr>
          <w:color w:val="000000"/>
          <w:szCs w:val="22"/>
          <w:lang w:val="en-GB"/>
        </w:rPr>
        <w:t xml:space="preserve"> </w:t>
      </w:r>
      <w:r w:rsidRPr="008C5A7A">
        <w:rPr>
          <w:color w:val="000000"/>
          <w:szCs w:val="22"/>
          <w:lang w:val="en-GB"/>
        </w:rPr>
        <w:t>UK</w:t>
      </w:r>
      <w:r w:rsidR="001C7C7E">
        <w:rPr>
          <w:color w:val="000000"/>
          <w:szCs w:val="22"/>
          <w:lang w:val="en-GB"/>
        </w:rPr>
        <w:t xml:space="preserve"> </w:t>
      </w:r>
      <w:r w:rsidRPr="008C5A7A">
        <w:rPr>
          <w:color w:val="000000"/>
          <w:szCs w:val="22"/>
          <w:lang w:val="en-GB"/>
        </w:rPr>
        <w:t>entering</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sweet</w:t>
      </w:r>
      <w:r w:rsidR="001C7C7E">
        <w:rPr>
          <w:color w:val="000000"/>
          <w:szCs w:val="22"/>
          <w:lang w:val="en-GB"/>
        </w:rPr>
        <w:t xml:space="preserve"> </w:t>
      </w:r>
      <w:r w:rsidRPr="008C5A7A">
        <w:rPr>
          <w:color w:val="000000"/>
          <w:szCs w:val="22"/>
          <w:lang w:val="en-GB"/>
        </w:rPr>
        <w:t>spot,</w:t>
      </w:r>
      <w:r w:rsidR="001C7C7E">
        <w:rPr>
          <w:color w:val="000000"/>
          <w:szCs w:val="22"/>
          <w:lang w:val="en-GB"/>
        </w:rPr>
        <w:t xml:space="preserve"> </w:t>
      </w:r>
      <w:r w:rsidRPr="008C5A7A">
        <w:rPr>
          <w:color w:val="000000"/>
          <w:szCs w:val="22"/>
          <w:lang w:val="en-GB"/>
        </w:rPr>
        <w:t>3)</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yield</w:t>
      </w:r>
      <w:r w:rsidR="001C7C7E">
        <w:rPr>
          <w:color w:val="000000"/>
          <w:szCs w:val="22"/>
          <w:lang w:val="en-GB"/>
        </w:rPr>
        <w:t xml:space="preserve"> </w:t>
      </w:r>
      <w:r w:rsidRPr="008C5A7A">
        <w:rPr>
          <w:color w:val="000000"/>
          <w:szCs w:val="22"/>
          <w:lang w:val="en-GB"/>
        </w:rPr>
        <w:t>spread</w:t>
      </w:r>
      <w:r w:rsidR="001C7C7E">
        <w:rPr>
          <w:color w:val="000000"/>
          <w:szCs w:val="22"/>
          <w:lang w:val="en-GB"/>
        </w:rPr>
        <w:t xml:space="preserve"> </w:t>
      </w:r>
      <w:r w:rsidRPr="008C5A7A">
        <w:rPr>
          <w:color w:val="000000"/>
          <w:szCs w:val="22"/>
          <w:lang w:val="en-GB"/>
        </w:rPr>
        <w:t>remains</w:t>
      </w:r>
      <w:r w:rsidR="001C7C7E">
        <w:rPr>
          <w:color w:val="000000"/>
          <w:szCs w:val="22"/>
          <w:lang w:val="en-GB"/>
        </w:rPr>
        <w:t xml:space="preserve"> </w:t>
      </w:r>
      <w:r w:rsidRPr="008C5A7A">
        <w:rPr>
          <w:color w:val="000000"/>
          <w:szCs w:val="22"/>
          <w:lang w:val="en-GB"/>
        </w:rPr>
        <w:t>supportive,</w:t>
      </w:r>
      <w:r w:rsidR="001C7C7E">
        <w:rPr>
          <w:color w:val="000000"/>
          <w:szCs w:val="22"/>
          <w:lang w:val="en-GB"/>
        </w:rPr>
        <w:t xml:space="preserve"> </w:t>
      </w:r>
      <w:r w:rsidRPr="008C5A7A">
        <w:rPr>
          <w:color w:val="000000"/>
          <w:szCs w:val="22"/>
          <w:lang w:val="en-GB"/>
        </w:rPr>
        <w:t>4)</w:t>
      </w:r>
      <w:r w:rsidR="001C7C7E">
        <w:rPr>
          <w:color w:val="000000"/>
          <w:szCs w:val="22"/>
          <w:lang w:val="en-GB"/>
        </w:rPr>
        <w:t xml:space="preserve"> </w:t>
      </w:r>
      <w:r w:rsidRPr="008C5A7A">
        <w:rPr>
          <w:color w:val="000000"/>
          <w:szCs w:val="22"/>
          <w:lang w:val="en-GB"/>
        </w:rPr>
        <w:t>UK</w:t>
      </w:r>
      <w:r w:rsidR="001C7C7E">
        <w:rPr>
          <w:color w:val="000000"/>
          <w:szCs w:val="22"/>
          <w:lang w:val="en-GB"/>
        </w:rPr>
        <w:t xml:space="preserve"> </w:t>
      </w:r>
      <w:r w:rsidRPr="008C5A7A">
        <w:rPr>
          <w:color w:val="000000"/>
          <w:szCs w:val="22"/>
          <w:lang w:val="en-GB"/>
        </w:rPr>
        <w:t>GDP</w:t>
      </w:r>
      <w:r w:rsidR="001C7C7E">
        <w:rPr>
          <w:color w:val="000000"/>
          <w:szCs w:val="22"/>
          <w:lang w:val="en-GB"/>
        </w:rPr>
        <w:t xml:space="preserve"> </w:t>
      </w:r>
      <w:r w:rsidRPr="008C5A7A">
        <w:rPr>
          <w:color w:val="000000"/>
          <w:szCs w:val="22"/>
          <w:lang w:val="en-GB"/>
        </w:rPr>
        <w:t>growth</w:t>
      </w:r>
      <w:r w:rsidR="001C7C7E">
        <w:rPr>
          <w:color w:val="000000"/>
          <w:szCs w:val="22"/>
          <w:lang w:val="en-GB"/>
        </w:rPr>
        <w:t xml:space="preserve"> </w:t>
      </w:r>
      <w:r w:rsidRPr="008C5A7A">
        <w:rPr>
          <w:color w:val="000000"/>
          <w:szCs w:val="22"/>
          <w:lang w:val="en-GB"/>
        </w:rPr>
        <w:t>being</w:t>
      </w:r>
      <w:r w:rsidR="001C7C7E">
        <w:rPr>
          <w:color w:val="000000"/>
          <w:szCs w:val="22"/>
          <w:lang w:val="en-GB"/>
        </w:rPr>
        <w:t xml:space="preserve"> </w:t>
      </w:r>
      <w:r w:rsidRPr="008C5A7A">
        <w:rPr>
          <w:color w:val="000000"/>
          <w:szCs w:val="22"/>
          <w:lang w:val="en-GB"/>
        </w:rPr>
        <w:t>revised</w:t>
      </w:r>
      <w:r w:rsidR="001C7C7E">
        <w:rPr>
          <w:color w:val="000000"/>
          <w:szCs w:val="22"/>
          <w:lang w:val="en-GB"/>
        </w:rPr>
        <w:t xml:space="preserve"> </w:t>
      </w:r>
      <w:r w:rsidRPr="008C5A7A">
        <w:rPr>
          <w:color w:val="000000"/>
          <w:szCs w:val="22"/>
          <w:lang w:val="en-GB"/>
        </w:rPr>
        <w:t>upwards,</w:t>
      </w:r>
      <w:r w:rsidR="001C7C7E">
        <w:rPr>
          <w:color w:val="000000"/>
          <w:szCs w:val="22"/>
          <w:lang w:val="en-GB"/>
        </w:rPr>
        <w:t xml:space="preserve"> </w:t>
      </w:r>
      <w:r w:rsidRPr="008C5A7A">
        <w:rPr>
          <w:color w:val="000000"/>
          <w:szCs w:val="22"/>
          <w:lang w:val="en-GB"/>
        </w:rPr>
        <w:t>5)</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would</w:t>
      </w:r>
      <w:r w:rsidR="001C7C7E">
        <w:rPr>
          <w:color w:val="000000"/>
          <w:szCs w:val="22"/>
          <w:lang w:val="en-GB"/>
        </w:rPr>
        <w:t xml:space="preserve"> </w:t>
      </w:r>
      <w:r w:rsidRPr="008C5A7A">
        <w:rPr>
          <w:color w:val="000000"/>
          <w:szCs w:val="22"/>
          <w:lang w:val="en-GB"/>
        </w:rPr>
        <w:t>buy</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dips</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improve</w:t>
      </w:r>
      <w:r w:rsidR="001C7C7E">
        <w:rPr>
          <w:color w:val="000000"/>
          <w:szCs w:val="22"/>
          <w:lang w:val="en-GB"/>
        </w:rPr>
        <w:t xml:space="preserve"> </w:t>
      </w:r>
      <w:r w:rsidRPr="008C5A7A">
        <w:rPr>
          <w:color w:val="000000"/>
          <w:szCs w:val="22"/>
          <w:lang w:val="en-GB"/>
        </w:rPr>
        <w:t>IRR,</w:t>
      </w:r>
      <w:r w:rsidR="001C7C7E">
        <w:rPr>
          <w:color w:val="000000"/>
          <w:szCs w:val="22"/>
          <w:lang w:val="en-GB"/>
        </w:rPr>
        <w:t xml:space="preserve"> </w:t>
      </w:r>
      <w:r w:rsidRPr="008C5A7A">
        <w:rPr>
          <w:color w:val="000000"/>
          <w:szCs w:val="22"/>
          <w:lang w:val="en-GB"/>
        </w:rPr>
        <w:t>and</w:t>
      </w:r>
      <w:r w:rsidR="001C7C7E">
        <w:rPr>
          <w:color w:val="000000"/>
          <w:szCs w:val="22"/>
          <w:lang w:val="en-GB"/>
        </w:rPr>
        <w:t xml:space="preserve"> </w:t>
      </w:r>
      <w:r w:rsidRPr="008C5A7A">
        <w:rPr>
          <w:color w:val="000000"/>
          <w:szCs w:val="22"/>
          <w:lang w:val="en-GB"/>
        </w:rPr>
        <w:t>6)</w:t>
      </w:r>
      <w:r w:rsidR="001C7C7E">
        <w:rPr>
          <w:color w:val="000000"/>
          <w:szCs w:val="22"/>
          <w:lang w:val="en-GB"/>
        </w:rPr>
        <w:t xml:space="preserve"> </w:t>
      </w:r>
      <w:r w:rsidRPr="008C5A7A">
        <w:rPr>
          <w:color w:val="000000"/>
          <w:szCs w:val="22"/>
          <w:lang w:val="en-GB"/>
        </w:rPr>
        <w:t>the</w:t>
      </w:r>
      <w:r w:rsidR="001C7C7E">
        <w:rPr>
          <w:color w:val="000000"/>
          <w:szCs w:val="22"/>
          <w:lang w:val="en-GB"/>
        </w:rPr>
        <w:t xml:space="preserve"> </w:t>
      </w:r>
      <w:r w:rsidRPr="008C5A7A">
        <w:rPr>
          <w:color w:val="000000"/>
          <w:szCs w:val="22"/>
          <w:lang w:val="en-GB"/>
        </w:rPr>
        <w:t>sector</w:t>
      </w:r>
      <w:r w:rsidR="001C7C7E">
        <w:rPr>
          <w:color w:val="000000"/>
          <w:szCs w:val="22"/>
          <w:lang w:val="en-GB"/>
        </w:rPr>
        <w:t xml:space="preserve"> </w:t>
      </w:r>
      <w:r w:rsidRPr="008C5A7A">
        <w:rPr>
          <w:color w:val="000000"/>
          <w:szCs w:val="22"/>
          <w:lang w:val="en-GB"/>
        </w:rPr>
        <w:t>we</w:t>
      </w:r>
      <w:r w:rsidR="001C7C7E">
        <w:rPr>
          <w:color w:val="000000"/>
          <w:szCs w:val="22"/>
          <w:lang w:val="en-GB"/>
        </w:rPr>
        <w:t xml:space="preserve"> </w:t>
      </w:r>
      <w:r w:rsidRPr="008C5A7A">
        <w:rPr>
          <w:color w:val="000000"/>
          <w:szCs w:val="22"/>
          <w:lang w:val="en-GB"/>
        </w:rPr>
        <w:t>see</w:t>
      </w:r>
      <w:r w:rsidR="001C7C7E">
        <w:rPr>
          <w:color w:val="000000"/>
          <w:szCs w:val="22"/>
          <w:lang w:val="en-GB"/>
        </w:rPr>
        <w:t xml:space="preserve"> </w:t>
      </w:r>
      <w:r w:rsidRPr="008C5A7A">
        <w:rPr>
          <w:color w:val="000000"/>
          <w:szCs w:val="22"/>
          <w:lang w:val="en-GB"/>
        </w:rPr>
        <w:t>poised</w:t>
      </w:r>
      <w:r w:rsidR="001C7C7E">
        <w:rPr>
          <w:color w:val="000000"/>
          <w:szCs w:val="22"/>
          <w:lang w:val="en-GB"/>
        </w:rPr>
        <w:t xml:space="preserve"> </w:t>
      </w:r>
      <w:r w:rsidRPr="008C5A7A">
        <w:rPr>
          <w:color w:val="000000"/>
          <w:szCs w:val="22"/>
          <w:lang w:val="en-GB"/>
        </w:rPr>
        <w:t>for</w:t>
      </w:r>
      <w:r w:rsidR="001C7C7E">
        <w:rPr>
          <w:color w:val="000000"/>
          <w:szCs w:val="22"/>
          <w:lang w:val="en-GB"/>
        </w:rPr>
        <w:t xml:space="preserve"> </w:t>
      </w:r>
      <w:r w:rsidRPr="008C5A7A">
        <w:rPr>
          <w:color w:val="000000"/>
          <w:szCs w:val="22"/>
          <w:lang w:val="en-GB"/>
        </w:rPr>
        <w:t>greatest</w:t>
      </w:r>
      <w:r w:rsidR="001C7C7E">
        <w:rPr>
          <w:color w:val="000000"/>
          <w:szCs w:val="22"/>
          <w:lang w:val="en-GB"/>
        </w:rPr>
        <w:t xml:space="preserve"> </w:t>
      </w:r>
      <w:r w:rsidRPr="008C5A7A">
        <w:rPr>
          <w:color w:val="000000"/>
          <w:szCs w:val="22"/>
          <w:lang w:val="en-GB"/>
        </w:rPr>
        <w:t>improvement</w:t>
      </w:r>
      <w:r w:rsidR="001C7C7E">
        <w:rPr>
          <w:color w:val="000000"/>
          <w:szCs w:val="22"/>
          <w:lang w:val="en-GB"/>
        </w:rPr>
        <w:t xml:space="preserve"> </w:t>
      </w:r>
      <w:r w:rsidRPr="008C5A7A">
        <w:rPr>
          <w:color w:val="000000"/>
          <w:szCs w:val="22"/>
          <w:lang w:val="en-GB"/>
        </w:rPr>
        <w:t>in</w:t>
      </w:r>
      <w:r w:rsidR="001C7C7E">
        <w:rPr>
          <w:color w:val="000000"/>
          <w:szCs w:val="22"/>
          <w:lang w:val="en-GB"/>
        </w:rPr>
        <w:t xml:space="preserve"> </w:t>
      </w:r>
      <w:r w:rsidRPr="008C5A7A">
        <w:rPr>
          <w:color w:val="000000"/>
          <w:szCs w:val="22"/>
          <w:lang w:val="en-GB"/>
        </w:rPr>
        <w:t>2014</w:t>
      </w:r>
      <w:r w:rsidR="001C7C7E">
        <w:rPr>
          <w:color w:val="000000"/>
          <w:szCs w:val="22"/>
          <w:lang w:val="en-GB"/>
        </w:rPr>
        <w:t xml:space="preserve"> </w:t>
      </w:r>
      <w:r w:rsidRPr="008C5A7A">
        <w:rPr>
          <w:color w:val="000000"/>
          <w:szCs w:val="22"/>
          <w:lang w:val="en-GB"/>
        </w:rPr>
        <w:t>–</w:t>
      </w:r>
      <w:r w:rsidR="001C7C7E">
        <w:rPr>
          <w:color w:val="000000"/>
          <w:szCs w:val="22"/>
          <w:lang w:val="en-GB"/>
        </w:rPr>
        <w:t xml:space="preserve"> </w:t>
      </w:r>
      <w:r w:rsidRPr="008C5A7A">
        <w:rPr>
          <w:color w:val="000000"/>
          <w:szCs w:val="22"/>
          <w:lang w:val="en-GB"/>
        </w:rPr>
        <w:t>UK</w:t>
      </w:r>
      <w:r w:rsidR="001C7C7E">
        <w:rPr>
          <w:color w:val="000000"/>
          <w:szCs w:val="22"/>
          <w:lang w:val="en-GB"/>
        </w:rPr>
        <w:t xml:space="preserve"> </w:t>
      </w:r>
      <w:r w:rsidRPr="008C5A7A">
        <w:rPr>
          <w:color w:val="000000"/>
          <w:szCs w:val="22"/>
          <w:lang w:val="en-GB"/>
        </w:rPr>
        <w:t>retail.</w:t>
      </w:r>
      <w:r w:rsidR="001C7C7E">
        <w:rPr>
          <w:color w:val="000000"/>
          <w:szCs w:val="22"/>
          <w:lang w:val="en-GB"/>
        </w:rPr>
        <w:t xml:space="preserve"> </w:t>
      </w:r>
    </w:p>
    <w:p w:rsidR="002E187C" w:rsidRPr="008C5A7A" w:rsidRDefault="002E187C" w:rsidP="002E187C">
      <w:pPr>
        <w:pStyle w:val="FPBullet"/>
        <w:rPr>
          <w:b/>
          <w:bCs/>
          <w:i/>
          <w:iCs/>
          <w:lang w:val="en-GB"/>
        </w:rPr>
      </w:pPr>
      <w:r w:rsidRPr="008C5A7A">
        <w:rPr>
          <w:b/>
          <w:lang w:val="en-GB"/>
        </w:rPr>
        <w:t>Recent</w:t>
      </w:r>
      <w:r w:rsidR="001C7C7E">
        <w:rPr>
          <w:b/>
          <w:lang w:val="en-GB"/>
        </w:rPr>
        <w:t xml:space="preserve"> </w:t>
      </w:r>
      <w:r w:rsidRPr="008C5A7A">
        <w:rPr>
          <w:b/>
          <w:lang w:val="en-GB"/>
        </w:rPr>
        <w:t>note:</w:t>
      </w:r>
      <w:r w:rsidR="001C7C7E">
        <w:rPr>
          <w:b/>
          <w:lang w:val="en-GB"/>
        </w:rPr>
        <w:t xml:space="preserve"> </w:t>
      </w:r>
      <w:r w:rsidRPr="008C5A7A">
        <w:rPr>
          <w:b/>
          <w:lang w:val="en-GB"/>
        </w:rPr>
        <w:t>Property:</w:t>
      </w:r>
      <w:r w:rsidR="001C7C7E">
        <w:rPr>
          <w:b/>
          <w:lang w:val="en-GB"/>
        </w:rPr>
        <w:t xml:space="preserve"> </w:t>
      </w:r>
      <w:r w:rsidRPr="008C5A7A">
        <w:rPr>
          <w:b/>
          <w:lang w:val="en-GB"/>
        </w:rPr>
        <w:t>2014:</w:t>
      </w:r>
      <w:r w:rsidR="001C7C7E">
        <w:rPr>
          <w:b/>
          <w:lang w:val="en-GB"/>
        </w:rPr>
        <w:t xml:space="preserve"> </w:t>
      </w:r>
      <w:r w:rsidRPr="008C5A7A">
        <w:rPr>
          <w:b/>
          <w:lang w:val="en-GB"/>
        </w:rPr>
        <w:t>The</w:t>
      </w:r>
      <w:r w:rsidR="001C7C7E">
        <w:rPr>
          <w:b/>
          <w:lang w:val="en-GB"/>
        </w:rPr>
        <w:t xml:space="preserve"> </w:t>
      </w:r>
      <w:r w:rsidRPr="008C5A7A">
        <w:rPr>
          <w:b/>
          <w:lang w:val="en-GB"/>
        </w:rPr>
        <w:t>Great</w:t>
      </w:r>
      <w:r w:rsidR="001C7C7E">
        <w:rPr>
          <w:b/>
          <w:lang w:val="en-GB"/>
        </w:rPr>
        <w:t xml:space="preserve"> </w:t>
      </w:r>
      <w:r w:rsidRPr="008C5A7A">
        <w:rPr>
          <w:b/>
          <w:lang w:val="en-GB"/>
        </w:rPr>
        <w:t>Rotation</w:t>
      </w:r>
      <w:r w:rsidR="001C7C7E">
        <w:rPr>
          <w:b/>
          <w:lang w:val="en-GB"/>
        </w:rPr>
        <w:t xml:space="preserve"> </w:t>
      </w:r>
      <w:r w:rsidRPr="008C5A7A">
        <w:rPr>
          <w:b/>
          <w:lang w:val="en-GB"/>
        </w:rPr>
        <w:t>gathers</w:t>
      </w:r>
      <w:r w:rsidR="001C7C7E">
        <w:rPr>
          <w:b/>
          <w:lang w:val="en-GB"/>
        </w:rPr>
        <w:t xml:space="preserve"> </w:t>
      </w:r>
      <w:r w:rsidRPr="008C5A7A">
        <w:rPr>
          <w:b/>
          <w:lang w:val="en-GB"/>
        </w:rPr>
        <w:t>pace,</w:t>
      </w:r>
      <w:r w:rsidR="001C7C7E">
        <w:rPr>
          <w:b/>
          <w:lang w:val="en-GB"/>
        </w:rPr>
        <w:t xml:space="preserve"> </w:t>
      </w:r>
      <w:r w:rsidRPr="008C5A7A">
        <w:rPr>
          <w:b/>
          <w:lang w:val="en-GB"/>
        </w:rPr>
        <w:t>clear</w:t>
      </w:r>
      <w:r w:rsidR="001C7C7E">
        <w:rPr>
          <w:b/>
          <w:lang w:val="en-GB"/>
        </w:rPr>
        <w:t xml:space="preserve"> </w:t>
      </w:r>
      <w:r w:rsidRPr="008C5A7A">
        <w:rPr>
          <w:b/>
          <w:lang w:val="en-GB"/>
        </w:rPr>
        <w:t>winners</w:t>
      </w:r>
      <w:r w:rsidR="001C7C7E">
        <w:rPr>
          <w:b/>
          <w:lang w:val="en-GB"/>
        </w:rPr>
        <w:t xml:space="preserve"> </w:t>
      </w:r>
      <w:r w:rsidRPr="008C5A7A">
        <w:rPr>
          <w:b/>
          <w:lang w:val="en-GB"/>
        </w:rPr>
        <w:t>in</w:t>
      </w:r>
      <w:r w:rsidR="001C7C7E">
        <w:rPr>
          <w:b/>
          <w:lang w:val="en-GB"/>
        </w:rPr>
        <w:t xml:space="preserve"> </w:t>
      </w:r>
      <w:r w:rsidRPr="008C5A7A">
        <w:rPr>
          <w:b/>
          <w:lang w:val="en-GB"/>
        </w:rPr>
        <w:t>the</w:t>
      </w:r>
      <w:r w:rsidR="001C7C7E">
        <w:rPr>
          <w:b/>
          <w:lang w:val="en-GB"/>
        </w:rPr>
        <w:t xml:space="preserve"> </w:t>
      </w:r>
      <w:r w:rsidRPr="008C5A7A">
        <w:rPr>
          <w:b/>
          <w:lang w:val="en-GB"/>
        </w:rPr>
        <w:t>sector.</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has</w:t>
      </w:r>
      <w:r w:rsidR="001C7C7E">
        <w:rPr>
          <w:lang w:val="en-GB"/>
        </w:rPr>
        <w:t xml:space="preserve"> </w:t>
      </w:r>
      <w:r w:rsidRPr="008C5A7A">
        <w:rPr>
          <w:lang w:val="en-GB"/>
        </w:rPr>
        <w:t>been</w:t>
      </w:r>
      <w:r w:rsidR="001C7C7E">
        <w:rPr>
          <w:lang w:val="en-GB"/>
        </w:rPr>
        <w:t xml:space="preserve"> </w:t>
      </w:r>
      <w:r w:rsidRPr="008C5A7A">
        <w:rPr>
          <w:lang w:val="en-GB"/>
        </w:rPr>
        <w:t>the</w:t>
      </w:r>
      <w:r w:rsidR="001C7C7E">
        <w:rPr>
          <w:lang w:val="en-GB"/>
        </w:rPr>
        <w:t xml:space="preserve"> </w:t>
      </w:r>
      <w:r w:rsidRPr="008C5A7A">
        <w:rPr>
          <w:lang w:val="en-GB"/>
        </w:rPr>
        <w:t>star</w:t>
      </w:r>
      <w:r w:rsidR="001C7C7E">
        <w:rPr>
          <w:lang w:val="en-GB"/>
        </w:rPr>
        <w:t xml:space="preserve"> </w:t>
      </w:r>
      <w:r w:rsidRPr="008C5A7A">
        <w:rPr>
          <w:lang w:val="en-GB"/>
        </w:rPr>
        <w:t>performer</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European</w:t>
      </w:r>
      <w:r w:rsidR="001C7C7E">
        <w:rPr>
          <w:lang w:val="en-GB"/>
        </w:rPr>
        <w:t xml:space="preserve"> </w:t>
      </w:r>
      <w:r w:rsidRPr="008C5A7A">
        <w:rPr>
          <w:lang w:val="en-GB"/>
        </w:rPr>
        <w:t>property</w:t>
      </w:r>
      <w:r w:rsidR="001C7C7E">
        <w:rPr>
          <w:lang w:val="en-GB"/>
        </w:rPr>
        <w:t xml:space="preserve"> </w:t>
      </w:r>
      <w:r w:rsidRPr="008C5A7A">
        <w:rPr>
          <w:lang w:val="en-GB"/>
        </w:rPr>
        <w:t>sector</w:t>
      </w:r>
      <w:r w:rsidR="001C7C7E">
        <w:rPr>
          <w:lang w:val="en-GB"/>
        </w:rPr>
        <w:t xml:space="preserve"> </w:t>
      </w:r>
      <w:r w:rsidRPr="008C5A7A">
        <w:rPr>
          <w:lang w:val="en-GB"/>
        </w:rPr>
        <w:t>year-to-date</w:t>
      </w:r>
      <w:r w:rsidR="001C7C7E">
        <w:rPr>
          <w:lang w:val="en-GB"/>
        </w:rPr>
        <w:t xml:space="preserve"> </w:t>
      </w:r>
      <w:r w:rsidRPr="008C5A7A">
        <w:rPr>
          <w:lang w:val="en-GB"/>
        </w:rPr>
        <w:t>with</w:t>
      </w:r>
      <w:r w:rsidR="001C7C7E">
        <w:rPr>
          <w:lang w:val="en-GB"/>
        </w:rPr>
        <w:t xml:space="preserve"> </w:t>
      </w:r>
      <w:r w:rsidRPr="008C5A7A">
        <w:rPr>
          <w:lang w:val="en-GB"/>
        </w:rPr>
        <w:t>a</w:t>
      </w:r>
      <w:r w:rsidR="001C7C7E">
        <w:rPr>
          <w:lang w:val="en-GB"/>
        </w:rPr>
        <w:t xml:space="preserve"> </w:t>
      </w:r>
      <w:r w:rsidRPr="008C5A7A">
        <w:rPr>
          <w:lang w:val="en-GB"/>
        </w:rPr>
        <w:t>total</w:t>
      </w:r>
      <w:r w:rsidR="001C7C7E">
        <w:rPr>
          <w:lang w:val="en-GB"/>
        </w:rPr>
        <w:t xml:space="preserve"> </w:t>
      </w:r>
      <w:r w:rsidRPr="008C5A7A">
        <w:rPr>
          <w:lang w:val="en-GB"/>
        </w:rPr>
        <w:t>return</w:t>
      </w:r>
      <w:r w:rsidR="001C7C7E">
        <w:rPr>
          <w:lang w:val="en-GB"/>
        </w:rPr>
        <w:t xml:space="preserve"> </w:t>
      </w:r>
      <w:r w:rsidRPr="008C5A7A">
        <w:rPr>
          <w:lang w:val="en-GB"/>
        </w:rPr>
        <w:t>of</w:t>
      </w:r>
      <w:r w:rsidR="001C7C7E">
        <w:rPr>
          <w:lang w:val="en-GB"/>
        </w:rPr>
        <w:t xml:space="preserve"> </w:t>
      </w:r>
      <w:r w:rsidRPr="008C5A7A">
        <w:rPr>
          <w:lang w:val="en-GB"/>
        </w:rPr>
        <w:t>+22%</w:t>
      </w:r>
      <w:r w:rsidR="001C7C7E">
        <w:rPr>
          <w:lang w:val="en-GB"/>
        </w:rPr>
        <w:t xml:space="preserve"> </w:t>
      </w:r>
      <w:r w:rsidRPr="008C5A7A">
        <w:rPr>
          <w:lang w:val="en-GB"/>
        </w:rPr>
        <w:t>versus</w:t>
      </w:r>
      <w:r w:rsidR="001C7C7E">
        <w:rPr>
          <w:lang w:val="en-GB"/>
        </w:rPr>
        <w:t xml:space="preserve"> </w:t>
      </w:r>
      <w:r w:rsidRPr="008C5A7A">
        <w:rPr>
          <w:lang w:val="en-GB"/>
        </w:rPr>
        <w:t>the</w:t>
      </w:r>
      <w:r w:rsidR="001C7C7E">
        <w:rPr>
          <w:lang w:val="en-GB"/>
        </w:rPr>
        <w:t xml:space="preserve"> </w:t>
      </w:r>
      <w:r w:rsidRPr="008C5A7A">
        <w:rPr>
          <w:lang w:val="en-GB"/>
        </w:rPr>
        <w:t>continent</w:t>
      </w:r>
      <w:r w:rsidR="001C7C7E">
        <w:rPr>
          <w:lang w:val="en-GB"/>
        </w:rPr>
        <w:t xml:space="preserve"> </w:t>
      </w:r>
      <w:r w:rsidRPr="008C5A7A">
        <w:rPr>
          <w:lang w:val="en-GB"/>
        </w:rPr>
        <w:t>+1%.</w:t>
      </w:r>
      <w:r w:rsidR="001C7C7E">
        <w:rPr>
          <w:lang w:val="en-GB"/>
        </w:rPr>
        <w:t xml:space="preserve"> </w:t>
      </w:r>
      <w:r w:rsidRPr="008C5A7A">
        <w:rPr>
          <w:lang w:val="en-GB"/>
        </w:rPr>
        <w:t>However,</w:t>
      </w:r>
      <w:r w:rsidR="001C7C7E">
        <w:rPr>
          <w:lang w:val="en-GB"/>
        </w:rPr>
        <w:t xml:space="preserve"> </w:t>
      </w:r>
      <w:r w:rsidRPr="008C5A7A">
        <w:rPr>
          <w:lang w:val="en-GB"/>
        </w:rPr>
        <w:t>we</w:t>
      </w:r>
      <w:r w:rsidR="001C7C7E">
        <w:rPr>
          <w:lang w:val="en-GB"/>
        </w:rPr>
        <w:t xml:space="preserve"> </w:t>
      </w:r>
      <w:r w:rsidRPr="008C5A7A">
        <w:rPr>
          <w:lang w:val="en-GB"/>
        </w:rPr>
        <w:t>find</w:t>
      </w:r>
      <w:r w:rsidR="001C7C7E">
        <w:rPr>
          <w:lang w:val="en-GB"/>
        </w:rPr>
        <w:t xml:space="preserve"> </w:t>
      </w:r>
      <w:r w:rsidRPr="008C5A7A">
        <w:rPr>
          <w:lang w:val="en-GB"/>
        </w:rPr>
        <w:t>the</w:t>
      </w:r>
      <w:r w:rsidR="001C7C7E">
        <w:rPr>
          <w:lang w:val="en-GB"/>
        </w:rPr>
        <w:t xml:space="preserve"> </w:t>
      </w:r>
      <w:r w:rsidRPr="008C5A7A">
        <w:rPr>
          <w:lang w:val="en-GB"/>
        </w:rPr>
        <w:t>listed</w:t>
      </w:r>
      <w:r w:rsidR="001C7C7E">
        <w:rPr>
          <w:lang w:val="en-GB"/>
        </w:rPr>
        <w:t xml:space="preserve"> </w:t>
      </w:r>
      <w:r w:rsidRPr="008C5A7A">
        <w:rPr>
          <w:lang w:val="en-GB"/>
        </w:rPr>
        <w:t>sector</w:t>
      </w:r>
      <w:r w:rsidR="001C7C7E">
        <w:rPr>
          <w:lang w:val="en-GB"/>
        </w:rPr>
        <w:t xml:space="preserve"> </w:t>
      </w:r>
      <w:r w:rsidRPr="008C5A7A">
        <w:rPr>
          <w:lang w:val="en-GB"/>
        </w:rPr>
        <w:t>well</w:t>
      </w:r>
      <w:r w:rsidR="001C7C7E">
        <w:rPr>
          <w:lang w:val="en-GB"/>
        </w:rPr>
        <w:t xml:space="preserve"> </w:t>
      </w:r>
      <w:r w:rsidRPr="008C5A7A">
        <w:rPr>
          <w:lang w:val="en-GB"/>
        </w:rPr>
        <w:t>bid</w:t>
      </w:r>
      <w:r w:rsidR="001C7C7E">
        <w:rPr>
          <w:lang w:val="en-GB"/>
        </w:rPr>
        <w:t xml:space="preserve"> </w:t>
      </w:r>
      <w:r w:rsidRPr="008C5A7A">
        <w:rPr>
          <w:lang w:val="en-GB"/>
        </w:rPr>
        <w:t>with</w:t>
      </w:r>
      <w:r w:rsidR="001C7C7E">
        <w:rPr>
          <w:lang w:val="en-GB"/>
        </w:rPr>
        <w:t xml:space="preserve"> </w:t>
      </w:r>
      <w:r w:rsidRPr="008C5A7A">
        <w:rPr>
          <w:lang w:val="en-GB"/>
        </w:rPr>
        <w:t>an</w:t>
      </w:r>
      <w:r w:rsidR="001C7C7E">
        <w:rPr>
          <w:lang w:val="en-GB"/>
        </w:rPr>
        <w:t xml:space="preserve"> </w:t>
      </w:r>
      <w:r w:rsidRPr="008C5A7A">
        <w:rPr>
          <w:lang w:val="en-GB"/>
        </w:rPr>
        <w:t>expected</w:t>
      </w:r>
      <w:r w:rsidR="001C7C7E">
        <w:rPr>
          <w:lang w:val="en-GB"/>
        </w:rPr>
        <w:t xml:space="preserve"> </w:t>
      </w:r>
      <w:r w:rsidRPr="008C5A7A">
        <w:rPr>
          <w:lang w:val="en-GB"/>
        </w:rPr>
        <w:t>better</w:t>
      </w:r>
      <w:r w:rsidR="001C7C7E">
        <w:rPr>
          <w:lang w:val="en-GB"/>
        </w:rPr>
        <w:t xml:space="preserve"> </w:t>
      </w:r>
      <w:r w:rsidRPr="008C5A7A">
        <w:rPr>
          <w:lang w:val="en-GB"/>
        </w:rPr>
        <w:t>entry</w:t>
      </w:r>
      <w:r w:rsidR="001C7C7E">
        <w:rPr>
          <w:lang w:val="en-GB"/>
        </w:rPr>
        <w:t xml:space="preserve"> </w:t>
      </w:r>
      <w:r w:rsidRPr="008C5A7A">
        <w:rPr>
          <w:lang w:val="en-GB"/>
        </w:rPr>
        <w:t>point</w:t>
      </w:r>
      <w:r w:rsidR="001C7C7E">
        <w:rPr>
          <w:lang w:val="en-GB"/>
        </w:rPr>
        <w:t xml:space="preserve"> </w:t>
      </w:r>
      <w:r w:rsidRPr="008C5A7A">
        <w:rPr>
          <w:lang w:val="en-GB"/>
        </w:rPr>
        <w:t>over</w:t>
      </w:r>
      <w:r w:rsidR="001C7C7E">
        <w:rPr>
          <w:lang w:val="en-GB"/>
        </w:rPr>
        <w:t xml:space="preserve"> </w:t>
      </w:r>
      <w:r w:rsidRPr="008C5A7A">
        <w:rPr>
          <w:lang w:val="en-GB"/>
        </w:rPr>
        <w:t>the</w:t>
      </w:r>
      <w:r w:rsidR="001C7C7E">
        <w:rPr>
          <w:lang w:val="en-GB"/>
        </w:rPr>
        <w:t xml:space="preserve"> </w:t>
      </w:r>
      <w:r w:rsidRPr="008C5A7A">
        <w:rPr>
          <w:lang w:val="en-GB"/>
        </w:rPr>
        <w:t>next</w:t>
      </w:r>
      <w:r w:rsidR="001C7C7E">
        <w:rPr>
          <w:lang w:val="en-GB"/>
        </w:rPr>
        <w:t xml:space="preserve"> </w:t>
      </w:r>
      <w:r w:rsidRPr="008C5A7A">
        <w:rPr>
          <w:lang w:val="en-GB"/>
        </w:rPr>
        <w:t>18</w:t>
      </w:r>
      <w:r w:rsidR="001C7C7E">
        <w:rPr>
          <w:lang w:val="en-GB"/>
        </w:rPr>
        <w:t xml:space="preserve"> </w:t>
      </w:r>
      <w:r w:rsidRPr="008C5A7A">
        <w:rPr>
          <w:lang w:val="en-GB"/>
        </w:rPr>
        <w:t>months,</w:t>
      </w:r>
      <w:r w:rsidR="001C7C7E">
        <w:rPr>
          <w:lang w:val="en-GB"/>
        </w:rPr>
        <w:t xml:space="preserve"> </w:t>
      </w:r>
      <w:r w:rsidRPr="008C5A7A">
        <w:rPr>
          <w:lang w:val="en-GB"/>
        </w:rPr>
        <w:t>and</w:t>
      </w:r>
      <w:r w:rsidR="001C7C7E">
        <w:rPr>
          <w:lang w:val="en-GB"/>
        </w:rPr>
        <w:t xml:space="preserve"> </w:t>
      </w:r>
      <w:r w:rsidRPr="008C5A7A">
        <w:rPr>
          <w:lang w:val="en-GB"/>
        </w:rPr>
        <w:t>see</w:t>
      </w:r>
      <w:r w:rsidR="001C7C7E">
        <w:rPr>
          <w:lang w:val="en-GB"/>
        </w:rPr>
        <w:t xml:space="preserve"> </w:t>
      </w:r>
      <w:r w:rsidRPr="008C5A7A">
        <w:rPr>
          <w:lang w:val="en-GB"/>
        </w:rPr>
        <w:t>2014</w:t>
      </w:r>
      <w:r w:rsidR="001C7C7E">
        <w:rPr>
          <w:lang w:val="en-GB"/>
        </w:rPr>
        <w:t xml:space="preserve"> </w:t>
      </w:r>
      <w:r w:rsidRPr="008C5A7A">
        <w:rPr>
          <w:lang w:val="en-GB"/>
        </w:rPr>
        <w:t>annual</w:t>
      </w:r>
      <w:r w:rsidR="001C7C7E">
        <w:rPr>
          <w:lang w:val="en-GB"/>
        </w:rPr>
        <w:t xml:space="preserve"> </w:t>
      </w:r>
      <w:r w:rsidRPr="008C5A7A">
        <w:rPr>
          <w:lang w:val="en-GB"/>
        </w:rPr>
        <w:t>returns</w:t>
      </w:r>
      <w:r w:rsidR="001C7C7E">
        <w:rPr>
          <w:lang w:val="en-GB"/>
        </w:rPr>
        <w:t xml:space="preserve"> </w:t>
      </w:r>
      <w:r w:rsidRPr="008C5A7A">
        <w:rPr>
          <w:lang w:val="en-GB"/>
        </w:rPr>
        <w:t>for</w:t>
      </w:r>
      <w:r w:rsidR="001C7C7E">
        <w:rPr>
          <w:lang w:val="en-GB"/>
        </w:rPr>
        <w:t xml:space="preserve"> </w:t>
      </w:r>
      <w:r w:rsidRPr="008C5A7A">
        <w:rPr>
          <w:lang w:val="en-GB"/>
        </w:rPr>
        <w:t>the</w:t>
      </w:r>
      <w:r w:rsidR="001C7C7E">
        <w:rPr>
          <w:lang w:val="en-GB"/>
        </w:rPr>
        <w:t xml:space="preserve"> </w:t>
      </w:r>
      <w:r w:rsidRPr="008C5A7A">
        <w:rPr>
          <w:lang w:val="en-GB"/>
        </w:rPr>
        <w:t>sector</w:t>
      </w:r>
      <w:r w:rsidR="001C7C7E">
        <w:rPr>
          <w:lang w:val="en-GB"/>
        </w:rPr>
        <w:t xml:space="preserve"> </w:t>
      </w:r>
      <w:r w:rsidRPr="008C5A7A">
        <w:rPr>
          <w:lang w:val="en-GB"/>
        </w:rPr>
        <w:t>lower</w:t>
      </w:r>
      <w:r w:rsidR="001C7C7E">
        <w:rPr>
          <w:lang w:val="en-GB"/>
        </w:rPr>
        <w:t xml:space="preserve"> </w:t>
      </w:r>
      <w:r w:rsidRPr="008C5A7A">
        <w:rPr>
          <w:lang w:val="en-GB"/>
        </w:rPr>
        <w:t>vs.</w:t>
      </w:r>
      <w:r w:rsidR="001C7C7E">
        <w:rPr>
          <w:lang w:val="en-GB"/>
        </w:rPr>
        <w:t xml:space="preserve"> </w:t>
      </w:r>
      <w:r w:rsidRPr="008C5A7A">
        <w:rPr>
          <w:lang w:val="en-GB"/>
        </w:rPr>
        <w:t>2013.</w:t>
      </w:r>
      <w:r w:rsidR="001C7C7E">
        <w:rPr>
          <w:lang w:val="en-GB"/>
        </w:rPr>
        <w:t xml:space="preserve"> </w:t>
      </w:r>
      <w:r w:rsidRPr="008C5A7A">
        <w:rPr>
          <w:lang w:val="en-GB"/>
        </w:rPr>
        <w:t>In</w:t>
      </w:r>
      <w:r w:rsidR="001C7C7E">
        <w:rPr>
          <w:lang w:val="en-GB"/>
        </w:rPr>
        <w:t xml:space="preserve"> </w:t>
      </w:r>
      <w:r w:rsidRPr="008C5A7A">
        <w:rPr>
          <w:lang w:val="en-GB"/>
        </w:rPr>
        <w:t>November,</w:t>
      </w:r>
      <w:r w:rsidR="001C7C7E">
        <w:rPr>
          <w:lang w:val="en-GB"/>
        </w:rPr>
        <w:t xml:space="preserve"> </w:t>
      </w:r>
      <w:r w:rsidRPr="008C5A7A">
        <w:rPr>
          <w:lang w:val="en-GB"/>
        </w:rPr>
        <w:t>when</w:t>
      </w:r>
      <w:r w:rsidR="001C7C7E">
        <w:rPr>
          <w:lang w:val="en-GB"/>
        </w:rPr>
        <w:t xml:space="preserve"> </w:t>
      </w:r>
      <w:r w:rsidRPr="008C5A7A">
        <w:rPr>
          <w:lang w:val="en-GB"/>
        </w:rPr>
        <w:t>we</w:t>
      </w:r>
      <w:r w:rsidR="001C7C7E">
        <w:rPr>
          <w:lang w:val="en-GB"/>
        </w:rPr>
        <w:t xml:space="preserve"> </w:t>
      </w:r>
      <w:r w:rsidRPr="008C5A7A">
        <w:rPr>
          <w:lang w:val="en-GB"/>
        </w:rPr>
        <w:t>had</w:t>
      </w:r>
      <w:r w:rsidR="001C7C7E">
        <w:rPr>
          <w:lang w:val="en-GB"/>
        </w:rPr>
        <w:t xml:space="preserve"> </w:t>
      </w:r>
      <w:r w:rsidRPr="008C5A7A">
        <w:rPr>
          <w:lang w:val="en-GB"/>
        </w:rPr>
        <w:t>c.5%</w:t>
      </w:r>
      <w:r w:rsidR="001C7C7E">
        <w:rPr>
          <w:lang w:val="en-GB"/>
        </w:rPr>
        <w:t xml:space="preserve"> </w:t>
      </w:r>
      <w:r w:rsidRPr="008C5A7A">
        <w:rPr>
          <w:lang w:val="en-GB"/>
        </w:rPr>
        <w:t>upside</w:t>
      </w:r>
      <w:r w:rsidR="001C7C7E">
        <w:rPr>
          <w:lang w:val="en-GB"/>
        </w:rPr>
        <w:t xml:space="preserve"> </w:t>
      </w:r>
      <w:r w:rsidRPr="008C5A7A">
        <w:rPr>
          <w:lang w:val="en-GB"/>
        </w:rPr>
        <w:t>for</w:t>
      </w:r>
      <w:r w:rsidR="001C7C7E">
        <w:rPr>
          <w:lang w:val="en-GB"/>
        </w:rPr>
        <w:t xml:space="preserve"> </w:t>
      </w:r>
      <w:r w:rsidRPr="008C5A7A">
        <w:rPr>
          <w:lang w:val="en-GB"/>
        </w:rPr>
        <w:t>the</w:t>
      </w:r>
      <w:r w:rsidR="001C7C7E">
        <w:rPr>
          <w:lang w:val="en-GB"/>
        </w:rPr>
        <w:t xml:space="preserve"> </w:t>
      </w:r>
      <w:r w:rsidRPr="008C5A7A">
        <w:rPr>
          <w:lang w:val="en-GB"/>
        </w:rPr>
        <w:t>sector,</w:t>
      </w:r>
      <w:r w:rsidR="001C7C7E">
        <w:rPr>
          <w:lang w:val="en-GB"/>
        </w:rPr>
        <w:t xml:space="preserve"> </w:t>
      </w:r>
      <w:r w:rsidRPr="008C5A7A">
        <w:rPr>
          <w:lang w:val="en-GB"/>
        </w:rPr>
        <w:t>we</w:t>
      </w:r>
      <w:r w:rsidR="001C7C7E">
        <w:rPr>
          <w:lang w:val="en-GB"/>
        </w:rPr>
        <w:t xml:space="preserve"> </w:t>
      </w:r>
      <w:r w:rsidRPr="008C5A7A">
        <w:rPr>
          <w:lang w:val="en-GB"/>
        </w:rPr>
        <w:t>saw</w:t>
      </w:r>
      <w:r w:rsidR="001C7C7E">
        <w:rPr>
          <w:lang w:val="en-GB"/>
        </w:rPr>
        <w:t xml:space="preserve"> </w:t>
      </w:r>
      <w:r w:rsidRPr="008C5A7A">
        <w:rPr>
          <w:lang w:val="en-GB"/>
        </w:rPr>
        <w:t>the</w:t>
      </w:r>
      <w:r w:rsidR="001C7C7E">
        <w:rPr>
          <w:lang w:val="en-GB"/>
        </w:rPr>
        <w:t xml:space="preserve"> </w:t>
      </w:r>
      <w:r w:rsidRPr="008C5A7A">
        <w:rPr>
          <w:lang w:val="en-GB"/>
        </w:rPr>
        <w:t>sector</w:t>
      </w:r>
      <w:r w:rsidR="001C7C7E">
        <w:rPr>
          <w:lang w:val="en-GB"/>
        </w:rPr>
        <w:t xml:space="preserve"> </w:t>
      </w:r>
      <w:r w:rsidRPr="008C5A7A">
        <w:rPr>
          <w:lang w:val="en-GB"/>
        </w:rPr>
        <w:t>as</w:t>
      </w:r>
      <w:r w:rsidR="001C7C7E">
        <w:rPr>
          <w:lang w:val="en-GB"/>
        </w:rPr>
        <w:t xml:space="preserve"> </w:t>
      </w:r>
      <w:r w:rsidRPr="008C5A7A">
        <w:rPr>
          <w:lang w:val="en-GB"/>
        </w:rPr>
        <w:t>increasingly</w:t>
      </w:r>
      <w:r w:rsidR="001C7C7E">
        <w:rPr>
          <w:lang w:val="en-GB"/>
        </w:rPr>
        <w:t xml:space="preserve"> </w:t>
      </w:r>
      <w:r w:rsidRPr="008C5A7A">
        <w:rPr>
          <w:lang w:val="en-GB"/>
        </w:rPr>
        <w:t>unattractive,</w:t>
      </w:r>
      <w:r w:rsidR="001C7C7E">
        <w:rPr>
          <w:lang w:val="en-GB"/>
        </w:rPr>
        <w:t xml:space="preserve"> </w:t>
      </w:r>
      <w:r w:rsidRPr="008C5A7A">
        <w:rPr>
          <w:lang w:val="en-GB"/>
        </w:rPr>
        <w:t>and</w:t>
      </w:r>
      <w:r w:rsidR="001C7C7E">
        <w:rPr>
          <w:lang w:val="en-GB"/>
        </w:rPr>
        <w:t xml:space="preserve"> </w:t>
      </w:r>
      <w:r w:rsidRPr="008C5A7A">
        <w:rPr>
          <w:lang w:val="en-GB"/>
        </w:rPr>
        <w:t>we</w:t>
      </w:r>
      <w:r w:rsidR="001C7C7E">
        <w:rPr>
          <w:lang w:val="en-GB"/>
        </w:rPr>
        <w:t xml:space="preserve"> </w:t>
      </w:r>
      <w:r w:rsidRPr="008C5A7A">
        <w:rPr>
          <w:lang w:val="en-GB"/>
        </w:rPr>
        <w:t>welcome</w:t>
      </w:r>
      <w:r w:rsidR="001C7C7E">
        <w:rPr>
          <w:lang w:val="en-GB"/>
        </w:rPr>
        <w:t xml:space="preserve"> </w:t>
      </w:r>
      <w:r w:rsidRPr="008C5A7A">
        <w:rPr>
          <w:lang w:val="en-GB"/>
        </w:rPr>
        <w:t>the</w:t>
      </w:r>
      <w:r w:rsidR="001C7C7E">
        <w:rPr>
          <w:lang w:val="en-GB"/>
        </w:rPr>
        <w:t xml:space="preserve"> </w:t>
      </w:r>
      <w:r w:rsidRPr="008C5A7A">
        <w:rPr>
          <w:lang w:val="en-GB"/>
        </w:rPr>
        <w:t>pull</w:t>
      </w:r>
      <w:r w:rsidR="001C7C7E">
        <w:rPr>
          <w:lang w:val="en-GB"/>
        </w:rPr>
        <w:t xml:space="preserve"> </w:t>
      </w:r>
      <w:r w:rsidRPr="008C5A7A">
        <w:rPr>
          <w:lang w:val="en-GB"/>
        </w:rPr>
        <w:t>back</w:t>
      </w:r>
      <w:r w:rsidR="001C7C7E">
        <w:rPr>
          <w:lang w:val="en-GB"/>
        </w:rPr>
        <w:t xml:space="preserve"> </w:t>
      </w:r>
      <w:r w:rsidRPr="008C5A7A">
        <w:rPr>
          <w:lang w:val="en-GB"/>
        </w:rPr>
        <w:t>into</w:t>
      </w:r>
      <w:r w:rsidR="001C7C7E">
        <w:rPr>
          <w:lang w:val="en-GB"/>
        </w:rPr>
        <w:t xml:space="preserve"> </w:t>
      </w:r>
      <w:r w:rsidRPr="008C5A7A">
        <w:rPr>
          <w:lang w:val="en-GB"/>
        </w:rPr>
        <w:t>the</w:t>
      </w:r>
      <w:r w:rsidR="001C7C7E">
        <w:rPr>
          <w:lang w:val="en-GB"/>
        </w:rPr>
        <w:t xml:space="preserve"> </w:t>
      </w:r>
      <w:r w:rsidRPr="008C5A7A">
        <w:rPr>
          <w:lang w:val="en-GB"/>
        </w:rPr>
        <w:t>year</w:t>
      </w:r>
      <w:r w:rsidR="001C7C7E">
        <w:rPr>
          <w:lang w:val="en-GB"/>
        </w:rPr>
        <w:t xml:space="preserve"> </w:t>
      </w:r>
      <w:r w:rsidRPr="008C5A7A">
        <w:rPr>
          <w:lang w:val="en-GB"/>
        </w:rPr>
        <w:t>end.</w:t>
      </w:r>
      <w:r w:rsidR="001C7C7E">
        <w:rPr>
          <w:lang w:val="en-GB"/>
        </w:rPr>
        <w:t xml:space="preserve"> </w:t>
      </w:r>
      <w:r w:rsidRPr="008C5A7A">
        <w:rPr>
          <w:lang w:val="en-GB"/>
        </w:rPr>
        <w:t>Our</w:t>
      </w:r>
      <w:r w:rsidR="001C7C7E">
        <w:rPr>
          <w:lang w:val="en-GB"/>
        </w:rPr>
        <w:t xml:space="preserve"> </w:t>
      </w:r>
      <w:r w:rsidRPr="008C5A7A">
        <w:rPr>
          <w:lang w:val="en-GB"/>
        </w:rPr>
        <w:t>sector</w:t>
      </w:r>
      <w:r w:rsidR="001C7C7E">
        <w:rPr>
          <w:lang w:val="en-GB"/>
        </w:rPr>
        <w:t xml:space="preserve"> </w:t>
      </w:r>
      <w:r w:rsidRPr="008C5A7A">
        <w:rPr>
          <w:lang w:val="en-GB"/>
        </w:rPr>
        <w:t>upside</w:t>
      </w:r>
      <w:r w:rsidR="001C7C7E">
        <w:rPr>
          <w:lang w:val="en-GB"/>
        </w:rPr>
        <w:t xml:space="preserve"> </w:t>
      </w:r>
      <w:r w:rsidRPr="008C5A7A">
        <w:rPr>
          <w:lang w:val="en-GB"/>
        </w:rPr>
        <w:t>is</w:t>
      </w:r>
      <w:r w:rsidR="001C7C7E">
        <w:rPr>
          <w:lang w:val="en-GB"/>
        </w:rPr>
        <w:t xml:space="preserve"> </w:t>
      </w:r>
      <w:r w:rsidRPr="008C5A7A">
        <w:rPr>
          <w:lang w:val="en-GB"/>
        </w:rPr>
        <w:t>c.</w:t>
      </w:r>
      <w:r w:rsidR="001C7C7E">
        <w:rPr>
          <w:lang w:val="en-GB"/>
        </w:rPr>
        <w:t xml:space="preserve"> </w:t>
      </w:r>
      <w:r w:rsidRPr="008C5A7A">
        <w:rPr>
          <w:lang w:val="en-GB"/>
        </w:rPr>
        <w:t>10%</w:t>
      </w:r>
      <w:r w:rsidR="001C7C7E">
        <w:rPr>
          <w:lang w:val="en-GB"/>
        </w:rPr>
        <w:t xml:space="preserve"> </w:t>
      </w:r>
      <w:r w:rsidRPr="008C5A7A">
        <w:rPr>
          <w:lang w:val="en-GB"/>
        </w:rPr>
        <w:t>today,</w:t>
      </w:r>
      <w:r w:rsidR="001C7C7E">
        <w:rPr>
          <w:lang w:val="en-GB"/>
        </w:rPr>
        <w:t xml:space="preserve"> </w:t>
      </w:r>
      <w:r w:rsidRPr="008C5A7A">
        <w:rPr>
          <w:lang w:val="en-GB"/>
        </w:rPr>
        <w:t>and,</w:t>
      </w:r>
      <w:r w:rsidR="001C7C7E">
        <w:rPr>
          <w:lang w:val="en-GB"/>
        </w:rPr>
        <w:t xml:space="preserve"> </w:t>
      </w:r>
      <w:r w:rsidRPr="008C5A7A">
        <w:rPr>
          <w:lang w:val="en-GB"/>
        </w:rPr>
        <w:t>while</w:t>
      </w:r>
      <w:r w:rsidR="001C7C7E">
        <w:rPr>
          <w:lang w:val="en-GB"/>
        </w:rPr>
        <w:t xml:space="preserve"> </w:t>
      </w:r>
      <w:r w:rsidRPr="008C5A7A">
        <w:rPr>
          <w:lang w:val="en-GB"/>
        </w:rPr>
        <w:t>this</w:t>
      </w:r>
      <w:r w:rsidR="001C7C7E">
        <w:rPr>
          <w:lang w:val="en-GB"/>
        </w:rPr>
        <w:t xml:space="preserve"> </w:t>
      </w:r>
      <w:r w:rsidRPr="008C5A7A">
        <w:rPr>
          <w:lang w:val="en-GB"/>
        </w:rPr>
        <w:t>could</w:t>
      </w:r>
      <w:r w:rsidR="001C7C7E">
        <w:rPr>
          <w:lang w:val="en-GB"/>
        </w:rPr>
        <w:t xml:space="preserve"> </w:t>
      </w:r>
      <w:r w:rsidRPr="008C5A7A">
        <w:rPr>
          <w:lang w:val="en-GB"/>
        </w:rPr>
        <w:t>rise</w:t>
      </w:r>
      <w:r w:rsidR="001C7C7E">
        <w:rPr>
          <w:lang w:val="en-GB"/>
        </w:rPr>
        <w:t xml:space="preserve"> </w:t>
      </w:r>
      <w:r w:rsidRPr="008C5A7A">
        <w:rPr>
          <w:lang w:val="en-GB"/>
        </w:rPr>
        <w:t>further</w:t>
      </w:r>
      <w:r w:rsidR="001C7C7E">
        <w:rPr>
          <w:lang w:val="en-GB"/>
        </w:rPr>
        <w:t xml:space="preserve"> </w:t>
      </w:r>
      <w:r w:rsidRPr="008C5A7A">
        <w:rPr>
          <w:lang w:val="en-GB"/>
        </w:rPr>
        <w:t>if</w:t>
      </w:r>
      <w:r w:rsidR="001C7C7E">
        <w:rPr>
          <w:lang w:val="en-GB"/>
        </w:rPr>
        <w:t xml:space="preserve"> </w:t>
      </w:r>
      <w:r w:rsidRPr="008C5A7A">
        <w:rPr>
          <w:lang w:val="en-GB"/>
        </w:rPr>
        <w:t>bond</w:t>
      </w:r>
      <w:r w:rsidR="001C7C7E">
        <w:rPr>
          <w:lang w:val="en-GB"/>
        </w:rPr>
        <w:t xml:space="preserve"> </w:t>
      </w:r>
      <w:r w:rsidRPr="008C5A7A">
        <w:rPr>
          <w:lang w:val="en-GB"/>
        </w:rPr>
        <w:t>yields</w:t>
      </w:r>
      <w:r w:rsidR="001C7C7E">
        <w:rPr>
          <w:lang w:val="en-GB"/>
        </w:rPr>
        <w:t xml:space="preserve"> </w:t>
      </w:r>
      <w:r w:rsidRPr="008C5A7A">
        <w:rPr>
          <w:lang w:val="en-GB"/>
        </w:rPr>
        <w:t>remain</w:t>
      </w:r>
      <w:r w:rsidR="001C7C7E">
        <w:rPr>
          <w:lang w:val="en-GB"/>
        </w:rPr>
        <w:t xml:space="preserve"> </w:t>
      </w:r>
      <w:r w:rsidRPr="008C5A7A">
        <w:rPr>
          <w:lang w:val="en-GB"/>
        </w:rPr>
        <w:t>at</w:t>
      </w:r>
      <w:r w:rsidR="001C7C7E">
        <w:rPr>
          <w:lang w:val="en-GB"/>
        </w:rPr>
        <w:t xml:space="preserve"> </w:t>
      </w:r>
      <w:r w:rsidRPr="008C5A7A">
        <w:rPr>
          <w:lang w:val="en-GB"/>
        </w:rPr>
        <w:t>current</w:t>
      </w:r>
      <w:r w:rsidR="001C7C7E">
        <w:rPr>
          <w:lang w:val="en-GB"/>
        </w:rPr>
        <w:t xml:space="preserve"> </w:t>
      </w:r>
      <w:r w:rsidRPr="008C5A7A">
        <w:rPr>
          <w:lang w:val="en-GB"/>
        </w:rPr>
        <w:t>levels,</w:t>
      </w:r>
      <w:r w:rsidR="001C7C7E">
        <w:rPr>
          <w:lang w:val="en-GB"/>
        </w:rPr>
        <w:t xml:space="preserve"> </w:t>
      </w:r>
      <w:r w:rsidRPr="008C5A7A">
        <w:rPr>
          <w:lang w:val="en-GB"/>
        </w:rPr>
        <w:t>we</w:t>
      </w:r>
      <w:r w:rsidR="001C7C7E">
        <w:rPr>
          <w:lang w:val="en-GB"/>
        </w:rPr>
        <w:t xml:space="preserve"> </w:t>
      </w:r>
      <w:r w:rsidRPr="008C5A7A">
        <w:rPr>
          <w:lang w:val="en-GB"/>
        </w:rPr>
        <w:t>are</w:t>
      </w:r>
      <w:r w:rsidR="001C7C7E">
        <w:rPr>
          <w:lang w:val="en-GB"/>
        </w:rPr>
        <w:t xml:space="preserve"> </w:t>
      </w:r>
      <w:r w:rsidRPr="008C5A7A">
        <w:rPr>
          <w:lang w:val="en-GB"/>
        </w:rPr>
        <w:t>starting</w:t>
      </w:r>
      <w:r w:rsidR="001C7C7E">
        <w:rPr>
          <w:lang w:val="en-GB"/>
        </w:rPr>
        <w:t xml:space="preserve"> </w:t>
      </w:r>
      <w:r w:rsidRPr="008C5A7A">
        <w:rPr>
          <w:lang w:val="en-GB"/>
        </w:rPr>
        <w:t>to</w:t>
      </w:r>
      <w:r w:rsidR="001C7C7E">
        <w:rPr>
          <w:lang w:val="en-GB"/>
        </w:rPr>
        <w:t xml:space="preserve"> </w:t>
      </w:r>
      <w:r w:rsidRPr="008C5A7A">
        <w:rPr>
          <w:lang w:val="en-GB"/>
        </w:rPr>
        <w:t>push</w:t>
      </w:r>
      <w:r w:rsidR="001C7C7E">
        <w:rPr>
          <w:lang w:val="en-GB"/>
        </w:rPr>
        <w:t xml:space="preserve"> </w:t>
      </w:r>
      <w:r w:rsidRPr="008C5A7A">
        <w:rPr>
          <w:lang w:val="en-GB"/>
        </w:rPr>
        <w:t>boundaries.</w:t>
      </w:r>
      <w:r w:rsidR="001C7C7E">
        <w:rPr>
          <w:lang w:val="en-GB"/>
        </w:rPr>
        <w:t xml:space="preserve"> </w:t>
      </w:r>
      <w:r w:rsidRPr="008C5A7A">
        <w:rPr>
          <w:lang w:val="en-GB"/>
        </w:rPr>
        <w:t>However,</w:t>
      </w:r>
      <w:r w:rsidR="001C7C7E">
        <w:rPr>
          <w:lang w:val="en-GB"/>
        </w:rPr>
        <w:t xml:space="preserve"> </w:t>
      </w:r>
      <w:r w:rsidRPr="008C5A7A">
        <w:rPr>
          <w:lang w:val="en-GB"/>
        </w:rPr>
        <w:t>there</w:t>
      </w:r>
      <w:r w:rsidR="001C7C7E">
        <w:rPr>
          <w:lang w:val="en-GB"/>
        </w:rPr>
        <w:t xml:space="preserve"> </w:t>
      </w:r>
      <w:r w:rsidRPr="008C5A7A">
        <w:rPr>
          <w:lang w:val="en-GB"/>
        </w:rPr>
        <w:t>will</w:t>
      </w:r>
      <w:r w:rsidR="001C7C7E">
        <w:rPr>
          <w:lang w:val="en-GB"/>
        </w:rPr>
        <w:t xml:space="preserve"> </w:t>
      </w:r>
      <w:r w:rsidRPr="008C5A7A">
        <w:rPr>
          <w:lang w:val="en-GB"/>
        </w:rPr>
        <w:t>still</w:t>
      </w:r>
      <w:r w:rsidR="001C7C7E">
        <w:rPr>
          <w:lang w:val="en-GB"/>
        </w:rPr>
        <w:t xml:space="preserve"> </w:t>
      </w:r>
      <w:r w:rsidRPr="008C5A7A">
        <w:rPr>
          <w:lang w:val="en-GB"/>
        </w:rPr>
        <w:t>be</w:t>
      </w:r>
      <w:r w:rsidR="001C7C7E">
        <w:rPr>
          <w:lang w:val="en-GB"/>
        </w:rPr>
        <w:t xml:space="preserve"> </w:t>
      </w:r>
      <w:r w:rsidRPr="008C5A7A">
        <w:rPr>
          <w:lang w:val="en-GB"/>
        </w:rPr>
        <w:t>clear</w:t>
      </w:r>
      <w:r w:rsidR="001C7C7E">
        <w:rPr>
          <w:lang w:val="en-GB"/>
        </w:rPr>
        <w:t xml:space="preserve"> </w:t>
      </w:r>
      <w:r w:rsidRPr="008C5A7A">
        <w:rPr>
          <w:lang w:val="en-GB"/>
        </w:rPr>
        <w:t>winners:</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we</w:t>
      </w:r>
      <w:r w:rsidR="001C7C7E">
        <w:rPr>
          <w:lang w:val="en-GB"/>
        </w:rPr>
        <w:t xml:space="preserve"> </w:t>
      </w:r>
      <w:r w:rsidRPr="008C5A7A">
        <w:rPr>
          <w:lang w:val="en-GB"/>
        </w:rPr>
        <w:t>remain</w:t>
      </w:r>
      <w:r w:rsidR="001C7C7E">
        <w:rPr>
          <w:lang w:val="en-GB"/>
        </w:rPr>
        <w:t xml:space="preserve"> </w:t>
      </w:r>
      <w:r w:rsidRPr="008C5A7A">
        <w:rPr>
          <w:lang w:val="en-GB"/>
        </w:rPr>
        <w:t>Overweight</w:t>
      </w:r>
      <w:r w:rsidR="001C7C7E">
        <w:rPr>
          <w:lang w:val="en-GB"/>
        </w:rPr>
        <w:t xml:space="preserve"> </w:t>
      </w:r>
      <w:r w:rsidRPr="008C5A7A">
        <w:rPr>
          <w:lang w:val="en-GB"/>
        </w:rPr>
        <w:t>higher</w:t>
      </w:r>
      <w:r w:rsidR="001C7C7E">
        <w:rPr>
          <w:lang w:val="en-GB"/>
        </w:rPr>
        <w:t xml:space="preserve"> </w:t>
      </w:r>
      <w:r w:rsidRPr="008C5A7A">
        <w:rPr>
          <w:lang w:val="en-GB"/>
        </w:rPr>
        <w:t>yielding</w:t>
      </w:r>
      <w:r w:rsidR="001C7C7E">
        <w:rPr>
          <w:lang w:val="en-GB"/>
        </w:rPr>
        <w:t xml:space="preserve"> </w:t>
      </w:r>
      <w:r w:rsidRPr="008C5A7A">
        <w:rPr>
          <w:lang w:val="en-GB"/>
        </w:rPr>
        <w:t>good</w:t>
      </w:r>
      <w:r w:rsidR="001C7C7E">
        <w:rPr>
          <w:lang w:val="en-GB"/>
        </w:rPr>
        <w:t xml:space="preserve"> </w:t>
      </w:r>
      <w:r w:rsidRPr="008C5A7A">
        <w:rPr>
          <w:lang w:val="en-GB"/>
        </w:rPr>
        <w:t>secondary</w:t>
      </w:r>
      <w:r w:rsidR="001C7C7E">
        <w:rPr>
          <w:lang w:val="en-GB"/>
        </w:rPr>
        <w:t xml:space="preserve"> </w:t>
      </w:r>
      <w:r w:rsidRPr="008C5A7A">
        <w:rPr>
          <w:lang w:val="en-GB"/>
        </w:rPr>
        <w:t>retail</w:t>
      </w:r>
      <w:r w:rsidR="001C7C7E">
        <w:rPr>
          <w:lang w:val="en-GB"/>
        </w:rPr>
        <w:t xml:space="preserve"> </w:t>
      </w:r>
      <w:r w:rsidRPr="008C5A7A">
        <w:rPr>
          <w:lang w:val="en-GB"/>
        </w:rPr>
        <w:t>and</w:t>
      </w:r>
      <w:r w:rsidR="001C7C7E">
        <w:rPr>
          <w:lang w:val="en-GB"/>
        </w:rPr>
        <w:t xml:space="preserve"> </w:t>
      </w:r>
      <w:r w:rsidRPr="008C5A7A">
        <w:rPr>
          <w:lang w:val="en-GB"/>
        </w:rPr>
        <w:t>industrial</w:t>
      </w:r>
      <w:r w:rsidR="001C7C7E">
        <w:rPr>
          <w:lang w:val="en-GB"/>
        </w:rPr>
        <w:t xml:space="preserve"> </w:t>
      </w:r>
      <w:r w:rsidRPr="008C5A7A">
        <w:rPr>
          <w:lang w:val="en-GB"/>
        </w:rPr>
        <w:t>property,</w:t>
      </w:r>
      <w:r w:rsidR="001C7C7E">
        <w:rPr>
          <w:lang w:val="en-GB"/>
        </w:rPr>
        <w:t xml:space="preserve"> </w:t>
      </w:r>
      <w:r w:rsidRPr="008C5A7A">
        <w:rPr>
          <w:lang w:val="en-GB"/>
        </w:rPr>
        <w:t>and</w:t>
      </w:r>
      <w:r w:rsidR="001C7C7E">
        <w:rPr>
          <w:lang w:val="en-GB"/>
        </w:rPr>
        <w:t xml:space="preserve"> </w:t>
      </w:r>
      <w:r w:rsidRPr="008C5A7A">
        <w:rPr>
          <w:lang w:val="en-GB"/>
        </w:rPr>
        <w:t>peripheral</w:t>
      </w:r>
      <w:r w:rsidR="001C7C7E">
        <w:rPr>
          <w:lang w:val="en-GB"/>
        </w:rPr>
        <w:t xml:space="preserve"> </w:t>
      </w:r>
      <w:r w:rsidRPr="008C5A7A">
        <w:rPr>
          <w:lang w:val="en-GB"/>
        </w:rPr>
        <w:t>London</w:t>
      </w:r>
      <w:r w:rsidR="001C7C7E">
        <w:rPr>
          <w:lang w:val="en-GB"/>
        </w:rPr>
        <w:t xml:space="preserve"> </w:t>
      </w:r>
      <w:r w:rsidRPr="008C5A7A">
        <w:rPr>
          <w:lang w:val="en-GB"/>
        </w:rPr>
        <w:t>over</w:t>
      </w:r>
      <w:r w:rsidR="001C7C7E">
        <w:rPr>
          <w:lang w:val="en-GB"/>
        </w:rPr>
        <w:t xml:space="preserve"> </w:t>
      </w:r>
      <w:r w:rsidRPr="008C5A7A">
        <w:rPr>
          <w:lang w:val="en-GB"/>
        </w:rPr>
        <w:t>prime</w:t>
      </w:r>
      <w:r w:rsidR="001C7C7E">
        <w:rPr>
          <w:lang w:val="en-GB"/>
        </w:rPr>
        <w:t xml:space="preserve"> </w:t>
      </w:r>
      <w:r w:rsidRPr="008C5A7A">
        <w:rPr>
          <w:lang w:val="en-GB"/>
        </w:rPr>
        <w:t>West</w:t>
      </w:r>
      <w:r w:rsidR="001C7C7E">
        <w:rPr>
          <w:lang w:val="en-GB"/>
        </w:rPr>
        <w:t xml:space="preserve"> </w:t>
      </w:r>
      <w:r w:rsidRPr="008C5A7A">
        <w:rPr>
          <w:lang w:val="en-GB"/>
        </w:rPr>
        <w:t>End,</w:t>
      </w:r>
      <w:r w:rsidR="001C7C7E">
        <w:rPr>
          <w:lang w:val="en-GB"/>
        </w:rPr>
        <w:t xml:space="preserve"> </w:t>
      </w:r>
      <w:r w:rsidRPr="008C5A7A">
        <w:rPr>
          <w:lang w:val="en-GB"/>
        </w:rPr>
        <w:t>and</w:t>
      </w:r>
      <w:r w:rsidR="001C7C7E">
        <w:rPr>
          <w:lang w:val="en-GB"/>
        </w:rPr>
        <w:t xml:space="preserve"> </w:t>
      </w:r>
      <w:r w:rsidRPr="008C5A7A">
        <w:rPr>
          <w:lang w:val="en-GB"/>
        </w:rPr>
        <w:t>focus</w:t>
      </w:r>
      <w:r w:rsidR="001C7C7E">
        <w:rPr>
          <w:lang w:val="en-GB"/>
        </w:rPr>
        <w:t xml:space="preserve"> </w:t>
      </w:r>
      <w:r w:rsidRPr="008C5A7A">
        <w:rPr>
          <w:lang w:val="en-GB"/>
        </w:rPr>
        <w:t>on</w:t>
      </w:r>
      <w:r w:rsidR="001C7C7E">
        <w:rPr>
          <w:lang w:val="en-GB"/>
        </w:rPr>
        <w:t xml:space="preserve"> </w:t>
      </w:r>
      <w:r w:rsidRPr="008C5A7A">
        <w:rPr>
          <w:lang w:val="en-GB"/>
        </w:rPr>
        <w:t>specialists,</w:t>
      </w:r>
      <w:r w:rsidR="001C7C7E">
        <w:rPr>
          <w:lang w:val="en-GB"/>
        </w:rPr>
        <w:t xml:space="preserve"> </w:t>
      </w:r>
      <w:r w:rsidRPr="008C5A7A">
        <w:rPr>
          <w:lang w:val="en-GB"/>
        </w:rPr>
        <w:t>like</w:t>
      </w:r>
      <w:r w:rsidR="001C7C7E">
        <w:rPr>
          <w:lang w:val="en-GB"/>
        </w:rPr>
        <w:t xml:space="preserve"> </w:t>
      </w:r>
      <w:r w:rsidRPr="008C5A7A">
        <w:rPr>
          <w:lang w:val="en-GB"/>
        </w:rPr>
        <w:t>LondonMetric,</w:t>
      </w:r>
      <w:r w:rsidR="001C7C7E">
        <w:rPr>
          <w:lang w:val="en-GB"/>
        </w:rPr>
        <w:t xml:space="preserve"> </w:t>
      </w:r>
      <w:r w:rsidRPr="008C5A7A">
        <w:rPr>
          <w:lang w:val="en-GB"/>
        </w:rPr>
        <w:t>Big</w:t>
      </w:r>
      <w:r w:rsidR="001C7C7E">
        <w:rPr>
          <w:lang w:val="en-GB"/>
        </w:rPr>
        <w:t xml:space="preserve"> </w:t>
      </w:r>
      <w:r w:rsidRPr="008C5A7A">
        <w:rPr>
          <w:lang w:val="en-GB"/>
        </w:rPr>
        <w:lastRenderedPageBreak/>
        <w:t>Yellow,</w:t>
      </w:r>
      <w:r w:rsidR="001C7C7E">
        <w:rPr>
          <w:lang w:val="en-GB"/>
        </w:rPr>
        <w:t xml:space="preserve"> </w:t>
      </w:r>
      <w:r w:rsidRPr="008C5A7A">
        <w:rPr>
          <w:lang w:val="en-GB"/>
        </w:rPr>
        <w:t>St.</w:t>
      </w:r>
      <w:r w:rsidR="001C7C7E">
        <w:rPr>
          <w:lang w:val="en-GB"/>
        </w:rPr>
        <w:t xml:space="preserve"> </w:t>
      </w:r>
      <w:r w:rsidRPr="008C5A7A">
        <w:rPr>
          <w:lang w:val="en-GB"/>
        </w:rPr>
        <w:t>Modwen,</w:t>
      </w:r>
      <w:r w:rsidR="001C7C7E">
        <w:rPr>
          <w:lang w:val="en-GB"/>
        </w:rPr>
        <w:t xml:space="preserve"> </w:t>
      </w:r>
      <w:r w:rsidRPr="008C5A7A">
        <w:rPr>
          <w:lang w:val="en-GB"/>
        </w:rPr>
        <w:t>Workspace,</w:t>
      </w:r>
      <w:r w:rsidR="001C7C7E">
        <w:rPr>
          <w:lang w:val="en-GB"/>
        </w:rPr>
        <w:t xml:space="preserve"> </w:t>
      </w:r>
      <w:r w:rsidRPr="008C5A7A">
        <w:rPr>
          <w:lang w:val="en-GB"/>
        </w:rPr>
        <w:t>etc.</w:t>
      </w:r>
      <w:r w:rsidR="001C7C7E">
        <w:rPr>
          <w:lang w:val="en-GB"/>
        </w:rPr>
        <w:t xml:space="preserve"> </w:t>
      </w:r>
      <w:r w:rsidRPr="008C5A7A">
        <w:rPr>
          <w:lang w:val="en-GB"/>
        </w:rPr>
        <w:t>So,</w:t>
      </w:r>
      <w:r w:rsidR="001C7C7E">
        <w:rPr>
          <w:lang w:val="en-GB"/>
        </w:rPr>
        <w:t xml:space="preserve"> </w:t>
      </w:r>
      <w:r w:rsidRPr="008C5A7A">
        <w:rPr>
          <w:lang w:val="en-GB"/>
        </w:rPr>
        <w:t>what</w:t>
      </w:r>
      <w:r w:rsidR="001C7C7E">
        <w:rPr>
          <w:lang w:val="en-GB"/>
        </w:rPr>
        <w:t xml:space="preserve"> </w:t>
      </w:r>
      <w:r w:rsidRPr="008C5A7A">
        <w:rPr>
          <w:lang w:val="en-GB"/>
        </w:rPr>
        <w:t>will</w:t>
      </w:r>
      <w:r w:rsidR="001C7C7E">
        <w:rPr>
          <w:lang w:val="en-GB"/>
        </w:rPr>
        <w:t xml:space="preserve"> </w:t>
      </w:r>
      <w:r w:rsidRPr="008C5A7A">
        <w:rPr>
          <w:lang w:val="en-GB"/>
        </w:rPr>
        <w:t>2014</w:t>
      </w:r>
      <w:r w:rsidR="001C7C7E">
        <w:rPr>
          <w:lang w:val="en-GB"/>
        </w:rPr>
        <w:t xml:space="preserve"> </w:t>
      </w:r>
      <w:r w:rsidRPr="008C5A7A">
        <w:rPr>
          <w:lang w:val="en-GB"/>
        </w:rPr>
        <w:t>look</w:t>
      </w:r>
      <w:r w:rsidR="001C7C7E">
        <w:rPr>
          <w:lang w:val="en-GB"/>
        </w:rPr>
        <w:t xml:space="preserve"> </w:t>
      </w:r>
      <w:r w:rsidRPr="008C5A7A">
        <w:rPr>
          <w:lang w:val="en-GB"/>
        </w:rPr>
        <w:t>like?</w:t>
      </w:r>
      <w:r w:rsidR="001C7C7E">
        <w:rPr>
          <w:lang w:val="en-GB"/>
        </w:rPr>
        <w:t xml:space="preserve"> </w:t>
      </w:r>
      <w:r w:rsidRPr="008C5A7A">
        <w:rPr>
          <w:lang w:val="en-GB"/>
        </w:rPr>
        <w:t>Below</w:t>
      </w:r>
      <w:r w:rsidR="001C7C7E">
        <w:rPr>
          <w:lang w:val="en-GB"/>
        </w:rPr>
        <w:t xml:space="preserve"> </w:t>
      </w:r>
      <w:r w:rsidRPr="008C5A7A">
        <w:rPr>
          <w:lang w:val="en-GB"/>
        </w:rPr>
        <w:t>we</w:t>
      </w:r>
      <w:r w:rsidR="001C7C7E">
        <w:rPr>
          <w:lang w:val="en-GB"/>
        </w:rPr>
        <w:t xml:space="preserve"> </w:t>
      </w:r>
      <w:r w:rsidRPr="008C5A7A">
        <w:rPr>
          <w:lang w:val="en-GB"/>
        </w:rPr>
        <w:t>look</w:t>
      </w:r>
      <w:r w:rsidR="001C7C7E">
        <w:rPr>
          <w:lang w:val="en-GB"/>
        </w:rPr>
        <w:t xml:space="preserve"> </w:t>
      </w:r>
      <w:r w:rsidRPr="008C5A7A">
        <w:rPr>
          <w:lang w:val="en-GB"/>
        </w:rPr>
        <w:t>back</w:t>
      </w:r>
      <w:r w:rsidR="001C7C7E">
        <w:rPr>
          <w:lang w:val="en-GB"/>
        </w:rPr>
        <w:t xml:space="preserve"> </w:t>
      </w:r>
      <w:r w:rsidRPr="008C5A7A">
        <w:rPr>
          <w:lang w:val="en-GB"/>
        </w:rPr>
        <w:t>on</w:t>
      </w:r>
      <w:r w:rsidR="001C7C7E">
        <w:rPr>
          <w:lang w:val="en-GB"/>
        </w:rPr>
        <w:t xml:space="preserve"> </w:t>
      </w:r>
      <w:r w:rsidRPr="008C5A7A">
        <w:rPr>
          <w:lang w:val="en-GB"/>
        </w:rPr>
        <w:t>2013</w:t>
      </w:r>
      <w:r w:rsidR="001C7C7E">
        <w:rPr>
          <w:lang w:val="en-GB"/>
        </w:rPr>
        <w:t xml:space="preserve"> </w:t>
      </w:r>
      <w:r w:rsidRPr="008C5A7A">
        <w:rPr>
          <w:lang w:val="en-GB"/>
        </w:rPr>
        <w:t>in</w:t>
      </w:r>
      <w:r w:rsidR="001C7C7E">
        <w:rPr>
          <w:lang w:val="en-GB"/>
        </w:rPr>
        <w:t xml:space="preserve"> </w:t>
      </w:r>
      <w:r w:rsidRPr="008C5A7A">
        <w:rPr>
          <w:lang w:val="en-GB"/>
        </w:rPr>
        <w:t>a</w:t>
      </w:r>
      <w:r w:rsidR="001C7C7E">
        <w:rPr>
          <w:lang w:val="en-GB"/>
        </w:rPr>
        <w:t xml:space="preserve"> </w:t>
      </w:r>
      <w:r w:rsidRPr="008C5A7A">
        <w:rPr>
          <w:lang w:val="en-GB"/>
        </w:rPr>
        <w:t>light-hearted</w:t>
      </w:r>
      <w:r w:rsidR="001C7C7E">
        <w:rPr>
          <w:lang w:val="en-GB"/>
        </w:rPr>
        <w:t xml:space="preserve"> </w:t>
      </w:r>
      <w:r w:rsidRPr="008C5A7A">
        <w:rPr>
          <w:lang w:val="en-GB"/>
        </w:rPr>
        <w:t>way</w:t>
      </w:r>
      <w:r w:rsidR="001C7C7E">
        <w:rPr>
          <w:lang w:val="en-GB"/>
        </w:rPr>
        <w:t xml:space="preserve"> </w:t>
      </w:r>
      <w:r w:rsidRPr="008C5A7A">
        <w:rPr>
          <w:lang w:val="en-GB"/>
        </w:rPr>
        <w:t>and</w:t>
      </w:r>
      <w:r w:rsidR="001C7C7E">
        <w:rPr>
          <w:lang w:val="en-GB"/>
        </w:rPr>
        <w:t xml:space="preserve"> </w:t>
      </w:r>
      <w:r w:rsidRPr="008C5A7A">
        <w:rPr>
          <w:lang w:val="en-GB"/>
        </w:rPr>
        <w:t>give</w:t>
      </w:r>
      <w:r w:rsidR="001C7C7E">
        <w:rPr>
          <w:lang w:val="en-GB"/>
        </w:rPr>
        <w:t xml:space="preserve"> </w:t>
      </w:r>
      <w:r w:rsidRPr="008C5A7A">
        <w:rPr>
          <w:lang w:val="en-GB"/>
        </w:rPr>
        <w:t>you</w:t>
      </w:r>
      <w:r w:rsidR="001C7C7E">
        <w:rPr>
          <w:lang w:val="en-GB"/>
        </w:rPr>
        <w:t xml:space="preserve"> </w:t>
      </w:r>
      <w:r w:rsidRPr="008C5A7A">
        <w:rPr>
          <w:lang w:val="en-GB"/>
        </w:rPr>
        <w:t>our</w:t>
      </w:r>
      <w:r w:rsidR="001C7C7E">
        <w:rPr>
          <w:lang w:val="en-GB"/>
        </w:rPr>
        <w:t xml:space="preserve"> </w:t>
      </w:r>
      <w:r w:rsidRPr="008C5A7A">
        <w:rPr>
          <w:lang w:val="en-GB"/>
        </w:rPr>
        <w:t>current</w:t>
      </w:r>
      <w:r w:rsidR="001C7C7E">
        <w:rPr>
          <w:lang w:val="en-GB"/>
        </w:rPr>
        <w:t xml:space="preserve"> </w:t>
      </w:r>
      <w:r w:rsidRPr="008C5A7A">
        <w:rPr>
          <w:lang w:val="en-GB"/>
        </w:rPr>
        <w:t>thoughts.</w:t>
      </w:r>
      <w:r w:rsidR="001C7C7E">
        <w:rPr>
          <w:lang w:val="en-GB"/>
        </w:rPr>
        <w:t xml:space="preserve"> </w:t>
      </w:r>
      <w:r w:rsidRPr="008C5A7A">
        <w:rPr>
          <w:lang w:val="en-GB"/>
        </w:rPr>
        <w:t>We</w:t>
      </w:r>
      <w:r w:rsidR="001C7C7E">
        <w:rPr>
          <w:lang w:val="en-GB"/>
        </w:rPr>
        <w:t xml:space="preserve"> </w:t>
      </w:r>
      <w:r w:rsidRPr="008C5A7A">
        <w:rPr>
          <w:lang w:val="en-GB"/>
        </w:rPr>
        <w:t>hope</w:t>
      </w:r>
      <w:r w:rsidR="001C7C7E">
        <w:rPr>
          <w:lang w:val="en-GB"/>
        </w:rPr>
        <w:t xml:space="preserve"> </w:t>
      </w:r>
      <w:r w:rsidRPr="008C5A7A">
        <w:rPr>
          <w:lang w:val="en-GB"/>
        </w:rPr>
        <w:t>you</w:t>
      </w:r>
      <w:r w:rsidR="001C7C7E">
        <w:rPr>
          <w:lang w:val="en-GB"/>
        </w:rPr>
        <w:t xml:space="preserve"> </w:t>
      </w:r>
      <w:r w:rsidRPr="008C5A7A">
        <w:rPr>
          <w:lang w:val="en-GB"/>
        </w:rPr>
        <w:t>enjoy</w:t>
      </w:r>
      <w:r w:rsidR="001C7C7E">
        <w:rPr>
          <w:lang w:val="en-GB"/>
        </w:rPr>
        <w:t xml:space="preserve"> </w:t>
      </w:r>
      <w:r w:rsidRPr="008C5A7A">
        <w:rPr>
          <w:lang w:val="en-GB"/>
        </w:rPr>
        <w:t>our</w:t>
      </w:r>
      <w:r w:rsidR="001C7C7E">
        <w:rPr>
          <w:lang w:val="en-GB"/>
        </w:rPr>
        <w:t xml:space="preserve"> </w:t>
      </w:r>
      <w:r w:rsidRPr="008C5A7A">
        <w:rPr>
          <w:lang w:val="en-GB"/>
        </w:rPr>
        <w:t>year-end</w:t>
      </w:r>
      <w:r w:rsidR="001C7C7E">
        <w:rPr>
          <w:lang w:val="en-GB"/>
        </w:rPr>
        <w:t xml:space="preserve"> </w:t>
      </w:r>
      <w:r w:rsidRPr="008C5A7A">
        <w:rPr>
          <w:lang w:val="en-GB"/>
        </w:rPr>
        <w:t>note.</w:t>
      </w:r>
      <w:r w:rsidR="001C7C7E">
        <w:rPr>
          <w:lang w:val="en-GB"/>
        </w:rPr>
        <w:t xml:space="preserve"> </w:t>
      </w:r>
    </w:p>
    <w:p w:rsidR="002E187C" w:rsidRPr="008C5A7A" w:rsidRDefault="002E187C" w:rsidP="002E187C">
      <w:pPr>
        <w:pStyle w:val="FPBullet"/>
        <w:rPr>
          <w:b/>
          <w:bCs/>
          <w:i/>
          <w:iCs/>
          <w:lang w:val="en-GB"/>
        </w:rPr>
      </w:pPr>
      <w:r w:rsidRPr="008C5A7A">
        <w:rPr>
          <w:b/>
          <w:szCs w:val="22"/>
          <w:lang w:val="en-GB"/>
        </w:rPr>
        <w:t>Recent</w:t>
      </w:r>
      <w:r w:rsidR="001C7C7E">
        <w:rPr>
          <w:b/>
          <w:szCs w:val="22"/>
          <w:lang w:val="en-GB"/>
        </w:rPr>
        <w:t xml:space="preserve"> </w:t>
      </w:r>
      <w:r w:rsidRPr="008C5A7A">
        <w:rPr>
          <w:b/>
          <w:szCs w:val="22"/>
          <w:lang w:val="en-GB"/>
        </w:rPr>
        <w:t>note:</w:t>
      </w:r>
      <w:r w:rsidR="001C7C7E">
        <w:rPr>
          <w:b/>
          <w:szCs w:val="22"/>
          <w:lang w:val="en-GB"/>
        </w:rPr>
        <w:t xml:space="preserve"> </w:t>
      </w:r>
      <w:r w:rsidRPr="008C5A7A">
        <w:rPr>
          <w:b/>
          <w:szCs w:val="22"/>
          <w:lang w:val="en-GB"/>
        </w:rPr>
        <w:t>Property:</w:t>
      </w:r>
      <w:r w:rsidR="001C7C7E">
        <w:rPr>
          <w:b/>
          <w:szCs w:val="22"/>
          <w:lang w:val="en-GB"/>
        </w:rPr>
        <w:t xml:space="preserve"> </w:t>
      </w:r>
      <w:r w:rsidRPr="008C5A7A">
        <w:rPr>
          <w:b/>
          <w:szCs w:val="22"/>
          <w:lang w:val="en-GB"/>
        </w:rPr>
        <w:t>Survey</w:t>
      </w:r>
      <w:r w:rsidR="001C7C7E">
        <w:rPr>
          <w:b/>
          <w:szCs w:val="22"/>
          <w:lang w:val="en-GB"/>
        </w:rPr>
        <w:t xml:space="preserve"> </w:t>
      </w:r>
      <w:r w:rsidRPr="008C5A7A">
        <w:rPr>
          <w:b/>
          <w:szCs w:val="22"/>
          <w:lang w:val="en-GB"/>
        </w:rPr>
        <w:t>indicates</w:t>
      </w:r>
      <w:r w:rsidR="001C7C7E">
        <w:rPr>
          <w:b/>
          <w:szCs w:val="22"/>
          <w:lang w:val="en-GB"/>
        </w:rPr>
        <w:t xml:space="preserve"> </w:t>
      </w:r>
      <w:r w:rsidRPr="008C5A7A">
        <w:rPr>
          <w:b/>
          <w:szCs w:val="22"/>
          <w:lang w:val="en-GB"/>
        </w:rPr>
        <w:t>Rotation</w:t>
      </w:r>
      <w:r w:rsidR="001C7C7E">
        <w:rPr>
          <w:b/>
          <w:szCs w:val="22"/>
          <w:lang w:val="en-GB"/>
        </w:rPr>
        <w:t xml:space="preserve"> </w:t>
      </w:r>
      <w:r w:rsidRPr="008C5A7A">
        <w:rPr>
          <w:b/>
          <w:szCs w:val="22"/>
          <w:lang w:val="en-GB"/>
        </w:rPr>
        <w:t>theme</w:t>
      </w:r>
      <w:r w:rsidR="001C7C7E">
        <w:rPr>
          <w:b/>
          <w:szCs w:val="22"/>
          <w:lang w:val="en-GB"/>
        </w:rPr>
        <w:t xml:space="preserve"> </w:t>
      </w:r>
      <w:r w:rsidRPr="008C5A7A">
        <w:rPr>
          <w:b/>
          <w:szCs w:val="22"/>
          <w:lang w:val="en-GB"/>
        </w:rPr>
        <w:t>gaining</w:t>
      </w:r>
      <w:r w:rsidR="001C7C7E">
        <w:rPr>
          <w:b/>
          <w:lang w:val="en-GB"/>
        </w:rPr>
        <w:t xml:space="preserve"> </w:t>
      </w:r>
      <w:r w:rsidRPr="008C5A7A">
        <w:rPr>
          <w:b/>
          <w:lang w:val="en-GB"/>
        </w:rPr>
        <w:t>traction</w:t>
      </w:r>
      <w:r w:rsidR="001C7C7E">
        <w:rPr>
          <w:b/>
          <w:lang w:val="en-GB"/>
        </w:rPr>
        <w:t xml:space="preserve"> </w:t>
      </w:r>
      <w:r w:rsidRPr="008C5A7A">
        <w:rPr>
          <w:b/>
          <w:lang w:val="en-GB"/>
        </w:rPr>
        <w:t>–</w:t>
      </w:r>
      <w:r w:rsidR="001C7C7E">
        <w:rPr>
          <w:b/>
          <w:lang w:val="en-GB"/>
        </w:rPr>
        <w:t xml:space="preserve"> </w:t>
      </w:r>
      <w:r w:rsidRPr="008C5A7A">
        <w:rPr>
          <w:b/>
          <w:lang w:val="en-GB"/>
        </w:rPr>
        <w:t>More</w:t>
      </w:r>
      <w:r w:rsidR="001C7C7E">
        <w:rPr>
          <w:b/>
          <w:lang w:val="en-GB"/>
        </w:rPr>
        <w:t xml:space="preserve"> </w:t>
      </w:r>
      <w:r w:rsidRPr="008C5A7A">
        <w:rPr>
          <w:b/>
          <w:lang w:val="en-GB"/>
        </w:rPr>
        <w:t>to</w:t>
      </w:r>
      <w:r w:rsidR="001C7C7E">
        <w:rPr>
          <w:b/>
          <w:lang w:val="en-GB"/>
        </w:rPr>
        <w:t xml:space="preserve"> </w:t>
      </w:r>
      <w:r w:rsidRPr="008C5A7A">
        <w:rPr>
          <w:b/>
          <w:lang w:val="en-GB"/>
        </w:rPr>
        <w:t>come.</w:t>
      </w:r>
      <w:r w:rsidR="001C7C7E">
        <w:rPr>
          <w:lang w:val="en-GB"/>
        </w:rPr>
        <w:t xml:space="preserve"> </w:t>
      </w:r>
      <w:r w:rsidRPr="008C5A7A">
        <w:rPr>
          <w:lang w:val="en-GB"/>
        </w:rPr>
        <w:t>The</w:t>
      </w:r>
      <w:r w:rsidR="001C7C7E">
        <w:rPr>
          <w:lang w:val="en-GB"/>
        </w:rPr>
        <w:t xml:space="preserve"> </w:t>
      </w:r>
      <w:r w:rsidRPr="008C5A7A">
        <w:rPr>
          <w:lang w:val="en-GB"/>
        </w:rPr>
        <w:t>Rotation</w:t>
      </w:r>
      <w:r w:rsidR="001C7C7E">
        <w:rPr>
          <w:lang w:val="en-GB"/>
        </w:rPr>
        <w:t xml:space="preserve"> </w:t>
      </w:r>
      <w:r w:rsidRPr="008C5A7A">
        <w:rPr>
          <w:lang w:val="en-GB"/>
        </w:rPr>
        <w:t>theme</w:t>
      </w:r>
      <w:r w:rsidR="001C7C7E">
        <w:rPr>
          <w:lang w:val="en-GB"/>
        </w:rPr>
        <w:t xml:space="preserve"> </w:t>
      </w:r>
      <w:r w:rsidRPr="008C5A7A">
        <w:rPr>
          <w:lang w:val="en-GB"/>
        </w:rPr>
        <w:t>is</w:t>
      </w:r>
      <w:r w:rsidR="001C7C7E">
        <w:rPr>
          <w:lang w:val="en-GB"/>
        </w:rPr>
        <w:t xml:space="preserve"> </w:t>
      </w:r>
      <w:r w:rsidRPr="008C5A7A">
        <w:rPr>
          <w:lang w:val="en-GB"/>
        </w:rPr>
        <w:t>gaining</w:t>
      </w:r>
      <w:r w:rsidR="001C7C7E">
        <w:rPr>
          <w:lang w:val="en-GB"/>
        </w:rPr>
        <w:t xml:space="preserve"> </w:t>
      </w:r>
      <w:r w:rsidRPr="008C5A7A">
        <w:rPr>
          <w:lang w:val="en-GB"/>
        </w:rPr>
        <w:t>traction,</w:t>
      </w:r>
      <w:r w:rsidR="001C7C7E">
        <w:rPr>
          <w:lang w:val="en-GB"/>
        </w:rPr>
        <w:t xml:space="preserve"> </w:t>
      </w:r>
      <w:r w:rsidRPr="008C5A7A">
        <w:rPr>
          <w:lang w:val="en-GB"/>
        </w:rPr>
        <w:t>as</w:t>
      </w:r>
      <w:r w:rsidR="001C7C7E">
        <w:rPr>
          <w:lang w:val="en-GB"/>
        </w:rPr>
        <w:t xml:space="preserve"> </w:t>
      </w:r>
      <w:r w:rsidRPr="008C5A7A">
        <w:rPr>
          <w:lang w:val="en-GB"/>
        </w:rPr>
        <w:t>our</w:t>
      </w:r>
      <w:r w:rsidR="001C7C7E">
        <w:rPr>
          <w:lang w:val="en-GB"/>
        </w:rPr>
        <w:t xml:space="preserve"> </w:t>
      </w:r>
      <w:r w:rsidRPr="008C5A7A">
        <w:rPr>
          <w:lang w:val="en-GB"/>
        </w:rPr>
        <w:t>survey</w:t>
      </w:r>
      <w:r w:rsidR="001C7C7E">
        <w:rPr>
          <w:lang w:val="en-GB"/>
        </w:rPr>
        <w:t xml:space="preserve"> </w:t>
      </w:r>
      <w:r w:rsidRPr="008C5A7A">
        <w:rPr>
          <w:lang w:val="en-GB"/>
        </w:rPr>
        <w:t>of</w:t>
      </w:r>
      <w:r w:rsidR="001C7C7E">
        <w:rPr>
          <w:lang w:val="en-GB"/>
        </w:rPr>
        <w:t xml:space="preserve"> </w:t>
      </w:r>
      <w:r w:rsidRPr="008C5A7A">
        <w:rPr>
          <w:lang w:val="en-GB"/>
        </w:rPr>
        <w:t>149</w:t>
      </w:r>
      <w:r w:rsidR="001C7C7E">
        <w:rPr>
          <w:lang w:val="en-GB"/>
        </w:rPr>
        <w:t xml:space="preserve"> </w:t>
      </w:r>
      <w:r w:rsidRPr="008C5A7A">
        <w:rPr>
          <w:lang w:val="en-GB"/>
        </w:rPr>
        <w:t>property</w:t>
      </w:r>
      <w:r w:rsidR="001C7C7E">
        <w:rPr>
          <w:lang w:val="en-GB"/>
        </w:rPr>
        <w:t xml:space="preserve"> </w:t>
      </w:r>
      <w:r w:rsidRPr="008C5A7A">
        <w:rPr>
          <w:lang w:val="en-GB"/>
        </w:rPr>
        <w:t>players</w:t>
      </w:r>
      <w:r w:rsidR="001C7C7E">
        <w:rPr>
          <w:lang w:val="en-GB"/>
        </w:rPr>
        <w:t xml:space="preserve"> </w:t>
      </w:r>
      <w:r w:rsidRPr="008C5A7A">
        <w:rPr>
          <w:lang w:val="en-GB"/>
        </w:rPr>
        <w:t>shows</w:t>
      </w:r>
      <w:r w:rsidR="001C7C7E">
        <w:rPr>
          <w:lang w:val="en-GB"/>
        </w:rPr>
        <w:t xml:space="preserve"> </w:t>
      </w:r>
      <w:r w:rsidRPr="008C5A7A">
        <w:rPr>
          <w:lang w:val="en-GB"/>
        </w:rPr>
        <w:t>that</w:t>
      </w:r>
      <w:r w:rsidR="001C7C7E">
        <w:rPr>
          <w:lang w:val="en-GB"/>
        </w:rPr>
        <w:t xml:space="preserve"> </w:t>
      </w:r>
      <w:r w:rsidRPr="008C5A7A">
        <w:rPr>
          <w:lang w:val="en-GB"/>
        </w:rPr>
        <w:t>the</w:t>
      </w:r>
      <w:r w:rsidR="001C7C7E">
        <w:rPr>
          <w:lang w:val="en-GB"/>
        </w:rPr>
        <w:t xml:space="preserve"> </w:t>
      </w:r>
      <w:r w:rsidRPr="008C5A7A">
        <w:rPr>
          <w:lang w:val="en-GB"/>
        </w:rPr>
        <w:t>majority</w:t>
      </w:r>
      <w:r w:rsidR="001C7C7E">
        <w:rPr>
          <w:lang w:val="en-GB"/>
        </w:rPr>
        <w:t xml:space="preserve"> </w:t>
      </w:r>
      <w:r w:rsidRPr="008C5A7A">
        <w:rPr>
          <w:lang w:val="en-GB"/>
        </w:rPr>
        <w:t>(65%)</w:t>
      </w:r>
      <w:r w:rsidR="001C7C7E">
        <w:rPr>
          <w:lang w:val="en-GB"/>
        </w:rPr>
        <w:t xml:space="preserve"> </w:t>
      </w:r>
      <w:r w:rsidRPr="008C5A7A">
        <w:rPr>
          <w:lang w:val="en-GB"/>
        </w:rPr>
        <w:t>see</w:t>
      </w:r>
      <w:r w:rsidR="001C7C7E">
        <w:rPr>
          <w:lang w:val="en-GB"/>
        </w:rPr>
        <w:t xml:space="preserve"> </w:t>
      </w:r>
      <w:r w:rsidRPr="008C5A7A">
        <w:rPr>
          <w:lang w:val="en-GB"/>
        </w:rPr>
        <w:t>secondary</w:t>
      </w:r>
      <w:r w:rsidR="001C7C7E">
        <w:rPr>
          <w:lang w:val="en-GB"/>
        </w:rPr>
        <w:t xml:space="preserve"> </w:t>
      </w:r>
      <w:r w:rsidRPr="008C5A7A">
        <w:rPr>
          <w:lang w:val="en-GB"/>
        </w:rPr>
        <w:t>outperforming</w:t>
      </w:r>
      <w:r w:rsidR="001C7C7E">
        <w:rPr>
          <w:lang w:val="en-GB"/>
        </w:rPr>
        <w:t xml:space="preserve"> </w:t>
      </w:r>
      <w:r w:rsidRPr="008C5A7A">
        <w:rPr>
          <w:lang w:val="en-GB"/>
        </w:rPr>
        <w:t>prime</w:t>
      </w:r>
      <w:r w:rsidR="001C7C7E">
        <w:rPr>
          <w:lang w:val="en-GB"/>
        </w:rPr>
        <w:t xml:space="preserve"> </w:t>
      </w:r>
      <w:r w:rsidRPr="008C5A7A">
        <w:rPr>
          <w:lang w:val="en-GB"/>
        </w:rPr>
        <w:t>in</w:t>
      </w:r>
      <w:r w:rsidR="001C7C7E">
        <w:rPr>
          <w:lang w:val="en-GB"/>
        </w:rPr>
        <w:t xml:space="preserve"> </w:t>
      </w:r>
      <w:r w:rsidRPr="008C5A7A">
        <w:rPr>
          <w:lang w:val="en-GB"/>
        </w:rPr>
        <w:t>the</w:t>
      </w:r>
      <w:r w:rsidR="001C7C7E">
        <w:rPr>
          <w:lang w:val="en-GB"/>
        </w:rPr>
        <w:t xml:space="preserve"> </w:t>
      </w:r>
      <w:r w:rsidRPr="008C5A7A">
        <w:rPr>
          <w:lang w:val="en-GB"/>
        </w:rPr>
        <w:t>UK</w:t>
      </w:r>
      <w:r w:rsidR="001C7C7E">
        <w:rPr>
          <w:lang w:val="en-GB"/>
        </w:rPr>
        <w:t xml:space="preserve"> </w:t>
      </w:r>
      <w:r w:rsidRPr="008C5A7A">
        <w:rPr>
          <w:lang w:val="en-GB"/>
        </w:rPr>
        <w:t>(a</w:t>
      </w:r>
      <w:r w:rsidR="001C7C7E">
        <w:rPr>
          <w:lang w:val="en-GB"/>
        </w:rPr>
        <w:t xml:space="preserve"> </w:t>
      </w:r>
      <w:r w:rsidRPr="008C5A7A">
        <w:rPr>
          <w:lang w:val="en-GB"/>
        </w:rPr>
        <w:t>major</w:t>
      </w:r>
      <w:r w:rsidR="001C7C7E">
        <w:rPr>
          <w:lang w:val="en-GB"/>
        </w:rPr>
        <w:t xml:space="preserve"> </w:t>
      </w:r>
      <w:r w:rsidRPr="008C5A7A">
        <w:rPr>
          <w:lang w:val="en-GB"/>
        </w:rPr>
        <w:t>shift</w:t>
      </w:r>
      <w:r w:rsidR="001C7C7E">
        <w:rPr>
          <w:lang w:val="en-GB"/>
        </w:rPr>
        <w:t xml:space="preserve"> </w:t>
      </w:r>
      <w:r w:rsidRPr="008C5A7A">
        <w:rPr>
          <w:lang w:val="en-GB"/>
        </w:rPr>
        <w:t>from</w:t>
      </w:r>
      <w:r w:rsidR="001C7C7E">
        <w:rPr>
          <w:lang w:val="en-GB"/>
        </w:rPr>
        <w:t xml:space="preserve"> </w:t>
      </w:r>
      <w:r w:rsidRPr="008C5A7A">
        <w:rPr>
          <w:lang w:val="en-GB"/>
        </w:rPr>
        <w:t>this</w:t>
      </w:r>
      <w:r w:rsidR="001C7C7E">
        <w:rPr>
          <w:lang w:val="en-GB"/>
        </w:rPr>
        <w:t xml:space="preserve"> </w:t>
      </w:r>
      <w:r w:rsidRPr="008C5A7A">
        <w:rPr>
          <w:lang w:val="en-GB"/>
        </w:rPr>
        <w:t>time</w:t>
      </w:r>
      <w:r w:rsidR="001C7C7E">
        <w:rPr>
          <w:lang w:val="en-GB"/>
        </w:rPr>
        <w:t xml:space="preserve"> </w:t>
      </w:r>
      <w:r w:rsidRPr="008C5A7A">
        <w:rPr>
          <w:lang w:val="en-GB"/>
        </w:rPr>
        <w:t>last</w:t>
      </w:r>
      <w:r w:rsidR="001C7C7E">
        <w:rPr>
          <w:lang w:val="en-GB"/>
        </w:rPr>
        <w:t xml:space="preserve"> </w:t>
      </w:r>
      <w:r w:rsidRPr="008C5A7A">
        <w:rPr>
          <w:lang w:val="en-GB"/>
        </w:rPr>
        <w:t>year),</w:t>
      </w:r>
      <w:r w:rsidR="001C7C7E">
        <w:rPr>
          <w:lang w:val="en-GB"/>
        </w:rPr>
        <w:t xml:space="preserve"> </w:t>
      </w:r>
      <w:r w:rsidRPr="008C5A7A">
        <w:rPr>
          <w:lang w:val="en-GB"/>
        </w:rPr>
        <w:t>50%</w:t>
      </w:r>
      <w:r w:rsidR="001C7C7E">
        <w:rPr>
          <w:lang w:val="en-GB"/>
        </w:rPr>
        <w:t xml:space="preserve"> </w:t>
      </w:r>
      <w:r w:rsidRPr="008C5A7A">
        <w:rPr>
          <w:lang w:val="en-GB"/>
        </w:rPr>
        <w:t>expect</w:t>
      </w:r>
      <w:r w:rsidR="001C7C7E">
        <w:rPr>
          <w:lang w:val="en-GB"/>
        </w:rPr>
        <w:t xml:space="preserve"> </w:t>
      </w:r>
      <w:r w:rsidRPr="008C5A7A">
        <w:rPr>
          <w:lang w:val="en-GB"/>
        </w:rPr>
        <w:t>the</w:t>
      </w:r>
      <w:r w:rsidR="001C7C7E">
        <w:rPr>
          <w:lang w:val="en-GB"/>
        </w:rPr>
        <w:t xml:space="preserve"> </w:t>
      </w:r>
      <w:r w:rsidRPr="008C5A7A">
        <w:rPr>
          <w:lang w:val="en-GB"/>
        </w:rPr>
        <w:t>West</w:t>
      </w:r>
      <w:r w:rsidR="001C7C7E">
        <w:rPr>
          <w:lang w:val="en-GB"/>
        </w:rPr>
        <w:t xml:space="preserve"> </w:t>
      </w:r>
      <w:r w:rsidRPr="008C5A7A">
        <w:rPr>
          <w:lang w:val="en-GB"/>
        </w:rPr>
        <w:t>End</w:t>
      </w:r>
      <w:r w:rsidR="001C7C7E">
        <w:rPr>
          <w:lang w:val="en-GB"/>
        </w:rPr>
        <w:t xml:space="preserve"> </w:t>
      </w:r>
      <w:r w:rsidRPr="008C5A7A">
        <w:rPr>
          <w:lang w:val="en-GB"/>
        </w:rPr>
        <w:t>to</w:t>
      </w:r>
      <w:r w:rsidR="001C7C7E">
        <w:rPr>
          <w:lang w:val="en-GB"/>
        </w:rPr>
        <w:t xml:space="preserve"> </w:t>
      </w:r>
      <w:r w:rsidRPr="008C5A7A">
        <w:rPr>
          <w:lang w:val="en-GB"/>
        </w:rPr>
        <w:t>perform</w:t>
      </w:r>
      <w:r w:rsidR="001C7C7E">
        <w:rPr>
          <w:lang w:val="en-GB"/>
        </w:rPr>
        <w:t xml:space="preserve"> </w:t>
      </w:r>
      <w:r w:rsidRPr="008C5A7A">
        <w:rPr>
          <w:lang w:val="en-GB"/>
        </w:rPr>
        <w:t>in-line</w:t>
      </w:r>
      <w:r w:rsidR="001C7C7E">
        <w:rPr>
          <w:lang w:val="en-GB"/>
        </w:rPr>
        <w:t xml:space="preserve"> </w:t>
      </w:r>
      <w:r w:rsidRPr="008C5A7A">
        <w:rPr>
          <w:lang w:val="en-GB"/>
        </w:rPr>
        <w:t>at</w:t>
      </w:r>
      <w:r w:rsidR="001C7C7E">
        <w:rPr>
          <w:lang w:val="en-GB"/>
        </w:rPr>
        <w:t xml:space="preserve"> </w:t>
      </w:r>
      <w:r w:rsidRPr="008C5A7A">
        <w:rPr>
          <w:lang w:val="en-GB"/>
        </w:rPr>
        <w:t>best,</w:t>
      </w:r>
      <w:r w:rsidR="001C7C7E">
        <w:rPr>
          <w:lang w:val="en-GB"/>
        </w:rPr>
        <w:t xml:space="preserve"> </w:t>
      </w:r>
      <w:r w:rsidRPr="008C5A7A">
        <w:rPr>
          <w:lang w:val="en-GB"/>
        </w:rPr>
        <w:t>and</w:t>
      </w:r>
      <w:r w:rsidR="001C7C7E">
        <w:rPr>
          <w:lang w:val="en-GB"/>
        </w:rPr>
        <w:t xml:space="preserve"> </w:t>
      </w:r>
      <w:r w:rsidRPr="008C5A7A">
        <w:rPr>
          <w:lang w:val="en-GB"/>
        </w:rPr>
        <w:t>participants</w:t>
      </w:r>
      <w:r w:rsidR="001C7C7E">
        <w:rPr>
          <w:lang w:val="en-GB"/>
        </w:rPr>
        <w:t xml:space="preserve"> </w:t>
      </w:r>
      <w:r w:rsidRPr="008C5A7A">
        <w:rPr>
          <w:lang w:val="en-GB"/>
        </w:rPr>
        <w:t>see</w:t>
      </w:r>
      <w:r w:rsidR="001C7C7E">
        <w:rPr>
          <w:lang w:val="en-GB"/>
        </w:rPr>
        <w:t xml:space="preserve"> </w:t>
      </w:r>
      <w:r w:rsidRPr="008C5A7A">
        <w:rPr>
          <w:lang w:val="en-GB"/>
        </w:rPr>
        <w:t>UK</w:t>
      </w:r>
      <w:r w:rsidR="001C7C7E">
        <w:rPr>
          <w:lang w:val="en-GB"/>
        </w:rPr>
        <w:t xml:space="preserve"> </w:t>
      </w:r>
      <w:r w:rsidRPr="008C5A7A">
        <w:rPr>
          <w:lang w:val="en-GB"/>
        </w:rPr>
        <w:t>industrial</w:t>
      </w:r>
      <w:r w:rsidR="001C7C7E">
        <w:rPr>
          <w:lang w:val="en-GB"/>
        </w:rPr>
        <w:t xml:space="preserve"> </w:t>
      </w:r>
      <w:r w:rsidRPr="008C5A7A">
        <w:rPr>
          <w:lang w:val="en-GB"/>
        </w:rPr>
        <w:t>&amp;</w:t>
      </w:r>
      <w:r w:rsidR="001C7C7E">
        <w:rPr>
          <w:lang w:val="en-GB"/>
        </w:rPr>
        <w:t xml:space="preserve"> </w:t>
      </w:r>
      <w:r w:rsidRPr="008C5A7A">
        <w:rPr>
          <w:lang w:val="en-GB"/>
        </w:rPr>
        <w:t>secondary</w:t>
      </w:r>
      <w:r w:rsidR="001C7C7E">
        <w:rPr>
          <w:lang w:val="en-GB"/>
        </w:rPr>
        <w:t xml:space="preserve"> </w:t>
      </w:r>
      <w:r w:rsidRPr="008C5A7A">
        <w:rPr>
          <w:lang w:val="en-GB"/>
        </w:rPr>
        <w:t>UK</w:t>
      </w:r>
      <w:r w:rsidR="001C7C7E">
        <w:rPr>
          <w:lang w:val="en-GB"/>
        </w:rPr>
        <w:t xml:space="preserve"> </w:t>
      </w:r>
      <w:r w:rsidRPr="008C5A7A">
        <w:rPr>
          <w:lang w:val="en-GB"/>
        </w:rPr>
        <w:t>retail</w:t>
      </w:r>
      <w:r w:rsidR="001C7C7E">
        <w:rPr>
          <w:lang w:val="en-GB"/>
        </w:rPr>
        <w:t xml:space="preserve"> </w:t>
      </w:r>
      <w:r w:rsidRPr="008C5A7A">
        <w:rPr>
          <w:lang w:val="en-GB"/>
        </w:rPr>
        <w:t>outperforming.</w:t>
      </w:r>
      <w:r w:rsidR="001C7C7E">
        <w:rPr>
          <w:lang w:val="en-GB"/>
        </w:rPr>
        <w:t xml:space="preserve"> </w:t>
      </w:r>
      <w:r w:rsidRPr="008C5A7A">
        <w:rPr>
          <w:lang w:val="en-GB"/>
        </w:rPr>
        <w:t>In</w:t>
      </w:r>
      <w:r w:rsidR="001C7C7E">
        <w:rPr>
          <w:lang w:val="en-GB"/>
        </w:rPr>
        <w:t xml:space="preserve"> </w:t>
      </w:r>
      <w:r w:rsidRPr="008C5A7A">
        <w:rPr>
          <w:lang w:val="en-GB"/>
        </w:rPr>
        <w:t>addition,</w:t>
      </w:r>
      <w:r w:rsidR="001C7C7E">
        <w:rPr>
          <w:lang w:val="en-GB"/>
        </w:rPr>
        <w:t xml:space="preserve"> </w:t>
      </w:r>
      <w:r w:rsidRPr="008C5A7A">
        <w:rPr>
          <w:lang w:val="en-GB"/>
        </w:rPr>
        <w:t>UK</w:t>
      </w:r>
      <w:r w:rsidR="001C7C7E">
        <w:rPr>
          <w:lang w:val="en-GB"/>
        </w:rPr>
        <w:t xml:space="preserve"> </w:t>
      </w:r>
      <w:r w:rsidRPr="008C5A7A">
        <w:rPr>
          <w:lang w:val="en-GB"/>
        </w:rPr>
        <w:t>capital</w:t>
      </w:r>
      <w:r w:rsidR="001C7C7E">
        <w:rPr>
          <w:lang w:val="en-GB"/>
        </w:rPr>
        <w:t xml:space="preserve"> </w:t>
      </w:r>
      <w:r w:rsidRPr="008C5A7A">
        <w:rPr>
          <w:lang w:val="en-GB"/>
        </w:rPr>
        <w:t>growth</w:t>
      </w:r>
      <w:r w:rsidR="001C7C7E">
        <w:rPr>
          <w:lang w:val="en-GB"/>
        </w:rPr>
        <w:t xml:space="preserve"> </w:t>
      </w:r>
      <w:r w:rsidRPr="008C5A7A">
        <w:rPr>
          <w:lang w:val="en-GB"/>
        </w:rPr>
        <w:t>expectations</w:t>
      </w:r>
      <w:r w:rsidR="001C7C7E">
        <w:rPr>
          <w:lang w:val="en-GB"/>
        </w:rPr>
        <w:t xml:space="preserve"> </w:t>
      </w:r>
      <w:r w:rsidRPr="008C5A7A">
        <w:rPr>
          <w:lang w:val="en-GB"/>
        </w:rPr>
        <w:t>have</w:t>
      </w:r>
      <w:r w:rsidR="001C7C7E">
        <w:rPr>
          <w:lang w:val="en-GB"/>
        </w:rPr>
        <w:t xml:space="preserve"> </w:t>
      </w:r>
      <w:r w:rsidRPr="008C5A7A">
        <w:rPr>
          <w:lang w:val="en-GB"/>
        </w:rPr>
        <w:t>significantly</w:t>
      </w:r>
      <w:r w:rsidR="001C7C7E">
        <w:rPr>
          <w:lang w:val="en-GB"/>
        </w:rPr>
        <w:t xml:space="preserve"> </w:t>
      </w:r>
      <w:r w:rsidRPr="008C5A7A">
        <w:rPr>
          <w:lang w:val="en-GB"/>
        </w:rPr>
        <w:t>improved</w:t>
      </w:r>
      <w:r w:rsidR="001C7C7E">
        <w:rPr>
          <w:lang w:val="en-GB"/>
        </w:rPr>
        <w:t xml:space="preserve"> </w:t>
      </w:r>
      <w:r w:rsidRPr="008C5A7A">
        <w:rPr>
          <w:lang w:val="en-GB"/>
        </w:rPr>
        <w:t>vs.</w:t>
      </w:r>
      <w:r w:rsidR="001C7C7E">
        <w:rPr>
          <w:lang w:val="en-GB"/>
        </w:rPr>
        <w:t xml:space="preserve"> </w:t>
      </w:r>
      <w:r w:rsidRPr="008C5A7A">
        <w:rPr>
          <w:lang w:val="en-GB"/>
        </w:rPr>
        <w:t>last</w:t>
      </w:r>
      <w:r w:rsidR="001C7C7E">
        <w:rPr>
          <w:lang w:val="en-GB"/>
        </w:rPr>
        <w:t xml:space="preserve"> </w:t>
      </w:r>
      <w:r w:rsidRPr="008C5A7A">
        <w:rPr>
          <w:lang w:val="en-GB"/>
        </w:rPr>
        <w:t>year,</w:t>
      </w:r>
      <w:r w:rsidR="001C7C7E">
        <w:rPr>
          <w:lang w:val="en-GB"/>
        </w:rPr>
        <w:t xml:space="preserve"> </w:t>
      </w:r>
      <w:r w:rsidRPr="008C5A7A">
        <w:rPr>
          <w:lang w:val="en-GB"/>
        </w:rPr>
        <w:t>the</w:t>
      </w:r>
      <w:r w:rsidR="001C7C7E">
        <w:rPr>
          <w:lang w:val="en-GB"/>
        </w:rPr>
        <w:t xml:space="preserve"> </w:t>
      </w:r>
      <w:r w:rsidRPr="008C5A7A">
        <w:rPr>
          <w:lang w:val="en-GB"/>
        </w:rPr>
        <w:t>Netherlands</w:t>
      </w:r>
      <w:r w:rsidR="001C7C7E">
        <w:rPr>
          <w:lang w:val="en-GB"/>
        </w:rPr>
        <w:t xml:space="preserve"> </w:t>
      </w:r>
      <w:r w:rsidRPr="008C5A7A">
        <w:rPr>
          <w:lang w:val="en-GB"/>
        </w:rPr>
        <w:t>now</w:t>
      </w:r>
      <w:r w:rsidR="001C7C7E">
        <w:rPr>
          <w:lang w:val="en-GB"/>
        </w:rPr>
        <w:t xml:space="preserve"> </w:t>
      </w:r>
      <w:r w:rsidRPr="008C5A7A">
        <w:rPr>
          <w:lang w:val="en-GB"/>
        </w:rPr>
        <w:t>have</w:t>
      </w:r>
      <w:r w:rsidR="001C7C7E">
        <w:rPr>
          <w:lang w:val="en-GB"/>
        </w:rPr>
        <w:t xml:space="preserve"> </w:t>
      </w:r>
      <w:r w:rsidRPr="008C5A7A">
        <w:rPr>
          <w:lang w:val="en-GB"/>
        </w:rPr>
        <w:t>the</w:t>
      </w:r>
      <w:r w:rsidR="001C7C7E">
        <w:rPr>
          <w:lang w:val="en-GB"/>
        </w:rPr>
        <w:t xml:space="preserve"> </w:t>
      </w:r>
      <w:r w:rsidRPr="008C5A7A">
        <w:rPr>
          <w:lang w:val="en-GB"/>
        </w:rPr>
        <w:t>worst</w:t>
      </w:r>
      <w:r w:rsidR="001C7C7E">
        <w:rPr>
          <w:lang w:val="en-GB"/>
        </w:rPr>
        <w:t xml:space="preserve"> </w:t>
      </w:r>
      <w:r w:rsidRPr="008C5A7A">
        <w:rPr>
          <w:lang w:val="en-GB"/>
        </w:rPr>
        <w:t>prospects</w:t>
      </w:r>
      <w:r w:rsidR="001C7C7E">
        <w:rPr>
          <w:lang w:val="en-GB"/>
        </w:rPr>
        <w:t xml:space="preserve"> </w:t>
      </w:r>
      <w:r w:rsidRPr="008C5A7A">
        <w:rPr>
          <w:lang w:val="en-GB"/>
        </w:rPr>
        <w:t>(prev.</w:t>
      </w:r>
      <w:r w:rsidR="001C7C7E">
        <w:rPr>
          <w:lang w:val="en-GB"/>
        </w:rPr>
        <w:t xml:space="preserve"> </w:t>
      </w:r>
      <w:r w:rsidRPr="008C5A7A">
        <w:rPr>
          <w:lang w:val="en-GB"/>
        </w:rPr>
        <w:t>Spain),</w:t>
      </w:r>
      <w:r w:rsidR="001C7C7E">
        <w:rPr>
          <w:lang w:val="en-GB"/>
        </w:rPr>
        <w:t xml:space="preserve"> </w:t>
      </w:r>
      <w:r w:rsidRPr="008C5A7A">
        <w:rPr>
          <w:lang w:val="en-GB"/>
        </w:rPr>
        <w:t>the</w:t>
      </w:r>
      <w:r w:rsidR="001C7C7E">
        <w:rPr>
          <w:lang w:val="en-GB"/>
        </w:rPr>
        <w:t xml:space="preserve"> </w:t>
      </w:r>
      <w:r w:rsidRPr="008C5A7A">
        <w:rPr>
          <w:lang w:val="en-GB"/>
        </w:rPr>
        <w:t>current</w:t>
      </w:r>
      <w:r w:rsidR="001C7C7E">
        <w:rPr>
          <w:lang w:val="en-GB"/>
        </w:rPr>
        <w:t xml:space="preserve"> </w:t>
      </w:r>
      <w:r w:rsidRPr="008C5A7A">
        <w:rPr>
          <w:lang w:val="en-GB"/>
        </w:rPr>
        <w:t>(UK)</w:t>
      </w:r>
      <w:r w:rsidR="001C7C7E">
        <w:rPr>
          <w:lang w:val="en-GB"/>
        </w:rPr>
        <w:t xml:space="preserve"> </w:t>
      </w:r>
      <w:r w:rsidRPr="008C5A7A">
        <w:rPr>
          <w:lang w:val="en-GB"/>
        </w:rPr>
        <w:t>results</w:t>
      </w:r>
      <w:r w:rsidR="001C7C7E">
        <w:rPr>
          <w:lang w:val="en-GB"/>
        </w:rPr>
        <w:t xml:space="preserve"> </w:t>
      </w:r>
      <w:r w:rsidRPr="008C5A7A">
        <w:rPr>
          <w:lang w:val="en-GB"/>
        </w:rPr>
        <w:t>should</w:t>
      </w:r>
      <w:r w:rsidR="001C7C7E">
        <w:rPr>
          <w:lang w:val="en-GB"/>
        </w:rPr>
        <w:t xml:space="preserve"> </w:t>
      </w:r>
      <w:r w:rsidRPr="008C5A7A">
        <w:rPr>
          <w:lang w:val="en-GB"/>
        </w:rPr>
        <w:t>be</w:t>
      </w:r>
      <w:r w:rsidR="001C7C7E">
        <w:rPr>
          <w:lang w:val="en-GB"/>
        </w:rPr>
        <w:t xml:space="preserve"> </w:t>
      </w:r>
      <w:r w:rsidRPr="008C5A7A">
        <w:rPr>
          <w:lang w:val="en-GB"/>
        </w:rPr>
        <w:t>positive</w:t>
      </w:r>
      <w:r w:rsidR="001C7C7E">
        <w:rPr>
          <w:lang w:val="en-GB"/>
        </w:rPr>
        <w:t xml:space="preserve"> </w:t>
      </w:r>
      <w:r w:rsidRPr="008C5A7A">
        <w:rPr>
          <w:lang w:val="en-GB"/>
        </w:rPr>
        <w:t>(so</w:t>
      </w:r>
      <w:r w:rsidR="001C7C7E">
        <w:rPr>
          <w:lang w:val="en-GB"/>
        </w:rPr>
        <w:t xml:space="preserve"> </w:t>
      </w:r>
      <w:r w:rsidRPr="008C5A7A">
        <w:rPr>
          <w:lang w:val="en-GB"/>
        </w:rPr>
        <w:t>far</w:t>
      </w:r>
      <w:r w:rsidR="001C7C7E">
        <w:rPr>
          <w:lang w:val="en-GB"/>
        </w:rPr>
        <w:t xml:space="preserve"> </w:t>
      </w:r>
      <w:r w:rsidRPr="008C5A7A">
        <w:rPr>
          <w:lang w:val="en-GB"/>
        </w:rPr>
        <w:t>so</w:t>
      </w:r>
      <w:r w:rsidR="001C7C7E">
        <w:rPr>
          <w:lang w:val="en-GB"/>
        </w:rPr>
        <w:t xml:space="preserve"> </w:t>
      </w:r>
      <w:r w:rsidRPr="008C5A7A">
        <w:rPr>
          <w:lang w:val="en-GB"/>
        </w:rPr>
        <w:t>good),</w:t>
      </w:r>
      <w:r w:rsidR="001C7C7E">
        <w:rPr>
          <w:lang w:val="en-GB"/>
        </w:rPr>
        <w:t xml:space="preserve"> </w:t>
      </w:r>
      <w:r w:rsidRPr="008C5A7A">
        <w:rPr>
          <w:lang w:val="en-GB"/>
        </w:rPr>
        <w:t>appetite</w:t>
      </w:r>
      <w:r w:rsidR="001C7C7E">
        <w:rPr>
          <w:lang w:val="en-GB"/>
        </w:rPr>
        <w:t xml:space="preserve"> </w:t>
      </w:r>
      <w:r w:rsidRPr="008C5A7A">
        <w:rPr>
          <w:lang w:val="en-GB"/>
        </w:rPr>
        <w:t>for</w:t>
      </w:r>
      <w:r w:rsidR="001C7C7E">
        <w:rPr>
          <w:lang w:val="en-GB"/>
        </w:rPr>
        <w:t xml:space="preserve"> </w:t>
      </w:r>
      <w:r w:rsidRPr="008C5A7A">
        <w:rPr>
          <w:lang w:val="en-GB"/>
        </w:rPr>
        <w:t>risk</w:t>
      </w:r>
      <w:r w:rsidR="001C7C7E">
        <w:rPr>
          <w:lang w:val="en-GB"/>
        </w:rPr>
        <w:t xml:space="preserve"> </w:t>
      </w:r>
      <w:r w:rsidRPr="008C5A7A">
        <w:rPr>
          <w:lang w:val="en-GB"/>
        </w:rPr>
        <w:t>has</w:t>
      </w:r>
      <w:r w:rsidR="001C7C7E">
        <w:rPr>
          <w:lang w:val="en-GB"/>
        </w:rPr>
        <w:t xml:space="preserve"> </w:t>
      </w:r>
      <w:r w:rsidRPr="008C5A7A">
        <w:rPr>
          <w:lang w:val="en-GB"/>
        </w:rPr>
        <w:t>increased</w:t>
      </w:r>
      <w:r w:rsidR="001C7C7E">
        <w:rPr>
          <w:lang w:val="en-GB"/>
        </w:rPr>
        <w:t xml:space="preserve"> </w:t>
      </w:r>
      <w:r w:rsidRPr="008C5A7A">
        <w:rPr>
          <w:lang w:val="en-GB"/>
        </w:rPr>
        <w:t>(we</w:t>
      </w:r>
      <w:r w:rsidR="001C7C7E">
        <w:rPr>
          <w:lang w:val="en-GB"/>
        </w:rPr>
        <w:t xml:space="preserve"> </w:t>
      </w:r>
      <w:r w:rsidRPr="008C5A7A">
        <w:rPr>
          <w:lang w:val="en-GB"/>
        </w:rPr>
        <w:t>also</w:t>
      </w:r>
      <w:r w:rsidR="001C7C7E">
        <w:rPr>
          <w:lang w:val="en-GB"/>
        </w:rPr>
        <w:t xml:space="preserve"> </w:t>
      </w:r>
      <w:r w:rsidRPr="008C5A7A">
        <w:rPr>
          <w:lang w:val="en-GB"/>
        </w:rPr>
        <w:t>move</w:t>
      </w:r>
      <w:r w:rsidR="001C7C7E">
        <w:rPr>
          <w:lang w:val="en-GB"/>
        </w:rPr>
        <w:t xml:space="preserve"> </w:t>
      </w:r>
      <w:r w:rsidRPr="008C5A7A">
        <w:rPr>
          <w:lang w:val="en-GB"/>
        </w:rPr>
        <w:t>slightly</w:t>
      </w:r>
      <w:r w:rsidR="001C7C7E">
        <w:rPr>
          <w:lang w:val="en-GB"/>
        </w:rPr>
        <w:t xml:space="preserve"> </w:t>
      </w:r>
      <w:r w:rsidRPr="008C5A7A">
        <w:rPr>
          <w:lang w:val="en-GB"/>
        </w:rPr>
        <w:t>up</w:t>
      </w:r>
      <w:r w:rsidR="001C7C7E">
        <w:rPr>
          <w:lang w:val="en-GB"/>
        </w:rPr>
        <w:t xml:space="preserve"> </w:t>
      </w:r>
      <w:r w:rsidRPr="008C5A7A">
        <w:rPr>
          <w:lang w:val="en-GB"/>
        </w:rPr>
        <w:t>the</w:t>
      </w:r>
      <w:r w:rsidR="001C7C7E">
        <w:rPr>
          <w:lang w:val="en-GB"/>
        </w:rPr>
        <w:t xml:space="preserve"> </w:t>
      </w:r>
      <w:r w:rsidRPr="008C5A7A">
        <w:rPr>
          <w:lang w:val="en-GB"/>
        </w:rPr>
        <w:t>risk</w:t>
      </w:r>
      <w:r w:rsidR="001C7C7E">
        <w:rPr>
          <w:lang w:val="en-GB"/>
        </w:rPr>
        <w:t xml:space="preserve"> </w:t>
      </w:r>
      <w:r w:rsidRPr="008C5A7A">
        <w:rPr>
          <w:lang w:val="en-GB"/>
        </w:rPr>
        <w:t>curve),</w:t>
      </w:r>
      <w:r w:rsidR="001C7C7E">
        <w:rPr>
          <w:lang w:val="en-GB"/>
        </w:rPr>
        <w:t xml:space="preserve"> </w:t>
      </w:r>
      <w:r w:rsidRPr="008C5A7A">
        <w:rPr>
          <w:lang w:val="en-GB"/>
        </w:rPr>
        <w:t>and</w:t>
      </w:r>
      <w:r w:rsidR="001C7C7E">
        <w:rPr>
          <w:lang w:val="en-GB"/>
        </w:rPr>
        <w:t xml:space="preserve"> </w:t>
      </w:r>
      <w:r w:rsidRPr="008C5A7A">
        <w:rPr>
          <w:lang w:val="en-GB"/>
        </w:rPr>
        <w:t>IPOs/M&amp;A</w:t>
      </w:r>
      <w:r w:rsidR="001C7C7E">
        <w:rPr>
          <w:lang w:val="en-GB"/>
        </w:rPr>
        <w:t xml:space="preserve"> </w:t>
      </w:r>
      <w:r w:rsidRPr="008C5A7A">
        <w:rPr>
          <w:lang w:val="en-GB"/>
        </w:rPr>
        <w:t>remain</w:t>
      </w:r>
      <w:r w:rsidR="001C7C7E">
        <w:rPr>
          <w:lang w:val="en-GB"/>
        </w:rPr>
        <w:t xml:space="preserve"> </w:t>
      </w:r>
      <w:r w:rsidRPr="008C5A7A">
        <w:rPr>
          <w:lang w:val="en-GB"/>
        </w:rPr>
        <w:t>on</w:t>
      </w:r>
      <w:r w:rsidR="001C7C7E">
        <w:rPr>
          <w:lang w:val="en-GB"/>
        </w:rPr>
        <w:t xml:space="preserve"> </w:t>
      </w:r>
      <w:r w:rsidRPr="008C5A7A">
        <w:rPr>
          <w:lang w:val="en-GB"/>
        </w:rPr>
        <w:t>the</w:t>
      </w:r>
      <w:r w:rsidR="001C7C7E">
        <w:rPr>
          <w:lang w:val="en-GB"/>
        </w:rPr>
        <w:t xml:space="preserve"> </w:t>
      </w:r>
      <w:r w:rsidRPr="008C5A7A">
        <w:rPr>
          <w:lang w:val="en-GB"/>
        </w:rPr>
        <w:t>cards</w:t>
      </w:r>
      <w:r w:rsidR="001C7C7E">
        <w:rPr>
          <w:lang w:val="en-GB"/>
        </w:rPr>
        <w:t xml:space="preserve"> </w:t>
      </w:r>
      <w:r w:rsidRPr="008C5A7A">
        <w:rPr>
          <w:lang w:val="en-GB"/>
        </w:rPr>
        <w:t>(we</w:t>
      </w:r>
      <w:r w:rsidR="001C7C7E">
        <w:rPr>
          <w:lang w:val="en-GB"/>
        </w:rPr>
        <w:t xml:space="preserve"> </w:t>
      </w:r>
      <w:r w:rsidRPr="008C5A7A">
        <w:rPr>
          <w:lang w:val="en-GB"/>
        </w:rPr>
        <w:t>agree).</w:t>
      </w:r>
      <w:r w:rsidR="001C7C7E">
        <w:rPr>
          <w:lang w:val="en-GB"/>
        </w:rPr>
        <w:t xml:space="preserve"> </w:t>
      </w:r>
    </w:p>
    <w:p w:rsidR="002E187C" w:rsidRPr="008C5A7A" w:rsidRDefault="002E187C" w:rsidP="002E187C">
      <w:pPr>
        <w:pStyle w:val="FPBullet"/>
        <w:rPr>
          <w:b/>
          <w:bCs/>
          <w:i/>
          <w:iCs/>
          <w:lang w:val="en-GB"/>
        </w:rPr>
      </w:pPr>
      <w:r w:rsidRPr="008C5A7A">
        <w:rPr>
          <w:b/>
          <w:lang w:val="en-GB"/>
        </w:rPr>
        <w:t>Recent</w:t>
      </w:r>
      <w:r w:rsidR="001C7C7E">
        <w:rPr>
          <w:b/>
          <w:lang w:val="en-GB"/>
        </w:rPr>
        <w:t xml:space="preserve"> </w:t>
      </w:r>
      <w:r w:rsidRPr="008C5A7A">
        <w:rPr>
          <w:b/>
          <w:lang w:val="en-GB"/>
        </w:rPr>
        <w:t>note:</w:t>
      </w:r>
      <w:r w:rsidR="001C7C7E">
        <w:rPr>
          <w:b/>
          <w:lang w:val="en-GB"/>
        </w:rPr>
        <w:t xml:space="preserve"> </w:t>
      </w:r>
      <w:r w:rsidRPr="008C5A7A">
        <w:rPr>
          <w:b/>
          <w:lang w:val="en-GB"/>
        </w:rPr>
        <w:t>Out-of-the-box</w:t>
      </w:r>
      <w:r w:rsidR="001C7C7E">
        <w:rPr>
          <w:b/>
          <w:lang w:val="en-GB"/>
        </w:rPr>
        <w:t xml:space="preserve"> </w:t>
      </w:r>
      <w:r w:rsidRPr="008C5A7A">
        <w:rPr>
          <w:b/>
          <w:lang w:val="en-GB"/>
        </w:rPr>
        <w:t>research:</w:t>
      </w:r>
      <w:r w:rsidR="001C7C7E">
        <w:rPr>
          <w:b/>
          <w:lang w:val="en-GB"/>
        </w:rPr>
        <w:t xml:space="preserve"> </w:t>
      </w:r>
      <w:r w:rsidRPr="008C5A7A">
        <w:rPr>
          <w:b/>
          <w:lang w:val="en-GB"/>
        </w:rPr>
        <w:t>3D</w:t>
      </w:r>
      <w:r w:rsidR="001C7C7E">
        <w:rPr>
          <w:b/>
          <w:lang w:val="en-GB"/>
        </w:rPr>
        <w:t xml:space="preserve"> </w:t>
      </w:r>
      <w:r w:rsidRPr="008C5A7A">
        <w:rPr>
          <w:b/>
          <w:lang w:val="en-GB"/>
        </w:rPr>
        <w:t>Printing</w:t>
      </w:r>
      <w:r w:rsidR="001C7C7E">
        <w:rPr>
          <w:b/>
          <w:lang w:val="en-GB"/>
        </w:rPr>
        <w:t xml:space="preserve"> </w:t>
      </w:r>
      <w:r w:rsidRPr="008C5A7A">
        <w:rPr>
          <w:b/>
          <w:lang w:val="en-GB"/>
        </w:rPr>
        <w:t>–</w:t>
      </w:r>
      <w:r w:rsidR="001C7C7E">
        <w:rPr>
          <w:b/>
          <w:lang w:val="en-GB"/>
        </w:rPr>
        <w:t xml:space="preserve"> </w:t>
      </w:r>
      <w:r w:rsidRPr="008C5A7A">
        <w:rPr>
          <w:b/>
          <w:lang w:val="en-GB"/>
        </w:rPr>
        <w:t>A</w:t>
      </w:r>
      <w:r w:rsidR="001C7C7E">
        <w:rPr>
          <w:b/>
          <w:lang w:val="en-GB"/>
        </w:rPr>
        <w:t xml:space="preserve"> </w:t>
      </w:r>
      <w:r w:rsidRPr="008C5A7A">
        <w:rPr>
          <w:b/>
          <w:lang w:val="en-GB"/>
        </w:rPr>
        <w:t>trend</w:t>
      </w:r>
      <w:r w:rsidR="001C7C7E">
        <w:rPr>
          <w:b/>
          <w:lang w:val="en-GB"/>
        </w:rPr>
        <w:t xml:space="preserve"> </w:t>
      </w:r>
      <w:r w:rsidRPr="008C5A7A">
        <w:rPr>
          <w:b/>
          <w:lang w:val="en-GB"/>
        </w:rPr>
        <w:t>to</w:t>
      </w:r>
      <w:r w:rsidR="001C7C7E">
        <w:rPr>
          <w:b/>
          <w:lang w:val="en-GB"/>
        </w:rPr>
        <w:t xml:space="preserve"> </w:t>
      </w:r>
      <w:r w:rsidRPr="008C5A7A">
        <w:rPr>
          <w:b/>
          <w:lang w:val="en-GB"/>
        </w:rPr>
        <w:t>watch.</w:t>
      </w:r>
      <w:r w:rsidR="001C7C7E">
        <w:rPr>
          <w:lang w:val="en-GB"/>
        </w:rPr>
        <w:t xml:space="preserve"> </w:t>
      </w:r>
      <w:r w:rsidRPr="008C5A7A">
        <w:rPr>
          <w:color w:val="000000"/>
          <w:lang w:val="en-GB"/>
        </w:rPr>
        <w:t>Since</w:t>
      </w:r>
      <w:r w:rsidR="001C7C7E">
        <w:rPr>
          <w:color w:val="000000"/>
          <w:lang w:val="en-GB"/>
        </w:rPr>
        <w:t xml:space="preserve"> </w:t>
      </w:r>
      <w:r w:rsidRPr="008C5A7A">
        <w:rPr>
          <w:color w:val="000000"/>
          <w:lang w:val="en-GB"/>
        </w:rPr>
        <w:t>our</w:t>
      </w:r>
      <w:r w:rsidR="001C7C7E">
        <w:rPr>
          <w:color w:val="000000"/>
          <w:lang w:val="en-GB"/>
        </w:rPr>
        <w:t xml:space="preserve"> </w:t>
      </w:r>
      <w:r w:rsidRPr="008C5A7A">
        <w:rPr>
          <w:color w:val="000000"/>
          <w:lang w:val="en-GB"/>
        </w:rPr>
        <w:t>futuristic</w:t>
      </w:r>
      <w:r w:rsidR="001C7C7E">
        <w:rPr>
          <w:color w:val="000000"/>
          <w:lang w:val="en-GB"/>
        </w:rPr>
        <w:t xml:space="preserve"> </w:t>
      </w:r>
      <w:r w:rsidRPr="008C5A7A">
        <w:rPr>
          <w:lang w:val="en-GB"/>
        </w:rPr>
        <w:t>Beam</w:t>
      </w:r>
      <w:r w:rsidR="001C7C7E">
        <w:rPr>
          <w:lang w:val="en-GB"/>
        </w:rPr>
        <w:t xml:space="preserve"> </w:t>
      </w:r>
      <w:r w:rsidRPr="008C5A7A">
        <w:rPr>
          <w:lang w:val="en-GB"/>
        </w:rPr>
        <w:t>me</w:t>
      </w:r>
      <w:r w:rsidR="001C7C7E">
        <w:rPr>
          <w:lang w:val="en-GB"/>
        </w:rPr>
        <w:t xml:space="preserve"> </w:t>
      </w:r>
      <w:r w:rsidRPr="008C5A7A">
        <w:rPr>
          <w:lang w:val="en-GB"/>
        </w:rPr>
        <w:t>up,</w:t>
      </w:r>
      <w:r w:rsidR="001C7C7E">
        <w:rPr>
          <w:lang w:val="en-GB"/>
        </w:rPr>
        <w:t xml:space="preserve"> </w:t>
      </w:r>
      <w:r w:rsidRPr="008C5A7A">
        <w:rPr>
          <w:lang w:val="en-GB"/>
        </w:rPr>
        <w:t>Property!</w:t>
      </w:r>
      <w:r w:rsidR="001C7C7E">
        <w:rPr>
          <w:color w:val="000000"/>
          <w:lang w:val="en-GB"/>
        </w:rPr>
        <w:t xml:space="preserve"> </w:t>
      </w:r>
      <w:r w:rsidRPr="008C5A7A">
        <w:rPr>
          <w:color w:val="000000"/>
          <w:lang w:val="en-GB"/>
        </w:rPr>
        <w:t>note</w:t>
      </w:r>
      <w:r w:rsidR="001C7C7E">
        <w:rPr>
          <w:color w:val="000000"/>
          <w:lang w:val="en-GB"/>
        </w:rPr>
        <w:t xml:space="preserve"> </w:t>
      </w:r>
      <w:r w:rsidRPr="008C5A7A">
        <w:rPr>
          <w:color w:val="000000"/>
          <w:lang w:val="en-GB"/>
        </w:rPr>
        <w:t>in</w:t>
      </w:r>
      <w:r w:rsidR="001C7C7E">
        <w:rPr>
          <w:color w:val="000000"/>
          <w:lang w:val="en-GB"/>
        </w:rPr>
        <w:t xml:space="preserve"> </w:t>
      </w:r>
      <w:r w:rsidRPr="008C5A7A">
        <w:rPr>
          <w:color w:val="000000"/>
          <w:lang w:val="en-GB"/>
        </w:rPr>
        <w:t>March,</w:t>
      </w:r>
      <w:r w:rsidR="001C7C7E">
        <w:rPr>
          <w:color w:val="000000"/>
          <w:lang w:val="en-GB"/>
        </w:rPr>
        <w:t xml:space="preserve"> </w:t>
      </w:r>
      <w:r w:rsidRPr="008C5A7A">
        <w:rPr>
          <w:color w:val="000000"/>
          <w:lang w:val="en-GB"/>
        </w:rPr>
        <w:t>several</w:t>
      </w:r>
      <w:r w:rsidR="001C7C7E">
        <w:rPr>
          <w:color w:val="000000"/>
          <w:lang w:val="en-GB"/>
        </w:rPr>
        <w:t xml:space="preserve"> </w:t>
      </w:r>
      <w:r w:rsidRPr="008C5A7A">
        <w:rPr>
          <w:color w:val="000000"/>
          <w:lang w:val="en-GB"/>
        </w:rPr>
        <w:t>other</w:t>
      </w:r>
      <w:r w:rsidR="001C7C7E">
        <w:rPr>
          <w:color w:val="000000"/>
          <w:lang w:val="en-GB"/>
        </w:rPr>
        <w:t xml:space="preserve"> </w:t>
      </w:r>
      <w:r w:rsidRPr="008C5A7A">
        <w:rPr>
          <w:color w:val="000000"/>
          <w:lang w:val="en-GB"/>
        </w:rPr>
        <w:t>reports</w:t>
      </w:r>
      <w:r w:rsidR="001C7C7E">
        <w:rPr>
          <w:color w:val="000000"/>
          <w:lang w:val="en-GB"/>
        </w:rPr>
        <w:t xml:space="preserve"> </w:t>
      </w:r>
      <w:r w:rsidRPr="008C5A7A">
        <w:rPr>
          <w:color w:val="000000"/>
          <w:lang w:val="en-GB"/>
        </w:rPr>
        <w:t>on</w:t>
      </w:r>
      <w:r w:rsidR="001C7C7E">
        <w:rPr>
          <w:color w:val="000000"/>
          <w:lang w:val="en-GB"/>
        </w:rPr>
        <w:t xml:space="preserve"> </w:t>
      </w:r>
      <w:r w:rsidRPr="008C5A7A">
        <w:rPr>
          <w:color w:val="000000"/>
          <w:lang w:val="en-GB"/>
        </w:rPr>
        <w:t>this</w:t>
      </w:r>
      <w:r w:rsidR="001C7C7E">
        <w:rPr>
          <w:color w:val="000000"/>
          <w:lang w:val="en-GB"/>
        </w:rPr>
        <w:t xml:space="preserve"> </w:t>
      </w:r>
      <w:r w:rsidRPr="008C5A7A">
        <w:rPr>
          <w:color w:val="000000"/>
          <w:lang w:val="en-GB"/>
        </w:rPr>
        <w:t>topic</w:t>
      </w:r>
      <w:r w:rsidR="001C7C7E">
        <w:rPr>
          <w:color w:val="000000"/>
          <w:lang w:val="en-GB"/>
        </w:rPr>
        <w:t xml:space="preserve"> </w:t>
      </w:r>
      <w:r w:rsidRPr="008C5A7A">
        <w:rPr>
          <w:color w:val="000000"/>
          <w:lang w:val="en-GB"/>
        </w:rPr>
        <w:t>have</w:t>
      </w:r>
      <w:r w:rsidR="001C7C7E">
        <w:rPr>
          <w:color w:val="000000"/>
          <w:lang w:val="en-GB"/>
        </w:rPr>
        <w:t xml:space="preserve"> </w:t>
      </w:r>
      <w:r w:rsidRPr="008C5A7A">
        <w:rPr>
          <w:color w:val="000000"/>
          <w:lang w:val="en-GB"/>
        </w:rPr>
        <w:t>been</w:t>
      </w:r>
      <w:r w:rsidR="001C7C7E">
        <w:rPr>
          <w:color w:val="000000"/>
          <w:lang w:val="en-GB"/>
        </w:rPr>
        <w:t xml:space="preserve"> </w:t>
      </w:r>
      <w:r w:rsidRPr="008C5A7A">
        <w:rPr>
          <w:color w:val="000000"/>
          <w:lang w:val="en-GB"/>
        </w:rPr>
        <w:t>written</w:t>
      </w:r>
      <w:r w:rsidR="001C7C7E">
        <w:rPr>
          <w:color w:val="000000"/>
          <w:lang w:val="en-GB"/>
        </w:rPr>
        <w:t xml:space="preserve"> </w:t>
      </w:r>
      <w:r w:rsidRPr="008C5A7A">
        <w:rPr>
          <w:color w:val="000000"/>
          <w:lang w:val="en-GB"/>
        </w:rPr>
        <w:t>(e.g.</w:t>
      </w:r>
      <w:r w:rsidR="001C7C7E">
        <w:rPr>
          <w:color w:val="000000"/>
          <w:lang w:val="en-GB"/>
        </w:rPr>
        <w:t xml:space="preserve"> </w:t>
      </w:r>
      <w:r w:rsidRPr="008C5A7A">
        <w:rPr>
          <w:color w:val="000000"/>
          <w:lang w:val="en-GB"/>
        </w:rPr>
        <w:t>JLL).</w:t>
      </w:r>
      <w:r w:rsidR="001C7C7E">
        <w:rPr>
          <w:color w:val="000000"/>
          <w:lang w:val="en-GB"/>
        </w:rPr>
        <w:t xml:space="preserve"> </w:t>
      </w:r>
      <w:r w:rsidRPr="008C5A7A">
        <w:rPr>
          <w:color w:val="000000"/>
          <w:lang w:val="en-GB"/>
        </w:rPr>
        <w:t>We</w:t>
      </w:r>
      <w:r w:rsidR="001C7C7E">
        <w:rPr>
          <w:color w:val="000000"/>
          <w:lang w:val="en-GB"/>
        </w:rPr>
        <w:t xml:space="preserve"> </w:t>
      </w:r>
      <w:r w:rsidRPr="008C5A7A">
        <w:rPr>
          <w:color w:val="000000"/>
          <w:lang w:val="en-GB"/>
        </w:rPr>
        <w:t>investigated</w:t>
      </w:r>
      <w:r w:rsidR="001C7C7E">
        <w:rPr>
          <w:color w:val="000000"/>
          <w:lang w:val="en-GB"/>
        </w:rPr>
        <w:t xml:space="preserve"> </w:t>
      </w:r>
      <w:r w:rsidRPr="008C5A7A">
        <w:rPr>
          <w:color w:val="000000"/>
          <w:lang w:val="en-GB"/>
        </w:rPr>
        <w:t>3D</w:t>
      </w:r>
      <w:r w:rsidR="001C7C7E">
        <w:rPr>
          <w:color w:val="000000"/>
          <w:lang w:val="en-GB"/>
        </w:rPr>
        <w:t xml:space="preserve"> </w:t>
      </w:r>
      <w:r w:rsidRPr="008C5A7A">
        <w:rPr>
          <w:color w:val="000000"/>
          <w:lang w:val="en-GB"/>
        </w:rPr>
        <w:t>printing</w:t>
      </w:r>
      <w:r w:rsidR="001C7C7E">
        <w:rPr>
          <w:color w:val="000000"/>
          <w:lang w:val="en-GB"/>
        </w:rPr>
        <w:t xml:space="preserve"> </w:t>
      </w:r>
      <w:r w:rsidRPr="008C5A7A">
        <w:rPr>
          <w:color w:val="000000"/>
          <w:lang w:val="en-GB"/>
        </w:rPr>
        <w:t>(3DP)</w:t>
      </w:r>
      <w:r w:rsidR="001C7C7E">
        <w:rPr>
          <w:color w:val="000000"/>
          <w:lang w:val="en-GB"/>
        </w:rPr>
        <w:t xml:space="preserve"> </w:t>
      </w:r>
      <w:r w:rsidRPr="008C5A7A">
        <w:rPr>
          <w:color w:val="000000"/>
          <w:lang w:val="en-GB"/>
        </w:rPr>
        <w:t>further:</w:t>
      </w:r>
      <w:r w:rsidR="001C7C7E">
        <w:rPr>
          <w:color w:val="000000"/>
          <w:lang w:val="en-GB"/>
        </w:rPr>
        <w:t xml:space="preserve"> </w:t>
      </w:r>
      <w:r w:rsidRPr="008C5A7A">
        <w:rPr>
          <w:color w:val="000000"/>
          <w:lang w:val="en-GB"/>
        </w:rPr>
        <w:t>we</w:t>
      </w:r>
      <w:r w:rsidR="001C7C7E">
        <w:rPr>
          <w:color w:val="000000"/>
          <w:lang w:val="en-GB"/>
        </w:rPr>
        <w:t xml:space="preserve"> </w:t>
      </w:r>
      <w:r w:rsidRPr="008C5A7A">
        <w:rPr>
          <w:color w:val="000000"/>
          <w:lang w:val="en-GB"/>
        </w:rPr>
        <w:t>visited</w:t>
      </w:r>
      <w:r w:rsidR="001C7C7E">
        <w:rPr>
          <w:color w:val="000000"/>
          <w:lang w:val="en-GB"/>
        </w:rPr>
        <w:t xml:space="preserve"> </w:t>
      </w:r>
      <w:r w:rsidRPr="008C5A7A">
        <w:rPr>
          <w:color w:val="000000"/>
          <w:lang w:val="en-GB"/>
        </w:rPr>
        <w:t>an</w:t>
      </w:r>
      <w:r w:rsidR="001C7C7E">
        <w:rPr>
          <w:color w:val="000000"/>
          <w:lang w:val="en-GB"/>
        </w:rPr>
        <w:t xml:space="preserve"> </w:t>
      </w:r>
      <w:r w:rsidRPr="008C5A7A">
        <w:rPr>
          <w:color w:val="000000"/>
          <w:lang w:val="en-GB"/>
        </w:rPr>
        <w:t>exhibition</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Future</w:t>
      </w:r>
      <w:r w:rsidR="001C7C7E">
        <w:rPr>
          <w:color w:val="000000"/>
          <w:lang w:val="en-GB"/>
        </w:rPr>
        <w:t xml:space="preserve"> </w:t>
      </w:r>
      <w:r w:rsidRPr="008C5A7A">
        <w:rPr>
          <w:color w:val="000000"/>
          <w:lang w:val="en-GB"/>
        </w:rPr>
        <w:t>is</w:t>
      </w:r>
      <w:r w:rsidR="001C7C7E">
        <w:rPr>
          <w:color w:val="000000"/>
          <w:lang w:val="en-GB"/>
        </w:rPr>
        <w:t xml:space="preserve"> </w:t>
      </w:r>
      <w:r w:rsidRPr="008C5A7A">
        <w:rPr>
          <w:color w:val="000000"/>
          <w:lang w:val="en-GB"/>
        </w:rPr>
        <w:t>Here</w:t>
      </w:r>
      <w:r w:rsidR="001C7C7E">
        <w:rPr>
          <w:color w:val="000000"/>
          <w:lang w:val="en-GB"/>
        </w:rPr>
        <w:t>”</w:t>
      </w:r>
      <w:r w:rsidRPr="008C5A7A">
        <w:rPr>
          <w:color w:val="000000"/>
          <w:lang w:val="en-GB"/>
        </w:rPr>
        <w:t>,</w:t>
      </w:r>
      <w:r w:rsidR="001C7C7E">
        <w:rPr>
          <w:color w:val="000000"/>
          <w:lang w:val="en-GB"/>
        </w:rPr>
        <w:t xml:space="preserve"> </w:t>
      </w:r>
      <w:r w:rsidRPr="008C5A7A">
        <w:rPr>
          <w:color w:val="000000"/>
          <w:lang w:val="en-GB"/>
        </w:rPr>
        <w:t>met</w:t>
      </w:r>
      <w:r w:rsidR="001C7C7E">
        <w:rPr>
          <w:color w:val="000000"/>
          <w:lang w:val="en-GB"/>
        </w:rPr>
        <w:t xml:space="preserve"> </w:t>
      </w:r>
      <w:r w:rsidRPr="008C5A7A">
        <w:rPr>
          <w:color w:val="000000"/>
          <w:lang w:val="en-GB"/>
        </w:rPr>
        <w:t>with</w:t>
      </w:r>
      <w:r w:rsidR="001C7C7E">
        <w:rPr>
          <w:color w:val="000000"/>
          <w:lang w:val="en-GB"/>
        </w:rPr>
        <w:t xml:space="preserve"> </w:t>
      </w:r>
      <w:r w:rsidRPr="008C5A7A">
        <w:rPr>
          <w:color w:val="000000"/>
          <w:lang w:val="en-GB"/>
        </w:rPr>
        <w:t>3DP</w:t>
      </w:r>
      <w:r w:rsidR="001C7C7E">
        <w:rPr>
          <w:color w:val="000000"/>
          <w:lang w:val="en-GB"/>
        </w:rPr>
        <w:t xml:space="preserve"> </w:t>
      </w:r>
      <w:r w:rsidRPr="008C5A7A">
        <w:rPr>
          <w:color w:val="000000"/>
          <w:lang w:val="en-GB"/>
        </w:rPr>
        <w:t>entrepreneur</w:t>
      </w:r>
      <w:r w:rsidR="001C7C7E">
        <w:rPr>
          <w:color w:val="000000"/>
          <w:lang w:val="en-GB"/>
        </w:rPr>
        <w:t xml:space="preserve"> </w:t>
      </w:r>
      <w:r w:rsidRPr="008C5A7A">
        <w:rPr>
          <w:color w:val="000000"/>
          <w:lang w:val="en-GB"/>
        </w:rPr>
        <w:t>Sylvain</w:t>
      </w:r>
      <w:r w:rsidR="001C7C7E">
        <w:rPr>
          <w:color w:val="000000"/>
          <w:lang w:val="en-GB"/>
        </w:rPr>
        <w:t xml:space="preserve"> </w:t>
      </w:r>
      <w:r w:rsidRPr="008C5A7A">
        <w:rPr>
          <w:color w:val="000000"/>
          <w:lang w:val="en-GB"/>
        </w:rPr>
        <w:t>Preumont</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went</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his</w:t>
      </w:r>
      <w:r w:rsidR="001C7C7E">
        <w:rPr>
          <w:color w:val="000000"/>
          <w:lang w:val="en-GB"/>
        </w:rPr>
        <w:t xml:space="preserve"> </w:t>
      </w:r>
      <w:r w:rsidRPr="008C5A7A">
        <w:rPr>
          <w:color w:val="000000"/>
          <w:lang w:val="en-GB"/>
        </w:rPr>
        <w:t>3DP</w:t>
      </w:r>
      <w:r w:rsidR="001C7C7E">
        <w:rPr>
          <w:color w:val="000000"/>
          <w:lang w:val="en-GB"/>
        </w:rPr>
        <w:t xml:space="preserve"> </w:t>
      </w:r>
      <w:r w:rsidRPr="008C5A7A">
        <w:rPr>
          <w:color w:val="000000"/>
          <w:lang w:val="en-GB"/>
        </w:rPr>
        <w:t>shop</w:t>
      </w:r>
      <w:r w:rsidR="001C7C7E">
        <w:rPr>
          <w:color w:val="000000"/>
          <w:lang w:val="en-GB"/>
        </w:rPr>
        <w:t xml:space="preserve"> </w:t>
      </w:r>
      <w:r w:rsidRPr="008C5A7A">
        <w:rPr>
          <w:color w:val="000000"/>
          <w:lang w:val="en-GB"/>
        </w:rPr>
        <w:t>iMakr,</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conclude:</w:t>
      </w:r>
      <w:r w:rsidR="001C7C7E">
        <w:rPr>
          <w:color w:val="000000"/>
          <w:lang w:val="en-GB"/>
        </w:rPr>
        <w:t xml:space="preserve"> </w:t>
      </w:r>
      <w:r w:rsidRPr="008C5A7A">
        <w:rPr>
          <w:color w:val="000000"/>
          <w:lang w:val="en-GB"/>
        </w:rPr>
        <w:t>3DP</w:t>
      </w:r>
      <w:r w:rsidR="001C7C7E">
        <w:rPr>
          <w:color w:val="000000"/>
          <w:lang w:val="en-GB"/>
        </w:rPr>
        <w:t xml:space="preserve"> </w:t>
      </w:r>
      <w:r w:rsidRPr="008C5A7A">
        <w:rPr>
          <w:color w:val="000000"/>
          <w:lang w:val="en-GB"/>
        </w:rPr>
        <w:t>is</w:t>
      </w:r>
      <w:r w:rsidR="001C7C7E">
        <w:rPr>
          <w:color w:val="000000"/>
          <w:lang w:val="en-GB"/>
        </w:rPr>
        <w:t xml:space="preserve"> </w:t>
      </w:r>
      <w:r w:rsidRPr="008C5A7A">
        <w:rPr>
          <w:color w:val="000000"/>
          <w:lang w:val="en-GB"/>
        </w:rPr>
        <w:t>a</w:t>
      </w:r>
      <w:r w:rsidR="001C7C7E">
        <w:rPr>
          <w:color w:val="000000"/>
          <w:lang w:val="en-GB"/>
        </w:rPr>
        <w:t xml:space="preserve"> </w:t>
      </w:r>
      <w:r w:rsidRPr="008C5A7A">
        <w:rPr>
          <w:color w:val="000000"/>
          <w:lang w:val="en-GB"/>
        </w:rPr>
        <w:t>trend</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watch.</w:t>
      </w:r>
      <w:r w:rsidR="001C7C7E">
        <w:rPr>
          <w:color w:val="000000"/>
          <w:lang w:val="en-GB"/>
        </w:rPr>
        <w:t xml:space="preserve"> </w:t>
      </w:r>
      <w:r w:rsidRPr="008C5A7A">
        <w:rPr>
          <w:color w:val="000000"/>
          <w:lang w:val="en-GB"/>
        </w:rPr>
        <w:t>Near</w:t>
      </w:r>
      <w:r w:rsidR="001C7C7E">
        <w:rPr>
          <w:color w:val="000000"/>
          <w:lang w:val="en-GB"/>
        </w:rPr>
        <w:t xml:space="preserve"> </w:t>
      </w:r>
      <w:r w:rsidRPr="008C5A7A">
        <w:rPr>
          <w:color w:val="000000"/>
          <w:lang w:val="en-GB"/>
        </w:rPr>
        <w:t>term,</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impact</w:t>
      </w:r>
      <w:r w:rsidR="001C7C7E">
        <w:rPr>
          <w:color w:val="000000"/>
          <w:lang w:val="en-GB"/>
        </w:rPr>
        <w:t xml:space="preserve"> </w:t>
      </w:r>
      <w:r w:rsidRPr="008C5A7A">
        <w:rPr>
          <w:color w:val="000000"/>
          <w:lang w:val="en-GB"/>
        </w:rPr>
        <w:t>is</w:t>
      </w:r>
      <w:r w:rsidR="001C7C7E">
        <w:rPr>
          <w:color w:val="000000"/>
          <w:lang w:val="en-GB"/>
        </w:rPr>
        <w:t xml:space="preserve"> </w:t>
      </w:r>
      <w:r w:rsidRPr="008C5A7A">
        <w:rPr>
          <w:color w:val="000000"/>
          <w:lang w:val="en-GB"/>
        </w:rPr>
        <w:t>limited</w:t>
      </w:r>
      <w:r w:rsidR="001C7C7E">
        <w:rPr>
          <w:color w:val="000000"/>
          <w:lang w:val="en-GB"/>
        </w:rPr>
        <w:t xml:space="preserve"> </w:t>
      </w:r>
      <w:r w:rsidRPr="008C5A7A">
        <w:rPr>
          <w:color w:val="000000"/>
          <w:lang w:val="en-GB"/>
        </w:rPr>
        <w:t>(maybe</w:t>
      </w:r>
      <w:r w:rsidR="001C7C7E">
        <w:rPr>
          <w:color w:val="000000"/>
          <w:lang w:val="en-GB"/>
        </w:rPr>
        <w:t xml:space="preserve"> </w:t>
      </w:r>
      <w:r w:rsidRPr="008C5A7A">
        <w:rPr>
          <w:color w:val="000000"/>
          <w:lang w:val="en-GB"/>
        </w:rPr>
        <w:t>even</w:t>
      </w:r>
      <w:r w:rsidR="001C7C7E">
        <w:rPr>
          <w:color w:val="000000"/>
          <w:lang w:val="en-GB"/>
        </w:rPr>
        <w:t xml:space="preserve"> </w:t>
      </w:r>
      <w:r w:rsidRPr="008C5A7A">
        <w:rPr>
          <w:color w:val="000000"/>
          <w:lang w:val="en-GB"/>
        </w:rPr>
        <w:t>over-hyped),</w:t>
      </w:r>
      <w:r w:rsidR="001C7C7E">
        <w:rPr>
          <w:color w:val="000000"/>
          <w:lang w:val="en-GB"/>
        </w:rPr>
        <w:t xml:space="preserve"> </w:t>
      </w:r>
      <w:r w:rsidRPr="008C5A7A">
        <w:rPr>
          <w:color w:val="000000"/>
          <w:lang w:val="en-GB"/>
        </w:rPr>
        <w:t>but</w:t>
      </w:r>
      <w:r w:rsidR="001C7C7E">
        <w:rPr>
          <w:color w:val="000000"/>
          <w:lang w:val="en-GB"/>
        </w:rPr>
        <w:t xml:space="preserve"> </w:t>
      </w:r>
      <w:r w:rsidRPr="008C5A7A">
        <w:rPr>
          <w:color w:val="000000"/>
          <w:lang w:val="en-GB"/>
        </w:rPr>
        <w:t>mall</w:t>
      </w:r>
      <w:r w:rsidR="001C7C7E">
        <w:rPr>
          <w:color w:val="000000"/>
          <w:lang w:val="en-GB"/>
        </w:rPr>
        <w:t xml:space="preserve"> </w:t>
      </w:r>
      <w:r w:rsidRPr="008C5A7A">
        <w:rPr>
          <w:color w:val="000000"/>
          <w:lang w:val="en-GB"/>
        </w:rPr>
        <w:t>operators</w:t>
      </w:r>
      <w:r w:rsidR="001C7C7E">
        <w:rPr>
          <w:color w:val="000000"/>
          <w:lang w:val="en-GB"/>
        </w:rPr>
        <w:t xml:space="preserve"> </w:t>
      </w:r>
      <w:r w:rsidRPr="008C5A7A">
        <w:rPr>
          <w:color w:val="000000"/>
          <w:lang w:val="en-GB"/>
        </w:rPr>
        <w:t>should</w:t>
      </w:r>
      <w:r w:rsidR="001C7C7E">
        <w:rPr>
          <w:color w:val="000000"/>
          <w:lang w:val="en-GB"/>
        </w:rPr>
        <w:t xml:space="preserve"> </w:t>
      </w:r>
      <w:r w:rsidRPr="008C5A7A">
        <w:rPr>
          <w:color w:val="000000"/>
          <w:lang w:val="en-GB"/>
        </w:rPr>
        <w:t>lure</w:t>
      </w:r>
      <w:r w:rsidR="001C7C7E">
        <w:rPr>
          <w:color w:val="000000"/>
          <w:lang w:val="en-GB"/>
        </w:rPr>
        <w:t xml:space="preserve"> </w:t>
      </w:r>
      <w:r w:rsidRPr="008C5A7A">
        <w:rPr>
          <w:color w:val="000000"/>
          <w:lang w:val="en-GB"/>
        </w:rPr>
        <w:t>3DP</w:t>
      </w:r>
      <w:r w:rsidR="001C7C7E">
        <w:rPr>
          <w:color w:val="000000"/>
          <w:lang w:val="en-GB"/>
        </w:rPr>
        <w:t xml:space="preserve"> </w:t>
      </w:r>
      <w:r w:rsidRPr="008C5A7A">
        <w:rPr>
          <w:color w:val="000000"/>
          <w:lang w:val="en-GB"/>
        </w:rPr>
        <w:t>store</w:t>
      </w:r>
      <w:r w:rsidR="001C7C7E">
        <w:rPr>
          <w:color w:val="000000"/>
          <w:lang w:val="en-GB"/>
        </w:rPr>
        <w:t xml:space="preserve"> </w:t>
      </w:r>
      <w:r w:rsidRPr="008C5A7A">
        <w:rPr>
          <w:color w:val="000000"/>
          <w:lang w:val="en-GB"/>
        </w:rPr>
        <w:t>tenants</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focus</w:t>
      </w:r>
      <w:r w:rsidR="001C7C7E">
        <w:rPr>
          <w:color w:val="000000"/>
          <w:lang w:val="en-GB"/>
        </w:rPr>
        <w:t xml:space="preserve"> </w:t>
      </w:r>
      <w:r w:rsidRPr="008C5A7A">
        <w:rPr>
          <w:color w:val="000000"/>
          <w:lang w:val="en-GB"/>
        </w:rPr>
        <w:t>even</w:t>
      </w:r>
      <w:r w:rsidR="001C7C7E">
        <w:rPr>
          <w:color w:val="000000"/>
          <w:lang w:val="en-GB"/>
        </w:rPr>
        <w:t xml:space="preserve"> </w:t>
      </w:r>
      <w:r w:rsidRPr="008C5A7A">
        <w:rPr>
          <w:color w:val="000000"/>
          <w:lang w:val="en-GB"/>
        </w:rPr>
        <w:t>more</w:t>
      </w:r>
      <w:r w:rsidR="001C7C7E">
        <w:rPr>
          <w:color w:val="000000"/>
          <w:lang w:val="en-GB"/>
        </w:rPr>
        <w:t xml:space="preserve"> </w:t>
      </w:r>
      <w:r w:rsidRPr="008C5A7A">
        <w:rPr>
          <w:color w:val="000000"/>
          <w:lang w:val="en-GB"/>
        </w:rPr>
        <w:t>on</w:t>
      </w:r>
      <w:r w:rsidR="001C7C7E">
        <w:rPr>
          <w:color w:val="000000"/>
          <w:lang w:val="en-GB"/>
        </w:rPr>
        <w:t xml:space="preserve"> </w:t>
      </w:r>
      <w:r w:rsidRPr="008C5A7A">
        <w:rPr>
          <w:color w:val="000000"/>
          <w:lang w:val="en-GB"/>
        </w:rPr>
        <w:t>leisure/experience,</w:t>
      </w:r>
      <w:r w:rsidR="001C7C7E">
        <w:rPr>
          <w:color w:val="000000"/>
          <w:lang w:val="en-GB"/>
        </w:rPr>
        <w:t xml:space="preserve"> </w:t>
      </w:r>
      <w:r w:rsidRPr="008C5A7A">
        <w:rPr>
          <w:color w:val="000000"/>
          <w:lang w:val="en-GB"/>
        </w:rPr>
        <w:t>as</w:t>
      </w:r>
      <w:r w:rsidR="001C7C7E">
        <w:rPr>
          <w:color w:val="000000"/>
          <w:lang w:val="en-GB"/>
        </w:rPr>
        <w:t xml:space="preserve"> </w:t>
      </w:r>
      <w:r w:rsidRPr="008C5A7A">
        <w:rPr>
          <w:color w:val="000000"/>
          <w:lang w:val="en-GB"/>
        </w:rPr>
        <w:t>3DP</w:t>
      </w:r>
      <w:r w:rsidR="001C7C7E">
        <w:rPr>
          <w:color w:val="000000"/>
          <w:lang w:val="en-GB"/>
        </w:rPr>
        <w:t xml:space="preserve"> </w:t>
      </w:r>
      <w:r w:rsidRPr="008C5A7A">
        <w:rPr>
          <w:color w:val="000000"/>
          <w:lang w:val="en-GB"/>
        </w:rPr>
        <w:t>may</w:t>
      </w:r>
      <w:r w:rsidR="001C7C7E">
        <w:rPr>
          <w:color w:val="000000"/>
          <w:lang w:val="en-GB"/>
        </w:rPr>
        <w:t xml:space="preserve"> </w:t>
      </w:r>
      <w:r w:rsidRPr="008C5A7A">
        <w:rPr>
          <w:color w:val="000000"/>
          <w:lang w:val="en-GB"/>
        </w:rPr>
        <w:t>lead</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a</w:t>
      </w:r>
      <w:r w:rsidR="001C7C7E">
        <w:rPr>
          <w:color w:val="000000"/>
          <w:lang w:val="en-GB"/>
        </w:rPr>
        <w:t xml:space="preserve"> </w:t>
      </w:r>
      <w:r w:rsidRPr="008C5A7A">
        <w:rPr>
          <w:color w:val="000000"/>
          <w:lang w:val="en-GB"/>
        </w:rPr>
        <w:t>high</w:t>
      </w:r>
      <w:r w:rsidR="001C7C7E">
        <w:rPr>
          <w:color w:val="000000"/>
          <w:lang w:val="en-GB"/>
        </w:rPr>
        <w:t xml:space="preserve"> </w:t>
      </w:r>
      <w:r w:rsidRPr="008C5A7A">
        <w:rPr>
          <w:color w:val="000000"/>
          <w:lang w:val="en-GB"/>
        </w:rPr>
        <w:t>street</w:t>
      </w:r>
      <w:r w:rsidR="001C7C7E">
        <w:rPr>
          <w:color w:val="000000"/>
          <w:lang w:val="en-GB"/>
        </w:rPr>
        <w:t xml:space="preserve"> </w:t>
      </w:r>
      <w:r w:rsidRPr="008C5A7A">
        <w:rPr>
          <w:color w:val="000000"/>
          <w:lang w:val="en-GB"/>
        </w:rPr>
        <w:t>revival.</w:t>
      </w:r>
      <w:r w:rsidR="001C7C7E">
        <w:rPr>
          <w:color w:val="000000"/>
          <w:lang w:val="en-GB"/>
        </w:rPr>
        <w:t xml:space="preserve"> </w:t>
      </w:r>
      <w:r w:rsidRPr="008C5A7A">
        <w:rPr>
          <w:color w:val="000000"/>
          <w:lang w:val="en-GB"/>
        </w:rPr>
        <w:t>It</w:t>
      </w:r>
      <w:r w:rsidR="001C7C7E">
        <w:rPr>
          <w:color w:val="000000"/>
          <w:lang w:val="en-GB"/>
        </w:rPr>
        <w:t xml:space="preserve"> </w:t>
      </w:r>
      <w:r w:rsidRPr="008C5A7A">
        <w:rPr>
          <w:color w:val="000000"/>
          <w:lang w:val="en-GB"/>
        </w:rPr>
        <w:t>will</w:t>
      </w:r>
      <w:r w:rsidR="001C7C7E">
        <w:rPr>
          <w:color w:val="000000"/>
          <w:lang w:val="en-GB"/>
        </w:rPr>
        <w:t xml:space="preserve"> </w:t>
      </w:r>
      <w:r w:rsidRPr="008C5A7A">
        <w:rPr>
          <w:color w:val="000000"/>
          <w:lang w:val="en-GB"/>
        </w:rPr>
        <w:t>also</w:t>
      </w:r>
      <w:r w:rsidR="001C7C7E">
        <w:rPr>
          <w:color w:val="000000"/>
          <w:lang w:val="en-GB"/>
        </w:rPr>
        <w:t xml:space="preserve"> </w:t>
      </w:r>
      <w:r w:rsidRPr="008C5A7A">
        <w:rPr>
          <w:color w:val="000000"/>
          <w:lang w:val="en-GB"/>
        </w:rPr>
        <w:t>be</w:t>
      </w:r>
      <w:r w:rsidR="001C7C7E">
        <w:rPr>
          <w:color w:val="000000"/>
          <w:lang w:val="en-GB"/>
        </w:rPr>
        <w:t xml:space="preserve"> </w:t>
      </w:r>
      <w:r w:rsidRPr="008C5A7A">
        <w:rPr>
          <w:color w:val="000000"/>
          <w:lang w:val="en-GB"/>
        </w:rPr>
        <w:t>positive</w:t>
      </w:r>
      <w:r w:rsidR="001C7C7E">
        <w:rPr>
          <w:color w:val="000000"/>
          <w:lang w:val="en-GB"/>
        </w:rPr>
        <w:t xml:space="preserve"> </w:t>
      </w:r>
      <w:r w:rsidRPr="008C5A7A">
        <w:rPr>
          <w:color w:val="000000"/>
          <w:lang w:val="en-GB"/>
        </w:rPr>
        <w:t>for</w:t>
      </w:r>
      <w:r w:rsidR="001C7C7E">
        <w:rPr>
          <w:color w:val="000000"/>
          <w:lang w:val="en-GB"/>
        </w:rPr>
        <w:t xml:space="preserve"> </w:t>
      </w:r>
      <w:r w:rsidRPr="008C5A7A">
        <w:rPr>
          <w:color w:val="000000"/>
          <w:lang w:val="en-GB"/>
        </w:rPr>
        <w:t>London</w:t>
      </w:r>
      <w:r w:rsidR="001C7C7E">
        <w:rPr>
          <w:color w:val="000000"/>
          <w:lang w:val="en-GB"/>
        </w:rPr>
        <w:t xml:space="preserve"> </w:t>
      </w:r>
      <w:r w:rsidRPr="008C5A7A">
        <w:rPr>
          <w:color w:val="000000"/>
          <w:lang w:val="en-GB"/>
        </w:rPr>
        <w:t>office</w:t>
      </w:r>
      <w:r w:rsidR="001C7C7E">
        <w:rPr>
          <w:color w:val="000000"/>
          <w:lang w:val="en-GB"/>
        </w:rPr>
        <w:t xml:space="preserve"> </w:t>
      </w:r>
      <w:r w:rsidRPr="008C5A7A">
        <w:rPr>
          <w:color w:val="000000"/>
          <w:lang w:val="en-GB"/>
        </w:rPr>
        <w:t>take-up</w:t>
      </w:r>
      <w:r w:rsidR="001C7C7E">
        <w:rPr>
          <w:color w:val="000000"/>
          <w:lang w:val="en-GB"/>
        </w:rPr>
        <w:t xml:space="preserve"> </w:t>
      </w:r>
      <w:r w:rsidRPr="008C5A7A">
        <w:rPr>
          <w:color w:val="000000"/>
          <w:lang w:val="en-GB"/>
        </w:rPr>
        <w:t>(TMT),</w:t>
      </w:r>
      <w:r w:rsidR="001C7C7E">
        <w:rPr>
          <w:color w:val="000000"/>
          <w:lang w:val="en-GB"/>
        </w:rPr>
        <w:t xml:space="preserve"> </w:t>
      </w:r>
      <w:r w:rsidRPr="008C5A7A">
        <w:rPr>
          <w:color w:val="000000"/>
          <w:lang w:val="en-GB"/>
        </w:rPr>
        <w:t>but</w:t>
      </w:r>
      <w:r w:rsidR="001C7C7E">
        <w:rPr>
          <w:color w:val="000000"/>
          <w:lang w:val="en-GB"/>
        </w:rPr>
        <w:t xml:space="preserve"> </w:t>
      </w:r>
      <w:r w:rsidRPr="008C5A7A">
        <w:rPr>
          <w:color w:val="000000"/>
          <w:lang w:val="en-GB"/>
        </w:rPr>
        <w:t>challenging</w:t>
      </w:r>
      <w:r w:rsidR="001C7C7E">
        <w:rPr>
          <w:color w:val="000000"/>
          <w:lang w:val="en-GB"/>
        </w:rPr>
        <w:t xml:space="preserve"> </w:t>
      </w:r>
      <w:r w:rsidRPr="008C5A7A">
        <w:rPr>
          <w:color w:val="000000"/>
          <w:lang w:val="en-GB"/>
        </w:rPr>
        <w:t>for</w:t>
      </w:r>
      <w:r w:rsidR="001C7C7E">
        <w:rPr>
          <w:color w:val="000000"/>
          <w:lang w:val="en-GB"/>
        </w:rPr>
        <w:t xml:space="preserve"> </w:t>
      </w:r>
      <w:r w:rsidRPr="008C5A7A">
        <w:rPr>
          <w:color w:val="000000"/>
          <w:lang w:val="en-GB"/>
        </w:rPr>
        <w:t>logistics</w:t>
      </w:r>
      <w:r w:rsidR="001C7C7E">
        <w:rPr>
          <w:color w:val="000000"/>
          <w:lang w:val="en-GB"/>
        </w:rPr>
        <w:t xml:space="preserve"> </w:t>
      </w:r>
      <w:r w:rsidRPr="008C5A7A">
        <w:rPr>
          <w:color w:val="000000"/>
          <w:lang w:val="en-GB"/>
        </w:rPr>
        <w:t>(LT).</w:t>
      </w:r>
      <w:r w:rsidR="001C7C7E">
        <w:rPr>
          <w:color w:val="000000"/>
          <w:lang w:val="en-GB"/>
        </w:rPr>
        <w:t xml:space="preserve"> </w:t>
      </w:r>
    </w:p>
    <w:p w:rsidR="002E187C" w:rsidRPr="008C5A7A" w:rsidRDefault="002E187C" w:rsidP="002E187C">
      <w:pPr>
        <w:pStyle w:val="FPBullet"/>
        <w:rPr>
          <w:b/>
          <w:bCs/>
          <w:i/>
          <w:iCs/>
          <w:lang w:val="en-GB"/>
        </w:rPr>
      </w:pPr>
      <w:r w:rsidRPr="008C5A7A">
        <w:rPr>
          <w:b/>
          <w:bCs/>
          <w:color w:val="000000"/>
          <w:lang w:val="en-GB"/>
        </w:rPr>
        <w:t>2013</w:t>
      </w:r>
      <w:r w:rsidR="001C7C7E">
        <w:rPr>
          <w:b/>
          <w:bCs/>
          <w:color w:val="000000"/>
          <w:lang w:val="en-GB"/>
        </w:rPr>
        <w:t xml:space="preserve"> </w:t>
      </w:r>
      <w:r w:rsidRPr="008C5A7A">
        <w:rPr>
          <w:b/>
          <w:bCs/>
          <w:color w:val="000000"/>
          <w:lang w:val="en-GB"/>
        </w:rPr>
        <w:t>PROPERTY</w:t>
      </w:r>
      <w:r w:rsidR="001C7C7E">
        <w:rPr>
          <w:b/>
          <w:bCs/>
          <w:color w:val="000000"/>
          <w:lang w:val="en-GB"/>
        </w:rPr>
        <w:t xml:space="preserve"> </w:t>
      </w:r>
      <w:r w:rsidRPr="008C5A7A">
        <w:rPr>
          <w:b/>
          <w:bCs/>
          <w:color w:val="000000"/>
          <w:lang w:val="en-GB"/>
        </w:rPr>
        <w:t>HANDBOOK!</w:t>
      </w:r>
      <w:r w:rsidR="001C7C7E">
        <w:rPr>
          <w:b/>
          <w:bCs/>
          <w:color w:val="000000"/>
          <w:lang w:val="en-GB"/>
        </w:rPr>
        <w:t xml:space="preserve"> </w:t>
      </w:r>
      <w:r w:rsidRPr="008C5A7A">
        <w:rPr>
          <w:b/>
          <w:bCs/>
          <w:color w:val="000000"/>
          <w:lang w:val="en-GB"/>
        </w:rPr>
        <w:t>The</w:t>
      </w:r>
      <w:r w:rsidR="001C7C7E">
        <w:rPr>
          <w:b/>
          <w:bCs/>
          <w:color w:val="000000"/>
          <w:lang w:val="en-GB"/>
        </w:rPr>
        <w:t xml:space="preserve"> </w:t>
      </w:r>
      <w:r w:rsidRPr="008C5A7A">
        <w:rPr>
          <w:b/>
          <w:bCs/>
          <w:color w:val="000000"/>
          <w:lang w:val="en-GB"/>
        </w:rPr>
        <w:t>Great</w:t>
      </w:r>
      <w:r w:rsidR="001C7C7E">
        <w:rPr>
          <w:b/>
          <w:bCs/>
          <w:color w:val="000000"/>
          <w:lang w:val="en-GB"/>
        </w:rPr>
        <w:t xml:space="preserve"> </w:t>
      </w:r>
      <w:r w:rsidRPr="008C5A7A">
        <w:rPr>
          <w:b/>
          <w:bCs/>
          <w:color w:val="000000"/>
          <w:lang w:val="en-GB"/>
        </w:rPr>
        <w:t>Rotation</w:t>
      </w:r>
      <w:r w:rsidRPr="008C5A7A">
        <w:rPr>
          <w:color w:val="000000"/>
          <w:lang w:val="en-GB"/>
        </w:rPr>
        <w:t>.</w:t>
      </w:r>
      <w:r w:rsidR="001C7C7E">
        <w:rPr>
          <w:color w:val="000000"/>
          <w:lang w:val="en-GB"/>
        </w:rPr>
        <w:t xml:space="preserve"> </w:t>
      </w:r>
      <w:r w:rsidRPr="008C5A7A">
        <w:rPr>
          <w:color w:val="000000"/>
          <w:lang w:val="en-GB"/>
        </w:rPr>
        <w:t>We</w:t>
      </w:r>
      <w:r w:rsidR="001C7C7E">
        <w:rPr>
          <w:color w:val="000000"/>
          <w:lang w:val="en-GB"/>
        </w:rPr>
        <w:t xml:space="preserve"> </w:t>
      </w:r>
      <w:r w:rsidRPr="008C5A7A">
        <w:rPr>
          <w:color w:val="000000"/>
          <w:lang w:val="en-GB"/>
        </w:rPr>
        <w:t>are</w:t>
      </w:r>
      <w:r w:rsidR="001C7C7E">
        <w:rPr>
          <w:color w:val="000000"/>
          <w:lang w:val="en-GB"/>
        </w:rPr>
        <w:t xml:space="preserve"> </w:t>
      </w:r>
      <w:r w:rsidRPr="008C5A7A">
        <w:rPr>
          <w:color w:val="000000"/>
          <w:lang w:val="en-GB"/>
        </w:rPr>
        <w:t>pleased</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present</w:t>
      </w:r>
      <w:r w:rsidR="001C7C7E">
        <w:rPr>
          <w:color w:val="000000"/>
          <w:lang w:val="en-GB"/>
        </w:rPr>
        <w:t xml:space="preserve"> </w:t>
      </w:r>
      <w:r w:rsidRPr="008C5A7A">
        <w:rPr>
          <w:color w:val="000000"/>
          <w:lang w:val="en-GB"/>
        </w:rPr>
        <w:t>our</w:t>
      </w:r>
      <w:r w:rsidR="001C7C7E">
        <w:rPr>
          <w:color w:val="000000"/>
          <w:lang w:val="en-GB"/>
        </w:rPr>
        <w:t xml:space="preserve"> </w:t>
      </w:r>
      <w:r w:rsidRPr="008C5A7A">
        <w:rPr>
          <w:color w:val="000000"/>
          <w:lang w:val="en-GB"/>
        </w:rPr>
        <w:t>7th</w:t>
      </w:r>
      <w:r w:rsidR="001C7C7E">
        <w:rPr>
          <w:color w:val="000000"/>
          <w:lang w:val="en-GB"/>
        </w:rPr>
        <w:t xml:space="preserve"> </w:t>
      </w:r>
      <w:r w:rsidRPr="008C5A7A">
        <w:rPr>
          <w:color w:val="000000"/>
          <w:lang w:val="en-GB"/>
        </w:rPr>
        <w:t>handbook.</w:t>
      </w:r>
      <w:r w:rsidR="001C7C7E">
        <w:rPr>
          <w:color w:val="000000"/>
          <w:lang w:val="en-GB"/>
        </w:rPr>
        <w:t xml:space="preserve"> </w:t>
      </w:r>
      <w:r w:rsidRPr="008C5A7A">
        <w:rPr>
          <w:color w:val="000000"/>
          <w:lang w:val="en-GB"/>
        </w:rPr>
        <w:t>Since</w:t>
      </w:r>
      <w:r w:rsidR="001C7C7E">
        <w:rPr>
          <w:color w:val="000000"/>
          <w:lang w:val="en-GB"/>
        </w:rPr>
        <w:t xml:space="preserve"> </w:t>
      </w:r>
      <w:r w:rsidRPr="008C5A7A">
        <w:rPr>
          <w:color w:val="000000"/>
          <w:lang w:val="en-GB"/>
        </w:rPr>
        <w:t>Mar-09,</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EPRA</w:t>
      </w:r>
      <w:r w:rsidR="001C7C7E">
        <w:rPr>
          <w:color w:val="000000"/>
          <w:lang w:val="en-GB"/>
        </w:rPr>
        <w:t xml:space="preserve"> </w:t>
      </w:r>
      <w:r w:rsidRPr="008C5A7A">
        <w:rPr>
          <w:color w:val="000000"/>
          <w:lang w:val="en-GB"/>
        </w:rPr>
        <w:t>Europe</w:t>
      </w:r>
      <w:r w:rsidR="001C7C7E">
        <w:rPr>
          <w:color w:val="000000"/>
          <w:lang w:val="en-GB"/>
        </w:rPr>
        <w:t xml:space="preserve"> </w:t>
      </w:r>
      <w:r w:rsidRPr="008C5A7A">
        <w:rPr>
          <w:color w:val="000000"/>
          <w:lang w:val="en-GB"/>
        </w:rPr>
        <w:t>has</w:t>
      </w:r>
      <w:r w:rsidR="001C7C7E">
        <w:rPr>
          <w:color w:val="000000"/>
          <w:lang w:val="en-GB"/>
        </w:rPr>
        <w:t xml:space="preserve"> </w:t>
      </w:r>
      <w:r w:rsidRPr="008C5A7A">
        <w:rPr>
          <w:color w:val="000000"/>
          <w:lang w:val="en-GB"/>
        </w:rPr>
        <w:t>returned</w:t>
      </w:r>
      <w:r w:rsidR="001C7C7E">
        <w:rPr>
          <w:color w:val="000000"/>
          <w:lang w:val="en-GB"/>
        </w:rPr>
        <w:t xml:space="preserve"> </w:t>
      </w:r>
      <w:r w:rsidRPr="008C5A7A">
        <w:rPr>
          <w:color w:val="000000"/>
          <w:lang w:val="en-GB"/>
        </w:rPr>
        <w:t>163%</w:t>
      </w:r>
      <w:r w:rsidR="001C7C7E">
        <w:rPr>
          <w:color w:val="000000"/>
          <w:lang w:val="en-GB"/>
        </w:rPr>
        <w:t xml:space="preserve"> </w:t>
      </w:r>
      <w:r w:rsidRPr="008C5A7A">
        <w:rPr>
          <w:color w:val="000000"/>
          <w:lang w:val="en-GB"/>
        </w:rPr>
        <w:t>(UK</w:t>
      </w:r>
      <w:r w:rsidR="001C7C7E">
        <w:rPr>
          <w:color w:val="000000"/>
          <w:lang w:val="en-GB"/>
        </w:rPr>
        <w:t xml:space="preserve"> </w:t>
      </w:r>
      <w:r w:rsidRPr="008C5A7A">
        <w:rPr>
          <w:color w:val="000000"/>
          <w:lang w:val="en-GB"/>
        </w:rPr>
        <w:t>187%).</w:t>
      </w:r>
      <w:r w:rsidR="001C7C7E">
        <w:rPr>
          <w:color w:val="000000"/>
          <w:lang w:val="en-GB"/>
        </w:rPr>
        <w:t xml:space="preserve"> </w:t>
      </w:r>
      <w:r w:rsidRPr="008C5A7A">
        <w:rPr>
          <w:color w:val="000000"/>
          <w:lang w:val="en-GB"/>
        </w:rPr>
        <w:t>We</w:t>
      </w:r>
      <w:r w:rsidR="001C7C7E">
        <w:rPr>
          <w:color w:val="000000"/>
          <w:lang w:val="en-GB"/>
        </w:rPr>
        <w:t xml:space="preserve"> </w:t>
      </w:r>
      <w:r w:rsidRPr="008C5A7A">
        <w:rPr>
          <w:color w:val="000000"/>
          <w:lang w:val="en-GB"/>
        </w:rPr>
        <w:t>see</w:t>
      </w:r>
      <w:r w:rsidR="001C7C7E">
        <w:rPr>
          <w:color w:val="000000"/>
          <w:lang w:val="en-GB"/>
        </w:rPr>
        <w:t xml:space="preserve"> </w:t>
      </w:r>
      <w:r w:rsidRPr="008C5A7A">
        <w:rPr>
          <w:color w:val="000000"/>
          <w:lang w:val="en-GB"/>
        </w:rPr>
        <w:t>15%</w:t>
      </w:r>
      <w:r w:rsidR="001C7C7E">
        <w:rPr>
          <w:color w:val="000000"/>
          <w:lang w:val="en-GB"/>
        </w:rPr>
        <w:t xml:space="preserve"> </w:t>
      </w:r>
      <w:r w:rsidRPr="008C5A7A">
        <w:rPr>
          <w:color w:val="000000"/>
          <w:lang w:val="en-GB"/>
        </w:rPr>
        <w:t>potential</w:t>
      </w:r>
      <w:r w:rsidR="001C7C7E">
        <w:rPr>
          <w:color w:val="000000"/>
          <w:lang w:val="en-GB"/>
        </w:rPr>
        <w:t xml:space="preserve"> </w:t>
      </w:r>
      <w:r w:rsidRPr="008C5A7A">
        <w:rPr>
          <w:color w:val="000000"/>
          <w:lang w:val="en-GB"/>
        </w:rPr>
        <w:t>upside</w:t>
      </w:r>
      <w:r w:rsidR="001C7C7E">
        <w:rPr>
          <w:color w:val="000000"/>
          <w:lang w:val="en-GB"/>
        </w:rPr>
        <w:t xml:space="preserve"> </w:t>
      </w:r>
      <w:r w:rsidRPr="008C5A7A">
        <w:rPr>
          <w:color w:val="000000"/>
          <w:lang w:val="en-GB"/>
        </w:rPr>
        <w:t>after</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recent</w:t>
      </w:r>
      <w:r w:rsidR="001C7C7E">
        <w:rPr>
          <w:color w:val="000000"/>
          <w:lang w:val="en-GB"/>
        </w:rPr>
        <w:t xml:space="preserve"> </w:t>
      </w:r>
      <w:r w:rsidRPr="008C5A7A">
        <w:rPr>
          <w:color w:val="000000"/>
          <w:lang w:val="en-GB"/>
        </w:rPr>
        <w:t>retreat,</w:t>
      </w:r>
      <w:r w:rsidR="001C7C7E">
        <w:rPr>
          <w:color w:val="000000"/>
          <w:lang w:val="en-GB"/>
        </w:rPr>
        <w:t xml:space="preserve"> </w:t>
      </w:r>
      <w:r w:rsidRPr="008C5A7A">
        <w:rPr>
          <w:color w:val="000000"/>
          <w:lang w:val="en-GB"/>
        </w:rPr>
        <w:t>but</w:t>
      </w:r>
      <w:r w:rsidR="001C7C7E">
        <w:rPr>
          <w:color w:val="000000"/>
          <w:lang w:val="en-GB"/>
        </w:rPr>
        <w:t xml:space="preserve"> </w:t>
      </w:r>
      <w:r w:rsidRPr="008C5A7A">
        <w:rPr>
          <w:color w:val="000000"/>
          <w:lang w:val="en-GB"/>
        </w:rPr>
        <w:t>expect</w:t>
      </w:r>
      <w:r w:rsidR="001C7C7E">
        <w:rPr>
          <w:color w:val="000000"/>
          <w:lang w:val="en-GB"/>
        </w:rPr>
        <w:t xml:space="preserve"> </w:t>
      </w:r>
      <w:r w:rsidRPr="008C5A7A">
        <w:rPr>
          <w:color w:val="000000"/>
          <w:lang w:val="en-GB"/>
        </w:rPr>
        <w:t>underlying</w:t>
      </w:r>
      <w:r w:rsidR="001C7C7E">
        <w:rPr>
          <w:color w:val="000000"/>
          <w:lang w:val="en-GB"/>
        </w:rPr>
        <w:t xml:space="preserve"> </w:t>
      </w:r>
      <w:r w:rsidRPr="008C5A7A">
        <w:rPr>
          <w:color w:val="000000"/>
          <w:lang w:val="en-GB"/>
        </w:rPr>
        <w:t>momentum</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slow.</w:t>
      </w:r>
      <w:r w:rsidR="001C7C7E">
        <w:rPr>
          <w:color w:val="000000"/>
          <w:lang w:val="en-GB"/>
        </w:rPr>
        <w:t xml:space="preserve"> </w:t>
      </w:r>
      <w:r w:rsidRPr="008C5A7A">
        <w:rPr>
          <w:color w:val="000000"/>
          <w:lang w:val="en-GB"/>
        </w:rPr>
        <w:t>Investment</w:t>
      </w:r>
      <w:r w:rsidR="001C7C7E">
        <w:rPr>
          <w:color w:val="000000"/>
          <w:lang w:val="en-GB"/>
        </w:rPr>
        <w:t xml:space="preserve"> </w:t>
      </w:r>
      <w:r w:rsidRPr="008C5A7A">
        <w:rPr>
          <w:color w:val="000000"/>
          <w:lang w:val="en-GB"/>
        </w:rPr>
        <w:t>themes</w:t>
      </w:r>
      <w:r w:rsidR="001C7C7E">
        <w:rPr>
          <w:color w:val="000000"/>
          <w:lang w:val="en-GB"/>
        </w:rPr>
        <w:t xml:space="preserve"> </w:t>
      </w:r>
      <w:r w:rsidRPr="008C5A7A">
        <w:rPr>
          <w:color w:val="000000"/>
          <w:lang w:val="en-GB"/>
        </w:rPr>
        <w:t>have</w:t>
      </w:r>
      <w:r w:rsidR="001C7C7E">
        <w:rPr>
          <w:color w:val="000000"/>
          <w:lang w:val="en-GB"/>
        </w:rPr>
        <w:t xml:space="preserve"> </w:t>
      </w:r>
      <w:r w:rsidRPr="008C5A7A">
        <w:rPr>
          <w:color w:val="000000"/>
          <w:lang w:val="en-GB"/>
        </w:rPr>
        <w:t>been:</w:t>
      </w:r>
      <w:r w:rsidR="001C7C7E">
        <w:rPr>
          <w:color w:val="000000"/>
          <w:lang w:val="en-GB"/>
        </w:rPr>
        <w:t xml:space="preserve"> </w:t>
      </w:r>
      <w:r w:rsidRPr="008C5A7A">
        <w:rPr>
          <w:color w:val="000000"/>
          <w:lang w:val="en-GB"/>
        </w:rPr>
        <w:t>prime</w:t>
      </w:r>
      <w:r w:rsidR="001C7C7E">
        <w:rPr>
          <w:color w:val="000000"/>
          <w:lang w:val="en-GB"/>
        </w:rPr>
        <w:t xml:space="preserve"> </w:t>
      </w:r>
      <w:r w:rsidRPr="008C5A7A">
        <w:rPr>
          <w:color w:val="000000"/>
          <w:lang w:val="en-GB"/>
        </w:rPr>
        <w:t>vs.</w:t>
      </w:r>
      <w:r w:rsidR="001C7C7E">
        <w:rPr>
          <w:color w:val="000000"/>
          <w:lang w:val="en-GB"/>
        </w:rPr>
        <w:t xml:space="preserve"> </w:t>
      </w:r>
      <w:r w:rsidRPr="008C5A7A">
        <w:rPr>
          <w:color w:val="000000"/>
          <w:lang w:val="en-GB"/>
        </w:rPr>
        <w:t>secondary,</w:t>
      </w:r>
      <w:r w:rsidR="001C7C7E">
        <w:rPr>
          <w:color w:val="000000"/>
          <w:lang w:val="en-GB"/>
        </w:rPr>
        <w:t xml:space="preserve"> </w:t>
      </w:r>
      <w:r w:rsidRPr="008C5A7A">
        <w:rPr>
          <w:color w:val="000000"/>
          <w:lang w:val="en-GB"/>
        </w:rPr>
        <w:t>sell</w:t>
      </w:r>
      <w:r w:rsidR="001C7C7E">
        <w:rPr>
          <w:color w:val="000000"/>
          <w:lang w:val="en-GB"/>
        </w:rPr>
        <w:t xml:space="preserve"> </w:t>
      </w:r>
      <w:r w:rsidRPr="008C5A7A">
        <w:rPr>
          <w:color w:val="000000"/>
          <w:lang w:val="en-GB"/>
        </w:rPr>
        <w:t>Spain</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continental</w:t>
      </w:r>
      <w:r w:rsidR="001C7C7E">
        <w:rPr>
          <w:color w:val="000000"/>
          <w:lang w:val="en-GB"/>
        </w:rPr>
        <w:t xml:space="preserve"> </w:t>
      </w:r>
      <w:r w:rsidRPr="008C5A7A">
        <w:rPr>
          <w:color w:val="000000"/>
          <w:lang w:val="en-GB"/>
        </w:rPr>
        <w:t>retail</w:t>
      </w:r>
      <w:r w:rsidR="001C7C7E">
        <w:rPr>
          <w:color w:val="000000"/>
          <w:lang w:val="en-GB"/>
        </w:rPr>
        <w:t xml:space="preserve"> </w:t>
      </w:r>
      <w:r w:rsidRPr="008C5A7A">
        <w:rPr>
          <w:color w:val="000000"/>
          <w:lang w:val="en-GB"/>
        </w:rPr>
        <w:t>vs.</w:t>
      </w:r>
      <w:r w:rsidR="001C7C7E">
        <w:rPr>
          <w:color w:val="000000"/>
          <w:lang w:val="en-GB"/>
        </w:rPr>
        <w:t xml:space="preserve"> </w:t>
      </w:r>
      <w:r w:rsidRPr="008C5A7A">
        <w:rPr>
          <w:color w:val="000000"/>
          <w:lang w:val="en-GB"/>
        </w:rPr>
        <w:t>UK.</w:t>
      </w:r>
      <w:r w:rsidR="001C7C7E">
        <w:rPr>
          <w:color w:val="000000"/>
          <w:lang w:val="en-GB"/>
        </w:rPr>
        <w:t xml:space="preserve"> </w:t>
      </w:r>
      <w:r w:rsidRPr="008C5A7A">
        <w:rPr>
          <w:color w:val="000000"/>
          <w:lang w:val="en-GB"/>
        </w:rPr>
        <w:t>It</w:t>
      </w:r>
      <w:r w:rsidR="001C7C7E">
        <w:rPr>
          <w:color w:val="000000"/>
          <w:lang w:val="en-GB"/>
        </w:rPr>
        <w:t xml:space="preserve"> </w:t>
      </w:r>
      <w:r w:rsidRPr="008C5A7A">
        <w:rPr>
          <w:color w:val="000000"/>
          <w:lang w:val="en-GB"/>
        </w:rPr>
        <w:t>is</w:t>
      </w:r>
      <w:r w:rsidR="001C7C7E">
        <w:rPr>
          <w:color w:val="000000"/>
          <w:lang w:val="en-GB"/>
        </w:rPr>
        <w:t xml:space="preserve"> </w:t>
      </w:r>
      <w:r w:rsidRPr="008C5A7A">
        <w:rPr>
          <w:color w:val="000000"/>
          <w:lang w:val="en-GB"/>
        </w:rPr>
        <w:t>time</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rotate</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other</w:t>
      </w:r>
      <w:r w:rsidR="001C7C7E">
        <w:rPr>
          <w:color w:val="000000"/>
          <w:lang w:val="en-GB"/>
        </w:rPr>
        <w:t xml:space="preserve"> </w:t>
      </w:r>
      <w:r w:rsidRPr="008C5A7A">
        <w:rPr>
          <w:color w:val="000000"/>
          <w:lang w:val="en-GB"/>
        </w:rPr>
        <w:t>side</w:t>
      </w:r>
      <w:r w:rsidR="001C7C7E">
        <w:rPr>
          <w:color w:val="000000"/>
          <w:lang w:val="en-GB"/>
        </w:rPr>
        <w:t xml:space="preserve"> </w:t>
      </w:r>
      <w:r w:rsidRPr="008C5A7A">
        <w:rPr>
          <w:color w:val="000000"/>
          <w:lang w:val="en-GB"/>
        </w:rPr>
        <w:t>of</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trade.</w:t>
      </w:r>
      <w:r w:rsidR="001C7C7E">
        <w:rPr>
          <w:color w:val="000000"/>
          <w:lang w:val="en-GB"/>
        </w:rPr>
        <w:t xml:space="preserve"> </w:t>
      </w:r>
      <w:r w:rsidRPr="008C5A7A">
        <w:rPr>
          <w:color w:val="000000"/>
          <w:lang w:val="en-GB"/>
        </w:rPr>
        <w:t>We</w:t>
      </w:r>
      <w:r w:rsidR="001C7C7E">
        <w:rPr>
          <w:color w:val="000000"/>
          <w:lang w:val="en-GB"/>
        </w:rPr>
        <w:t xml:space="preserve"> </w:t>
      </w:r>
      <w:r w:rsidRPr="008C5A7A">
        <w:rPr>
          <w:color w:val="000000"/>
          <w:lang w:val="en-GB"/>
        </w:rPr>
        <w:t>like</w:t>
      </w:r>
      <w:r w:rsidR="001C7C7E">
        <w:rPr>
          <w:color w:val="000000"/>
          <w:lang w:val="en-GB"/>
        </w:rPr>
        <w:t xml:space="preserve"> </w:t>
      </w:r>
      <w:r w:rsidRPr="008C5A7A">
        <w:rPr>
          <w:color w:val="000000"/>
          <w:lang w:val="en-GB"/>
        </w:rPr>
        <w:t>exposure</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infrastructure</w:t>
      </w:r>
      <w:r w:rsidR="001C7C7E">
        <w:rPr>
          <w:color w:val="000000"/>
          <w:lang w:val="en-GB"/>
        </w:rPr>
        <w:t xml:space="preserve"> </w:t>
      </w:r>
      <w:r w:rsidRPr="008C5A7A">
        <w:rPr>
          <w:color w:val="000000"/>
          <w:lang w:val="en-GB"/>
        </w:rPr>
        <w:t>projects,</w:t>
      </w:r>
      <w:r w:rsidR="001C7C7E">
        <w:rPr>
          <w:color w:val="000000"/>
          <w:lang w:val="en-GB"/>
        </w:rPr>
        <w:t xml:space="preserve"> </w:t>
      </w:r>
      <w:r w:rsidRPr="008C5A7A">
        <w:rPr>
          <w:color w:val="000000"/>
          <w:lang w:val="en-GB"/>
        </w:rPr>
        <w:t>industrial</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Spanish</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Dublin</w:t>
      </w:r>
      <w:r w:rsidR="001C7C7E">
        <w:rPr>
          <w:color w:val="000000"/>
          <w:lang w:val="en-GB"/>
        </w:rPr>
        <w:t xml:space="preserve"> </w:t>
      </w:r>
      <w:r w:rsidRPr="008C5A7A">
        <w:rPr>
          <w:color w:val="000000"/>
          <w:lang w:val="en-GB"/>
        </w:rPr>
        <w:t>offices,</w:t>
      </w:r>
      <w:r w:rsidR="001C7C7E">
        <w:rPr>
          <w:color w:val="000000"/>
          <w:lang w:val="en-GB"/>
        </w:rPr>
        <w:t xml:space="preserve"> </w:t>
      </w:r>
      <w:r w:rsidRPr="008C5A7A">
        <w:rPr>
          <w:color w:val="000000"/>
          <w:lang w:val="en-GB"/>
        </w:rPr>
        <w:t>but</w:t>
      </w:r>
      <w:r w:rsidR="001C7C7E">
        <w:rPr>
          <w:color w:val="000000"/>
          <w:lang w:val="en-GB"/>
        </w:rPr>
        <w:t xml:space="preserve"> </w:t>
      </w:r>
      <w:r w:rsidRPr="008C5A7A">
        <w:rPr>
          <w:color w:val="000000"/>
          <w:lang w:val="en-GB"/>
        </w:rPr>
        <w:t>expect</w:t>
      </w:r>
      <w:r w:rsidR="001C7C7E">
        <w:rPr>
          <w:color w:val="000000"/>
          <w:lang w:val="en-GB"/>
        </w:rPr>
        <w:t xml:space="preserve"> </w:t>
      </w:r>
      <w:r w:rsidRPr="008C5A7A">
        <w:rPr>
          <w:color w:val="000000"/>
          <w:lang w:val="en-GB"/>
        </w:rPr>
        <w:t>the</w:t>
      </w:r>
      <w:r w:rsidR="001C7C7E">
        <w:rPr>
          <w:color w:val="000000"/>
          <w:lang w:val="en-GB"/>
        </w:rPr>
        <w:t xml:space="preserve"> </w:t>
      </w:r>
      <w:r w:rsidRPr="008C5A7A">
        <w:rPr>
          <w:color w:val="000000"/>
          <w:lang w:val="en-GB"/>
        </w:rPr>
        <w:t>West</w:t>
      </w:r>
      <w:r w:rsidR="001C7C7E">
        <w:rPr>
          <w:color w:val="000000"/>
          <w:lang w:val="en-GB"/>
        </w:rPr>
        <w:t xml:space="preserve"> </w:t>
      </w:r>
      <w:r w:rsidRPr="008C5A7A">
        <w:rPr>
          <w:color w:val="000000"/>
          <w:lang w:val="en-GB"/>
        </w:rPr>
        <w:t>End</w:t>
      </w:r>
      <w:r w:rsidR="001C7C7E">
        <w:rPr>
          <w:color w:val="000000"/>
          <w:lang w:val="en-GB"/>
        </w:rPr>
        <w:t xml:space="preserve"> </w:t>
      </w:r>
      <w:r w:rsidRPr="008C5A7A">
        <w:rPr>
          <w:color w:val="000000"/>
          <w:lang w:val="en-GB"/>
        </w:rPr>
        <w:t>magic</w:t>
      </w:r>
      <w:r w:rsidR="001C7C7E">
        <w:rPr>
          <w:color w:val="000000"/>
          <w:lang w:val="en-GB"/>
        </w:rPr>
        <w:t xml:space="preserve"> </w:t>
      </w:r>
      <w:r w:rsidRPr="008C5A7A">
        <w:rPr>
          <w:color w:val="000000"/>
          <w:lang w:val="en-GB"/>
        </w:rPr>
        <w:t>to</w:t>
      </w:r>
      <w:r w:rsidR="001C7C7E">
        <w:rPr>
          <w:color w:val="000000"/>
          <w:lang w:val="en-GB"/>
        </w:rPr>
        <w:t xml:space="preserve"> </w:t>
      </w:r>
      <w:r w:rsidRPr="008C5A7A">
        <w:rPr>
          <w:color w:val="000000"/>
          <w:lang w:val="en-GB"/>
        </w:rPr>
        <w:t>fade</w:t>
      </w:r>
      <w:r w:rsidR="001C7C7E">
        <w:rPr>
          <w:color w:val="000000"/>
          <w:lang w:val="en-GB"/>
        </w:rPr>
        <w:t xml:space="preserve"> </w:t>
      </w:r>
      <w:r w:rsidRPr="008C5A7A">
        <w:rPr>
          <w:color w:val="000000"/>
          <w:lang w:val="en-GB"/>
        </w:rPr>
        <w:t>in</w:t>
      </w:r>
      <w:r w:rsidR="001C7C7E">
        <w:rPr>
          <w:color w:val="000000"/>
          <w:lang w:val="en-GB"/>
        </w:rPr>
        <w:t xml:space="preserve"> </w:t>
      </w:r>
      <w:r w:rsidRPr="008C5A7A">
        <w:rPr>
          <w:color w:val="000000"/>
          <w:lang w:val="en-GB"/>
        </w:rPr>
        <w:t>12m.</w:t>
      </w:r>
      <w:r w:rsidR="001C7C7E">
        <w:rPr>
          <w:color w:val="000000"/>
          <w:lang w:val="en-GB"/>
        </w:rPr>
        <w:t xml:space="preserve"> </w:t>
      </w:r>
      <w:r w:rsidRPr="008C5A7A">
        <w:rPr>
          <w:color w:val="000000"/>
          <w:lang w:val="en-GB"/>
        </w:rPr>
        <w:t>Over-renting</w:t>
      </w:r>
      <w:r w:rsidR="001C7C7E">
        <w:rPr>
          <w:color w:val="000000"/>
          <w:lang w:val="en-GB"/>
        </w:rPr>
        <w:t xml:space="preserve"> </w:t>
      </w:r>
      <w:r w:rsidRPr="008C5A7A">
        <w:rPr>
          <w:color w:val="000000"/>
          <w:lang w:val="en-GB"/>
        </w:rPr>
        <w:t>remains</w:t>
      </w:r>
      <w:r w:rsidR="001C7C7E">
        <w:rPr>
          <w:color w:val="000000"/>
          <w:lang w:val="en-GB"/>
        </w:rPr>
        <w:t xml:space="preserve"> </w:t>
      </w:r>
      <w:r w:rsidRPr="008C5A7A">
        <w:rPr>
          <w:color w:val="000000"/>
          <w:lang w:val="en-GB"/>
        </w:rPr>
        <w:t>an</w:t>
      </w:r>
      <w:r w:rsidR="001C7C7E">
        <w:rPr>
          <w:color w:val="000000"/>
          <w:lang w:val="en-GB"/>
        </w:rPr>
        <w:t xml:space="preserve"> </w:t>
      </w:r>
      <w:r w:rsidRPr="008C5A7A">
        <w:rPr>
          <w:color w:val="000000"/>
          <w:lang w:val="en-GB"/>
        </w:rPr>
        <w:t>issue</w:t>
      </w:r>
      <w:r w:rsidR="001C7C7E">
        <w:rPr>
          <w:color w:val="000000"/>
          <w:lang w:val="en-GB"/>
        </w:rPr>
        <w:t xml:space="preserve"> </w:t>
      </w:r>
      <w:r w:rsidRPr="008C5A7A">
        <w:rPr>
          <w:color w:val="000000"/>
          <w:lang w:val="en-GB"/>
        </w:rPr>
        <w:t>and</w:t>
      </w:r>
      <w:r w:rsidR="001C7C7E">
        <w:rPr>
          <w:color w:val="000000"/>
          <w:lang w:val="en-GB"/>
        </w:rPr>
        <w:t xml:space="preserve"> </w:t>
      </w:r>
      <w:r w:rsidRPr="008C5A7A">
        <w:rPr>
          <w:color w:val="000000"/>
          <w:lang w:val="en-GB"/>
        </w:rPr>
        <w:t>corporate</w:t>
      </w:r>
      <w:r w:rsidR="001C7C7E">
        <w:rPr>
          <w:color w:val="000000"/>
          <w:lang w:val="en-GB"/>
        </w:rPr>
        <w:t xml:space="preserve"> </w:t>
      </w:r>
      <w:r w:rsidRPr="008C5A7A">
        <w:rPr>
          <w:color w:val="000000"/>
          <w:lang w:val="en-GB"/>
        </w:rPr>
        <w:t>governance</w:t>
      </w:r>
      <w:r w:rsidR="001C7C7E">
        <w:rPr>
          <w:color w:val="000000"/>
          <w:lang w:val="en-GB"/>
        </w:rPr>
        <w:t xml:space="preserve"> </w:t>
      </w:r>
      <w:r w:rsidRPr="008C5A7A">
        <w:rPr>
          <w:color w:val="000000"/>
          <w:lang w:val="en-GB"/>
        </w:rPr>
        <w:t>matters.</w:t>
      </w:r>
      <w:r w:rsidR="001C7C7E">
        <w:rPr>
          <w:color w:val="000000"/>
          <w:szCs w:val="22"/>
          <w:lang w:val="en-GB"/>
        </w:rPr>
        <w:t xml:space="preserve"> </w:t>
      </w:r>
    </w:p>
    <w:p w:rsidR="00440DFC" w:rsidRPr="008C5A7A" w:rsidRDefault="002E187C" w:rsidP="00440DFC">
      <w:pPr>
        <w:pStyle w:val="FPBullet"/>
        <w:rPr>
          <w:b/>
          <w:bCs/>
          <w:i/>
          <w:iCs/>
          <w:lang w:val="en-GB"/>
        </w:rPr>
      </w:pPr>
      <w:r w:rsidRPr="008C5A7A">
        <w:rPr>
          <w:b/>
          <w:bCs/>
          <w:color w:val="000000"/>
          <w:szCs w:val="22"/>
          <w:lang w:val="en-GB"/>
        </w:rPr>
        <w:t>Don</w:t>
      </w:r>
      <w:r w:rsidR="001C7C7E">
        <w:rPr>
          <w:b/>
          <w:bCs/>
          <w:color w:val="000000"/>
          <w:szCs w:val="22"/>
          <w:lang w:val="en-GB"/>
        </w:rPr>
        <w:t>’</w:t>
      </w:r>
      <w:r w:rsidRPr="008C5A7A">
        <w:rPr>
          <w:b/>
          <w:bCs/>
          <w:color w:val="000000"/>
          <w:szCs w:val="22"/>
          <w:lang w:val="en-GB"/>
        </w:rPr>
        <w:t>t</w:t>
      </w:r>
      <w:r w:rsidR="001C7C7E">
        <w:rPr>
          <w:b/>
          <w:bCs/>
          <w:color w:val="000000"/>
          <w:szCs w:val="22"/>
          <w:lang w:val="en-GB"/>
        </w:rPr>
        <w:t xml:space="preserve"> </w:t>
      </w:r>
      <w:r w:rsidRPr="008C5A7A">
        <w:rPr>
          <w:b/>
          <w:bCs/>
          <w:color w:val="000000"/>
          <w:szCs w:val="22"/>
          <w:lang w:val="en-GB"/>
        </w:rPr>
        <w:t>have</w:t>
      </w:r>
      <w:r w:rsidR="001C7C7E">
        <w:rPr>
          <w:b/>
          <w:bCs/>
          <w:color w:val="000000"/>
          <w:szCs w:val="22"/>
          <w:lang w:val="en-GB"/>
        </w:rPr>
        <w:t xml:space="preserve"> </w:t>
      </w:r>
      <w:r w:rsidRPr="008C5A7A">
        <w:rPr>
          <w:b/>
          <w:bCs/>
          <w:color w:val="000000"/>
          <w:szCs w:val="22"/>
          <w:lang w:val="en-GB"/>
        </w:rPr>
        <w:t>time</w:t>
      </w:r>
      <w:r w:rsidR="001C7C7E">
        <w:rPr>
          <w:b/>
          <w:bCs/>
          <w:color w:val="000000"/>
          <w:szCs w:val="22"/>
          <w:lang w:val="en-GB"/>
        </w:rPr>
        <w:t xml:space="preserve"> </w:t>
      </w:r>
      <w:r w:rsidRPr="008C5A7A">
        <w:rPr>
          <w:b/>
          <w:bCs/>
          <w:color w:val="000000"/>
          <w:szCs w:val="22"/>
          <w:lang w:val="en-GB"/>
        </w:rPr>
        <w:t>to</w:t>
      </w:r>
      <w:r w:rsidR="001C7C7E">
        <w:rPr>
          <w:b/>
          <w:bCs/>
          <w:color w:val="000000"/>
          <w:szCs w:val="22"/>
          <w:lang w:val="en-GB"/>
        </w:rPr>
        <w:t xml:space="preserve"> </w:t>
      </w:r>
      <w:r w:rsidRPr="008C5A7A">
        <w:rPr>
          <w:b/>
          <w:bCs/>
          <w:color w:val="000000"/>
          <w:szCs w:val="22"/>
          <w:lang w:val="en-GB"/>
        </w:rPr>
        <w:t>read</w:t>
      </w:r>
      <w:r w:rsidR="001C7C7E">
        <w:rPr>
          <w:b/>
          <w:bCs/>
          <w:color w:val="000000"/>
          <w:szCs w:val="22"/>
          <w:lang w:val="en-GB"/>
        </w:rPr>
        <w:t xml:space="preserve"> </w:t>
      </w:r>
      <w:r w:rsidRPr="008C5A7A">
        <w:rPr>
          <w:b/>
          <w:bCs/>
          <w:color w:val="000000"/>
          <w:szCs w:val="22"/>
          <w:lang w:val="en-GB"/>
        </w:rPr>
        <w:t>all</w:t>
      </w:r>
      <w:r w:rsidR="001C7C7E">
        <w:rPr>
          <w:b/>
          <w:bCs/>
          <w:color w:val="000000"/>
          <w:szCs w:val="22"/>
          <w:lang w:val="en-GB"/>
        </w:rPr>
        <w:t xml:space="preserve"> </w:t>
      </w:r>
      <w:r w:rsidRPr="008C5A7A">
        <w:rPr>
          <w:b/>
          <w:bCs/>
          <w:color w:val="000000"/>
          <w:szCs w:val="22"/>
          <w:lang w:val="en-GB"/>
        </w:rPr>
        <w:t>460</w:t>
      </w:r>
      <w:r w:rsidR="001C7C7E">
        <w:rPr>
          <w:b/>
          <w:bCs/>
          <w:color w:val="000000"/>
          <w:szCs w:val="22"/>
          <w:lang w:val="en-GB"/>
        </w:rPr>
        <w:t xml:space="preserve"> </w:t>
      </w:r>
      <w:r w:rsidRPr="008C5A7A">
        <w:rPr>
          <w:b/>
          <w:bCs/>
          <w:color w:val="000000"/>
          <w:szCs w:val="22"/>
          <w:lang w:val="en-GB"/>
        </w:rPr>
        <w:t>pages</w:t>
      </w:r>
      <w:r w:rsidR="001C7C7E">
        <w:rPr>
          <w:b/>
          <w:bCs/>
          <w:color w:val="000000"/>
          <w:szCs w:val="22"/>
          <w:lang w:val="en-GB"/>
        </w:rPr>
        <w:t xml:space="preserve"> </w:t>
      </w:r>
      <w:r w:rsidRPr="008C5A7A">
        <w:rPr>
          <w:b/>
          <w:bCs/>
          <w:color w:val="000000"/>
          <w:szCs w:val="22"/>
          <w:lang w:val="en-GB"/>
        </w:rPr>
        <w:t>of</w:t>
      </w:r>
      <w:r w:rsidR="001C7C7E">
        <w:rPr>
          <w:b/>
          <w:bCs/>
          <w:color w:val="000000"/>
          <w:szCs w:val="22"/>
          <w:lang w:val="en-GB"/>
        </w:rPr>
        <w:t xml:space="preserve"> </w:t>
      </w:r>
      <w:r w:rsidRPr="008C5A7A">
        <w:rPr>
          <w:b/>
          <w:bCs/>
          <w:color w:val="000000"/>
          <w:szCs w:val="22"/>
          <w:lang w:val="en-GB"/>
        </w:rPr>
        <w:t>our</w:t>
      </w:r>
      <w:r w:rsidR="001C7C7E">
        <w:rPr>
          <w:b/>
          <w:bCs/>
          <w:color w:val="000000"/>
          <w:szCs w:val="22"/>
          <w:lang w:val="en-GB"/>
        </w:rPr>
        <w:t xml:space="preserve"> </w:t>
      </w:r>
      <w:r w:rsidRPr="008C5A7A">
        <w:rPr>
          <w:b/>
          <w:bCs/>
          <w:color w:val="000000"/>
          <w:szCs w:val="22"/>
          <w:lang w:val="en-GB"/>
        </w:rPr>
        <w:t>European</w:t>
      </w:r>
      <w:r w:rsidR="001C7C7E">
        <w:rPr>
          <w:b/>
          <w:bCs/>
          <w:color w:val="000000"/>
          <w:szCs w:val="22"/>
          <w:lang w:val="en-GB"/>
        </w:rPr>
        <w:t xml:space="preserve"> </w:t>
      </w:r>
      <w:r w:rsidRPr="008C5A7A">
        <w:rPr>
          <w:b/>
          <w:bCs/>
          <w:color w:val="000000"/>
          <w:szCs w:val="22"/>
          <w:lang w:val="en-GB"/>
        </w:rPr>
        <w:t>Property</w:t>
      </w:r>
      <w:r w:rsidR="001C7C7E">
        <w:rPr>
          <w:b/>
          <w:bCs/>
          <w:color w:val="000000"/>
          <w:szCs w:val="22"/>
          <w:lang w:val="en-GB"/>
        </w:rPr>
        <w:t xml:space="preserve"> </w:t>
      </w:r>
      <w:r w:rsidRPr="008C5A7A">
        <w:rPr>
          <w:b/>
          <w:bCs/>
          <w:color w:val="000000"/>
          <w:szCs w:val="22"/>
          <w:lang w:val="en-GB"/>
        </w:rPr>
        <w:t>Handbook?</w:t>
      </w:r>
      <w:r w:rsidR="001C7C7E">
        <w:rPr>
          <w:b/>
          <w:bCs/>
          <w:color w:val="000000"/>
          <w:szCs w:val="22"/>
          <w:lang w:val="en-GB"/>
        </w:rPr>
        <w:t xml:space="preserve"> </w:t>
      </w:r>
      <w:r w:rsidRPr="008C5A7A">
        <w:rPr>
          <w:color w:val="000000"/>
          <w:szCs w:val="22"/>
          <w:lang w:val="en-GB"/>
        </w:rPr>
        <w:t>Sit</w:t>
      </w:r>
      <w:r w:rsidR="001C7C7E">
        <w:rPr>
          <w:color w:val="000000"/>
          <w:szCs w:val="22"/>
          <w:lang w:val="en-GB"/>
        </w:rPr>
        <w:t xml:space="preserve"> </w:t>
      </w:r>
      <w:r w:rsidRPr="008C5A7A">
        <w:rPr>
          <w:color w:val="000000"/>
          <w:szCs w:val="22"/>
          <w:lang w:val="en-GB"/>
        </w:rPr>
        <w:t>back</w:t>
      </w:r>
      <w:r w:rsidR="001C7C7E">
        <w:rPr>
          <w:color w:val="000000"/>
          <w:szCs w:val="22"/>
          <w:lang w:val="en-GB"/>
        </w:rPr>
        <w:t xml:space="preserve"> </w:t>
      </w:r>
      <w:r w:rsidRPr="008C5A7A">
        <w:rPr>
          <w:color w:val="000000"/>
          <w:szCs w:val="22"/>
          <w:lang w:val="en-GB"/>
        </w:rPr>
        <w:t>and</w:t>
      </w:r>
      <w:r w:rsidR="001C7C7E">
        <w:rPr>
          <w:color w:val="000000"/>
          <w:szCs w:val="22"/>
          <w:lang w:val="en-GB"/>
        </w:rPr>
        <w:t xml:space="preserve"> </w:t>
      </w:r>
      <w:r w:rsidRPr="008C5A7A">
        <w:rPr>
          <w:color w:val="000000"/>
          <w:szCs w:val="22"/>
          <w:lang w:val="en-GB"/>
        </w:rPr>
        <w:t>listen</w:t>
      </w:r>
      <w:r w:rsidR="001C7C7E">
        <w:rPr>
          <w:color w:val="000000"/>
          <w:szCs w:val="22"/>
          <w:lang w:val="en-GB"/>
        </w:rPr>
        <w:t xml:space="preserve"> </w:t>
      </w:r>
      <w:r w:rsidRPr="008C5A7A">
        <w:rPr>
          <w:color w:val="000000"/>
          <w:szCs w:val="22"/>
          <w:lang w:val="en-GB"/>
        </w:rPr>
        <w:t>to</w:t>
      </w:r>
      <w:r w:rsidR="001C7C7E">
        <w:rPr>
          <w:color w:val="000000"/>
          <w:szCs w:val="22"/>
          <w:lang w:val="en-GB"/>
        </w:rPr>
        <w:t xml:space="preserve"> </w:t>
      </w:r>
      <w:r w:rsidRPr="008C5A7A">
        <w:rPr>
          <w:color w:val="000000"/>
          <w:szCs w:val="22"/>
          <w:lang w:val="en-GB"/>
        </w:rPr>
        <w:t>our</w:t>
      </w:r>
      <w:r w:rsidR="001C7C7E">
        <w:rPr>
          <w:color w:val="000000"/>
          <w:szCs w:val="22"/>
          <w:lang w:val="en-GB"/>
        </w:rPr>
        <w:t xml:space="preserve"> </w:t>
      </w:r>
      <w:r w:rsidRPr="008C5A7A">
        <w:rPr>
          <w:color w:val="000000"/>
          <w:szCs w:val="22"/>
          <w:lang w:val="en-GB"/>
        </w:rPr>
        <w:t>5</w:t>
      </w:r>
      <w:r w:rsidR="001C7C7E">
        <w:rPr>
          <w:color w:val="000000"/>
          <w:szCs w:val="22"/>
          <w:lang w:val="en-GB"/>
        </w:rPr>
        <w:t xml:space="preserve"> </w:t>
      </w:r>
      <w:r w:rsidRPr="008C5A7A">
        <w:rPr>
          <w:color w:val="000000"/>
          <w:szCs w:val="22"/>
          <w:lang w:val="en-GB"/>
        </w:rPr>
        <w:t>minute</w:t>
      </w:r>
      <w:r w:rsidR="001C7C7E">
        <w:rPr>
          <w:color w:val="000000"/>
          <w:szCs w:val="22"/>
          <w:lang w:val="en-GB"/>
        </w:rPr>
        <w:t xml:space="preserve"> </w:t>
      </w:r>
      <w:r w:rsidRPr="008C5A7A">
        <w:rPr>
          <w:color w:val="000000"/>
          <w:szCs w:val="22"/>
          <w:lang w:val="en-GB"/>
        </w:rPr>
        <w:t>audio-visual</w:t>
      </w:r>
      <w:r w:rsidR="001C7C7E">
        <w:rPr>
          <w:color w:val="000000"/>
          <w:szCs w:val="22"/>
          <w:lang w:val="en-GB"/>
        </w:rPr>
        <w:t xml:space="preserve"> </w:t>
      </w:r>
      <w:r w:rsidRPr="008C5A7A">
        <w:rPr>
          <w:color w:val="000000"/>
          <w:szCs w:val="22"/>
          <w:lang w:val="en-GB"/>
        </w:rPr>
        <w:t>presentation:</w:t>
      </w:r>
      <w:r w:rsidR="001C7C7E">
        <w:rPr>
          <w:color w:val="000000"/>
          <w:szCs w:val="22"/>
          <w:lang w:val="en-GB"/>
        </w:rPr>
        <w:t xml:space="preserve"> </w:t>
      </w:r>
      <w:hyperlink r:id="rId27" w:history="1">
        <w:r w:rsidRPr="008C5A7A">
          <w:rPr>
            <w:rStyle w:val="Hyperlink"/>
            <w:b/>
            <w:bCs/>
            <w:szCs w:val="22"/>
            <w:lang w:val="en-GB"/>
          </w:rPr>
          <w:t>http://jpmorgan-eu.adobeconnect.com/thegreatrotation/</w:t>
        </w:r>
      </w:hyperlink>
    </w:p>
    <w:p w:rsidR="007C3B6E" w:rsidRPr="000A1846" w:rsidRDefault="002E187C" w:rsidP="00440DFC">
      <w:pPr>
        <w:pStyle w:val="FPBullet"/>
        <w:rPr>
          <w:b/>
          <w:bCs/>
          <w:i/>
          <w:iCs/>
          <w:lang w:val="en-GB"/>
        </w:rPr>
      </w:pPr>
      <w:r w:rsidRPr="00D00D3A">
        <w:rPr>
          <w:b/>
          <w:bCs/>
          <w:color w:val="000000"/>
          <w:szCs w:val="22"/>
          <w:lang w:val="en-GB"/>
        </w:rPr>
        <w:t>Quote</w:t>
      </w:r>
      <w:r w:rsidR="001C7C7E" w:rsidRPr="00D00D3A">
        <w:rPr>
          <w:b/>
          <w:bCs/>
          <w:color w:val="000000"/>
          <w:szCs w:val="22"/>
          <w:lang w:val="en-GB"/>
        </w:rPr>
        <w:t xml:space="preserve"> </w:t>
      </w:r>
      <w:r w:rsidRPr="00D00D3A">
        <w:rPr>
          <w:b/>
          <w:bCs/>
          <w:color w:val="000000"/>
          <w:szCs w:val="22"/>
          <w:lang w:val="en-GB"/>
        </w:rPr>
        <w:t>of</w:t>
      </w:r>
      <w:r w:rsidR="001C7C7E" w:rsidRPr="00D00D3A">
        <w:rPr>
          <w:b/>
          <w:bCs/>
          <w:color w:val="000000"/>
          <w:szCs w:val="22"/>
          <w:lang w:val="en-GB"/>
        </w:rPr>
        <w:t xml:space="preserve"> </w:t>
      </w:r>
      <w:r w:rsidRPr="00D00D3A">
        <w:rPr>
          <w:b/>
          <w:bCs/>
          <w:color w:val="000000"/>
          <w:szCs w:val="22"/>
          <w:lang w:val="en-GB"/>
        </w:rPr>
        <w:t>the</w:t>
      </w:r>
      <w:r w:rsidR="001C7C7E" w:rsidRPr="00D00D3A">
        <w:rPr>
          <w:b/>
          <w:bCs/>
          <w:color w:val="000000"/>
          <w:szCs w:val="22"/>
          <w:lang w:val="en-GB"/>
        </w:rPr>
        <w:t xml:space="preserve"> </w:t>
      </w:r>
      <w:r w:rsidRPr="00D00D3A">
        <w:rPr>
          <w:b/>
          <w:bCs/>
          <w:color w:val="000000"/>
          <w:szCs w:val="22"/>
          <w:lang w:val="en-GB"/>
        </w:rPr>
        <w:t>day:</w:t>
      </w:r>
      <w:r w:rsidR="001C7C7E" w:rsidRPr="00D00D3A">
        <w:rPr>
          <w:color w:val="000000"/>
          <w:szCs w:val="22"/>
          <w:lang w:val="en-GB"/>
        </w:rPr>
        <w:t xml:space="preserve"> </w:t>
      </w:r>
      <w:r w:rsidR="001C7C7E" w:rsidRPr="0014169B">
        <w:rPr>
          <w:rStyle w:val="bqquotelink"/>
          <w:bCs/>
          <w:iCs/>
          <w:lang w:val="en-GB"/>
        </w:rPr>
        <w:t>“</w:t>
      </w:r>
      <w:r w:rsidR="004C1CB8">
        <w:rPr>
          <w:bCs/>
          <w:iCs/>
          <w:lang w:val="en-GB"/>
        </w:rPr>
        <w:t>And that’s the way it is</w:t>
      </w:r>
      <w:r w:rsidR="000A1846" w:rsidRPr="0014169B">
        <w:rPr>
          <w:bCs/>
          <w:iCs/>
          <w:lang w:val="en-GB"/>
        </w:rPr>
        <w:t>.”</w:t>
      </w:r>
      <w:r w:rsidR="000A1846">
        <w:rPr>
          <w:bCs/>
          <w:i/>
          <w:iCs/>
          <w:lang w:val="en-GB"/>
        </w:rPr>
        <w:t xml:space="preserve"> </w:t>
      </w:r>
      <w:r w:rsidR="000A1846" w:rsidRPr="000A1846">
        <w:rPr>
          <w:bCs/>
          <w:iCs/>
          <w:lang w:val="en-GB"/>
        </w:rPr>
        <w:t>(</w:t>
      </w:r>
      <w:r w:rsidR="004C1CB8">
        <w:rPr>
          <w:bCs/>
          <w:iCs/>
          <w:lang w:val="en-GB"/>
        </w:rPr>
        <w:t>Walter Cronkite</w:t>
      </w:r>
      <w:r w:rsidR="000A1846" w:rsidRPr="000A1846">
        <w:rPr>
          <w:bCs/>
          <w:iCs/>
          <w:lang w:val="en-GB"/>
        </w:rPr>
        <w:t xml:space="preserve">) </w:t>
      </w:r>
    </w:p>
    <w:p w:rsidR="00FF5C9B" w:rsidRPr="008C5A7A" w:rsidRDefault="002E187C" w:rsidP="00827916">
      <w:pPr>
        <w:pStyle w:val="FPBullet"/>
        <w:rPr>
          <w:lang w:val="en-GB"/>
        </w:rPr>
      </w:pPr>
      <w:r w:rsidRPr="008C5A7A">
        <w:rPr>
          <w:lang w:val="en-GB"/>
        </w:rPr>
        <w:t>View</w:t>
      </w:r>
      <w:r w:rsidR="001C7C7E">
        <w:rPr>
          <w:lang w:val="en-GB"/>
        </w:rPr>
        <w:t xml:space="preserve"> </w:t>
      </w:r>
      <w:r w:rsidRPr="008C5A7A">
        <w:rPr>
          <w:lang w:val="en-GB"/>
        </w:rPr>
        <w:t>our</w:t>
      </w:r>
      <w:r w:rsidR="001C7C7E">
        <w:rPr>
          <w:lang w:val="en-GB"/>
        </w:rPr>
        <w:t xml:space="preserve"> </w:t>
      </w:r>
      <w:r w:rsidRPr="008C5A7A">
        <w:rPr>
          <w:lang w:val="en-GB"/>
        </w:rPr>
        <w:t>Bloomberg</w:t>
      </w:r>
      <w:r w:rsidR="001C7C7E">
        <w:rPr>
          <w:lang w:val="en-GB"/>
        </w:rPr>
        <w:t xml:space="preserve"> </w:t>
      </w:r>
      <w:r w:rsidRPr="008C5A7A">
        <w:rPr>
          <w:lang w:val="en-GB"/>
        </w:rPr>
        <w:t>pages.</w:t>
      </w:r>
      <w:r w:rsidR="001C7C7E">
        <w:rPr>
          <w:lang w:val="en-GB"/>
        </w:rPr>
        <w:t xml:space="preserve"> </w:t>
      </w:r>
      <w:r w:rsidRPr="008C5A7A">
        <w:rPr>
          <w:lang w:val="en-GB"/>
        </w:rPr>
        <w:t>Type</w:t>
      </w:r>
      <w:r w:rsidR="001C7C7E">
        <w:rPr>
          <w:lang w:val="en-GB"/>
        </w:rPr>
        <w:t xml:space="preserve"> </w:t>
      </w:r>
      <w:r w:rsidRPr="008C5A7A">
        <w:rPr>
          <w:lang w:val="en-GB"/>
        </w:rPr>
        <w:t>JPMA</w:t>
      </w:r>
      <w:r w:rsidR="001C7C7E">
        <w:rPr>
          <w:lang w:val="en-GB"/>
        </w:rPr>
        <w:t xml:space="preserve"> </w:t>
      </w:r>
      <w:r w:rsidRPr="008C5A7A">
        <w:rPr>
          <w:lang w:val="en-GB"/>
        </w:rPr>
        <w:t>&lt;GO&gt;</w:t>
      </w:r>
      <w:r w:rsidR="001C7C7E">
        <w:rPr>
          <w:lang w:val="en-GB"/>
        </w:rPr>
        <w:t xml:space="preserve"> </w:t>
      </w:r>
      <w:r w:rsidRPr="008C5A7A">
        <w:rPr>
          <w:lang w:val="en-GB"/>
        </w:rPr>
        <w:t>to</w:t>
      </w:r>
      <w:r w:rsidR="001C7C7E">
        <w:rPr>
          <w:lang w:val="en-GB"/>
        </w:rPr>
        <w:t xml:space="preserve"> </w:t>
      </w:r>
      <w:r w:rsidRPr="008C5A7A">
        <w:rPr>
          <w:lang w:val="en-GB"/>
        </w:rPr>
        <w:t>find</w:t>
      </w:r>
      <w:r w:rsidR="001C7C7E">
        <w:rPr>
          <w:lang w:val="en-GB"/>
        </w:rPr>
        <w:t xml:space="preserve"> </w:t>
      </w:r>
      <w:r w:rsidRPr="008C5A7A">
        <w:rPr>
          <w:lang w:val="en-GB"/>
        </w:rPr>
        <w:t>and</w:t>
      </w:r>
      <w:r w:rsidR="001C7C7E">
        <w:rPr>
          <w:lang w:val="en-GB"/>
        </w:rPr>
        <w:t xml:space="preserve"> </w:t>
      </w:r>
      <w:r w:rsidRPr="008C5A7A">
        <w:rPr>
          <w:lang w:val="en-GB"/>
        </w:rPr>
        <w:t>download</w:t>
      </w:r>
      <w:r w:rsidR="001C7C7E">
        <w:rPr>
          <w:lang w:val="en-GB"/>
        </w:rPr>
        <w:t xml:space="preserve"> </w:t>
      </w:r>
      <w:r w:rsidRPr="008C5A7A">
        <w:rPr>
          <w:lang w:val="en-GB"/>
        </w:rPr>
        <w:t>J.P.</w:t>
      </w:r>
      <w:r w:rsidR="001C7C7E">
        <w:rPr>
          <w:lang w:val="en-GB"/>
        </w:rPr>
        <w:t xml:space="preserve"> </w:t>
      </w:r>
      <w:r w:rsidRPr="008C5A7A">
        <w:rPr>
          <w:lang w:val="en-GB"/>
        </w:rPr>
        <w:t>Morgan</w:t>
      </w:r>
      <w:r w:rsidR="001C7C7E">
        <w:rPr>
          <w:lang w:val="en-GB"/>
        </w:rPr>
        <w:t xml:space="preserve"> </w:t>
      </w:r>
      <w:r w:rsidRPr="008C5A7A">
        <w:rPr>
          <w:lang w:val="en-GB"/>
        </w:rPr>
        <w:t>research</w:t>
      </w:r>
      <w:r w:rsidR="001C7C7E">
        <w:rPr>
          <w:lang w:val="en-GB"/>
        </w:rPr>
        <w:t xml:space="preserve"> </w:t>
      </w:r>
      <w:r w:rsidRPr="008C5A7A">
        <w:rPr>
          <w:lang w:val="en-GB"/>
        </w:rPr>
        <w:t>from</w:t>
      </w:r>
      <w:r w:rsidR="001C7C7E">
        <w:rPr>
          <w:lang w:val="en-GB"/>
        </w:rPr>
        <w:t xml:space="preserve"> </w:t>
      </w:r>
      <w:r w:rsidRPr="008C5A7A">
        <w:rPr>
          <w:lang w:val="en-GB"/>
        </w:rPr>
        <w:t>Blo</w:t>
      </w:r>
      <w:r w:rsidRPr="008C5A7A">
        <w:rPr>
          <w:lang w:val="en-GB" w:bidi="ml-IN"/>
        </w:rPr>
        <w:t>omberg</w:t>
      </w:r>
    </w:p>
    <w:p w:rsidR="009D47AA" w:rsidRPr="00207CF8" w:rsidRDefault="009D47AA" w:rsidP="009F59FE">
      <w:pPr>
        <w:pStyle w:val="FPBody"/>
      </w:pPr>
    </w:p>
    <w:p w:rsidR="00096996" w:rsidRDefault="00096996" w:rsidP="00096996">
      <w:pPr>
        <w:pStyle w:val="Body"/>
        <w:spacing w:after="0" w:line="0" w:lineRule="atLeast"/>
        <w:rPr>
          <w:sz w:val="10"/>
        </w:rPr>
        <w:sectPr w:rsidR="00096996" w:rsidSect="00096996">
          <w:headerReference w:type="even" r:id="rId28"/>
          <w:headerReference w:type="default" r:id="rId29"/>
          <w:footerReference w:type="even" r:id="rId30"/>
          <w:footerReference w:type="default" r:id="rId31"/>
          <w:headerReference w:type="first" r:id="rId32"/>
          <w:footerReference w:type="first" r:id="rId33"/>
          <w:pgSz w:w="12240" w:h="15840" w:code="1"/>
          <w:pgMar w:top="2376" w:right="578" w:bottom="720" w:left="1729" w:header="431" w:footer="720" w:gutter="0"/>
          <w:cols w:space="720"/>
          <w:formProt w:val="0"/>
          <w:titlePg/>
          <w:docGrid w:linePitch="360"/>
        </w:sectPr>
      </w:pPr>
    </w:p>
    <w:p w:rsidR="002E187C" w:rsidRPr="005A26EA" w:rsidRDefault="002E187C" w:rsidP="002E187C">
      <w:pPr>
        <w:pStyle w:val="TableTitle"/>
        <w:ind w:left="-3125"/>
        <w:outlineLvl w:val="0"/>
      </w:pPr>
      <w:r w:rsidRPr="005A26EA">
        <w:lastRenderedPageBreak/>
        <w:t>EMEA</w:t>
      </w:r>
      <w:r w:rsidR="001C7C7E">
        <w:t xml:space="preserve"> </w:t>
      </w:r>
      <w:r w:rsidRPr="005A26EA">
        <w:t>Coverage</w:t>
      </w:r>
      <w:r w:rsidR="001C7C7E">
        <w:t xml:space="preserve"> </w:t>
      </w:r>
      <w:r w:rsidRPr="005A26EA">
        <w:t>Statistics</w:t>
      </w:r>
    </w:p>
    <w:tbl>
      <w:tblPr>
        <w:tblW w:w="10181" w:type="dxa"/>
        <w:tblInd w:w="-3110" w:type="dxa"/>
        <w:tblLayout w:type="fixed"/>
        <w:tblLook w:val="0000"/>
      </w:tblPr>
      <w:tblGrid>
        <w:gridCol w:w="2081"/>
        <w:gridCol w:w="528"/>
        <w:gridCol w:w="983"/>
        <w:gridCol w:w="1348"/>
        <w:gridCol w:w="1261"/>
        <w:gridCol w:w="978"/>
        <w:gridCol w:w="1357"/>
        <w:gridCol w:w="1645"/>
      </w:tblGrid>
      <w:tr w:rsidR="002E187C" w:rsidRPr="005A26EA" w:rsidTr="00082C22">
        <w:trPr>
          <w:cantSplit/>
        </w:trPr>
        <w:tc>
          <w:tcPr>
            <w:tcW w:w="2081" w:type="dxa"/>
            <w:tcBorders>
              <w:top w:val="single" w:sz="4" w:space="0" w:color="auto"/>
            </w:tcBorders>
            <w:vAlign w:val="bottom"/>
          </w:tcPr>
          <w:p w:rsidR="002E187C" w:rsidRPr="005A26EA" w:rsidRDefault="001C7C7E" w:rsidP="00082C22">
            <w:pPr>
              <w:rPr>
                <w:rFonts w:ascii="Arial Narrow" w:hAnsi="Arial Narrow" w:cs="Arial Narrow"/>
                <w:b/>
                <w:bCs/>
                <w:sz w:val="16"/>
                <w:szCs w:val="16"/>
              </w:rPr>
            </w:pPr>
            <w:r>
              <w:rPr>
                <w:rFonts w:ascii="Arial Narrow" w:hAnsi="Arial Narrow" w:cs="Arial Narrow"/>
                <w:b/>
                <w:bCs/>
                <w:sz w:val="16"/>
                <w:szCs w:val="16"/>
              </w:rPr>
              <w:t xml:space="preserve"> </w:t>
            </w:r>
          </w:p>
        </w:tc>
        <w:tc>
          <w:tcPr>
            <w:tcW w:w="528" w:type="dxa"/>
            <w:tcBorders>
              <w:top w:val="single" w:sz="4" w:space="0" w:color="auto"/>
            </w:tcBorders>
            <w:vAlign w:val="bottom"/>
          </w:tcPr>
          <w:p w:rsidR="002E187C" w:rsidRPr="005A26EA" w:rsidRDefault="002E187C" w:rsidP="00082C22">
            <w:pPr>
              <w:jc w:val="right"/>
              <w:rPr>
                <w:rFonts w:ascii="Arial Narrow" w:hAnsi="Arial Narrow" w:cs="Arial Narrow"/>
                <w:b/>
                <w:bCs/>
                <w:sz w:val="16"/>
                <w:szCs w:val="16"/>
              </w:rPr>
            </w:pPr>
          </w:p>
        </w:tc>
        <w:tc>
          <w:tcPr>
            <w:tcW w:w="983" w:type="dxa"/>
            <w:tcBorders>
              <w:top w:val="single" w:sz="4" w:space="0" w:color="auto"/>
            </w:tcBorders>
            <w:vAlign w:val="bottom"/>
          </w:tcPr>
          <w:p w:rsidR="002E187C" w:rsidRPr="00EC6E79" w:rsidRDefault="002E187C" w:rsidP="00082C22">
            <w:pPr>
              <w:jc w:val="right"/>
              <w:rPr>
                <w:rFonts w:ascii="Arial Narrow" w:hAnsi="Arial Narrow" w:cs="Arial Narrow"/>
                <w:b/>
                <w:bCs/>
                <w:sz w:val="16"/>
                <w:szCs w:val="16"/>
              </w:rPr>
            </w:pPr>
            <w:r w:rsidRPr="00EC6E79">
              <w:rPr>
                <w:rFonts w:ascii="Arial Narrow" w:hAnsi="Arial Narrow" w:cs="Arial Narrow"/>
                <w:b/>
                <w:bCs/>
                <w:sz w:val="16"/>
                <w:szCs w:val="16"/>
              </w:rPr>
              <w:t>Price</w:t>
            </w:r>
            <w:r w:rsidR="001C7C7E">
              <w:rPr>
                <w:rFonts w:ascii="Arial Narrow" w:hAnsi="Arial Narrow" w:cs="Arial Narrow"/>
                <w:b/>
                <w:bCs/>
                <w:sz w:val="16"/>
                <w:szCs w:val="16"/>
              </w:rPr>
              <w:t xml:space="preserve"> </w:t>
            </w:r>
            <w:r w:rsidRPr="00EC6E79">
              <w:rPr>
                <w:rFonts w:ascii="Arial Narrow" w:hAnsi="Arial Narrow" w:cs="Arial Narrow"/>
                <w:b/>
                <w:bCs/>
                <w:sz w:val="16"/>
                <w:szCs w:val="16"/>
              </w:rPr>
              <w:t>cob</w:t>
            </w:r>
          </w:p>
        </w:tc>
        <w:tc>
          <w:tcPr>
            <w:tcW w:w="1348" w:type="dxa"/>
            <w:tcBorders>
              <w:top w:val="single" w:sz="4" w:space="0" w:color="auto"/>
            </w:tcBorders>
            <w:vAlign w:val="bottom"/>
          </w:tcPr>
          <w:p w:rsidR="002E187C" w:rsidRPr="00EC6E79" w:rsidRDefault="002E187C" w:rsidP="00082C22">
            <w:pPr>
              <w:jc w:val="right"/>
              <w:rPr>
                <w:rFonts w:ascii="Arial Narrow" w:hAnsi="Arial Narrow" w:cs="Arial Narrow"/>
                <w:b/>
                <w:bCs/>
                <w:sz w:val="16"/>
                <w:szCs w:val="16"/>
              </w:rPr>
            </w:pPr>
            <w:r w:rsidRPr="00EC6E79">
              <w:rPr>
                <w:rFonts w:ascii="Arial Narrow" w:hAnsi="Arial Narrow" w:cs="Arial Narrow"/>
                <w:b/>
                <w:bCs/>
                <w:sz w:val="16"/>
                <w:szCs w:val="16"/>
              </w:rPr>
              <w:t>Price</w:t>
            </w:r>
            <w:r w:rsidR="001C7C7E">
              <w:rPr>
                <w:rFonts w:ascii="Arial Narrow" w:hAnsi="Arial Narrow" w:cs="Arial Narrow"/>
                <w:b/>
                <w:bCs/>
                <w:sz w:val="16"/>
                <w:szCs w:val="16"/>
              </w:rPr>
              <w:t xml:space="preserve"> </w:t>
            </w:r>
            <w:r w:rsidRPr="00EC6E79">
              <w:rPr>
                <w:rFonts w:ascii="Arial Narrow" w:hAnsi="Arial Narrow" w:cs="Arial Narrow"/>
                <w:b/>
                <w:bCs/>
                <w:sz w:val="16"/>
                <w:szCs w:val="16"/>
              </w:rPr>
              <w:t>Target</w:t>
            </w:r>
          </w:p>
        </w:tc>
        <w:tc>
          <w:tcPr>
            <w:tcW w:w="1261" w:type="dxa"/>
            <w:tcBorders>
              <w:top w:val="single" w:sz="4" w:space="0" w:color="auto"/>
            </w:tcBorders>
            <w:vAlign w:val="bottom"/>
          </w:tcPr>
          <w:p w:rsidR="002E187C" w:rsidRDefault="002E187C" w:rsidP="00082C22">
            <w:pPr>
              <w:jc w:val="right"/>
              <w:rPr>
                <w:rFonts w:ascii="Arial Narrow" w:hAnsi="Arial Narrow" w:cs="Arial"/>
                <w:b/>
                <w:bCs/>
                <w:sz w:val="16"/>
                <w:szCs w:val="16"/>
              </w:rPr>
            </w:pPr>
            <w:r>
              <w:rPr>
                <w:rFonts w:ascii="Arial Narrow" w:hAnsi="Arial Narrow" w:cs="Arial"/>
                <w:b/>
                <w:bCs/>
                <w:sz w:val="16"/>
                <w:szCs w:val="16"/>
              </w:rPr>
              <w:t>Potential</w:t>
            </w:r>
            <w:r w:rsidR="001C7C7E">
              <w:rPr>
                <w:rFonts w:ascii="Arial Narrow" w:hAnsi="Arial Narrow" w:cs="Arial"/>
                <w:b/>
                <w:bCs/>
                <w:sz w:val="16"/>
                <w:szCs w:val="16"/>
              </w:rPr>
              <w:t xml:space="preserve"> </w:t>
            </w:r>
          </w:p>
        </w:tc>
        <w:tc>
          <w:tcPr>
            <w:tcW w:w="978" w:type="dxa"/>
            <w:tcBorders>
              <w:top w:val="single" w:sz="4" w:space="0" w:color="auto"/>
            </w:tcBorders>
            <w:vAlign w:val="bottom"/>
          </w:tcPr>
          <w:p w:rsidR="002E187C" w:rsidRDefault="002E187C" w:rsidP="00082C22">
            <w:pPr>
              <w:jc w:val="right"/>
              <w:rPr>
                <w:rFonts w:ascii="Arial Narrow" w:hAnsi="Arial Narrow" w:cs="Arial"/>
                <w:b/>
                <w:bCs/>
                <w:sz w:val="16"/>
                <w:szCs w:val="16"/>
              </w:rPr>
            </w:pPr>
          </w:p>
        </w:tc>
        <w:tc>
          <w:tcPr>
            <w:tcW w:w="1357" w:type="dxa"/>
            <w:tcBorders>
              <w:top w:val="single" w:sz="4" w:space="0" w:color="auto"/>
            </w:tcBorders>
            <w:vAlign w:val="bottom"/>
          </w:tcPr>
          <w:p w:rsidR="002E187C" w:rsidRDefault="002E187C" w:rsidP="00082C22">
            <w:pPr>
              <w:jc w:val="right"/>
              <w:rPr>
                <w:rFonts w:ascii="Arial Narrow" w:hAnsi="Arial Narrow" w:cs="Arial"/>
                <w:b/>
                <w:bCs/>
                <w:sz w:val="16"/>
                <w:szCs w:val="16"/>
              </w:rPr>
            </w:pPr>
            <w:r>
              <w:rPr>
                <w:rFonts w:ascii="Arial Narrow" w:hAnsi="Arial Narrow" w:cs="Arial"/>
                <w:b/>
                <w:bCs/>
                <w:sz w:val="16"/>
                <w:szCs w:val="16"/>
              </w:rPr>
              <w:t>Value</w:t>
            </w:r>
            <w:r w:rsidR="001C7C7E">
              <w:rPr>
                <w:rFonts w:ascii="Arial Narrow" w:hAnsi="Arial Narrow" w:cs="Arial"/>
                <w:b/>
                <w:bCs/>
                <w:sz w:val="16"/>
                <w:szCs w:val="16"/>
              </w:rPr>
              <w:t xml:space="preserve"> </w:t>
            </w:r>
            <w:r>
              <w:rPr>
                <w:rFonts w:ascii="Arial Narrow" w:hAnsi="Arial Narrow" w:cs="Arial"/>
                <w:b/>
                <w:bCs/>
                <w:sz w:val="16"/>
                <w:szCs w:val="16"/>
              </w:rPr>
              <w:t>Creation</w:t>
            </w:r>
            <w:r w:rsidR="001C7C7E">
              <w:rPr>
                <w:rFonts w:ascii="Arial Narrow" w:hAnsi="Arial Narrow" w:cs="Arial"/>
                <w:b/>
                <w:bCs/>
                <w:sz w:val="16"/>
                <w:szCs w:val="16"/>
              </w:rPr>
              <w:t xml:space="preserve"> </w:t>
            </w:r>
          </w:p>
        </w:tc>
        <w:tc>
          <w:tcPr>
            <w:tcW w:w="1645" w:type="dxa"/>
            <w:tcBorders>
              <w:top w:val="single" w:sz="4" w:space="0" w:color="auto"/>
            </w:tcBorders>
            <w:vAlign w:val="bottom"/>
          </w:tcPr>
          <w:p w:rsidR="002E187C" w:rsidRPr="005A26EA" w:rsidRDefault="002E187C" w:rsidP="00082C22">
            <w:pPr>
              <w:jc w:val="right"/>
              <w:rPr>
                <w:rFonts w:ascii="Arial Narrow" w:hAnsi="Arial Narrow" w:cs="Arial Narrow"/>
                <w:b/>
                <w:bCs/>
                <w:sz w:val="16"/>
                <w:szCs w:val="16"/>
              </w:rPr>
            </w:pPr>
            <w:r w:rsidRPr="005A26EA">
              <w:rPr>
                <w:rFonts w:ascii="Arial Narrow" w:hAnsi="Arial Narrow" w:cs="Arial Narrow"/>
                <w:b/>
                <w:bCs/>
                <w:sz w:val="16"/>
                <w:szCs w:val="16"/>
              </w:rPr>
              <w:t>Discount/Premium</w:t>
            </w:r>
            <w:r w:rsidR="001C7C7E">
              <w:rPr>
                <w:rFonts w:ascii="Arial Narrow" w:hAnsi="Arial Narrow" w:cs="Arial Narrow"/>
                <w:b/>
                <w:bCs/>
                <w:sz w:val="16"/>
                <w:szCs w:val="16"/>
              </w:rPr>
              <w:t xml:space="preserve"> </w:t>
            </w:r>
            <w:r>
              <w:rPr>
                <w:rFonts w:ascii="Arial Narrow" w:hAnsi="Arial Narrow" w:cs="Arial Narrow"/>
                <w:b/>
                <w:bCs/>
                <w:sz w:val="16"/>
                <w:szCs w:val="16"/>
              </w:rPr>
              <w:br/>
            </w:r>
            <w:r w:rsidRPr="005A26EA">
              <w:rPr>
                <w:rFonts w:ascii="Arial Narrow" w:hAnsi="Arial Narrow" w:cs="Arial Narrow"/>
                <w:b/>
                <w:bCs/>
                <w:sz w:val="16"/>
                <w:szCs w:val="16"/>
              </w:rPr>
              <w:t>to</w:t>
            </w:r>
            <w:r w:rsidR="001C7C7E">
              <w:rPr>
                <w:rFonts w:ascii="Arial Narrow" w:hAnsi="Arial Narrow" w:cs="Arial Narrow"/>
                <w:b/>
                <w:bCs/>
                <w:sz w:val="16"/>
                <w:szCs w:val="16"/>
              </w:rPr>
              <w:t xml:space="preserve"> </w:t>
            </w:r>
            <w:r w:rsidRPr="005A26EA">
              <w:rPr>
                <w:rFonts w:ascii="Arial Narrow" w:hAnsi="Arial Narrow" w:cs="Arial Narrow"/>
                <w:b/>
                <w:bCs/>
                <w:sz w:val="16"/>
                <w:szCs w:val="16"/>
              </w:rPr>
              <w:t>Adj</w:t>
            </w:r>
            <w:r w:rsidR="001C7C7E">
              <w:rPr>
                <w:rFonts w:ascii="Arial Narrow" w:hAnsi="Arial Narrow" w:cs="Arial Narrow"/>
                <w:b/>
                <w:bCs/>
                <w:sz w:val="16"/>
                <w:szCs w:val="16"/>
              </w:rPr>
              <w:t xml:space="preserve"> </w:t>
            </w:r>
            <w:r w:rsidRPr="005A26EA">
              <w:rPr>
                <w:rFonts w:ascii="Arial Narrow" w:hAnsi="Arial Narrow" w:cs="Arial Narrow"/>
                <w:b/>
                <w:bCs/>
                <w:sz w:val="16"/>
                <w:szCs w:val="16"/>
              </w:rPr>
              <w:t>NNAV</w:t>
            </w:r>
            <w:r w:rsidR="001C7C7E">
              <w:rPr>
                <w:rFonts w:ascii="Arial Narrow" w:hAnsi="Arial Narrow" w:cs="Arial Narrow"/>
                <w:b/>
                <w:bCs/>
                <w:sz w:val="16"/>
                <w:szCs w:val="16"/>
              </w:rPr>
              <w:t xml:space="preserve"> </w:t>
            </w:r>
            <w:r w:rsidRPr="005A26EA">
              <w:rPr>
                <w:rFonts w:ascii="Arial Narrow" w:hAnsi="Arial Narrow" w:cs="Arial Narrow"/>
                <w:b/>
                <w:bCs/>
                <w:sz w:val="16"/>
                <w:szCs w:val="16"/>
              </w:rPr>
              <w:t>t+1</w:t>
            </w:r>
          </w:p>
        </w:tc>
      </w:tr>
      <w:tr w:rsidR="002E187C" w:rsidRPr="007B1755" w:rsidTr="00082C22">
        <w:trPr>
          <w:cantSplit/>
        </w:trPr>
        <w:tc>
          <w:tcPr>
            <w:tcW w:w="2081" w:type="dxa"/>
            <w:tcBorders>
              <w:bottom w:val="single" w:sz="4" w:space="0" w:color="auto"/>
            </w:tcBorders>
            <w:vAlign w:val="bottom"/>
          </w:tcPr>
          <w:p w:rsidR="002E187C" w:rsidRDefault="001C7C7E" w:rsidP="00082C22">
            <w:pPr>
              <w:jc w:val="both"/>
              <w:rPr>
                <w:rFonts w:ascii="Arial" w:hAnsi="Arial" w:cs="Arial"/>
                <w:sz w:val="16"/>
                <w:szCs w:val="16"/>
              </w:rPr>
            </w:pPr>
            <w:r>
              <w:rPr>
                <w:rFonts w:ascii="Arial" w:hAnsi="Arial" w:cs="Arial"/>
                <w:sz w:val="16"/>
                <w:szCs w:val="16"/>
              </w:rPr>
              <w:t xml:space="preserve"> </w:t>
            </w:r>
          </w:p>
        </w:tc>
        <w:tc>
          <w:tcPr>
            <w:tcW w:w="528" w:type="dxa"/>
            <w:tcBorders>
              <w:bottom w:val="single" w:sz="4" w:space="0" w:color="auto"/>
            </w:tcBorders>
          </w:tcPr>
          <w:p w:rsidR="002E187C" w:rsidRDefault="001C7C7E" w:rsidP="00082C22">
            <w:pPr>
              <w:jc w:val="both"/>
              <w:rPr>
                <w:rFonts w:ascii="Arial Narrow" w:hAnsi="Arial Narrow" w:cs="Arial"/>
                <w:sz w:val="16"/>
                <w:szCs w:val="16"/>
              </w:rPr>
            </w:pPr>
            <w:r>
              <w:rPr>
                <w:rFonts w:ascii="Arial Narrow" w:hAnsi="Arial Narrow" w:cs="Arial"/>
                <w:sz w:val="16"/>
                <w:szCs w:val="16"/>
              </w:rPr>
              <w:t xml:space="preserve"> </w:t>
            </w:r>
          </w:p>
        </w:tc>
        <w:tc>
          <w:tcPr>
            <w:tcW w:w="983" w:type="dxa"/>
            <w:tcBorders>
              <w:bottom w:val="single" w:sz="4" w:space="0" w:color="auto"/>
            </w:tcBorders>
          </w:tcPr>
          <w:p w:rsidR="002E187C" w:rsidRPr="003C6CC8" w:rsidRDefault="006479CC" w:rsidP="00CA325E">
            <w:pPr>
              <w:jc w:val="right"/>
              <w:rPr>
                <w:rFonts w:ascii="Arial Narrow" w:hAnsi="Arial Narrow" w:cs="Arial"/>
                <w:b/>
                <w:bCs/>
                <w:sz w:val="16"/>
                <w:szCs w:val="16"/>
              </w:rPr>
            </w:pPr>
            <w:r>
              <w:rPr>
                <w:rFonts w:ascii="Arial Narrow" w:hAnsi="Arial Narrow" w:cs="Arial"/>
                <w:b/>
                <w:bCs/>
                <w:sz w:val="16"/>
                <w:szCs w:val="16"/>
              </w:rPr>
              <w:t>30</w:t>
            </w:r>
            <w:r w:rsidR="002E187C">
              <w:rPr>
                <w:rFonts w:ascii="Arial Narrow" w:hAnsi="Arial Narrow" w:cs="Arial"/>
                <w:b/>
                <w:bCs/>
                <w:sz w:val="16"/>
                <w:szCs w:val="16"/>
              </w:rPr>
              <w:t>-Jun</w:t>
            </w:r>
            <w:r w:rsidR="002E187C" w:rsidRPr="003C6CC8">
              <w:rPr>
                <w:rFonts w:ascii="Arial Narrow" w:hAnsi="Arial Narrow" w:cs="Arial"/>
                <w:b/>
                <w:bCs/>
                <w:sz w:val="16"/>
                <w:szCs w:val="16"/>
              </w:rPr>
              <w:t>-14</w:t>
            </w:r>
          </w:p>
        </w:tc>
        <w:tc>
          <w:tcPr>
            <w:tcW w:w="1348" w:type="dxa"/>
            <w:tcBorders>
              <w:bottom w:val="single" w:sz="4" w:space="0" w:color="auto"/>
            </w:tcBorders>
          </w:tcPr>
          <w:p w:rsidR="002E187C" w:rsidRPr="003C6CC8" w:rsidRDefault="002E187C" w:rsidP="00082C22">
            <w:pPr>
              <w:jc w:val="right"/>
              <w:rPr>
                <w:rFonts w:ascii="Arial Narrow" w:hAnsi="Arial Narrow" w:cs="Arial"/>
                <w:b/>
                <w:bCs/>
                <w:sz w:val="16"/>
                <w:szCs w:val="16"/>
              </w:rPr>
            </w:pPr>
            <w:r w:rsidRPr="003C6CC8">
              <w:rPr>
                <w:rFonts w:ascii="Arial Narrow" w:hAnsi="Arial Narrow" w:cs="Arial"/>
                <w:b/>
                <w:bCs/>
                <w:sz w:val="16"/>
                <w:szCs w:val="16"/>
              </w:rPr>
              <w:t>JP</w:t>
            </w:r>
            <w:r w:rsidR="001C7C7E">
              <w:rPr>
                <w:rFonts w:ascii="Arial Narrow" w:hAnsi="Arial Narrow" w:cs="Arial"/>
                <w:b/>
                <w:bCs/>
                <w:sz w:val="16"/>
                <w:szCs w:val="16"/>
              </w:rPr>
              <w:t xml:space="preserve"> </w:t>
            </w:r>
            <w:r w:rsidRPr="003C6CC8">
              <w:rPr>
                <w:rFonts w:ascii="Arial Narrow" w:hAnsi="Arial Narrow" w:cs="Arial"/>
                <w:b/>
                <w:bCs/>
                <w:sz w:val="16"/>
                <w:szCs w:val="16"/>
              </w:rPr>
              <w:t>Morgan</w:t>
            </w:r>
            <w:r w:rsidR="001C7C7E">
              <w:rPr>
                <w:rFonts w:ascii="Arial Narrow" w:hAnsi="Arial Narrow" w:cs="Arial"/>
                <w:b/>
                <w:bCs/>
                <w:sz w:val="16"/>
                <w:szCs w:val="16"/>
              </w:rPr>
              <w:t xml:space="preserve"> </w:t>
            </w:r>
            <w:r w:rsidRPr="003C6CC8">
              <w:rPr>
                <w:rFonts w:ascii="Arial Narrow" w:hAnsi="Arial Narrow" w:cs="Arial"/>
                <w:b/>
                <w:bCs/>
                <w:sz w:val="16"/>
                <w:szCs w:val="16"/>
              </w:rPr>
              <w:t>Est</w:t>
            </w:r>
          </w:p>
        </w:tc>
        <w:tc>
          <w:tcPr>
            <w:tcW w:w="1261" w:type="dxa"/>
            <w:tcBorders>
              <w:bottom w:val="single" w:sz="4" w:space="0" w:color="auto"/>
            </w:tcBorders>
          </w:tcPr>
          <w:p w:rsidR="002E187C" w:rsidRPr="003C6CC8" w:rsidRDefault="002E187C" w:rsidP="00082C22">
            <w:pPr>
              <w:jc w:val="right"/>
              <w:rPr>
                <w:rFonts w:ascii="Arial Narrow" w:hAnsi="Arial Narrow" w:cs="Arial"/>
                <w:b/>
                <w:bCs/>
                <w:sz w:val="16"/>
                <w:szCs w:val="16"/>
              </w:rPr>
            </w:pPr>
            <w:r w:rsidRPr="003C6CC8">
              <w:rPr>
                <w:rFonts w:ascii="Arial Narrow" w:hAnsi="Arial Narrow" w:cs="Arial"/>
                <w:b/>
                <w:bCs/>
                <w:sz w:val="16"/>
                <w:szCs w:val="16"/>
              </w:rPr>
              <w:t>Upside</w:t>
            </w:r>
            <w:r w:rsidR="001C7C7E">
              <w:rPr>
                <w:rFonts w:ascii="Arial Narrow" w:hAnsi="Arial Narrow" w:cs="Arial"/>
                <w:b/>
                <w:bCs/>
                <w:sz w:val="16"/>
                <w:szCs w:val="16"/>
              </w:rPr>
              <w:t xml:space="preserve"> </w:t>
            </w:r>
            <w:r w:rsidRPr="003C6CC8">
              <w:rPr>
                <w:rFonts w:ascii="Arial Narrow" w:hAnsi="Arial Narrow" w:cs="Arial"/>
                <w:b/>
                <w:bCs/>
                <w:sz w:val="16"/>
                <w:szCs w:val="16"/>
              </w:rPr>
              <w:t>to</w:t>
            </w:r>
            <w:r w:rsidR="001C7C7E">
              <w:rPr>
                <w:rFonts w:ascii="Arial Narrow" w:hAnsi="Arial Narrow" w:cs="Arial"/>
                <w:b/>
                <w:bCs/>
                <w:sz w:val="16"/>
                <w:szCs w:val="16"/>
              </w:rPr>
              <w:t xml:space="preserve"> </w:t>
            </w:r>
            <w:r w:rsidRPr="003C6CC8">
              <w:rPr>
                <w:rFonts w:ascii="Arial Narrow" w:hAnsi="Arial Narrow" w:cs="Arial"/>
                <w:b/>
                <w:bCs/>
                <w:sz w:val="16"/>
                <w:szCs w:val="16"/>
              </w:rPr>
              <w:t>TP</w:t>
            </w:r>
            <w:r w:rsidR="001C7C7E">
              <w:rPr>
                <w:rFonts w:ascii="Arial Narrow" w:hAnsi="Arial Narrow" w:cs="Arial"/>
                <w:b/>
                <w:bCs/>
                <w:sz w:val="16"/>
                <w:szCs w:val="16"/>
              </w:rPr>
              <w:t xml:space="preserve"> </w:t>
            </w:r>
          </w:p>
        </w:tc>
        <w:tc>
          <w:tcPr>
            <w:tcW w:w="978" w:type="dxa"/>
            <w:tcBorders>
              <w:bottom w:val="single" w:sz="4" w:space="0" w:color="auto"/>
            </w:tcBorders>
            <w:vAlign w:val="bottom"/>
          </w:tcPr>
          <w:p w:rsidR="002E187C" w:rsidRPr="003C6CC8" w:rsidRDefault="001C7C7E" w:rsidP="00082C22">
            <w:pPr>
              <w:jc w:val="right"/>
              <w:rPr>
                <w:rFonts w:ascii="Arial Narrow" w:hAnsi="Arial Narrow" w:cs="Arial"/>
                <w:b/>
                <w:bCs/>
                <w:sz w:val="16"/>
                <w:szCs w:val="16"/>
              </w:rPr>
            </w:pPr>
            <w:r>
              <w:rPr>
                <w:rFonts w:ascii="Arial Narrow" w:hAnsi="Arial Narrow" w:cs="Arial"/>
                <w:b/>
                <w:bCs/>
                <w:sz w:val="16"/>
                <w:szCs w:val="16"/>
              </w:rPr>
              <w:t xml:space="preserve"> </w:t>
            </w:r>
            <w:r w:rsidR="002E187C" w:rsidRPr="003C6CC8">
              <w:rPr>
                <w:rFonts w:ascii="Arial Narrow" w:hAnsi="Arial Narrow" w:cs="Arial"/>
                <w:b/>
                <w:bCs/>
                <w:sz w:val="16"/>
                <w:szCs w:val="16"/>
              </w:rPr>
              <w:t>NNAV</w:t>
            </w:r>
            <w:r>
              <w:rPr>
                <w:rFonts w:ascii="Arial Narrow" w:hAnsi="Arial Narrow" w:cs="Arial"/>
                <w:b/>
                <w:bCs/>
                <w:sz w:val="16"/>
                <w:szCs w:val="16"/>
              </w:rPr>
              <w:t xml:space="preserve"> </w:t>
            </w:r>
            <w:r w:rsidR="002E187C" w:rsidRPr="003C6CC8">
              <w:rPr>
                <w:rFonts w:ascii="Arial Narrow" w:hAnsi="Arial Narrow" w:cs="Arial"/>
                <w:b/>
                <w:bCs/>
                <w:sz w:val="16"/>
                <w:szCs w:val="16"/>
              </w:rPr>
              <w:t>t+1</w:t>
            </w:r>
          </w:p>
        </w:tc>
        <w:tc>
          <w:tcPr>
            <w:tcW w:w="1357" w:type="dxa"/>
            <w:tcBorders>
              <w:bottom w:val="single" w:sz="4" w:space="0" w:color="auto"/>
            </w:tcBorders>
            <w:vAlign w:val="bottom"/>
          </w:tcPr>
          <w:p w:rsidR="002E187C" w:rsidRPr="003C6CC8" w:rsidRDefault="001C7C7E" w:rsidP="00082C22">
            <w:pPr>
              <w:jc w:val="right"/>
              <w:rPr>
                <w:rFonts w:ascii="Arial Narrow" w:hAnsi="Arial Narrow" w:cs="Arial"/>
                <w:b/>
                <w:bCs/>
                <w:sz w:val="16"/>
                <w:szCs w:val="16"/>
              </w:rPr>
            </w:pPr>
            <w:r>
              <w:rPr>
                <w:rFonts w:ascii="Arial Narrow" w:hAnsi="Arial Narrow" w:cs="Arial"/>
                <w:b/>
                <w:bCs/>
                <w:sz w:val="16"/>
                <w:szCs w:val="16"/>
              </w:rPr>
              <w:t xml:space="preserve"> </w:t>
            </w:r>
            <w:r w:rsidR="002E187C" w:rsidRPr="003C6CC8">
              <w:rPr>
                <w:rFonts w:ascii="Arial Narrow" w:hAnsi="Arial Narrow" w:cs="Arial"/>
                <w:b/>
                <w:bCs/>
                <w:sz w:val="16"/>
                <w:szCs w:val="16"/>
              </w:rPr>
              <w:t>Spread</w:t>
            </w:r>
          </w:p>
        </w:tc>
        <w:tc>
          <w:tcPr>
            <w:tcW w:w="1645" w:type="dxa"/>
            <w:tcBorders>
              <w:bottom w:val="single" w:sz="4" w:space="0" w:color="auto"/>
            </w:tcBorders>
          </w:tcPr>
          <w:p w:rsidR="002E187C" w:rsidRPr="003C6CC8" w:rsidRDefault="002E187C" w:rsidP="00082C22">
            <w:pPr>
              <w:jc w:val="right"/>
              <w:rPr>
                <w:rFonts w:ascii="Arial Narrow" w:hAnsi="Arial Narrow" w:cs="Arial"/>
                <w:b/>
                <w:bCs/>
                <w:sz w:val="16"/>
                <w:szCs w:val="16"/>
              </w:rPr>
            </w:pPr>
            <w:r w:rsidRPr="003C6CC8">
              <w:rPr>
                <w:rFonts w:ascii="Arial Narrow" w:hAnsi="Arial Narrow" w:cs="Arial"/>
                <w:b/>
                <w:bCs/>
                <w:sz w:val="16"/>
                <w:szCs w:val="16"/>
              </w:rPr>
              <w:t>On</w:t>
            </w:r>
            <w:r w:rsidR="001C7C7E">
              <w:rPr>
                <w:rFonts w:ascii="Arial Narrow" w:hAnsi="Arial Narrow" w:cs="Arial"/>
                <w:b/>
                <w:bCs/>
                <w:sz w:val="16"/>
                <w:szCs w:val="16"/>
              </w:rPr>
              <w:t xml:space="preserve"> </w:t>
            </w:r>
            <w:r w:rsidRPr="003C6CC8">
              <w:rPr>
                <w:rFonts w:ascii="Arial Narrow" w:hAnsi="Arial Narrow" w:cs="Arial"/>
                <w:b/>
                <w:bCs/>
                <w:sz w:val="16"/>
                <w:szCs w:val="16"/>
              </w:rPr>
              <w:t>Daily</w:t>
            </w:r>
            <w:r w:rsidR="001C7C7E">
              <w:rPr>
                <w:rFonts w:ascii="Arial Narrow" w:hAnsi="Arial Narrow" w:cs="Arial"/>
                <w:b/>
                <w:bCs/>
                <w:sz w:val="16"/>
                <w:szCs w:val="16"/>
              </w:rPr>
              <w:t xml:space="preserve"> </w:t>
            </w:r>
            <w:r w:rsidRPr="003C6CC8">
              <w:rPr>
                <w:rFonts w:ascii="Arial Narrow" w:hAnsi="Arial Narrow" w:cs="Arial"/>
                <w:b/>
                <w:bCs/>
                <w:sz w:val="16"/>
                <w:szCs w:val="16"/>
              </w:rPr>
              <w:t>price</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Big Yellow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496.0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535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7.9%</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461.7</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7.4%</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British Land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702.5</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790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12.5%</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0.0</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0.7%</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#DIV/0!</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Capital &amp; Counties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325.7</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365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12.1%</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271.6</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5.9%</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19.9%</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Capital &amp; Regional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46.0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49</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6.5%</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59.1</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-22.2%</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Intu Properties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311.6</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305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-2.1%</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374.7</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-1.3%</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-16.8%</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Derwent London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2,679.0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2,950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10.1%</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2,349.1</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3.1%</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14.0%</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Development Secs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213.5</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280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31.1%</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280.0</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1.3%</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-23.8%</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Grainger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210.2</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235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11.8%</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241.7</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-13.0%</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Great Portland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644.0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680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5.6%</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640.7</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0.5%</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Hammerson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580.0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570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-1.7%</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587.1</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-0.4%</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Helical Bar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350.0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365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4.3%</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343.2</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2.6%</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2.0%</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Land Securities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1,036.0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1,200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15.8%</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1,143.2</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1.4%</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-9.4%</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LXB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125.0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130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4.0%</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129.7</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2.4%</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-3.7%</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LondonMetric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135.1</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155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14.7%</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172.2</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-0.4%</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-21.5%</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Quintain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88.5</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130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46.9%</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140.0</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-1.1%</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-36.8%</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SEGRO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345.2</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370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7.2%</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337.8</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1.3%</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2.2%</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Shaftesbury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656.0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670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2.1%</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548.1</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3.3%</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19.7%</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Songbird Estates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251.8</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270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7.2%</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273.1</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-0.4%</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-7.8%</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St. Modwen Properties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358.6</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425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18.5%</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301.6</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4.1%</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18.9%</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Unite Group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394.0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450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14.2%</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422.3</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-6.7%</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Workspace Group (p)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570.0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630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10.5%</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630.3</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4.2%</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-9.6%</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alstria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9.6</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11</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12.1%</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10.9</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-0.2%</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-11.9%</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Beni Stabili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0.7</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-10.4%</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0.8</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-3.7%</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-18.3%</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Cofinimmo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91.0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93</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2.2%</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93.7</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-0.2%</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-2.9%</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conwert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8.7</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12.4%</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15.8</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-5.7%</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-45.1%</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Corio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37.3</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35</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-7.5%</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39.6</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-5.8%</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Deutsche Annington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21.5</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24</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9.4%</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21.3</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1.1%</w:t>
            </w:r>
          </w:p>
        </w:tc>
      </w:tr>
      <w:tr w:rsidR="006479CC" w:rsidRPr="005A26EA" w:rsidTr="00082C22">
        <w:trPr>
          <w:cantSplit/>
          <w:trHeight w:val="70"/>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Deutsche EuroShop</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36.1</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36</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-1.7%</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29.5</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22.2%</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Deutsche Wohnen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15.8</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17</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7.9%</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14.5</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2.0%</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8.5%</w:t>
            </w:r>
          </w:p>
        </w:tc>
      </w:tr>
      <w:tr w:rsidR="006479CC" w:rsidRPr="005A26EA" w:rsidTr="00082C22">
        <w:trPr>
          <w:cantSplit/>
        </w:trPr>
        <w:tc>
          <w:tcPr>
            <w:tcW w:w="2081" w:type="dxa"/>
            <w:tcBorders>
              <w:top w:val="single" w:sz="4" w:space="0" w:color="auto"/>
              <w:bottom w:val="single" w:sz="4" w:space="0" w:color="auto"/>
            </w:tcBorders>
            <w:vAlign w:val="bottom"/>
          </w:tcPr>
          <w:p w:rsidR="006479CC" w:rsidRDefault="006479CC">
            <w:pPr>
              <w:rPr>
                <w:rFonts w:ascii="Arial Narrow" w:hAnsi="Arial Narrow" w:cs="Arial"/>
                <w:sz w:val="16"/>
                <w:szCs w:val="16"/>
              </w:rPr>
            </w:pPr>
            <w:r>
              <w:rPr>
                <w:rFonts w:ascii="Arial Narrow" w:hAnsi="Arial Narrow" w:cs="Arial"/>
                <w:sz w:val="16"/>
                <w:szCs w:val="16"/>
              </w:rPr>
              <w:t>Eurocommercial Pr (€)</w:t>
            </w:r>
          </w:p>
        </w:tc>
        <w:tc>
          <w:tcPr>
            <w:tcW w:w="52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36.0</w:t>
            </w:r>
          </w:p>
        </w:tc>
        <w:tc>
          <w:tcPr>
            <w:tcW w:w="134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32</w:t>
            </w:r>
          </w:p>
        </w:tc>
        <w:tc>
          <w:tcPr>
            <w:tcW w:w="1261"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-11.2%</w:t>
            </w:r>
          </w:p>
        </w:tc>
        <w:tc>
          <w:tcPr>
            <w:tcW w:w="978"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32.8</w:t>
            </w:r>
          </w:p>
        </w:tc>
        <w:tc>
          <w:tcPr>
            <w:tcW w:w="1357"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0.1%</w:t>
            </w:r>
          </w:p>
        </w:tc>
        <w:tc>
          <w:tcPr>
            <w:tcW w:w="1645" w:type="dxa"/>
            <w:tcBorders>
              <w:top w:val="single" w:sz="4" w:space="0" w:color="auto"/>
              <w:bottom w:val="single" w:sz="4" w:space="0" w:color="auto"/>
            </w:tcBorders>
            <w:vAlign w:val="bottom"/>
          </w:tcPr>
          <w:p w:rsidR="006479CC" w:rsidRDefault="006479CC">
            <w:pPr>
              <w:jc w:val="right"/>
              <w:rPr>
                <w:rFonts w:ascii="Arial Narrow" w:hAnsi="Arial Narrow" w:cs="Arial"/>
                <w:sz w:val="16"/>
                <w:szCs w:val="16"/>
              </w:rPr>
            </w:pPr>
            <w:r>
              <w:rPr>
                <w:rFonts w:ascii="Arial Narrow" w:hAnsi="Arial Narrow" w:cs="Arial"/>
                <w:sz w:val="16"/>
                <w:szCs w:val="16"/>
              </w:rPr>
              <w:t>9.7%</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Fonciere des Regions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79.2</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65</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-17.9%</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71.1</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-1.7%</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11.3%</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GAGFAH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13.2</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12</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-13.0%</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12.9</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-0.7%</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2.8%</w:t>
            </w:r>
          </w:p>
        </w:tc>
      </w:tr>
      <w:tr w:rsidR="006479CC" w:rsidRPr="005A26EA" w:rsidTr="00825A0D">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Grand City</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9.2</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10</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6.2%</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7.6</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5.0%</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20.5%</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IGD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1.3</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-29.5%</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1.4</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-6.6%</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-8.5%</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IVG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0.0</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0</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66.7%</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1.8</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-5.5%</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-99.7%</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Klepierre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37.2</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35</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-6.0%</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32.8</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0.9%</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13.4%</w:t>
            </w:r>
          </w:p>
        </w:tc>
      </w:tr>
      <w:tr w:rsidR="006479CC" w:rsidRPr="005A26EA" w:rsidTr="00082C22">
        <w:trPr>
          <w:cantSplit/>
          <w:trHeight w:val="95"/>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LEG Immobilien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49.2</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54</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9.8%</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45.8</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1.1%</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7.5%</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PATRIZIA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9.7</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8</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-22.5%</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6.3</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10.6%</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53.7%</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PSP Swiss (SF)</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83.5</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87</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4.2%</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92.4</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-0.7%</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-9.6%</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REALIA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UW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1.5</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-58.8%</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1.5</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-0.5%</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2.8%</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Unibail-Rodamco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OW</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212.5</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205</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-3.5%</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169.3</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3.2%</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25.5%</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VastNed Retail (€)</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37.2</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35</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-7.2%</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41.9</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-2.2%</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-11.2%</w:t>
            </w:r>
          </w:p>
        </w:tc>
      </w:tr>
      <w:tr w:rsidR="006479CC" w:rsidRPr="005A26EA" w:rsidTr="00082C22">
        <w:trPr>
          <w:cantSplit/>
        </w:trPr>
        <w:tc>
          <w:tcPr>
            <w:tcW w:w="2081" w:type="dxa"/>
            <w:tcBorders>
              <w:top w:val="single" w:sz="4" w:space="0" w:color="auto"/>
              <w:bottom w:val="single" w:sz="4" w:space="0" w:color="auto"/>
            </w:tcBorders>
            <w:shd w:val="clear" w:color="auto" w:fill="auto"/>
            <w:vAlign w:val="bottom"/>
          </w:tcPr>
          <w:p w:rsidR="006479CC" w:rsidRDefault="006479CC">
            <w:pPr>
              <w:rPr>
                <w:rFonts w:ascii="Arial Narrow" w:hAnsi="Arial Narrow" w:cs="Arial"/>
                <w:sz w:val="16"/>
                <w:szCs w:val="16"/>
              </w:rPr>
            </w:pPr>
            <w:r>
              <w:rPr>
                <w:rFonts w:ascii="Arial Narrow" w:hAnsi="Arial Narrow" w:cs="Arial"/>
                <w:sz w:val="16"/>
                <w:szCs w:val="16"/>
              </w:rPr>
              <w:t>Wereldhave</w:t>
            </w:r>
          </w:p>
        </w:tc>
        <w:tc>
          <w:tcPr>
            <w:tcW w:w="52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N</w:t>
            </w:r>
          </w:p>
        </w:tc>
        <w:tc>
          <w:tcPr>
            <w:tcW w:w="983"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67.9</w:t>
            </w:r>
          </w:p>
        </w:tc>
        <w:tc>
          <w:tcPr>
            <w:tcW w:w="134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64</w:t>
            </w:r>
          </w:p>
        </w:tc>
        <w:tc>
          <w:tcPr>
            <w:tcW w:w="1261"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-5.7%</w:t>
            </w:r>
          </w:p>
        </w:tc>
        <w:tc>
          <w:tcPr>
            <w:tcW w:w="978"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62.9</w:t>
            </w:r>
          </w:p>
        </w:tc>
        <w:tc>
          <w:tcPr>
            <w:tcW w:w="1357"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-0.1%</w:t>
            </w:r>
          </w:p>
        </w:tc>
        <w:tc>
          <w:tcPr>
            <w:tcW w:w="1645" w:type="dxa"/>
            <w:tcBorders>
              <w:top w:val="single" w:sz="4" w:space="0" w:color="auto"/>
              <w:bottom w:val="single" w:sz="4" w:space="0" w:color="auto"/>
            </w:tcBorders>
            <w:shd w:val="clear" w:color="auto" w:fill="auto"/>
            <w:vAlign w:val="bottom"/>
          </w:tcPr>
          <w:p w:rsidR="006479CC" w:rsidRDefault="006479CC">
            <w:pPr>
              <w:jc w:val="right"/>
              <w:rPr>
                <w:rFonts w:ascii="Arial Narrow" w:hAnsi="Arial Narrow" w:cs="Arial"/>
                <w:sz w:val="16"/>
                <w:szCs w:val="16"/>
              </w:rPr>
            </w:pPr>
            <w:r>
              <w:rPr>
                <w:rFonts w:ascii="Arial Narrow" w:hAnsi="Arial Narrow" w:cs="Arial"/>
                <w:sz w:val="16"/>
                <w:szCs w:val="16"/>
              </w:rPr>
              <w:t>8.0%</w:t>
            </w:r>
          </w:p>
        </w:tc>
      </w:tr>
    </w:tbl>
    <w:p w:rsidR="00B11ED5" w:rsidRDefault="002E187C" w:rsidP="002E187C">
      <w:pPr>
        <w:pStyle w:val="Source"/>
        <w:spacing w:after="0"/>
        <w:ind w:left="-3125"/>
      </w:pPr>
      <w:r w:rsidRPr="005A26EA">
        <w:t>Source:</w:t>
      </w:r>
      <w:r w:rsidR="001C7C7E">
        <w:t xml:space="preserve"> </w:t>
      </w:r>
      <w:r w:rsidRPr="005A26EA">
        <w:t>Datastream,</w:t>
      </w:r>
      <w:r w:rsidR="001C7C7E">
        <w:t xml:space="preserve"> </w:t>
      </w:r>
      <w:r w:rsidRPr="005A26EA">
        <w:t>Company</w:t>
      </w:r>
      <w:r w:rsidR="001C7C7E">
        <w:t xml:space="preserve"> </w:t>
      </w:r>
      <w:r w:rsidRPr="005A26EA">
        <w:t>Data,</w:t>
      </w:r>
      <w:r w:rsidR="001C7C7E">
        <w:t xml:space="preserve"> </w:t>
      </w:r>
      <w:r w:rsidRPr="005A26EA">
        <w:t>J.P.</w:t>
      </w:r>
      <w:r w:rsidR="001C7C7E">
        <w:t xml:space="preserve"> </w:t>
      </w:r>
      <w:r w:rsidRPr="005A26EA">
        <w:t>Morgan</w:t>
      </w:r>
      <w:r w:rsidR="001C7C7E">
        <w:t xml:space="preserve"> </w:t>
      </w:r>
      <w:r>
        <w:t>estimates</w:t>
      </w:r>
    </w:p>
    <w:p w:rsidR="002E187C" w:rsidRDefault="002E187C" w:rsidP="00096996">
      <w:pPr>
        <w:pStyle w:val="Body"/>
      </w:pPr>
    </w:p>
    <w:p w:rsidR="002E187C" w:rsidRDefault="002E187C" w:rsidP="00096996">
      <w:pPr>
        <w:pStyle w:val="Body"/>
      </w:pPr>
    </w:p>
    <w:p w:rsidR="002E187C" w:rsidRDefault="002E187C" w:rsidP="00096996">
      <w:pPr>
        <w:pStyle w:val="Body"/>
      </w:pPr>
    </w:p>
    <w:p w:rsidR="002E187C" w:rsidRDefault="002E187C" w:rsidP="00096996">
      <w:pPr>
        <w:pStyle w:val="Body"/>
        <w:sectPr w:rsidR="002E187C" w:rsidSect="00096996">
          <w:headerReference w:type="first" r:id="rId34"/>
          <w:footerReference w:type="first" r:id="rId35"/>
          <w:pgSz w:w="12240" w:h="15840" w:code="1"/>
          <w:pgMar w:top="2376" w:right="1138" w:bottom="936" w:left="4248" w:header="936" w:footer="576" w:gutter="0"/>
          <w:cols w:space="720"/>
          <w:formProt w:val="0"/>
          <w:docGrid w:linePitch="360"/>
        </w:sectPr>
      </w:pPr>
    </w:p>
    <w:bookmarkStart w:id="0" w:name="_LegalDisclosure" w:displacedByCustomXml="next"/>
    <w:sdt>
      <w:sdtPr>
        <w:rPr>
          <w:sz w:val="20"/>
        </w:rPr>
        <w:alias w:val="DISCLOSURE"/>
        <w:tag w:val="DISCLOSURE"/>
        <w:id w:val="166324026"/>
        <w:lock w:val="sdtContentLocked"/>
        <w:placeholder>
          <w:docPart w:val="CBE9CE9C616140899B8D1108CC54FCDE"/>
        </w:placeholder>
      </w:sdtPr>
      <w:sdtContent>
        <w:p w:rsidR="005C3F4E" w:rsidRDefault="005C3F4E">
          <w:pPr>
            <w:divId w:val="1434740933"/>
            <w:rPr>
              <w:rFonts w:eastAsia="Times New Roman"/>
              <w:sz w:val="12"/>
              <w:szCs w:val="12"/>
            </w:rPr>
          </w:pPr>
        </w:p>
        <w:p w:rsidR="005C3F4E" w:rsidRDefault="005C3F4E">
          <w:pPr>
            <w:divId w:val="1074862597"/>
            <w:rPr>
              <w:rFonts w:eastAsia="Times New Roman"/>
              <w:sz w:val="18"/>
              <w:szCs w:val="18"/>
            </w:rPr>
          </w:pPr>
          <w:r>
            <w:rPr>
              <w:rFonts w:eastAsia="Times New Roman"/>
              <w:b/>
              <w:bCs/>
              <w:sz w:val="20"/>
              <w:szCs w:val="20"/>
            </w:rPr>
            <w:t xml:space="preserve">Companies Discussed in This Report </w:t>
          </w:r>
          <w:r>
            <w:rPr>
              <w:rFonts w:eastAsia="Times New Roman"/>
              <w:sz w:val="20"/>
              <w:szCs w:val="20"/>
            </w:rPr>
            <w:t>(all prices in this report as of market close on 30 June 2014)</w:t>
          </w:r>
          <w:r>
            <w:rPr>
              <w:rFonts w:eastAsia="Times New Roman"/>
              <w:sz w:val="20"/>
              <w:szCs w:val="20"/>
            </w:rPr>
            <w:br/>
            <w:t xml:space="preserve">SEGRO (SGRO.L/345p/Overweight), St. Modwen Pr (SMP.L/359p/Overweight) </w:t>
          </w:r>
        </w:p>
        <w:p w:rsidR="005C3F4E" w:rsidRDefault="005C3F4E">
          <w:pPr>
            <w:divId w:val="42297830"/>
            <w:rPr>
              <w:rFonts w:eastAsia="Times New Roman"/>
              <w:sz w:val="12"/>
              <w:szCs w:val="12"/>
            </w:rPr>
          </w:pPr>
        </w:p>
        <w:p w:rsidR="005C3F4E" w:rsidRDefault="005C3F4E">
          <w:pPr>
            <w:divId w:val="1074862597"/>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5C3F4E" w:rsidRDefault="005C3F4E">
          <w:pPr>
            <w:divId w:val="1289624295"/>
            <w:rPr>
              <w:rFonts w:eastAsia="Times New Roman"/>
              <w:sz w:val="12"/>
              <w:szCs w:val="12"/>
            </w:rPr>
          </w:pPr>
        </w:p>
        <w:p w:rsidR="005C3F4E" w:rsidRDefault="005C3F4E" w:rsidP="005C3F4E">
          <w:pPr>
            <w:divId w:val="1074862597"/>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5C3F4E" w:rsidRDefault="005C3F4E" w:rsidP="005C3F4E">
          <w:pPr>
            <w:spacing w:line="100" w:lineRule="auto"/>
            <w:divId w:val="1074862597"/>
            <w:rPr>
              <w:rFonts w:eastAsia="Times New Roman"/>
              <w:sz w:val="20"/>
              <w:szCs w:val="20"/>
            </w:rPr>
          </w:pPr>
          <w:r>
            <w:rPr>
              <w:rFonts w:eastAsia="Times New Roman"/>
              <w:sz w:val="20"/>
              <w:szCs w:val="20"/>
            </w:rPr>
            <w:pict>
              <v:rect id="_x0000_i1031" style="width:0;height:.55pt" o:hralign="center" o:hrstd="t" o:hrnoshade="t" o:hr="t" fillcolor="black" stroked="f"/>
            </w:pict>
          </w:r>
        </w:p>
        <w:p w:rsidR="005C3F4E" w:rsidRDefault="005C3F4E" w:rsidP="005C3F4E">
          <w:pPr>
            <w:divId w:val="2028286424"/>
            <w:rPr>
              <w:rFonts w:eastAsia="Times New Roman"/>
              <w:sz w:val="12"/>
              <w:szCs w:val="12"/>
            </w:rPr>
          </w:pP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Liquidity Provider: </w:t>
          </w:r>
          <w:r>
            <w:rPr>
              <w:rFonts w:eastAsia="Times New Roman"/>
              <w:sz w:val="18"/>
              <w:szCs w:val="18"/>
            </w:rPr>
            <w:t>J.P. Morgan Securities plc and/or an affiliate is a market maker and/or liquidity provider in St. Modwen Pr, SEGRO.</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Lead or Co-manager: </w:t>
          </w:r>
          <w:r>
            <w:rPr>
              <w:rFonts w:eastAsia="Times New Roman"/>
              <w:sz w:val="18"/>
              <w:szCs w:val="18"/>
            </w:rPr>
            <w:t>J.P. Morgan acted as lead or co-manager in a public offering of equity and/or debt securities for St. Modwen Pr, SEGRO within the past 12 months.</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Client:</w:t>
          </w:r>
          <w:r>
            <w:rPr>
              <w:rFonts w:eastAsia="Times New Roman"/>
              <w:sz w:val="18"/>
              <w:szCs w:val="18"/>
            </w:rPr>
            <w:t xml:space="preserve"> J.P. Morgan currently has, or had within the past 12 months, the following company(ies) as clients: St. Modwen Pr, SEGRO.</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Client/Investment Banking: </w:t>
          </w:r>
          <w:r>
            <w:rPr>
              <w:rFonts w:eastAsia="Times New Roman"/>
              <w:sz w:val="18"/>
              <w:szCs w:val="18"/>
            </w:rPr>
            <w:t>J.P. Morgan currently has, or had within the past 12 months, the following company(ies) as investment banking clients: St. Modwen Pr, SEGRO.</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Client/Non-Investment Banking, Securities-Related: </w:t>
          </w:r>
          <w:r>
            <w:rPr>
              <w:rFonts w:eastAsia="Times New Roman"/>
              <w:sz w:val="18"/>
              <w:szCs w:val="18"/>
            </w:rPr>
            <w:t>J.P. Morgan currently has, or had within the past 12 months, the following company(ies) as clients, and the services provided were non-investment-banking, securities-related: SEGRO.</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Client/Non-Securities-Related: </w:t>
          </w:r>
          <w:r>
            <w:rPr>
              <w:rFonts w:eastAsia="Times New Roman"/>
              <w:sz w:val="18"/>
              <w:szCs w:val="18"/>
            </w:rPr>
            <w:t>J.P. Morgan currently has, or had within the past 12 months, the following company(ies) as clients, and the services provided were non-securities-related: SEGRO.</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(past 12 months):</w:t>
          </w:r>
          <w:r>
            <w:rPr>
              <w:rFonts w:eastAsia="Times New Roman"/>
              <w:sz w:val="18"/>
              <w:szCs w:val="18"/>
            </w:rPr>
            <w:t xml:space="preserve"> J.P. Morgan received in the past 12 months compensation from investment banking St. Modwen Pr, SEGRO.</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(next 3 months):</w:t>
          </w:r>
          <w:r>
            <w:rPr>
              <w:rFonts w:eastAsia="Times New Roman"/>
              <w:sz w:val="18"/>
              <w:szCs w:val="18"/>
            </w:rPr>
            <w:t xml:space="preserve"> J.P. Morgan expects to receive, or intends to seek, compensation for investment banking services in the next three months from St. Modwen Pr, SEGRO.</w:t>
          </w:r>
        </w:p>
        <w:p w:rsidR="005C3F4E" w:rsidRDefault="005C3F4E">
          <w:pPr>
            <w:divId w:val="1074862597"/>
            <w:rPr>
              <w:rFonts w:eastAsia="Times New Roman"/>
            </w:rPr>
          </w:pPr>
          <w:r>
            <w:rPr>
              <w:rFonts w:eastAsia="Times New Roman" w:hAnsi="Symbol"/>
            </w:rPr>
            <w:t></w:t>
          </w:r>
          <w:r>
            <w:rPr>
              <w:rFonts w:eastAsia="Times New Roman"/>
            </w:rPr>
            <w:t xml:space="preserve">  </w:t>
          </w:r>
          <w:r>
            <w:rPr>
              <w:rFonts w:eastAsia="Times New Roman"/>
              <w:b/>
              <w:bCs/>
              <w:sz w:val="18"/>
              <w:szCs w:val="18"/>
            </w:rPr>
            <w:t>Non-Investment Banking Compensation:</w:t>
          </w:r>
          <w:r>
            <w:rPr>
              <w:rFonts w:eastAsia="Times New Roman"/>
              <w:sz w:val="18"/>
              <w:szCs w:val="18"/>
            </w:rPr>
            <w:t xml:space="preserve"> J.P. Morgan has received compensation in the past 12 months for products or services other than investment banking from SEGRO.</w:t>
          </w:r>
        </w:p>
        <w:p w:rsidR="005C3F4E" w:rsidRDefault="005C3F4E">
          <w:pPr>
            <w:divId w:val="1074862597"/>
            <w:rPr>
              <w:rFonts w:eastAsia="Times New Roman"/>
              <w:b/>
              <w:bCs/>
              <w:sz w:val="18"/>
              <w:szCs w:val="18"/>
            </w:rPr>
          </w:pPr>
          <w:r>
            <w:rPr>
              <w:rFonts w:eastAsia="Times New Roman" w:hAnsi="Symbol"/>
            </w:rPr>
            <w:t></w:t>
          </w:r>
          <w:r>
            <w:rPr>
              <w:rFonts w:eastAsia="Times New Roman"/>
            </w:rPr>
            <w:t xml:space="preserve">  </w:t>
          </w:r>
          <w:r>
            <w:rPr>
              <w:rFonts w:eastAsia="Times New Roman"/>
              <w:b/>
              <w:bCs/>
              <w:sz w:val="18"/>
              <w:szCs w:val="18"/>
            </w:rPr>
            <w:t>Broker:</w:t>
          </w:r>
          <w:r>
            <w:rPr>
              <w:rFonts w:eastAsia="Times New Roman"/>
              <w:sz w:val="18"/>
              <w:szCs w:val="18"/>
            </w:rPr>
            <w:t xml:space="preserve"> J.P. Morgan Securities plc acts as Corporate Broker to St. Modwen Pr.</w:t>
          </w:r>
        </w:p>
        <w:p w:rsidR="005C3F4E" w:rsidRDefault="005C3F4E">
          <w:pPr>
            <w:divId w:val="1252397918"/>
            <w:rPr>
              <w:rFonts w:eastAsia="Times New Roman"/>
              <w:b/>
              <w:bCs/>
              <w:sz w:val="12"/>
              <w:szCs w:val="12"/>
            </w:rPr>
          </w:pPr>
        </w:p>
        <w:p w:rsidR="005C3F4E" w:rsidRDefault="005C3F4E">
          <w:pPr>
            <w:divId w:val="1074862597"/>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36"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37"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38" w:history="1">
            <w:r>
              <w:rPr>
                <w:rStyle w:val="Hyperlink"/>
                <w:rFonts w:eastAsia="Times New Roman"/>
                <w:sz w:val="18"/>
                <w:szCs w:val="18"/>
              </w:rPr>
              <w:t>research.disclosure.inquiries@jpmorgan.com</w:t>
            </w:r>
          </w:hyperlink>
          <w:r>
            <w:rPr>
              <w:rFonts w:eastAsia="Times New Roman"/>
              <w:sz w:val="18"/>
              <w:szCs w:val="18"/>
            </w:rPr>
            <w:t>.</w:t>
          </w:r>
        </w:p>
        <w:p w:rsidR="005C3F4E" w:rsidRDefault="005C3F4E">
          <w:pPr>
            <w:divId w:val="120150771"/>
            <w:rPr>
              <w:rFonts w:eastAsia="Times New Roman"/>
              <w:sz w:val="12"/>
              <w:szCs w:val="12"/>
            </w:rPr>
          </w:pPr>
        </w:p>
        <w:tbl>
          <w:tblPr>
            <w:tblW w:w="0" w:type="auto"/>
            <w:tblCellSpacing w:w="15" w:type="dxa"/>
            <w:tblCellMar>
              <w:top w:w="15" w:type="dxa"/>
              <w:left w:w="15" w:type="dxa"/>
              <w:bottom w:w="15" w:type="dxa"/>
              <w:right w:w="15" w:type="dxa"/>
            </w:tblCellMar>
            <w:tblLook w:val="04A0"/>
          </w:tblPr>
          <w:tblGrid>
            <w:gridCol w:w="6841"/>
            <w:gridCol w:w="3228"/>
          </w:tblGrid>
          <w:tr w:rsidR="005C3F4E">
            <w:trPr>
              <w:divId w:val="1074862597"/>
              <w:tblCellSpacing w:w="15" w:type="dxa"/>
            </w:trPr>
            <w:tc>
              <w:tcPr>
                <w:tcW w:w="0" w:type="auto"/>
                <w:vAlign w:val="center"/>
                <w:hideMark/>
              </w:tcPr>
              <w:p w:rsidR="005C3F4E" w:rsidRDefault="005C3F4E">
                <w:pPr>
                  <w:rPr>
                    <w:rFonts w:eastAsia="Times New Roman"/>
                  </w:rPr>
                </w:pPr>
                <w:r>
                  <w:rPr>
                    <w:rFonts w:eastAsia="Times New Roman"/>
                    <w:noProof/>
                  </w:rPr>
                  <w:lastRenderedPageBreak/>
                  <w:drawing>
                    <wp:inline distT="0" distB="0" distL="0" distR="0">
                      <wp:extent cx="4343400" cy="2743200"/>
                      <wp:effectExtent l="19050" t="0" r="0" b="0"/>
                      <wp:docPr id="2" name="Picture 2" descr="http://gps-app.emea.jpmchase.net:6080/server/console/chart/?shareClassId=1001288&amp;shareClassServerId=1&amp;chartDesignation=1&amp;actionType=CHART&amp;isAdr=false&amp;isUSDTranslation=false&amp;cos=false&amp;imageTypeId=4&amp;chartHeight=288&amp;chartWidth=456&amp;svrTs=140420196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ps-app.emea.jpmchase.net:6080/server/console/chart/?shareClassId=1001288&amp;shareClassServerId=1&amp;chartDesignation=1&amp;actionType=CHART&amp;isAdr=false&amp;isUSDTranslation=false&amp;cos=false&amp;imageTypeId=4&amp;chartHeight=288&amp;chartWidth=456&amp;svrTs=1404201962149"/>
                              <pic:cNvPicPr>
                                <a:picLocks noChangeAspect="1" noChangeArrowheads="1"/>
                              </pic:cNvPicPr>
                            </pic:nvPicPr>
                            <pic:blipFill>
                              <a:blip r:embed="rId39"/>
                              <a:srcRect/>
                              <a:stretch>
                                <a:fillRect/>
                              </a:stretch>
                            </pic:blipFill>
                            <pic:spPr bwMode="auto">
                              <a:xfrm>
                                <a:off x="0" y="0"/>
                                <a:ext cx="4343400" cy="2743200"/>
                              </a:xfrm>
                              <a:prstGeom prst="rect">
                                <a:avLst/>
                              </a:prstGeom>
                              <a:noFill/>
                              <a:ln w="9525">
                                <a:noFill/>
                                <a:miter lim="800000"/>
                                <a:headEnd/>
                                <a:tailEnd/>
                              </a:ln>
                            </pic:spPr>
                          </pic:pic>
                        </a:graphicData>
                      </a:graphic>
                    </wp:inline>
                  </w:drawing>
                </w:r>
              </w:p>
            </w:tc>
            <w:tc>
              <w:tcPr>
                <w:tcW w:w="0" w:type="auto"/>
                <w:vAlign w:val="center"/>
                <w:hideMark/>
              </w:tcPr>
              <w:tbl>
                <w:tblPr>
                  <w:tblpPr w:leftFromText="45" w:rightFromText="45" w:vertAnchor="text"/>
                  <w:tblW w:w="3198" w:type="dxa"/>
                  <w:tblCellMar>
                    <w:left w:w="0" w:type="dxa"/>
                    <w:right w:w="0" w:type="dxa"/>
                  </w:tblCellMar>
                  <w:tblLook w:val="04A0"/>
                </w:tblPr>
                <w:tblGrid>
                  <w:gridCol w:w="779"/>
                  <w:gridCol w:w="564"/>
                  <w:gridCol w:w="905"/>
                  <w:gridCol w:w="905"/>
                </w:tblGrid>
                <w:tr w:rsidR="005C3F4E">
                  <w:tc>
                    <w:tcPr>
                      <w:tcW w:w="790" w:type="dxa"/>
                      <w:tcBorders>
                        <w:top w:val="single" w:sz="8" w:space="0" w:color="auto"/>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Date</w:t>
                      </w:r>
                    </w:p>
                  </w:tc>
                  <w:tc>
                    <w:tcPr>
                      <w:tcW w:w="572" w:type="dxa"/>
                      <w:tcBorders>
                        <w:top w:val="single" w:sz="8" w:space="0" w:color="auto"/>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Rating</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Share Price (p)</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Price Target (p)</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10-Mar-10</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197</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240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01-Sep-10</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166</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200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07-Dec-10</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140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200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30-Jun-11</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185</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230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30-Aug-11</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130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200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11-Jan-12</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112</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180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15-Mar-12</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162</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210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08-Aug-12</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188</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220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04-Sep-12</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200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235</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08-Jan-13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241</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260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08-Feb-13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254</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290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10-May-13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286</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320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07-Jun-13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282</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325</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02-Sep-13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304</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350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08-Oct-13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309</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375</w:t>
                      </w:r>
                    </w:p>
                  </w:tc>
                </w:tr>
                <w:tr w:rsidR="005C3F4E">
                  <w:tc>
                    <w:tcPr>
                      <w:tcW w:w="790"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14-Jan-14</w:t>
                      </w:r>
                    </w:p>
                  </w:tc>
                  <w:tc>
                    <w:tcPr>
                      <w:tcW w:w="572"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393</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425</w:t>
                      </w:r>
                    </w:p>
                  </w:tc>
                </w:tr>
              </w:tbl>
              <w:p w:rsidR="005C3F4E" w:rsidRDefault="005C3F4E">
                <w:pPr>
                  <w:rPr>
                    <w:rFonts w:eastAsia="Times New Roman"/>
                  </w:rPr>
                </w:pPr>
              </w:p>
            </w:tc>
          </w:tr>
        </w:tbl>
        <w:p w:rsidR="005C3F4E" w:rsidRDefault="005C3F4E">
          <w:pPr>
            <w:divId w:val="1074862597"/>
            <w:rPr>
              <w:rFonts w:eastAsia="Times New Roman"/>
              <w:vanish/>
              <w:sz w:val="18"/>
              <w:szCs w:val="18"/>
            </w:rPr>
          </w:pPr>
        </w:p>
        <w:tbl>
          <w:tblPr>
            <w:tblW w:w="0" w:type="auto"/>
            <w:tblCellSpacing w:w="15" w:type="dxa"/>
            <w:tblCellMar>
              <w:top w:w="15" w:type="dxa"/>
              <w:left w:w="15" w:type="dxa"/>
              <w:bottom w:w="15" w:type="dxa"/>
              <w:right w:w="15" w:type="dxa"/>
            </w:tblCellMar>
            <w:tblLook w:val="04A0"/>
          </w:tblPr>
          <w:tblGrid>
            <w:gridCol w:w="6841"/>
            <w:gridCol w:w="3228"/>
          </w:tblGrid>
          <w:tr w:rsidR="005C3F4E">
            <w:trPr>
              <w:divId w:val="1074862597"/>
              <w:tblCellSpacing w:w="15" w:type="dxa"/>
            </w:trPr>
            <w:tc>
              <w:tcPr>
                <w:tcW w:w="0" w:type="auto"/>
                <w:vAlign w:val="center"/>
                <w:hideMark/>
              </w:tcPr>
              <w:p w:rsidR="005C3F4E" w:rsidRDefault="005C3F4E">
                <w:pPr>
                  <w:rPr>
                    <w:rFonts w:eastAsia="Times New Roman"/>
                  </w:rPr>
                </w:pPr>
                <w:r>
                  <w:rPr>
                    <w:rFonts w:eastAsia="Times New Roman"/>
                    <w:noProof/>
                  </w:rPr>
                  <w:drawing>
                    <wp:inline distT="0" distB="0" distL="0" distR="0">
                      <wp:extent cx="4343400" cy="2743200"/>
                      <wp:effectExtent l="19050" t="0" r="0" b="0"/>
                      <wp:docPr id="4" name="Picture 3" descr="http://gps-app.emea.jpmchase.net:6080/server/console/chart/?shareClassId=450&amp;shareClassServerId=1&amp;chartDesignation=1&amp;actionType=CHART&amp;isAdr=false&amp;isUSDTranslation=false&amp;cos=false&amp;imageTypeId=4&amp;chartHeight=288&amp;chartWidth=456&amp;svrTs=140420196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ps-app.emea.jpmchase.net:6080/server/console/chart/?shareClassId=450&amp;shareClassServerId=1&amp;chartDesignation=1&amp;actionType=CHART&amp;isAdr=false&amp;isUSDTranslation=false&amp;cos=false&amp;imageTypeId=4&amp;chartHeight=288&amp;chartWidth=456&amp;svrTs=1404201962149"/>
                              <pic:cNvPicPr>
                                <a:picLocks noChangeAspect="1" noChangeArrowheads="1"/>
                              </pic:cNvPicPr>
                            </pic:nvPicPr>
                            <pic:blipFill>
                              <a:blip r:embed="rId40"/>
                              <a:srcRect/>
                              <a:stretch>
                                <a:fillRect/>
                              </a:stretch>
                            </pic:blipFill>
                            <pic:spPr bwMode="auto">
                              <a:xfrm>
                                <a:off x="0" y="0"/>
                                <a:ext cx="4343400" cy="2743200"/>
                              </a:xfrm>
                              <a:prstGeom prst="rect">
                                <a:avLst/>
                              </a:prstGeom>
                              <a:noFill/>
                              <a:ln w="9525">
                                <a:noFill/>
                                <a:miter lim="800000"/>
                                <a:headEnd/>
                                <a:tailEnd/>
                              </a:ln>
                            </pic:spPr>
                          </pic:pic>
                        </a:graphicData>
                      </a:graphic>
                    </wp:inline>
                  </w:drawing>
                </w:r>
              </w:p>
            </w:tc>
            <w:tc>
              <w:tcPr>
                <w:tcW w:w="0" w:type="auto"/>
                <w:vAlign w:val="center"/>
                <w:hideMark/>
              </w:tcPr>
              <w:tbl>
                <w:tblPr>
                  <w:tblpPr w:leftFromText="45" w:rightFromText="45" w:vertAnchor="text"/>
                  <w:tblW w:w="3198" w:type="dxa"/>
                  <w:tblCellMar>
                    <w:left w:w="0" w:type="dxa"/>
                    <w:right w:w="0" w:type="dxa"/>
                  </w:tblCellMar>
                  <w:tblLook w:val="04A0"/>
                </w:tblPr>
                <w:tblGrid>
                  <w:gridCol w:w="779"/>
                  <w:gridCol w:w="564"/>
                  <w:gridCol w:w="905"/>
                  <w:gridCol w:w="905"/>
                </w:tblGrid>
                <w:tr w:rsidR="005C3F4E">
                  <w:tc>
                    <w:tcPr>
                      <w:tcW w:w="790" w:type="dxa"/>
                      <w:tcBorders>
                        <w:top w:val="single" w:sz="8" w:space="0" w:color="auto"/>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Date</w:t>
                      </w:r>
                    </w:p>
                  </w:tc>
                  <w:tc>
                    <w:tcPr>
                      <w:tcW w:w="572" w:type="dxa"/>
                      <w:tcBorders>
                        <w:top w:val="single" w:sz="8" w:space="0" w:color="auto"/>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Rating</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Share Price (p)</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b/>
                          <w:bCs/>
                          <w:sz w:val="14"/>
                          <w:szCs w:val="14"/>
                        </w:rPr>
                        <w:t>Price Target (p)</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08-Nov-06</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1264</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708</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06-Dec-06</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1299</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746</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24-May-07</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1269</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708</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31-Aug-07</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960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573</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03-Sep-07</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984</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573</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07-Dec-07</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835</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508</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15-Jan-08</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830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527</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06-Apr-08</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927</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527</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03-Sep-08</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788</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392</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30-Oct-08</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470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319</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12-Jan-09</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478</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296</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11-Mar-09</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190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210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20-Apr-09</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243</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225</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01-Sep-09</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339</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335</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09-Dec-09</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322</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360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01-Sep-10</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269</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325</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07-Dec-10</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291</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350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30-Aug-11</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254</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350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11-Jan-12</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200</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270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15-Mar-12</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254</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300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01-Jun-12</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213</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270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08-Jan-13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246</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280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06-Mar-13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256</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290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07-Jun-13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276</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310</w:t>
                      </w:r>
                    </w:p>
                  </w:tc>
                </w:tr>
                <w:tr w:rsidR="005C3F4E">
                  <w:tc>
                    <w:tcPr>
                      <w:tcW w:w="790"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02-Sep-13</w:t>
                      </w:r>
                    </w:p>
                  </w:tc>
                  <w:tc>
                    <w:tcPr>
                      <w:tcW w:w="572"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298</w:t>
                      </w:r>
                    </w:p>
                  </w:tc>
                  <w:tc>
                    <w:tcPr>
                      <w:tcW w:w="918" w:type="dxa"/>
                      <w:tcBorders>
                        <w:top w:val="nil"/>
                        <w:left w:val="nil"/>
                        <w:bottom w:val="nil"/>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340</w:t>
                      </w:r>
                    </w:p>
                  </w:tc>
                </w:tr>
                <w:tr w:rsidR="005C3F4E">
                  <w:tc>
                    <w:tcPr>
                      <w:tcW w:w="790"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14-Jan-14</w:t>
                      </w:r>
                    </w:p>
                  </w:tc>
                  <w:tc>
                    <w:tcPr>
                      <w:tcW w:w="572"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OW</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339</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5C3F4E" w:rsidRDefault="005C3F4E">
                      <w:pPr>
                        <w:pStyle w:val="NormalWeb"/>
                        <w:rPr>
                          <w:rFonts w:eastAsiaTheme="minorEastAsia"/>
                        </w:rPr>
                      </w:pPr>
                      <w:r>
                        <w:rPr>
                          <w:rFonts w:ascii="Arial" w:hAnsi="Arial" w:cs="Arial"/>
                          <w:sz w:val="14"/>
                          <w:szCs w:val="14"/>
                        </w:rPr>
                        <w:t>370</w:t>
                      </w:r>
                    </w:p>
                  </w:tc>
                </w:tr>
              </w:tbl>
              <w:p w:rsidR="005C3F4E" w:rsidRDefault="005C3F4E">
                <w:pPr>
                  <w:rPr>
                    <w:rFonts w:eastAsia="Times New Roman"/>
                  </w:rPr>
                </w:pPr>
              </w:p>
            </w:tc>
          </w:tr>
        </w:tbl>
        <w:p w:rsidR="005C3F4E" w:rsidRDefault="005C3F4E">
          <w:pPr>
            <w:divId w:val="1046876445"/>
            <w:rPr>
              <w:rFonts w:eastAsia="Times New Roman"/>
              <w:sz w:val="12"/>
              <w:szCs w:val="12"/>
            </w:rPr>
          </w:pPr>
        </w:p>
        <w:p w:rsidR="005C3F4E" w:rsidRDefault="005C3F4E">
          <w:pPr>
            <w:divId w:val="1074862597"/>
            <w:rPr>
              <w:rFonts w:ascii="Arial" w:eastAsia="Times New Roman" w:hAnsi="Arial" w:cs="Arial"/>
              <w:sz w:val="18"/>
              <w:szCs w:val="18"/>
            </w:rPr>
          </w:pPr>
          <w:r>
            <w:rPr>
              <w:rFonts w:eastAsia="Times New Roman"/>
              <w:sz w:val="18"/>
              <w:szCs w:val="18"/>
            </w:rPr>
            <w:t xml:space="preserve">The chart(s) show J.P. Morgan's continuing coverage of the stocks; the current analysts may or may not have covered it over the entire period. </w:t>
          </w:r>
          <w:r>
            <w:rPr>
              <w:rFonts w:eastAsia="Times New Roman"/>
              <w:sz w:val="18"/>
              <w:szCs w:val="18"/>
            </w:rPr>
            <w:br/>
            <w:t>J.P. Morgan ratings or designations: OW = Overweight, N= Neutral, UW = Underweight, NR = Not Rated</w:t>
          </w:r>
        </w:p>
        <w:p w:rsidR="005C3F4E" w:rsidRDefault="005C3F4E">
          <w:pPr>
            <w:divId w:val="582953858"/>
            <w:rPr>
              <w:rFonts w:eastAsia="Times New Roman"/>
              <w:sz w:val="12"/>
              <w:szCs w:val="12"/>
            </w:rPr>
          </w:pPr>
        </w:p>
        <w:p w:rsidR="005C3F4E" w:rsidRDefault="005C3F4E">
          <w:pPr>
            <w:divId w:val="1074862597"/>
            <w:rPr>
              <w:rFonts w:eastAsia="Times New Roman"/>
              <w:sz w:val="18"/>
              <w:szCs w:val="18"/>
            </w:rPr>
          </w:pPr>
          <w:r>
            <w:rPr>
              <w:rFonts w:eastAsia="Times New Roman"/>
              <w:b/>
              <w:bCs/>
              <w:sz w:val="18"/>
              <w:szCs w:val="18"/>
            </w:rPr>
            <w:t xml:space="preserve">Explanation of Equity Research Ratings, Designations and Analyst(s) Coverage Universe: </w:t>
          </w:r>
          <w:r>
            <w:rPr>
              <w:rFonts w:eastAsia="Times New Roman"/>
              <w:b/>
              <w:bCs/>
              <w:sz w:val="18"/>
              <w:szCs w:val="18"/>
            </w:rPr>
            <w:br/>
          </w:r>
          <w:r>
            <w:rPr>
              <w:rFonts w:eastAsia="Times New Roman"/>
              <w:sz w:val="18"/>
              <w:szCs w:val="18"/>
            </w:rPr>
            <w:t xml:space="preserve">J.P. Morgan uses the following rating system: Overweight [Over the next six to twelve months, we expect this stock will outperform the average total return of the stocks in the analyst’s (or the analyst’s team’s) coverage universe.] Neutral [Over the next six to twelve </w:t>
          </w:r>
          <w:r>
            <w:rPr>
              <w:rFonts w:eastAsia="Times New Roman"/>
              <w:sz w:val="18"/>
              <w:szCs w:val="18"/>
            </w:rPr>
            <w:lastRenderedPageBreak/>
            <w:t xml:space="preserve">months, we expect this stock will perform in line with the average total return of the stocks in the analyst’s (or the analyst’s team’s) coverage universe.] Underweight [Over the next six to twelve months, we expect this stock will underperform the average total return of the stocks in the analyst’s (or the analyst’s team’s) coverage universe.] Not Rated (NR): J.P. Morgan has removed the rating and, if applicable, the price target, for this stock because of either a lack of a sufficient fundamental basis or for legal, regulatory or policy reasons. The previous rating and, if applicable, the price target, no longer should be relied upon. An NR designation is not a recommendation or a rating. In our Asia (ex-Australia) and U.K. small- and mid-cap equity research, each stock’s expected total return is compared to the expected total return of a benchmark country market index, not to those analysts’ coverage universe. If it does not appear in the Important Disclosures section of this report, the certifying analyst’s coverage universe can be found on J.P. Morgan’s research website, www.jpmorganmarkets.com. </w:t>
          </w:r>
        </w:p>
        <w:p w:rsidR="005C3F4E" w:rsidRDefault="005C3F4E">
          <w:pPr>
            <w:divId w:val="957838778"/>
            <w:rPr>
              <w:rFonts w:eastAsia="Times New Roman"/>
              <w:sz w:val="12"/>
              <w:szCs w:val="12"/>
            </w:rPr>
          </w:pPr>
        </w:p>
        <w:p w:rsidR="005C3F4E" w:rsidRDefault="005C3F4E">
          <w:pPr>
            <w:divId w:val="1074862597"/>
            <w:rPr>
              <w:rFonts w:eastAsia="Times New Roman"/>
              <w:sz w:val="18"/>
              <w:szCs w:val="18"/>
            </w:rPr>
          </w:pPr>
          <w:r>
            <w:rPr>
              <w:rFonts w:eastAsia="Times New Roman"/>
              <w:b/>
              <w:bCs/>
              <w:sz w:val="18"/>
              <w:szCs w:val="18"/>
            </w:rPr>
            <w:t>Coverage Universe: Leckie, Timothy</w:t>
          </w:r>
          <w:r>
            <w:rPr>
              <w:rFonts w:eastAsia="Times New Roman"/>
              <w:sz w:val="18"/>
              <w:szCs w:val="18"/>
            </w:rPr>
            <w:t>: Alstria Office AG (AOXG.DE), Big Yellow Group Plc (BYG.L), Capital &amp; Regional (CAL.L), Derwent London PLC (DLN.L), GAGFAH (GFJG.F), Grainger (GRI.L), Grand City Properties (GYC.F), Great Portland Estates (GPOR.L), Hammerson (HMSO.L), Helical Bar (HLCL.L), IVG Immobilien (IVGG.DE), Klepierre (LOIM.PA), Land Securities (LAND.L), LondonMetric (LMP.L), PSP Swiss Property (PSPN.S), Quintain Estates &amp; Development (QED.L), Shaftesbury (SHB.L), Songbird Estates (SBD.L), Unite Group (UTG.L), conwert AG (CONW.VI)</w:t>
          </w:r>
        </w:p>
        <w:p w:rsidR="005C3F4E" w:rsidRDefault="005C3F4E">
          <w:pPr>
            <w:divId w:val="236987429"/>
            <w:rPr>
              <w:rFonts w:eastAsia="Times New Roman"/>
              <w:sz w:val="12"/>
              <w:szCs w:val="12"/>
            </w:rPr>
          </w:pPr>
        </w:p>
        <w:p w:rsidR="005C3F4E" w:rsidRDefault="005C3F4E" w:rsidP="005C3F4E">
          <w:pPr>
            <w:keepNext/>
            <w:keepLines/>
            <w:spacing w:before="55" w:after="55"/>
            <w:ind w:left="55" w:right="55"/>
            <w:divId w:val="1074862597"/>
            <w:rPr>
              <w:b/>
              <w:bCs/>
              <w:sz w:val="18"/>
              <w:szCs w:val="18"/>
            </w:rPr>
          </w:pPr>
          <w:r>
            <w:rPr>
              <w:b/>
              <w:bCs/>
              <w:sz w:val="18"/>
              <w:szCs w:val="18"/>
            </w:rPr>
            <w:t>J.P. Morgan Equity Research Ratings Distribution, as of June 30, 2014</w:t>
          </w:r>
        </w:p>
        <w:tbl>
          <w:tblPr>
            <w:tblW w:w="3250" w:type="pct"/>
            <w:tblCellMar>
              <w:left w:w="0" w:type="dxa"/>
              <w:right w:w="0" w:type="dxa"/>
            </w:tblCellMar>
            <w:tblLook w:val="04A0"/>
          </w:tblPr>
          <w:tblGrid>
            <w:gridCol w:w="3762"/>
            <w:gridCol w:w="908"/>
            <w:gridCol w:w="908"/>
            <w:gridCol w:w="908"/>
          </w:tblGrid>
          <w:tr w:rsidR="005C3F4E">
            <w:trPr>
              <w:divId w:val="1074862597"/>
            </w:trPr>
            <w:tc>
              <w:tcPr>
                <w:tcW w:w="2900" w:type="pct"/>
                <w:tcBorders>
                  <w:bottom w:val="single" w:sz="4" w:space="0" w:color="000000"/>
                </w:tcBorders>
                <w:hideMark/>
              </w:tcPr>
              <w:p w:rsidR="005C3F4E" w:rsidRDefault="005C3F4E" w:rsidP="005C3F4E">
                <w:pPr>
                  <w:keepNext/>
                  <w:keepLines/>
                  <w:rPr>
                    <w:rFonts w:eastAsia="Times New Roman"/>
                  </w:rPr>
                </w:pPr>
              </w:p>
            </w:tc>
            <w:tc>
              <w:tcPr>
                <w:tcW w:w="700" w:type="pct"/>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b/>
                    <w:bCs/>
                    <w:sz w:val="16"/>
                    <w:szCs w:val="16"/>
                  </w:rPr>
                  <w:t>Overweight</w:t>
                </w:r>
                <w:r>
                  <w:rPr>
                    <w:sz w:val="16"/>
                    <w:szCs w:val="16"/>
                  </w:rPr>
                  <w:br/>
                  <w:t>(buy)</w:t>
                </w:r>
              </w:p>
            </w:tc>
            <w:tc>
              <w:tcPr>
                <w:tcW w:w="700" w:type="pct"/>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b/>
                    <w:bCs/>
                    <w:sz w:val="16"/>
                    <w:szCs w:val="16"/>
                  </w:rPr>
                  <w:t>Neutral</w:t>
                </w:r>
                <w:r>
                  <w:rPr>
                    <w:sz w:val="16"/>
                    <w:szCs w:val="16"/>
                  </w:rPr>
                  <w:br/>
                  <w:t>(hold)</w:t>
                </w:r>
              </w:p>
            </w:tc>
            <w:tc>
              <w:tcPr>
                <w:tcW w:w="700" w:type="pct"/>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b/>
                    <w:bCs/>
                    <w:sz w:val="16"/>
                    <w:szCs w:val="16"/>
                  </w:rPr>
                  <w:t>Underweight</w:t>
                </w:r>
                <w:r>
                  <w:rPr>
                    <w:sz w:val="16"/>
                    <w:szCs w:val="16"/>
                  </w:rPr>
                  <w:br/>
                  <w:t>(sell)</w:t>
                </w:r>
              </w:p>
            </w:tc>
          </w:tr>
          <w:tr w:rsidR="005C3F4E">
            <w:trPr>
              <w:divId w:val="1074862597"/>
            </w:trPr>
            <w:tc>
              <w:tcPr>
                <w:tcW w:w="0" w:type="auto"/>
                <w:tcBorders>
                  <w:top w:val="single" w:sz="4" w:space="0" w:color="000000"/>
                </w:tcBorders>
                <w:hideMark/>
              </w:tcPr>
              <w:p w:rsidR="005C3F4E" w:rsidRDefault="005C3F4E" w:rsidP="005C3F4E">
                <w:pPr>
                  <w:keepNext/>
                  <w:keepLines/>
                  <w:spacing w:before="100" w:beforeAutospacing="1" w:after="100" w:afterAutospacing="1"/>
                  <w:ind w:left="76"/>
                  <w:rPr>
                    <w:rFonts w:eastAsiaTheme="minorEastAsia"/>
                    <w:sz w:val="16"/>
                    <w:szCs w:val="16"/>
                  </w:rPr>
                </w:pPr>
                <w:r>
                  <w:rPr>
                    <w:sz w:val="16"/>
                    <w:szCs w:val="16"/>
                  </w:rPr>
                  <w:t>J.P. Morgan Global Equity Research Coverage</w:t>
                </w:r>
              </w:p>
            </w:tc>
            <w:tc>
              <w:tcPr>
                <w:tcW w:w="0" w:type="auto"/>
                <w:tcBorders>
                  <w:top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45%</w:t>
                </w:r>
              </w:p>
            </w:tc>
            <w:tc>
              <w:tcPr>
                <w:tcW w:w="0" w:type="auto"/>
                <w:tcBorders>
                  <w:top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43%</w:t>
                </w:r>
              </w:p>
            </w:tc>
            <w:tc>
              <w:tcPr>
                <w:tcW w:w="0" w:type="auto"/>
                <w:tcBorders>
                  <w:top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11%</w:t>
                </w:r>
              </w:p>
            </w:tc>
          </w:tr>
          <w:tr w:rsidR="005C3F4E">
            <w:trPr>
              <w:divId w:val="1074862597"/>
            </w:trPr>
            <w:tc>
              <w:tcPr>
                <w:tcW w:w="0" w:type="auto"/>
                <w:tcBorders>
                  <w:bottom w:val="single" w:sz="4" w:space="0" w:color="000000"/>
                </w:tcBorders>
                <w:hideMark/>
              </w:tcPr>
              <w:p w:rsidR="005C3F4E" w:rsidRDefault="005C3F4E" w:rsidP="005C3F4E">
                <w:pPr>
                  <w:keepNext/>
                  <w:keepLines/>
                  <w:spacing w:before="100" w:beforeAutospacing="1" w:after="100" w:afterAutospacing="1"/>
                  <w:ind w:left="76"/>
                  <w:rPr>
                    <w:rFonts w:eastAsiaTheme="minorEastAsia"/>
                    <w:sz w:val="16"/>
                    <w:szCs w:val="16"/>
                  </w:rPr>
                </w:pPr>
                <w:r>
                  <w:rPr>
                    <w:sz w:val="16"/>
                    <w:szCs w:val="16"/>
                  </w:rPr>
                  <w:t>    IB clients*</w:t>
                </w:r>
              </w:p>
            </w:tc>
            <w:tc>
              <w:tcPr>
                <w:tcW w:w="0" w:type="auto"/>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55%</w:t>
                </w:r>
              </w:p>
            </w:tc>
            <w:tc>
              <w:tcPr>
                <w:tcW w:w="0" w:type="auto"/>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49%</w:t>
                </w:r>
              </w:p>
            </w:tc>
            <w:tc>
              <w:tcPr>
                <w:tcW w:w="0" w:type="auto"/>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34%</w:t>
                </w:r>
              </w:p>
            </w:tc>
          </w:tr>
          <w:tr w:rsidR="005C3F4E">
            <w:trPr>
              <w:divId w:val="1074862597"/>
            </w:trPr>
            <w:tc>
              <w:tcPr>
                <w:tcW w:w="0" w:type="auto"/>
                <w:tcBorders>
                  <w:top w:val="single" w:sz="4" w:space="0" w:color="000000"/>
                </w:tcBorders>
                <w:hideMark/>
              </w:tcPr>
              <w:p w:rsidR="005C3F4E" w:rsidRDefault="005C3F4E" w:rsidP="005C3F4E">
                <w:pPr>
                  <w:keepNext/>
                  <w:keepLines/>
                  <w:spacing w:before="100" w:beforeAutospacing="1" w:after="100" w:afterAutospacing="1"/>
                  <w:ind w:left="76"/>
                  <w:rPr>
                    <w:rFonts w:eastAsiaTheme="minorEastAsia"/>
                    <w:sz w:val="16"/>
                    <w:szCs w:val="16"/>
                  </w:rPr>
                </w:pPr>
                <w:r>
                  <w:rPr>
                    <w:sz w:val="16"/>
                    <w:szCs w:val="16"/>
                  </w:rPr>
                  <w:t>JPMS Equity Research Coverage</w:t>
                </w:r>
              </w:p>
            </w:tc>
            <w:tc>
              <w:tcPr>
                <w:tcW w:w="0" w:type="auto"/>
                <w:tcBorders>
                  <w:top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46%</w:t>
                </w:r>
              </w:p>
            </w:tc>
            <w:tc>
              <w:tcPr>
                <w:tcW w:w="0" w:type="auto"/>
                <w:tcBorders>
                  <w:top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47%</w:t>
                </w:r>
              </w:p>
            </w:tc>
            <w:tc>
              <w:tcPr>
                <w:tcW w:w="0" w:type="auto"/>
                <w:tcBorders>
                  <w:top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7%</w:t>
                </w:r>
              </w:p>
            </w:tc>
          </w:tr>
          <w:tr w:rsidR="005C3F4E">
            <w:trPr>
              <w:divId w:val="1074862597"/>
            </w:trPr>
            <w:tc>
              <w:tcPr>
                <w:tcW w:w="0" w:type="auto"/>
                <w:tcBorders>
                  <w:bottom w:val="single" w:sz="4" w:space="0" w:color="000000"/>
                </w:tcBorders>
                <w:hideMark/>
              </w:tcPr>
              <w:p w:rsidR="005C3F4E" w:rsidRDefault="005C3F4E" w:rsidP="005C3F4E">
                <w:pPr>
                  <w:keepNext/>
                  <w:keepLines/>
                  <w:spacing w:before="100" w:beforeAutospacing="1" w:after="100" w:afterAutospacing="1"/>
                  <w:ind w:left="76"/>
                  <w:rPr>
                    <w:rFonts w:eastAsiaTheme="minorEastAsia"/>
                    <w:sz w:val="16"/>
                    <w:szCs w:val="16"/>
                  </w:rPr>
                </w:pPr>
                <w:r>
                  <w:rPr>
                    <w:sz w:val="16"/>
                    <w:szCs w:val="16"/>
                  </w:rPr>
                  <w:t>    IB clients*</w:t>
                </w:r>
              </w:p>
            </w:tc>
            <w:tc>
              <w:tcPr>
                <w:tcW w:w="0" w:type="auto"/>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75%</w:t>
                </w:r>
              </w:p>
            </w:tc>
            <w:tc>
              <w:tcPr>
                <w:tcW w:w="0" w:type="auto"/>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66%</w:t>
                </w:r>
              </w:p>
            </w:tc>
            <w:tc>
              <w:tcPr>
                <w:tcW w:w="0" w:type="auto"/>
                <w:tcBorders>
                  <w:bottom w:val="single" w:sz="4" w:space="0" w:color="000000"/>
                </w:tcBorders>
                <w:hideMark/>
              </w:tcPr>
              <w:p w:rsidR="005C3F4E" w:rsidRDefault="005C3F4E" w:rsidP="005C3F4E">
                <w:pPr>
                  <w:keepNext/>
                  <w:keepLines/>
                  <w:spacing w:before="100" w:beforeAutospacing="1" w:after="100" w:afterAutospacing="1"/>
                  <w:rPr>
                    <w:rFonts w:eastAsiaTheme="minorEastAsia"/>
                    <w:sz w:val="16"/>
                    <w:szCs w:val="16"/>
                  </w:rPr>
                </w:pPr>
                <w:r>
                  <w:rPr>
                    <w:sz w:val="16"/>
                    <w:szCs w:val="16"/>
                  </w:rPr>
                  <w:t>54%</w:t>
                </w:r>
              </w:p>
            </w:tc>
          </w:tr>
        </w:tbl>
        <w:p w:rsidR="005C3F4E" w:rsidRDefault="005C3F4E" w:rsidP="005C3F4E">
          <w:pPr>
            <w:keepLines/>
            <w:spacing w:before="55" w:after="55"/>
            <w:ind w:left="55" w:right="55"/>
            <w:divId w:val="1074862597"/>
            <w:rPr>
              <w:rFonts w:eastAsiaTheme="minorEastAsia"/>
              <w:sz w:val="16"/>
              <w:szCs w:val="16"/>
            </w:rPr>
          </w:pPr>
          <w:r>
            <w:rPr>
              <w:sz w:val="16"/>
              <w:szCs w:val="16"/>
            </w:rPr>
            <w:t>*Percentage of investment banking clients in each rating category.</w:t>
          </w:r>
          <w:r>
            <w:rPr>
              <w:sz w:val="16"/>
              <w:szCs w:val="16"/>
            </w:rPr>
            <w:br/>
            <w:t>For purposes only of FINRA/NYSE ratings distribution rules, our Overweight rating falls into a buy rating category; our Neutral rating falls into a hold rating category; and our Underweight rating falls into a sell rating category. Please note that stocks with an NR designation are not included in the table above.</w:t>
          </w:r>
          <w:r>
            <w:rPr>
              <w:sz w:val="16"/>
              <w:szCs w:val="16"/>
            </w:rPr>
            <w:br/>
          </w:r>
        </w:p>
        <w:p w:rsidR="005C3F4E" w:rsidRDefault="005C3F4E">
          <w:pPr>
            <w:divId w:val="529337703"/>
            <w:rPr>
              <w:rFonts w:eastAsia="Times New Roman"/>
              <w:sz w:val="12"/>
              <w:szCs w:val="12"/>
            </w:rPr>
          </w:pPr>
        </w:p>
        <w:p w:rsidR="005C3F4E" w:rsidRDefault="005C3F4E">
          <w:pPr>
            <w:divId w:val="1074862597"/>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41"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42" w:history="1">
            <w:r>
              <w:rPr>
                <w:rStyle w:val="Hyperlink"/>
                <w:rFonts w:eastAsia="Times New Roman"/>
                <w:sz w:val="18"/>
                <w:szCs w:val="18"/>
              </w:rPr>
              <w:t>research.disclosure.inquiries@jpmorgan.com</w:t>
            </w:r>
          </w:hyperlink>
          <w:r>
            <w:rPr>
              <w:rFonts w:eastAsia="Times New Roman"/>
              <w:sz w:val="18"/>
              <w:szCs w:val="18"/>
            </w:rPr>
            <w:t>.</w:t>
          </w:r>
        </w:p>
        <w:p w:rsidR="005C3F4E" w:rsidRDefault="005C3F4E">
          <w:pPr>
            <w:divId w:val="997997996"/>
            <w:rPr>
              <w:rFonts w:eastAsia="Times New Roman"/>
              <w:sz w:val="12"/>
              <w:szCs w:val="12"/>
            </w:rPr>
          </w:pPr>
        </w:p>
        <w:p w:rsidR="005C3F4E" w:rsidRDefault="005C3F4E">
          <w:pPr>
            <w:divId w:val="1074862597"/>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5C3F4E" w:rsidRDefault="005C3F4E">
          <w:pPr>
            <w:divId w:val="2032490029"/>
            <w:rPr>
              <w:rFonts w:eastAsia="Times New Roman"/>
              <w:sz w:val="12"/>
              <w:szCs w:val="12"/>
            </w:rPr>
          </w:pPr>
        </w:p>
        <w:p w:rsidR="005C3F4E" w:rsidRDefault="005C3F4E">
          <w:pPr>
            <w:divId w:val="1074862597"/>
            <w:rPr>
              <w:rFonts w:eastAsia="Times New Roman"/>
              <w:sz w:val="20"/>
              <w:szCs w:val="20"/>
            </w:rPr>
          </w:pPr>
          <w:r>
            <w:rPr>
              <w:rFonts w:eastAsia="Times New Roman"/>
              <w:b/>
              <w:bCs/>
              <w:sz w:val="18"/>
              <w:szCs w:val="18"/>
            </w:rPr>
            <w:t xml:space="preserve">Registration of non-US Analysts: </w:t>
          </w:r>
          <w:r>
            <w:rPr>
              <w:rFonts w:eastAsia="Times New Roman"/>
              <w:sz w:val="18"/>
              <w:szCs w:val="18"/>
            </w:rPr>
            <w:t>Unless otherwise noted, the non-US analysts listed on the front of this report are employees of non-US affiliates of JPMS, are not registered/qualified as research analysts under NASD/NYSE rules, may not be associated persons of JPMS, and may not be subject to FINRA Rule 2711 and NYSE Rule 472 restrictions on communications with covered companies, public appearances, and trading securities held by a research analyst account.</w:t>
          </w:r>
        </w:p>
        <w:p w:rsidR="005C3F4E" w:rsidRDefault="005C3F4E">
          <w:pPr>
            <w:divId w:val="539784009"/>
            <w:rPr>
              <w:rFonts w:eastAsia="Times New Roman"/>
              <w:sz w:val="12"/>
              <w:szCs w:val="12"/>
            </w:rPr>
          </w:pPr>
        </w:p>
        <w:p w:rsidR="005C3F4E" w:rsidRDefault="005C3F4E" w:rsidP="005C3F4E">
          <w:pPr>
            <w:divId w:val="1074862597"/>
            <w:rPr>
              <w:rFonts w:eastAsia="Times New Roman"/>
              <w:sz w:val="20"/>
              <w:szCs w:val="20"/>
            </w:rPr>
          </w:pPr>
          <w:r>
            <w:rPr>
              <w:rFonts w:eastAsia="Times New Roman"/>
              <w:b/>
              <w:bCs/>
              <w:sz w:val="20"/>
              <w:szCs w:val="20"/>
            </w:rPr>
            <w:t xml:space="preserve">Other Disclosures </w:t>
          </w:r>
        </w:p>
        <w:p w:rsidR="005C3F4E" w:rsidRDefault="005C3F4E" w:rsidP="005C3F4E">
          <w:pPr>
            <w:spacing w:line="100" w:lineRule="auto"/>
            <w:divId w:val="1074862597"/>
            <w:rPr>
              <w:rFonts w:eastAsia="Times New Roman"/>
              <w:sz w:val="20"/>
              <w:szCs w:val="20"/>
            </w:rPr>
          </w:pPr>
          <w:r>
            <w:rPr>
              <w:rFonts w:eastAsia="Times New Roman"/>
              <w:sz w:val="20"/>
              <w:szCs w:val="20"/>
            </w:rPr>
            <w:pict>
              <v:rect id="_x0000_i1032" style="width:0;height:.55pt" o:hralign="center" o:hrstd="t" o:hrnoshade="t" o:hr="t" fillcolor="black" stroked="f"/>
            </w:pict>
          </w:r>
        </w:p>
        <w:p w:rsidR="005C3F4E" w:rsidRDefault="005C3F4E" w:rsidP="005C3F4E">
          <w:pPr>
            <w:divId w:val="1074862597"/>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5C3F4E" w:rsidRDefault="005C3F4E">
          <w:pPr>
            <w:divId w:val="1595287475"/>
            <w:rPr>
              <w:rFonts w:eastAsia="Times New Roman"/>
              <w:sz w:val="12"/>
              <w:szCs w:val="12"/>
            </w:rPr>
          </w:pPr>
        </w:p>
        <w:p w:rsidR="005C3F4E" w:rsidRDefault="005C3F4E">
          <w:pPr>
            <w:divId w:val="1074862597"/>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5C3F4E" w:rsidRDefault="005C3F4E">
          <w:pPr>
            <w:divId w:val="581723295"/>
            <w:rPr>
              <w:rFonts w:eastAsia="Times New Roman"/>
              <w:sz w:val="12"/>
              <w:szCs w:val="12"/>
            </w:rPr>
          </w:pPr>
        </w:p>
        <w:p w:rsidR="005C3F4E" w:rsidRDefault="005C3F4E">
          <w:pPr>
            <w:divId w:val="1342850922"/>
            <w:rPr>
              <w:rFonts w:eastAsia="Times New Roman"/>
              <w:sz w:val="12"/>
              <w:szCs w:val="12"/>
            </w:rPr>
          </w:pPr>
        </w:p>
        <w:p w:rsidR="005C3F4E" w:rsidRDefault="005C3F4E">
          <w:pPr>
            <w:divId w:val="1074862597"/>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43" w:history="1">
            <w:r>
              <w:rPr>
                <w:rStyle w:val="Hyperlink"/>
                <w:rFonts w:eastAsia="Times New Roman"/>
                <w:sz w:val="16"/>
                <w:szCs w:val="16"/>
              </w:rPr>
              <w:t xml:space="preserve">http://www.optionsclearing.com/publications/risks/riskstoc.pdf </w:t>
            </w:r>
          </w:hyperlink>
        </w:p>
        <w:p w:rsidR="005C3F4E" w:rsidRDefault="005C3F4E">
          <w:pPr>
            <w:divId w:val="1523014816"/>
            <w:rPr>
              <w:rFonts w:eastAsia="Times New Roman"/>
              <w:sz w:val="12"/>
              <w:szCs w:val="12"/>
            </w:rPr>
          </w:pPr>
        </w:p>
        <w:p w:rsidR="005C3F4E" w:rsidRDefault="005C3F4E">
          <w:pPr>
            <w:divId w:val="1074862597"/>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w:t>
          </w:r>
          <w:r>
            <w:rPr>
              <w:rFonts w:eastAsia="Times New Roman"/>
              <w:sz w:val="16"/>
              <w:szCs w:val="16"/>
            </w:rPr>
            <w:lastRenderedPageBreak/>
            <w:t xml:space="preserve">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44"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5C3F4E" w:rsidRDefault="005C3F4E">
          <w:pPr>
            <w:divId w:val="2127654554"/>
            <w:rPr>
              <w:rFonts w:eastAsia="Times New Roman"/>
              <w:b/>
              <w:bCs/>
              <w:sz w:val="12"/>
              <w:szCs w:val="12"/>
            </w:rPr>
          </w:pPr>
        </w:p>
        <w:p w:rsidR="005C3F4E" w:rsidRDefault="005C3F4E">
          <w:pPr>
            <w:divId w:val="1074862597"/>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w:t>
          </w:r>
          <w:r>
            <w:rPr>
              <w:rFonts w:eastAsia="Times New Roman"/>
              <w:sz w:val="16"/>
              <w:szCs w:val="16"/>
            </w:rPr>
            <w:lastRenderedPageBreak/>
            <w:t xml:space="preserve">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5C3F4E" w:rsidRDefault="005C3F4E">
          <w:pPr>
            <w:divId w:val="817914794"/>
            <w:rPr>
              <w:rFonts w:eastAsia="Times New Roman"/>
              <w:sz w:val="12"/>
              <w:szCs w:val="12"/>
            </w:rPr>
          </w:pPr>
        </w:p>
        <w:p w:rsidR="005C3F4E" w:rsidRDefault="005C3F4E">
          <w:pPr>
            <w:divId w:val="1074862597"/>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5C3F4E" w:rsidRDefault="005C3F4E">
          <w:pPr>
            <w:divId w:val="677268544"/>
            <w:rPr>
              <w:rFonts w:eastAsia="Times New Roman"/>
              <w:sz w:val="12"/>
              <w:szCs w:val="12"/>
            </w:rPr>
          </w:pPr>
        </w:p>
        <w:p w:rsidR="005C3F4E" w:rsidRDefault="005C3F4E" w:rsidP="005C3F4E">
          <w:pPr>
            <w:divId w:val="1074862597"/>
            <w:rPr>
              <w:rFonts w:eastAsia="Times New Roman"/>
              <w:sz w:val="16"/>
              <w:szCs w:val="16"/>
            </w:rPr>
          </w:pPr>
          <w:r>
            <w:rPr>
              <w:rFonts w:eastAsia="Times New Roman"/>
              <w:sz w:val="16"/>
              <w:szCs w:val="16"/>
            </w:rPr>
            <w:t xml:space="preserve">"Other Disclosures" last revised June 21, 2014. </w:t>
          </w:r>
        </w:p>
        <w:p w:rsidR="005C3F4E" w:rsidRDefault="005C3F4E" w:rsidP="005C3F4E">
          <w:pPr>
            <w:spacing w:line="100" w:lineRule="auto"/>
            <w:divId w:val="1074862597"/>
            <w:rPr>
              <w:rFonts w:eastAsia="Times New Roman"/>
              <w:sz w:val="16"/>
              <w:szCs w:val="16"/>
            </w:rPr>
          </w:pPr>
          <w:r>
            <w:rPr>
              <w:rFonts w:eastAsia="Times New Roman"/>
              <w:sz w:val="16"/>
              <w:szCs w:val="16"/>
            </w:rPr>
            <w:pict>
              <v:rect id="_x0000_i1033" style="width:0;height:.55pt" o:hralign="center" o:hrstd="t" o:hrnoshade="t" o:hr="t" fillcolor="black" stroked="f"/>
            </w:pict>
          </w:r>
        </w:p>
        <w:p w:rsidR="005C3F4E" w:rsidRDefault="005C3F4E" w:rsidP="005C3F4E">
          <w:pPr>
            <w:divId w:val="1074862597"/>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2E16EB" w:rsidP="006835DA">
          <w:pPr>
            <w:pStyle w:val="Body"/>
          </w:pPr>
        </w:p>
      </w:sdtContent>
    </w:sdt>
    <w:p w:rsidR="00096996" w:rsidRDefault="00096996" w:rsidP="00096996">
      <w:pPr>
        <w:pStyle w:val="Body"/>
        <w:sectPr w:rsidR="00096996" w:rsidSect="00CD1E8A">
          <w:pgSz w:w="12240" w:h="15840" w:code="1"/>
          <w:pgMar w:top="2376" w:right="1138" w:bottom="936" w:left="1123" w:header="936" w:footer="576" w:gutter="0"/>
          <w:cols w:space="720"/>
          <w:docGrid w:linePitch="360"/>
        </w:sectPr>
      </w:pPr>
    </w:p>
    <w:bookmarkEnd w:id="0"/>
    <w:p w:rsidR="005327F6" w:rsidRDefault="005327F6" w:rsidP="005D2E8C">
      <w:pPr>
        <w:pStyle w:val="Body"/>
        <w:ind w:left="-3125"/>
      </w:pPr>
    </w:p>
    <w:sectPr w:rsidR="005327F6" w:rsidSect="00096996">
      <w:headerReference w:type="first" r:id="rId45"/>
      <w:footerReference w:type="first" r:id="rId46"/>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A10" w:rsidRDefault="00183A10" w:rsidP="00410841">
      <w:r>
        <w:separator/>
      </w:r>
    </w:p>
  </w:endnote>
  <w:endnote w:type="continuationSeparator" w:id="0">
    <w:p w:rsidR="00183A10" w:rsidRDefault="00183A10"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2E16EB">
    <w:pPr>
      <w:framePr w:hSpace="180" w:wrap="around" w:vAnchor="text" w:hAnchor="page" w:x="1138" w:y="1"/>
      <w:rPr>
        <w:rStyle w:val="PageNumber"/>
      </w:rPr>
    </w:pPr>
    <w:r>
      <w:rPr>
        <w:rStyle w:val="PageNumber"/>
      </w:rPr>
      <w:fldChar w:fldCharType="begin"/>
    </w:r>
    <w:r w:rsidR="00183A10">
      <w:rPr>
        <w:rStyle w:val="PageNumber"/>
      </w:rPr>
      <w:instrText xml:space="preserve"> PAGE </w:instrText>
    </w:r>
    <w:r>
      <w:rPr>
        <w:rStyle w:val="PageNumber"/>
      </w:rPr>
      <w:fldChar w:fldCharType="separate"/>
    </w:r>
    <w:r w:rsidR="005C3F4E">
      <w:rPr>
        <w:rStyle w:val="PageNumber"/>
        <w:noProof/>
      </w:rPr>
      <w:t>14</w:t>
    </w:r>
    <w:r>
      <w:rPr>
        <w:rStyle w:val="PageNumber"/>
      </w:rPr>
      <w:fldChar w:fldCharType="end"/>
    </w:r>
  </w:p>
  <w:p w:rsidR="00183A10" w:rsidRDefault="00183A10">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2E16EB">
    <w:pPr>
      <w:pStyle w:val="Footer"/>
      <w:jc w:val="right"/>
      <w:rPr>
        <w:rStyle w:val="PageNumber"/>
        <w:b w:val="0"/>
        <w:bCs/>
      </w:rPr>
    </w:pPr>
    <w:r>
      <w:rPr>
        <w:rStyle w:val="PageNumber"/>
        <w:b w:val="0"/>
        <w:bCs/>
      </w:rPr>
      <w:fldChar w:fldCharType="begin"/>
    </w:r>
    <w:r w:rsidR="00183A10">
      <w:rPr>
        <w:rStyle w:val="PageNumber"/>
        <w:b w:val="0"/>
        <w:bCs/>
      </w:rPr>
      <w:instrText xml:space="preserve"> PAGE </w:instrText>
    </w:r>
    <w:r>
      <w:rPr>
        <w:rStyle w:val="PageNumber"/>
        <w:b w:val="0"/>
        <w:bCs/>
      </w:rPr>
      <w:fldChar w:fldCharType="separate"/>
    </w:r>
    <w:r w:rsidR="005C3F4E">
      <w:rPr>
        <w:rStyle w:val="PageNumber"/>
        <w:b w:val="0"/>
        <w:bCs/>
        <w:noProof/>
      </w:rPr>
      <w:t>15</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Cs/>
        <w:iCs/>
      </w:rPr>
      <w:alias w:val="FOOTER_FRONT_PAGE"/>
      <w:tag w:val="FOOTER_FRONT_PAGE"/>
      <w:id w:val="82014432"/>
      <w:lock w:val="sdtContentLocked"/>
      <w:placeholder>
        <w:docPart w:val="62B9F42834614380B78269BAA126B6B5"/>
      </w:placeholder>
    </w:sdtPr>
    <w:sdtEndPr>
      <w:rPr>
        <w:b w:val="0"/>
        <w:spacing w:val="-2"/>
        <w:sz w:val="20"/>
        <w:szCs w:val="18"/>
      </w:rPr>
    </w:sdtEndPr>
    <w:sdtContent>
      <w:p w:rsidR="005C3F4E" w:rsidRDefault="005C3F4E" w:rsidP="005C3F4E">
        <w:pPr>
          <w:pStyle w:val="FooterFrontPage1stLine"/>
          <w:framePr w:wrap="around"/>
        </w:pPr>
        <w:r>
          <w:t>See page 11 for analyst certification and important disclosures, including non-US analyst disclosures.</w:t>
        </w:r>
      </w:p>
      <w:p w:rsidR="00183A10" w:rsidRPr="0094269C" w:rsidRDefault="005C3F4E" w:rsidP="005C3F4E">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183A10" w:rsidRPr="00D14EE2" w:rsidRDefault="002E16EB" w:rsidP="00D14EE2">
    <w:pPr>
      <w:pStyle w:val="Footer"/>
    </w:pPr>
    <w:r>
      <w:rPr>
        <w:noProof/>
      </w:rPr>
      <w:pict>
        <v:shapetype id="_x0000_t202" coordsize="21600,21600" o:spt="202" path="m,l,21600r21600,l21600,xe">
          <v:stroke joinstyle="miter"/>
          <v:path gradientshapeok="t" o:connecttype="rect"/>
        </v:shapetype>
        <v:shape id="_x0000_s4123" type="#_x0000_t202" style="position:absolute;margin-left:366.5pt;margin-top:764.6pt;width:145.45pt;height:13.6pt;z-index:-251648512;mso-position-vertical-relative:page" wrapcoords="0 0" filled="f" stroked="f">
          <v:textbox inset="5.85pt,.7pt,5.85pt,.7pt">
            <w:txbxContent>
              <w:p w:rsidR="00183A10" w:rsidRPr="00D20423" w:rsidRDefault="002E16EB" w:rsidP="00D20423">
                <w:pPr>
                  <w:pStyle w:val="MorganmarketURL"/>
                </w:pPr>
                <w:hyperlink r:id="rId1" w:history="1">
                  <w:r w:rsidR="00183A10" w:rsidRPr="00D20423">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183A10">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183A10">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A10" w:rsidRDefault="00183A10" w:rsidP="00410841">
      <w:r>
        <w:separator/>
      </w:r>
    </w:p>
  </w:footnote>
  <w:footnote w:type="continuationSeparator" w:id="0">
    <w:p w:rsidR="00183A10" w:rsidRDefault="00183A10"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2E16EB">
    <w:pPr>
      <w:pStyle w:val="Header"/>
      <w:spacing w:after="0"/>
    </w:pPr>
    <w:r>
      <w:pict>
        <v:shapetype id="_x0000_t202" coordsize="21600,21600" o:spt="202" path="m,l,21600r21600,l21600,xe">
          <v:stroke joinstyle="miter"/>
          <v:path gradientshapeok="t" o:connecttype="rect"/>
        </v:shapetype>
        <v:shape id="BannerEven" o:spid="_x0000_s4128" type="#_x0000_t202" style="position:absolute;margin-left:212.55pt;margin-top:16.2pt;width:368.7pt;height:24pt;z-index:251668992;mso-position-horizontal-relative:page;mso-position-vertical-relative:line" filled="f" stroked="f">
          <v:textbox style="mso-next-textbox:#BannerEven" inset="0,0,0,0">
            <w:txbxContent>
              <w:p w:rsidR="00183A10" w:rsidRPr="00EB6911" w:rsidRDefault="002E16EB" w:rsidP="004234B3">
                <w:pPr>
                  <w:pStyle w:val="Header"/>
                </w:pPr>
                <w:sdt>
                  <w:sdtPr>
                    <w:alias w:val="BANNER_CLAUSE_EVEN"/>
                    <w:tag w:val="BANNER_CLAUSE_EVEN"/>
                    <w:id w:val="9728346"/>
                    <w:lock w:val="contentLocked"/>
                    <w:showingPlcHdr/>
                    <w:text/>
                  </w:sdtPr>
                  <w:sdtContent>
                    <w:r w:rsidR="00183A10" w:rsidRPr="00EB6911">
                      <w:rPr>
                        <w:rStyle w:val="PlaceholderText"/>
                        <w:color w:val="auto"/>
                      </w:rPr>
                      <w:t xml:space="preserve"> </w:t>
                    </w:r>
                  </w:sdtContent>
                </w:sdt>
              </w:p>
              <w:p w:rsidR="00183A10" w:rsidRDefault="00183A10"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4914.35pt;margin-top:46.8pt;width:151.5pt;height:15pt;z-index:251671040;visibility:hidden;mso-position-horizontal:right;mso-position-horizontal-relative:margin;mso-position-vertical-relative:page">
          <v:imagedata r:id="rId1" o:title="Logo2008_JPM_A_RGB%20for%20GPS%20JPM%20only"/>
          <w10:wrap type="square" anchorx="margin" anchory="page"/>
          <w10:anchorlock/>
        </v:shape>
      </w:pict>
    </w:r>
    <w:r>
      <w:pict>
        <v:shape id="JPMCazLogoEven" o:spid="_x0000_s4105" type="#_x0000_t75" style="position:absolute;margin-left:14914.35pt;margin-top:46.8pt;width:151.5pt;height:15pt;z-index:251683328;visibility:visible;mso-position-horizontal:right;mso-position-horizontal-relative:margin;mso-position-vertical-relative:page">
          <v:imagedata r:id="rId2" o:title="Logo2010_JPM_Cazenove_A_RGB%20for%20GPS"/>
          <w10:wrap type="square" anchorx="margin" anchory="page"/>
          <w10:anchorlock/>
        </v:shape>
      </w:pict>
    </w:r>
    <w:r w:rsidRPr="002E16EB">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183A10" w:rsidRDefault="002E16EB">
                <w:pPr>
                  <w:pStyle w:val="Header"/>
                </w:pPr>
                <w:sdt>
                  <w:sdtPr>
                    <w:alias w:val="ANALYST_NAME_MAIN_EVEN"/>
                    <w:tag w:val="ANALYST_NAME_MAIN_EVEN"/>
                    <w:id w:val="27373893"/>
                    <w:lock w:val="sdtContentLocked"/>
                    <w:text/>
                  </w:sdtPr>
                  <w:sdtContent>
                    <w:r w:rsidR="00183A10">
                      <w:t>Tim Leckie, CFA</w:t>
                    </w:r>
                  </w:sdtContent>
                </w:sdt>
                <w:r w:rsidR="00183A10">
                  <w:br/>
                </w:r>
                <w:sdt>
                  <w:sdtPr>
                    <w:alias w:val="ANALYST_PHONE_MAIN_EVEN"/>
                    <w:tag w:val="ANALYST_PHONE_MAIN_EVEN"/>
                    <w:id w:val="27373866"/>
                    <w:lock w:val="sdtContentLocked"/>
                    <w:text/>
                  </w:sdtPr>
                  <w:sdtContent>
                    <w:r w:rsidR="00183A10">
                      <w:t>(44-20) 7134-4477</w:t>
                    </w:r>
                  </w:sdtContent>
                </w:sdt>
                <w:r w:rsidR="00183A10">
                  <w:br/>
                </w:r>
                <w:sdt>
                  <w:sdtPr>
                    <w:alias w:val="ANALYST_EMAIL_MAIN_EVEN"/>
                    <w:tag w:val="ANALYST_EMAIL_MAIN_EVEN"/>
                    <w:id w:val="27373838"/>
                    <w:lock w:val="sdtContentLocked"/>
                    <w:text/>
                  </w:sdtPr>
                  <w:sdtContent>
                    <w:r w:rsidR="00183A10">
                      <w:t>timothy.leckie@jpmorgan.com</w:t>
                    </w:r>
                  </w:sdtContent>
                </w:sdt>
              </w:p>
              <w:p w:rsidR="00183A10" w:rsidRDefault="002E16EB">
                <w:pPr>
                  <w:pStyle w:val="Header"/>
                </w:pPr>
                <w:sdt>
                  <w:sdtPr>
                    <w:alias w:val="ANALYST_NAME_EVEN"/>
                    <w:tag w:val="ANALYST_NAME_EVEN"/>
                    <w:id w:val="27373811"/>
                    <w:lock w:val="sdtContentLocked"/>
                    <w:showingPlcHdr/>
                    <w:text/>
                  </w:sdtPr>
                  <w:sdtContent>
                    <w:r w:rsidR="00183A10">
                      <w:t xml:space="preserve"> </w:t>
                    </w:r>
                  </w:sdtContent>
                </w:sdt>
                <w:r w:rsidR="00183A10">
                  <w:br/>
                </w:r>
                <w:sdt>
                  <w:sdtPr>
                    <w:alias w:val="ANALYST_PHONE_EVEN"/>
                    <w:tag w:val="ANALYST_PHONE_EVEN"/>
                    <w:id w:val="27373784"/>
                    <w:lock w:val="sdtContentLocked"/>
                    <w:showingPlcHdr/>
                    <w:text/>
                  </w:sdtPr>
                  <w:sdtContent>
                    <w:r w:rsidR="00183A10">
                      <w:t xml:space="preserve"> </w:t>
                    </w:r>
                  </w:sdtContent>
                </w:sdt>
                <w:r w:rsidR="00183A10">
                  <w:br/>
                </w:r>
                <w:sdt>
                  <w:sdtPr>
                    <w:alias w:val="ANALYST_EMAIL_EVEN"/>
                    <w:tag w:val="ANALYST_EMAIL_EVEN"/>
                    <w:id w:val="27373757"/>
                    <w:lock w:val="sdtContentLocked"/>
                    <w:showingPlcHdr/>
                    <w:text/>
                  </w:sdtPr>
                  <w:sdtContent>
                    <w:r w:rsidR="00183A10">
                      <w:t xml:space="preserve"> </w:t>
                    </w:r>
                  </w:sdtContent>
                </w:sdt>
              </w:p>
            </w:txbxContent>
          </v:textbox>
          <w10:wrap anchorx="page"/>
          <w10:anchorlock/>
        </v:shape>
      </w:pict>
    </w:r>
    <w:r w:rsidRPr="002E16EB">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183A10" w:rsidRDefault="00183A10">
                <w:pPr>
                  <w:pStyle w:val="IPOInsidePage"/>
                </w:pPr>
              </w:p>
              <w:p w:rsidR="00183A10" w:rsidRDefault="00183A10">
                <w:pPr>
                  <w:pStyle w:val="RegionGroupInvisible"/>
                </w:pPr>
              </w:p>
            </w:txbxContent>
          </v:textbox>
          <w10:wrap anchorx="page"/>
          <w10:anchorlock/>
        </v:shape>
      </w:pict>
    </w:r>
    <w:r w:rsidRPr="002E16EB">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183A10" w:rsidRDefault="002E16EB">
                <w:pPr>
                  <w:pStyle w:val="HeaderRegionGroup"/>
                  <w:suppressOverlap/>
                </w:pPr>
                <w:sdt>
                  <w:sdtPr>
                    <w:alias w:val="REGION_EVEN"/>
                    <w:tag w:val="REGION_EVEN"/>
                    <w:id w:val="27373728"/>
                    <w:lock w:val="sdtContentLocked"/>
                    <w:text/>
                  </w:sdtPr>
                  <w:sdtContent>
                    <w:r w:rsidR="005C3F4E">
                      <w:t xml:space="preserve">Europe </w:t>
                    </w:r>
                  </w:sdtContent>
                </w:sdt>
                <w:sdt>
                  <w:sdtPr>
                    <w:alias w:val="BUSINESS_GROUP_EVEN"/>
                    <w:tag w:val="BUSINESS_GROUP_EVEN"/>
                    <w:id w:val="27373700"/>
                    <w:lock w:val="sdtContentLocked"/>
                    <w:text/>
                  </w:sdtPr>
                  <w:sdtContent>
                    <w:r w:rsidR="005C3F4E">
                      <w:t>Equity Research</w:t>
                    </w:r>
                  </w:sdtContent>
                </w:sdt>
              </w:p>
              <w:sdt>
                <w:sdtPr>
                  <w:alias w:val="PUBLICATION_DATE_EVEN"/>
                  <w:tag w:val="PUBLICATION_DATE_EVEN"/>
                  <w:id w:val="1330412"/>
                  <w:lock w:val="sdtContentLocked"/>
                  <w:text/>
                </w:sdtPr>
                <w:sdtContent>
                  <w:p w:rsidR="00183A10" w:rsidRDefault="005C3F4E">
                    <w:pPr>
                      <w:pStyle w:val="Header"/>
                    </w:pPr>
                    <w:r>
                      <w:t>01 July 2014</w:t>
                    </w:r>
                  </w:p>
                </w:sdtContent>
              </w:sdt>
              <w:p w:rsidR="00183A10" w:rsidRDefault="00183A10">
                <w:pPr>
                  <w:pStyle w:val="RegionGroupInvisible"/>
                </w:pPr>
              </w:p>
            </w:txbxContent>
          </v:textbox>
          <w10:wrap anchorx="page"/>
          <w10:anchorlock/>
        </v:shape>
      </w:pict>
    </w:r>
  </w:p>
  <w:p w:rsidR="00183A10" w:rsidRDefault="00183A10">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2E16EB">
    <w:pPr>
      <w:pStyle w:val="Header"/>
      <w:spacing w:after="0"/>
    </w:pPr>
    <w:r>
      <w:pict>
        <v:shapetype id="_x0000_t202" coordsize="21600,21600" o:spt="202" path="m,l,21600r21600,l21600,xe">
          <v:stroke joinstyle="miter"/>
          <v:path gradientshapeok="t" o:connecttype="rect"/>
        </v:shapetype>
        <v:shape id="BannerOdd" o:spid="_x0000_s4129" type="#_x0000_t202" style="position:absolute;margin-left:212.35pt;margin-top:16.15pt;width:368.7pt;height:24pt;z-index:251670016;mso-position-horizontal-relative:page;mso-position-vertical-relative:line" filled="f" stroked="f">
          <v:textbox style="mso-next-textbox:#BannerOdd" inset="0,0,0,0">
            <w:txbxContent>
              <w:p w:rsidR="00183A10" w:rsidRPr="003D1683" w:rsidRDefault="002E16EB" w:rsidP="004234B3">
                <w:pPr>
                  <w:pStyle w:val="Header"/>
                </w:pPr>
                <w:sdt>
                  <w:sdtPr>
                    <w:alias w:val="BANNER_CLAUSE_ODD"/>
                    <w:tag w:val="BANNER_CLAUSE_ODD"/>
                    <w:id w:val="17119566"/>
                    <w:lock w:val="contentLocked"/>
                    <w:showingPlcHdr/>
                    <w:text/>
                  </w:sdtPr>
                  <w:sdtContent>
                    <w:r w:rsidR="00183A10" w:rsidRPr="003D1683">
                      <w:t xml:space="preserve"> </w:t>
                    </w:r>
                  </w:sdtContent>
                </w:sdt>
              </w:p>
              <w:p w:rsidR="00183A10" w:rsidRDefault="00183A10"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4914.35pt;margin-top:46.8pt;width:151.5pt;height:15pt;z-index:251672064;visibility:hidden;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4101" type="#_x0000_t75" style="position:absolute;margin-left:14914.35pt;margin-top:46.8pt;width:151.5pt;height:15pt;z-index:251682304;visibility:visible;mso-position-horizontal:right;mso-position-horizontal-relative:margin;mso-position-vertical-relative:page">
          <v:imagedata r:id="rId2" o:title="Logo2010_JPM_Cazenove_A_RGB%20for%20GPS"/>
          <w10:wrap type="square" anchorx="margin" anchory="page"/>
          <w10:anchorlock/>
        </v:shape>
      </w:pict>
    </w:r>
    <w:r w:rsidRPr="002E16EB">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183A10" w:rsidRDefault="00183A10">
                <w:pPr>
                  <w:pStyle w:val="IPOInsidePage"/>
                </w:pPr>
              </w:p>
              <w:p w:rsidR="00183A10" w:rsidRDefault="00183A10">
                <w:pPr>
                  <w:pStyle w:val="RegionGroupInvisible"/>
                </w:pPr>
              </w:p>
            </w:txbxContent>
          </v:textbox>
          <w10:wrap anchorx="page"/>
          <w10:anchorlock/>
        </v:shape>
      </w:pict>
    </w:r>
    <w:r w:rsidRPr="002E16EB">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183A10" w:rsidRDefault="002E16EB">
                <w:pPr>
                  <w:pStyle w:val="Header"/>
                </w:pPr>
                <w:sdt>
                  <w:sdtPr>
                    <w:alias w:val="ANALYST_NAME_MAIN_ODD"/>
                    <w:tag w:val="ANALYST_NAME_MAIN_ODD"/>
                    <w:id w:val="31622201"/>
                    <w:lock w:val="sdtContentLocked"/>
                    <w:text/>
                  </w:sdtPr>
                  <w:sdtContent>
                    <w:r w:rsidR="00183A10">
                      <w:t>Tim Leckie, CFA</w:t>
                    </w:r>
                  </w:sdtContent>
                </w:sdt>
                <w:r w:rsidR="00183A10">
                  <w:br/>
                </w:r>
                <w:sdt>
                  <w:sdtPr>
                    <w:alias w:val="ANALYST_PHONE_MAIN_ODD"/>
                    <w:tag w:val="ANALYST_PHONE_MAIN_ODD"/>
                    <w:id w:val="31622174"/>
                    <w:lock w:val="sdtContentLocked"/>
                    <w:text/>
                  </w:sdtPr>
                  <w:sdtContent>
                    <w:r w:rsidR="00183A10">
                      <w:t>(44-20) 7134-4477</w:t>
                    </w:r>
                  </w:sdtContent>
                </w:sdt>
                <w:r w:rsidR="00183A10">
                  <w:br/>
                </w:r>
                <w:sdt>
                  <w:sdtPr>
                    <w:alias w:val="ANALYST_EMAIL_MAIN_ODD"/>
                    <w:tag w:val="ANALYST_EMAIL_MAIN_ODD"/>
                    <w:id w:val="31622147"/>
                    <w:lock w:val="sdtContentLocked"/>
                    <w:text/>
                  </w:sdtPr>
                  <w:sdtContent>
                    <w:r w:rsidR="00183A10">
                      <w:t>timothy.leckie@jpmorgan.com</w:t>
                    </w:r>
                  </w:sdtContent>
                </w:sdt>
              </w:p>
              <w:p w:rsidR="00183A10" w:rsidRDefault="002E16EB">
                <w:pPr>
                  <w:pStyle w:val="Header"/>
                </w:pPr>
                <w:sdt>
                  <w:sdtPr>
                    <w:alias w:val="ANALYST_NAME_ODD"/>
                    <w:tag w:val="ANALYST_NAME_ODD"/>
                    <w:id w:val="31622120"/>
                    <w:lock w:val="sdtContentLocked"/>
                    <w:showingPlcHdr/>
                    <w:text/>
                  </w:sdtPr>
                  <w:sdtContent>
                    <w:r w:rsidR="00183A10">
                      <w:t xml:space="preserve"> </w:t>
                    </w:r>
                  </w:sdtContent>
                </w:sdt>
                <w:r w:rsidR="00183A10">
                  <w:br/>
                </w:r>
                <w:sdt>
                  <w:sdtPr>
                    <w:alias w:val="ANALYST_PHONE_ODD"/>
                    <w:tag w:val="ANALYST_PHONE_ODD"/>
                    <w:id w:val="31622093"/>
                    <w:lock w:val="sdtContentLocked"/>
                    <w:showingPlcHdr/>
                    <w:text/>
                  </w:sdtPr>
                  <w:sdtContent>
                    <w:r w:rsidR="00183A10">
                      <w:t xml:space="preserve"> </w:t>
                    </w:r>
                  </w:sdtContent>
                </w:sdt>
                <w:r w:rsidR="00183A10">
                  <w:br/>
                </w:r>
                <w:sdt>
                  <w:sdtPr>
                    <w:alias w:val="ANALYST_EMAIL_ODD"/>
                    <w:tag w:val="ANALYST_EMAIL_ODD"/>
                    <w:id w:val="31622066"/>
                    <w:lock w:val="sdtContentLocked"/>
                    <w:showingPlcHdr/>
                    <w:text/>
                  </w:sdtPr>
                  <w:sdtContent>
                    <w:r w:rsidR="00183A10">
                      <w:t xml:space="preserve"> </w:t>
                    </w:r>
                  </w:sdtContent>
                </w:sdt>
              </w:p>
            </w:txbxContent>
          </v:textbox>
          <w10:wrap anchorx="page"/>
          <w10:anchorlock/>
        </v:shape>
      </w:pict>
    </w:r>
    <w:r w:rsidRPr="002E16EB">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183A10" w:rsidRDefault="002E16EB">
                <w:pPr>
                  <w:pStyle w:val="HeaderRegionGroup"/>
                  <w:suppressOverlap/>
                </w:pPr>
                <w:sdt>
                  <w:sdtPr>
                    <w:alias w:val="REGION_ODD"/>
                    <w:tag w:val="REGION_ODD"/>
                    <w:id w:val="31622039"/>
                    <w:lock w:val="sdtContentLocked"/>
                    <w:text/>
                  </w:sdtPr>
                  <w:sdtContent>
                    <w:r w:rsidR="005C3F4E">
                      <w:t xml:space="preserve">Europe </w:t>
                    </w:r>
                  </w:sdtContent>
                </w:sdt>
                <w:sdt>
                  <w:sdtPr>
                    <w:alias w:val="BUSINESS_GROUP_ODD"/>
                    <w:tag w:val="BUSINESS_GROUP_ODD"/>
                    <w:id w:val="31622012"/>
                    <w:lock w:val="sdtContentLocked"/>
                    <w:text/>
                  </w:sdtPr>
                  <w:sdtContent>
                    <w:r w:rsidR="005C3F4E">
                      <w:t>Equity Research</w:t>
                    </w:r>
                  </w:sdtContent>
                </w:sdt>
              </w:p>
              <w:sdt>
                <w:sdtPr>
                  <w:alias w:val="PUBLICATION_DATE_ODD"/>
                  <w:tag w:val="PUBLICATION_DATE_ODD"/>
                  <w:id w:val="1330448"/>
                  <w:lock w:val="sdtContentLocked"/>
                  <w:text/>
                </w:sdtPr>
                <w:sdtContent>
                  <w:p w:rsidR="00183A10" w:rsidRDefault="005C3F4E">
                    <w:pPr>
                      <w:pStyle w:val="Header"/>
                    </w:pPr>
                    <w:r>
                      <w:t>01 July 2014</w:t>
                    </w:r>
                  </w:p>
                </w:sdtContent>
              </w:sdt>
            </w:txbxContent>
          </v:textbox>
          <w10:wrap anchorx="page"/>
          <w10:anchorlock/>
        </v:shape>
      </w:pict>
    </w:r>
  </w:p>
  <w:p w:rsidR="00183A10" w:rsidRDefault="00183A10">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183A10">
      <w:trPr>
        <w:trHeight w:val="15825"/>
      </w:trPr>
      <w:tc>
        <w:tcPr>
          <w:tcW w:w="1440" w:type="dxa"/>
          <w:shd w:val="clear" w:color="auto" w:fill="auto"/>
        </w:tcPr>
        <w:p w:rsidR="00183A10" w:rsidRDefault="00183A10" w:rsidP="00082C22">
          <w:pPr>
            <w:tabs>
              <w:tab w:val="left" w:pos="6360"/>
            </w:tabs>
            <w:spacing w:after="120"/>
          </w:pPr>
        </w:p>
      </w:tc>
    </w:tr>
  </w:tbl>
  <w:p w:rsidR="00183A10" w:rsidRDefault="002E16EB" w:rsidP="001C3457">
    <w:pPr>
      <w:pStyle w:val="RegionGroup"/>
    </w:pPr>
    <w:sdt>
      <w:sdtPr>
        <w:alias w:val="REGION"/>
        <w:tag w:val="REGION"/>
        <w:id w:val="164905360"/>
        <w:lock w:val="sdtLocked"/>
        <w:comboBox>
          <w:listItem w:displayText="Asia Pacific" w:value="Asia Pacific"/>
          <w:listItem w:displayText="Japan" w:value="Japan"/>
          <w:listItem w:displayText="Global" w:value="Global"/>
          <w:listItem w:displayText="Europe" w:value="Europe"/>
        </w:comboBox>
      </w:sdtPr>
      <w:sdtContent>
        <w:r w:rsidR="005C3F4E">
          <w:t xml:space="preserve">Europe </w:t>
        </w:r>
      </w:sdtContent>
    </w:sdt>
    <w:sdt>
      <w:sdtPr>
        <w:alias w:val="BUSINESS_GROUP"/>
        <w:tag w:val="BUSINESS_GROUP"/>
        <w:id w:val="164905373"/>
        <w:lock w:val="sdtLocked"/>
        <w:comboBox>
          <w:listItem w:displayText="Equity Research" w:value="Equity Research"/>
          <w:listItem w:displayText="Corporate Research" w:value="Corporate Research"/>
        </w:comboBox>
      </w:sdtPr>
      <w:sdtContent>
        <w:r w:rsidR="005C3F4E">
          <w:t>Equity Research</w:t>
        </w:r>
      </w:sdtContent>
    </w:sdt>
  </w:p>
  <w:p w:rsidR="00183A10" w:rsidRPr="00491D29" w:rsidRDefault="002E16EB" w:rsidP="00491D29">
    <w:pPr>
      <w:pStyle w:val="PublishDate"/>
    </w:pPr>
    <w:sdt>
      <w:sdtPr>
        <w:alias w:val="PUBLICATION_DATE"/>
        <w:tag w:val="PUBLICATION_DATE"/>
        <w:id w:val="1330385"/>
        <w:lock w:val="sdtContentLocked"/>
        <w:text/>
      </w:sdtPr>
      <w:sdtContent>
        <w:r w:rsidR="005C3F4E">
          <w:t>01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84352;visibility:visible;mso-position-horizontal-relative:page;mso-position-vertical-relative:page">
          <v:imagedata r:id="rId1" o:title="JPMCaz-pp1"/>
          <w10:wrap type="square" anchorx="page" anchory="page"/>
          <w10:anchorlock/>
        </v:shape>
      </w:pict>
    </w:r>
    <w:r>
      <w:pict>
        <v:shape id="JPMLogo_Cover" o:spid="_x0000_s4104" type="#_x0000_t75" style="position:absolute;left:0;text-align:left;margin-left:79.2pt;margin-top:17.3pt;width:259.5pt;height:36pt;z-index:251654656;visibility:hidden;mso-position-horizontal-relative:page;mso-position-vertical-relative:page">
          <v:imagedata r:id="rId2" o:title="JPM-pp1"/>
          <w10:wrap type="square" anchorx="page" anchory="page"/>
          <w10:anchorlock/>
        </v:shape>
      </w:pict>
    </w:r>
    <w:r>
      <w:pict>
        <v:shape id="JPMSpine" o:spid="_x0000_s4114"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183A10" w:rsidTr="00082C22">
      <w:trPr>
        <w:cantSplit/>
        <w:trHeight w:hRule="exact" w:val="23"/>
      </w:trPr>
      <w:sdt>
        <w:sdtPr>
          <w:alias w:val="FRONT_PAGE_BANNER_RETRACT"/>
          <w:tag w:val="FRONT_PAGE_BANNER_RETRACT"/>
          <w:id w:val="465380612"/>
          <w:lock w:val="contentLocked"/>
          <w:showingPlcHdr/>
          <w:text/>
        </w:sdtPr>
        <w:sdtContent>
          <w:tc>
            <w:tcPr>
              <w:tcW w:w="9979" w:type="dxa"/>
              <w:gridSpan w:val="3"/>
              <w:tcMar>
                <w:top w:w="29" w:type="dxa"/>
                <w:left w:w="29" w:type="dxa"/>
                <w:bottom w:w="29" w:type="dxa"/>
                <w:right w:w="432" w:type="dxa"/>
              </w:tcMar>
              <w:vAlign w:val="bottom"/>
            </w:tcPr>
            <w:p w:rsidR="00183A10" w:rsidRDefault="00183A10" w:rsidP="00082C22">
              <w:pPr>
                <w:pStyle w:val="ReportType"/>
                <w:framePr w:hSpace="0" w:wrap="auto" w:vAnchor="margin" w:xAlign="left" w:yAlign="inline"/>
              </w:pPr>
              <w:r>
                <w:t xml:space="preserve"> </w:t>
              </w:r>
            </w:p>
          </w:tc>
        </w:sdtContent>
      </w:sdt>
    </w:tr>
    <w:tr w:rsidR="00183A10" w:rsidTr="00577713">
      <w:trPr>
        <w:cantSplit/>
        <w:trHeight w:hRule="exact" w:val="23"/>
      </w:trPr>
      <w:sdt>
        <w:sdtPr>
          <w:alias w:val="FRONT_PAGE_BANNER"/>
          <w:tag w:val="FRONT_PAGE_BANNER"/>
          <w:id w:val="93880344"/>
          <w:lock w:val="sdtContentLocked"/>
          <w:showingPlcHdr/>
          <w:text/>
        </w:sdtPr>
        <w:sdtContent>
          <w:tc>
            <w:tcPr>
              <w:tcW w:w="9979" w:type="dxa"/>
              <w:gridSpan w:val="3"/>
              <w:tcMar>
                <w:top w:w="29" w:type="dxa"/>
                <w:left w:w="29" w:type="dxa"/>
                <w:bottom w:w="29" w:type="dxa"/>
                <w:right w:w="432" w:type="dxa"/>
              </w:tcMar>
              <w:vAlign w:val="bottom"/>
            </w:tcPr>
            <w:p w:rsidR="00183A10" w:rsidRDefault="00183A10" w:rsidP="00082C22">
              <w:pPr>
                <w:pStyle w:val="ReportType"/>
                <w:framePr w:hSpace="0" w:wrap="auto" w:vAnchor="margin" w:xAlign="left" w:yAlign="inline"/>
              </w:pPr>
              <w:r>
                <w:t xml:space="preserve"> </w:t>
              </w:r>
            </w:p>
          </w:tc>
        </w:sdtContent>
      </w:sdt>
    </w:tr>
    <w:tr w:rsidR="00183A10" w:rsidTr="00577713">
      <w:trPr>
        <w:cantSplit/>
      </w:trPr>
      <w:tc>
        <w:tcPr>
          <w:tcW w:w="6750" w:type="dxa"/>
          <w:tcMar>
            <w:top w:w="29" w:type="dxa"/>
            <w:left w:w="29" w:type="dxa"/>
            <w:bottom w:w="29" w:type="dxa"/>
            <w:right w:w="432" w:type="dxa"/>
          </w:tcMar>
          <w:vAlign w:val="bottom"/>
        </w:tcPr>
        <w:p w:rsidR="00183A10" w:rsidRDefault="002E16EB" w:rsidP="00C27FE1">
          <w:pPr>
            <w:pStyle w:val="FPTitleCompany"/>
            <w:framePr w:hSpace="0" w:wrap="auto" w:vAnchor="margin" w:xAlign="left" w:yAlign="inline"/>
          </w:pPr>
          <w:sdt>
            <w:sdtPr>
              <w:alias w:val="TITLE"/>
              <w:tag w:val="TITLE"/>
              <w:id w:val="840452"/>
              <w:lock w:val="sdtContentLocked"/>
              <w:text/>
            </w:sdtPr>
            <w:sdtContent>
              <w:r w:rsidR="00183A10">
                <w:t xml:space="preserve">The Property Ticker </w:t>
              </w:r>
            </w:sdtContent>
          </w:sdt>
        </w:p>
      </w:tc>
      <w:tc>
        <w:tcPr>
          <w:tcW w:w="344" w:type="dxa"/>
        </w:tcPr>
        <w:p w:rsidR="00183A10" w:rsidRPr="008C1005" w:rsidRDefault="00183A10" w:rsidP="00D14EE2">
          <w:pPr>
            <w:pStyle w:val="RatingChangeArrow"/>
            <w:framePr w:hSpace="0" w:wrap="auto" w:vAnchor="margin" w:xAlign="left" w:yAlign="inline"/>
          </w:pPr>
        </w:p>
      </w:tc>
      <w:tc>
        <w:tcPr>
          <w:tcW w:w="2885" w:type="dxa"/>
          <w:vAlign w:val="bottom"/>
        </w:tcPr>
        <w:p w:rsidR="00183A10" w:rsidRPr="00EF5DA4" w:rsidRDefault="00183A10" w:rsidP="00A35CD6">
          <w:pPr>
            <w:pStyle w:val="ReportType"/>
            <w:framePr w:hSpace="0" w:wrap="auto" w:vAnchor="margin" w:xAlign="left" w:yAlign="inline"/>
          </w:pPr>
        </w:p>
      </w:tc>
    </w:tr>
    <w:tr w:rsidR="00183A10" w:rsidTr="00577713">
      <w:trPr>
        <w:cantSplit/>
      </w:trPr>
      <w:tc>
        <w:tcPr>
          <w:tcW w:w="6750" w:type="dxa"/>
          <w:tcMar>
            <w:right w:w="432" w:type="dxa"/>
          </w:tcMar>
        </w:tcPr>
        <w:p w:rsidR="00183A10" w:rsidRDefault="002E16EB" w:rsidP="00D8401F">
          <w:pPr>
            <w:pStyle w:val="SubTitle"/>
          </w:pPr>
          <w:sdt>
            <w:sdtPr>
              <w:alias w:val="SUBTITLE"/>
              <w:tag w:val="SUBTITLE"/>
              <w:id w:val="840455"/>
              <w:lock w:val="sdtLocked"/>
              <w:text/>
            </w:sdtPr>
            <w:sdtContent>
              <w:r w:rsidR="00E74F32">
                <w:t xml:space="preserve">St Modwen 1H14 results; Luxury brands need upgrading discount stores; More Great Rotation; Dutch offices...and more! </w:t>
              </w:r>
            </w:sdtContent>
          </w:sdt>
        </w:p>
      </w:tc>
      <w:tc>
        <w:tcPr>
          <w:tcW w:w="344" w:type="dxa"/>
        </w:tcPr>
        <w:p w:rsidR="00183A10" w:rsidRPr="00F22CA1" w:rsidRDefault="00183A10" w:rsidP="00D14EE2">
          <w:pPr>
            <w:pStyle w:val="PTChangeArrow"/>
            <w:framePr w:hSpace="0" w:wrap="auto" w:vAnchor="margin" w:xAlign="left" w:yAlign="inline"/>
          </w:pPr>
        </w:p>
      </w:tc>
      <w:tc>
        <w:tcPr>
          <w:tcW w:w="2885" w:type="dxa"/>
        </w:tcPr>
        <w:p w:rsidR="00183A10" w:rsidRPr="00EF2AB4" w:rsidRDefault="00183A10"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183A10" w:rsidTr="00082C22">
      <w:trPr>
        <w:cantSplit/>
      </w:trPr>
      <w:tc>
        <w:tcPr>
          <w:tcW w:w="2880" w:type="dxa"/>
          <w:vAlign w:val="center"/>
        </w:tcPr>
        <w:p w:rsidR="00183A10" w:rsidRPr="00D14EE2" w:rsidRDefault="002E16EB" w:rsidP="00306107">
          <w:pPr>
            <w:pStyle w:val="GroupName"/>
          </w:pPr>
          <w:sdt>
            <w:sdtPr>
              <w:alias w:val="INDUSTRY"/>
              <w:tag w:val="INDUSTRY"/>
              <w:id w:val="840458"/>
              <w:lock w:val="sdtContentLocked"/>
              <w:text/>
            </w:sdtPr>
            <w:sdtContent>
              <w:r w:rsidR="00183A10">
                <w:t>European Property</w:t>
              </w:r>
            </w:sdtContent>
          </w:sdt>
        </w:p>
        <w:sdt>
          <w:sdtPr>
            <w:rPr>
              <w:b w:val="0"/>
              <w:sz w:val="14"/>
            </w:rPr>
            <w:alias w:val="ANALYST_DETAILS"/>
            <w:tag w:val="ANALYST_DETAILS"/>
            <w:id w:val="189518047"/>
            <w:lock w:val="sdtContentLocked"/>
          </w:sdtPr>
          <w:sdtContent>
            <w:p w:rsidR="00183A10" w:rsidRDefault="00183A10" w:rsidP="00306107">
              <w:pPr>
                <w:pStyle w:val="Name"/>
                <w:rPr>
                  <w:rStyle w:val="ComplianceMark"/>
                </w:rPr>
              </w:pPr>
              <w:r>
                <w:t xml:space="preserve">Tim Leckie, CFA </w:t>
              </w:r>
              <w:r w:rsidRPr="00306107">
                <w:rPr>
                  <w:rStyle w:val="ComplianceMark"/>
                </w:rPr>
                <w:t>AC</w:t>
              </w:r>
            </w:p>
            <w:p w:rsidR="00183A10" w:rsidRDefault="00183A10" w:rsidP="00306107">
              <w:pPr>
                <w:pStyle w:val="Phone"/>
              </w:pPr>
              <w:r>
                <w:t>(44-20) 7134-4477</w:t>
              </w:r>
            </w:p>
            <w:p w:rsidR="00183A10" w:rsidRDefault="00183A10" w:rsidP="00306107">
              <w:pPr>
                <w:pStyle w:val="EMail"/>
              </w:pPr>
              <w:r>
                <w:t>timothy.leckie@jpmorgan.com</w:t>
              </w:r>
            </w:p>
            <w:p w:rsidR="00183A10" w:rsidRDefault="00183A10" w:rsidP="00306107">
              <w:pPr>
                <w:pStyle w:val="BBGValue"/>
              </w:pPr>
              <w:r w:rsidRPr="00306107">
                <w:rPr>
                  <w:b/>
                </w:rPr>
                <w:t>Bloomberg</w:t>
              </w:r>
              <w:r>
                <w:t xml:space="preserve"> JPMA LECKIE &lt;GO&gt;</w:t>
              </w:r>
            </w:p>
          </w:sdtContent>
        </w:sdt>
        <w:sdt>
          <w:sdtPr>
            <w:rPr>
              <w:b w:val="0"/>
              <w:sz w:val="14"/>
            </w:rPr>
            <w:alias w:val="SECONDARY_ANALYST_CONTAINER"/>
            <w:tag w:val="SECONDARY_ANALYST_CONTAINER"/>
            <w:id w:val="353466171"/>
            <w:lock w:val="sdtContentLocked"/>
          </w:sdtPr>
          <w:sdtContent>
            <w:p w:rsidR="00183A10" w:rsidRDefault="00183A10" w:rsidP="00306107">
              <w:pPr>
                <w:pStyle w:val="Name"/>
              </w:pPr>
              <w:r>
                <w:t>Neil Green, CFA</w:t>
              </w:r>
            </w:p>
            <w:p w:rsidR="00183A10" w:rsidRDefault="00183A10" w:rsidP="00306107">
              <w:pPr>
                <w:pStyle w:val="Phone"/>
              </w:pPr>
              <w:r>
                <w:t>(44-20) 7134-4478</w:t>
              </w:r>
            </w:p>
            <w:p w:rsidR="00183A10" w:rsidRDefault="00183A10" w:rsidP="00306107">
              <w:pPr>
                <w:pStyle w:val="EMail"/>
              </w:pPr>
              <w:r>
                <w:t>neil.d.green@jpmorgan.com</w:t>
              </w:r>
            </w:p>
            <w:p w:rsidR="00183A10" w:rsidRDefault="00183A10" w:rsidP="00306107">
              <w:pPr>
                <w:pStyle w:val="Name"/>
              </w:pPr>
              <w:r>
                <w:t>Jan Willem Van Kranenburg</w:t>
              </w:r>
            </w:p>
            <w:p w:rsidR="00183A10" w:rsidRDefault="00183A10" w:rsidP="00306107">
              <w:pPr>
                <w:pStyle w:val="Phone"/>
              </w:pPr>
              <w:r>
                <w:t>(44-20) 7742-1114</w:t>
              </w:r>
            </w:p>
            <w:p w:rsidR="00183A10" w:rsidRDefault="00183A10" w:rsidP="00306107">
              <w:pPr>
                <w:pStyle w:val="EMail"/>
              </w:pPr>
              <w:r>
                <w:t>jan.w.vankranenburg@jpmorgan.com</w:t>
              </w:r>
            </w:p>
            <w:p w:rsidR="00183A10" w:rsidRDefault="00183A10" w:rsidP="00306107">
              <w:pPr>
                <w:pStyle w:val="Name"/>
              </w:pPr>
              <w:r>
                <w:t>Annelies Vermeulen</w:t>
              </w:r>
            </w:p>
            <w:p w:rsidR="00183A10" w:rsidRDefault="00183A10" w:rsidP="00306107">
              <w:pPr>
                <w:pStyle w:val="Phone"/>
              </w:pPr>
              <w:r>
                <w:t>(44-20) 7134-4554</w:t>
              </w:r>
            </w:p>
            <w:p w:rsidR="00183A10" w:rsidRDefault="00183A10" w:rsidP="00306107">
              <w:pPr>
                <w:pStyle w:val="EMail"/>
              </w:pPr>
              <w:r>
                <w:t>annelies.j.vermeulen@jpmorgan.com</w:t>
              </w:r>
            </w:p>
            <w:p w:rsidR="00183A10" w:rsidRDefault="00183A10" w:rsidP="00306107">
              <w:pPr>
                <w:pStyle w:val="FPLegalEntityName"/>
              </w:pPr>
              <w:r>
                <w:t>J.P. Morgan Securities plc</w:t>
              </w:r>
            </w:p>
            <w:p w:rsidR="00183A10" w:rsidRDefault="00183A10" w:rsidP="00306107">
              <w:pPr>
                <w:pStyle w:val="GroupName"/>
                <w:pBdr>
                  <w:top w:val="none" w:sz="0" w:space="0" w:color="auto"/>
                </w:pBdr>
              </w:pPr>
              <w:r>
                <w:t>For Specialist Sales advice, please contact:</w:t>
              </w:r>
            </w:p>
            <w:p w:rsidR="00183A10" w:rsidRDefault="00183A10" w:rsidP="00306107">
              <w:pPr>
                <w:pStyle w:val="Name"/>
              </w:pPr>
              <w:r>
                <w:t>John Van Marle</w:t>
              </w:r>
            </w:p>
            <w:p w:rsidR="00183A10" w:rsidRDefault="00183A10" w:rsidP="00306107">
              <w:pPr>
                <w:pStyle w:val="Phone"/>
              </w:pPr>
              <w:r>
                <w:t>(44-20) 7155-8172</w:t>
              </w:r>
            </w:p>
            <w:p w:rsidR="00183A10" w:rsidRPr="002E187C" w:rsidRDefault="00183A10" w:rsidP="00306107">
              <w:pPr>
                <w:pStyle w:val="EMail"/>
              </w:pPr>
              <w:r>
                <w:t>john.vanmarle@jpmorgan.com</w:t>
              </w:r>
            </w:p>
          </w:sdtContent>
        </w:sdt>
        <w:p w:rsidR="00183A10" w:rsidRPr="001A39BA" w:rsidRDefault="00183A10" w:rsidP="001A39BA">
          <w:pPr>
            <w:pStyle w:val="Phone"/>
          </w:pPr>
        </w:p>
      </w:tc>
    </w:tr>
  </w:tbl>
  <w:p w:rsidR="00183A10" w:rsidRPr="00F534AB" w:rsidRDefault="00183A10" w:rsidP="00082C22">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183A1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A10" w:rsidRDefault="002E16EB">
    <w:pPr>
      <w:pStyle w:val="Header"/>
      <w:spacing w:after="0"/>
    </w:pPr>
    <w:r w:rsidRPr="002E16EB">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183A10" w:rsidRDefault="00183A10">
                <w:pPr>
                  <w:pStyle w:val="IPOInsidePage"/>
                </w:pPr>
              </w:p>
              <w:p w:rsidR="00183A10" w:rsidRDefault="00183A10">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4224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2E16EB">
      <w:rPr>
        <w:sz w:val="20"/>
      </w:rPr>
      <w:pict>
        <v:shape id="TrapezoidBackCover" o:spid="_x0000_s4117" style="position:absolute;margin-left:7737.6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2E16EB">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183A10" w:rsidRDefault="00183A10">
                <w:pPr>
                  <w:pStyle w:val="HeaderRegionGroup"/>
                  <w:suppressOverlap/>
                </w:pPr>
                <w:r>
                  <w:t>Region Group</w:t>
                </w:r>
              </w:p>
              <w:p w:rsidR="00183A10" w:rsidRDefault="00183A10">
                <w:pPr>
                  <w:pStyle w:val="Header"/>
                </w:pPr>
                <w:r>
                  <w:t>Publish Date</w:t>
                </w:r>
              </w:p>
            </w:txbxContent>
          </v:textbox>
          <w10:wrap anchorx="page"/>
          <w10:anchorlock/>
        </v:shape>
      </w:pict>
    </w:r>
    <w:r w:rsidRPr="002E16EB">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183A10" w:rsidRDefault="00183A10">
                <w:pPr>
                  <w:pStyle w:val="Header"/>
                </w:pPr>
                <w:r>
                  <w:t>Analyst Name Main</w:t>
                </w:r>
                <w:r>
                  <w:br/>
                  <w:t>Analyst Phone Main</w:t>
                </w:r>
                <w:r>
                  <w:br/>
                  <w:t xml:space="preserve">Analyst Email </w:t>
                </w:r>
                <w:smartTag w:uri="urn:schemas-microsoft-com:office:smarttags" w:element="place">
                  <w:r>
                    <w:t>Main</w:t>
                  </w:r>
                </w:smartTag>
              </w:p>
              <w:p w:rsidR="00183A10" w:rsidRDefault="00183A10">
                <w:pPr>
                  <w:pStyle w:val="Header"/>
                </w:pPr>
                <w:r>
                  <w:t>Analyst Name</w:t>
                </w:r>
                <w:r>
                  <w:br/>
                  <w:t>Analyst Phone</w:t>
                </w:r>
                <w:r>
                  <w:br/>
                  <w:t>Analyst Email</w:t>
                </w:r>
              </w:p>
            </w:txbxContent>
          </v:textbox>
          <w10:wrap anchorx="page"/>
          <w10:anchorlock/>
        </v:shape>
      </w:pict>
    </w:r>
  </w:p>
  <w:p w:rsidR="00183A10" w:rsidRDefault="00183A10">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00FE8FDE"/>
    <w:lvl w:ilvl="0" w:tplc="BD96BFD0">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627FEB"/>
    <w:multiLevelType w:val="hybridMultilevel"/>
    <w:tmpl w:val="D13EB26E"/>
    <w:lvl w:ilvl="0" w:tplc="9EEAEF24">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7">
    <w:nsid w:val="2EAD5669"/>
    <w:multiLevelType w:val="hybridMultilevel"/>
    <w:tmpl w:val="0A1ACF70"/>
    <w:lvl w:ilvl="0" w:tplc="94D6570E">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8">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0">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2">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4F9C56DB"/>
    <w:multiLevelType w:val="multilevel"/>
    <w:tmpl w:val="D46E1E2E"/>
    <w:lvl w:ilvl="0">
      <w:start w:val="1"/>
      <w:numFmt w:val="bullet"/>
      <w:pStyle w:val="TradeBullet"/>
      <w:lvlText w:val=""/>
      <w:lvlJc w:val="left"/>
      <w:pPr>
        <w:tabs>
          <w:tab w:val="num" w:pos="360"/>
        </w:tabs>
        <w:ind w:left="357" w:hanging="357"/>
      </w:pPr>
      <w:rPr>
        <w:rFonts w:ascii="Symbol" w:hAnsi="Symbol" w:hint="default"/>
        <w:color w:val="4E8AB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5">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7"/>
  </w:num>
  <w:num w:numId="3">
    <w:abstractNumId w:val="19"/>
  </w:num>
  <w:num w:numId="4">
    <w:abstractNumId w:val="12"/>
  </w:num>
  <w:num w:numId="5">
    <w:abstractNumId w:val="10"/>
  </w:num>
  <w:num w:numId="6">
    <w:abstractNumId w:val="16"/>
  </w:num>
  <w:num w:numId="7">
    <w:abstractNumId w:val="15"/>
  </w:num>
  <w:num w:numId="8">
    <w:abstractNumId w:val="14"/>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18"/>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3"/>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3"/>
  </w:num>
  <w:num w:numId="30">
    <w:abstractNumId w:val="20"/>
  </w:num>
  <w:num w:numId="31">
    <w:abstractNumId w:val="11"/>
  </w:num>
  <w:num w:numId="32">
    <w:abstractNumId w:val="28"/>
  </w:num>
  <w:num w:numId="33">
    <w:abstractNumId w:val="24"/>
  </w:num>
  <w:num w:numId="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isplayBackgroundShape/>
  <w:bordersDoNotSurroundHeader/>
  <w:bordersDoNotSurroundFooter/>
  <w:attachedTemplate r:id="rId1"/>
  <w:defaultTabStop w:val="720"/>
  <w:evenAndOddHeaders/>
  <w:drawingGridHorizontalSpacing w:val="172"/>
  <w:displayHorizontalDrawingGridEvery w:val="2"/>
  <w:displayVerticalDrawingGridEvery w:val="2"/>
  <w:characterSpacingControl w:val="doNotCompress"/>
  <w:hdrShapeDefaults>
    <o:shapedefaults v:ext="edit" spidmax="4134">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펀௏⎰"/>
    <w:docVar w:name="ShapeAltTextReset" w:val="True"/>
  </w:docVars>
  <w:rsids>
    <w:rsidRoot w:val="00446399"/>
    <w:rsid w:val="00003870"/>
    <w:rsid w:val="00004A61"/>
    <w:rsid w:val="00010013"/>
    <w:rsid w:val="0001353F"/>
    <w:rsid w:val="000169EC"/>
    <w:rsid w:val="00017296"/>
    <w:rsid w:val="00017CE0"/>
    <w:rsid w:val="00032890"/>
    <w:rsid w:val="00032F88"/>
    <w:rsid w:val="0004014E"/>
    <w:rsid w:val="0005401A"/>
    <w:rsid w:val="000657BD"/>
    <w:rsid w:val="00076FE2"/>
    <w:rsid w:val="00080584"/>
    <w:rsid w:val="00080A5D"/>
    <w:rsid w:val="00082263"/>
    <w:rsid w:val="00082C22"/>
    <w:rsid w:val="0008441D"/>
    <w:rsid w:val="00084E96"/>
    <w:rsid w:val="000941A8"/>
    <w:rsid w:val="00096996"/>
    <w:rsid w:val="000A0E66"/>
    <w:rsid w:val="000A1846"/>
    <w:rsid w:val="000A18C9"/>
    <w:rsid w:val="000A44E7"/>
    <w:rsid w:val="000A76DC"/>
    <w:rsid w:val="000B7373"/>
    <w:rsid w:val="000E7951"/>
    <w:rsid w:val="000F0A7D"/>
    <w:rsid w:val="00104908"/>
    <w:rsid w:val="00107907"/>
    <w:rsid w:val="001136B6"/>
    <w:rsid w:val="00122DA3"/>
    <w:rsid w:val="00125B98"/>
    <w:rsid w:val="00127E47"/>
    <w:rsid w:val="0014169B"/>
    <w:rsid w:val="0015071F"/>
    <w:rsid w:val="001509FE"/>
    <w:rsid w:val="00150A8C"/>
    <w:rsid w:val="001544F8"/>
    <w:rsid w:val="001702FE"/>
    <w:rsid w:val="00173256"/>
    <w:rsid w:val="00174A0D"/>
    <w:rsid w:val="001772C0"/>
    <w:rsid w:val="00183A10"/>
    <w:rsid w:val="00184BB7"/>
    <w:rsid w:val="001879EC"/>
    <w:rsid w:val="001944B8"/>
    <w:rsid w:val="001A39BA"/>
    <w:rsid w:val="001A4A3E"/>
    <w:rsid w:val="001A4EED"/>
    <w:rsid w:val="001C1776"/>
    <w:rsid w:val="001C3457"/>
    <w:rsid w:val="001C509D"/>
    <w:rsid w:val="001C56E1"/>
    <w:rsid w:val="001C7C7E"/>
    <w:rsid w:val="001D5A94"/>
    <w:rsid w:val="001D5E81"/>
    <w:rsid w:val="001D6A48"/>
    <w:rsid w:val="001E2147"/>
    <w:rsid w:val="001F0E2A"/>
    <w:rsid w:val="001F403E"/>
    <w:rsid w:val="001F7CF9"/>
    <w:rsid w:val="002022ED"/>
    <w:rsid w:val="00207CF8"/>
    <w:rsid w:val="002158B6"/>
    <w:rsid w:val="00226701"/>
    <w:rsid w:val="00231F67"/>
    <w:rsid w:val="00262504"/>
    <w:rsid w:val="002670B5"/>
    <w:rsid w:val="0027343D"/>
    <w:rsid w:val="00284B9D"/>
    <w:rsid w:val="002A74BA"/>
    <w:rsid w:val="002A787A"/>
    <w:rsid w:val="002C2C7B"/>
    <w:rsid w:val="002D12DE"/>
    <w:rsid w:val="002D4C8B"/>
    <w:rsid w:val="002E16EB"/>
    <w:rsid w:val="002E187C"/>
    <w:rsid w:val="002E763A"/>
    <w:rsid w:val="002F11F9"/>
    <w:rsid w:val="002F3D16"/>
    <w:rsid w:val="002F3F59"/>
    <w:rsid w:val="002F743F"/>
    <w:rsid w:val="002F792C"/>
    <w:rsid w:val="0030001F"/>
    <w:rsid w:val="00301D8E"/>
    <w:rsid w:val="00306107"/>
    <w:rsid w:val="00307EF1"/>
    <w:rsid w:val="00313D4E"/>
    <w:rsid w:val="00316AFF"/>
    <w:rsid w:val="00320281"/>
    <w:rsid w:val="00330F33"/>
    <w:rsid w:val="00340C95"/>
    <w:rsid w:val="003411A7"/>
    <w:rsid w:val="003478D4"/>
    <w:rsid w:val="003553B4"/>
    <w:rsid w:val="0035639A"/>
    <w:rsid w:val="00357AA4"/>
    <w:rsid w:val="00367059"/>
    <w:rsid w:val="00370DBF"/>
    <w:rsid w:val="00376DEC"/>
    <w:rsid w:val="0038357F"/>
    <w:rsid w:val="00392812"/>
    <w:rsid w:val="003A1C33"/>
    <w:rsid w:val="003A4A06"/>
    <w:rsid w:val="003A4CF2"/>
    <w:rsid w:val="003B0728"/>
    <w:rsid w:val="003B2FCC"/>
    <w:rsid w:val="003D3497"/>
    <w:rsid w:val="003E2CEF"/>
    <w:rsid w:val="003E2FFD"/>
    <w:rsid w:val="003E5BF5"/>
    <w:rsid w:val="00410841"/>
    <w:rsid w:val="00412830"/>
    <w:rsid w:val="0041347C"/>
    <w:rsid w:val="00413766"/>
    <w:rsid w:val="004234B3"/>
    <w:rsid w:val="004252A3"/>
    <w:rsid w:val="00430D82"/>
    <w:rsid w:val="004334B0"/>
    <w:rsid w:val="00440DFC"/>
    <w:rsid w:val="00446399"/>
    <w:rsid w:val="004472B9"/>
    <w:rsid w:val="00447B81"/>
    <w:rsid w:val="00447C07"/>
    <w:rsid w:val="0045231D"/>
    <w:rsid w:val="0046342A"/>
    <w:rsid w:val="004651B1"/>
    <w:rsid w:val="00475ACC"/>
    <w:rsid w:val="00480441"/>
    <w:rsid w:val="00491D29"/>
    <w:rsid w:val="00493E10"/>
    <w:rsid w:val="004956EA"/>
    <w:rsid w:val="004A4CA4"/>
    <w:rsid w:val="004A6AAF"/>
    <w:rsid w:val="004C1CB8"/>
    <w:rsid w:val="004E0CBE"/>
    <w:rsid w:val="004E44E5"/>
    <w:rsid w:val="004E7435"/>
    <w:rsid w:val="004F3429"/>
    <w:rsid w:val="004F6086"/>
    <w:rsid w:val="00504FB3"/>
    <w:rsid w:val="005062C8"/>
    <w:rsid w:val="00507387"/>
    <w:rsid w:val="005078A5"/>
    <w:rsid w:val="00512CDC"/>
    <w:rsid w:val="00523B59"/>
    <w:rsid w:val="00530B85"/>
    <w:rsid w:val="00530E34"/>
    <w:rsid w:val="005327F6"/>
    <w:rsid w:val="00534B36"/>
    <w:rsid w:val="005560C7"/>
    <w:rsid w:val="00566BE4"/>
    <w:rsid w:val="00570A95"/>
    <w:rsid w:val="00576C15"/>
    <w:rsid w:val="00577713"/>
    <w:rsid w:val="00585C54"/>
    <w:rsid w:val="005A1363"/>
    <w:rsid w:val="005A1ACE"/>
    <w:rsid w:val="005B281F"/>
    <w:rsid w:val="005B3FE7"/>
    <w:rsid w:val="005C163A"/>
    <w:rsid w:val="005C37FA"/>
    <w:rsid w:val="005C3C4B"/>
    <w:rsid w:val="005C3C51"/>
    <w:rsid w:val="005C3F4E"/>
    <w:rsid w:val="005D1C67"/>
    <w:rsid w:val="005D2E8C"/>
    <w:rsid w:val="005E126D"/>
    <w:rsid w:val="005E2062"/>
    <w:rsid w:val="005F2683"/>
    <w:rsid w:val="005F3E16"/>
    <w:rsid w:val="006004F7"/>
    <w:rsid w:val="006250FD"/>
    <w:rsid w:val="00625AA6"/>
    <w:rsid w:val="00631EAC"/>
    <w:rsid w:val="00633A4C"/>
    <w:rsid w:val="006347E8"/>
    <w:rsid w:val="00636AE1"/>
    <w:rsid w:val="00641382"/>
    <w:rsid w:val="00642856"/>
    <w:rsid w:val="006479CC"/>
    <w:rsid w:val="00661613"/>
    <w:rsid w:val="006630D5"/>
    <w:rsid w:val="0067246E"/>
    <w:rsid w:val="00674389"/>
    <w:rsid w:val="00676AFF"/>
    <w:rsid w:val="006835DA"/>
    <w:rsid w:val="00686996"/>
    <w:rsid w:val="006A7641"/>
    <w:rsid w:val="006B0E69"/>
    <w:rsid w:val="006C6045"/>
    <w:rsid w:val="006C610B"/>
    <w:rsid w:val="006D2D34"/>
    <w:rsid w:val="006D3CD9"/>
    <w:rsid w:val="006E1D0B"/>
    <w:rsid w:val="006E26AA"/>
    <w:rsid w:val="006E7618"/>
    <w:rsid w:val="006F16BA"/>
    <w:rsid w:val="006F203D"/>
    <w:rsid w:val="006F36E8"/>
    <w:rsid w:val="006F3A4E"/>
    <w:rsid w:val="007166A1"/>
    <w:rsid w:val="0072040F"/>
    <w:rsid w:val="007235DB"/>
    <w:rsid w:val="007235DF"/>
    <w:rsid w:val="0073260C"/>
    <w:rsid w:val="00732D26"/>
    <w:rsid w:val="007344F1"/>
    <w:rsid w:val="00734627"/>
    <w:rsid w:val="007416E8"/>
    <w:rsid w:val="007548F9"/>
    <w:rsid w:val="00754994"/>
    <w:rsid w:val="007552B8"/>
    <w:rsid w:val="00775EED"/>
    <w:rsid w:val="00796713"/>
    <w:rsid w:val="007A088C"/>
    <w:rsid w:val="007B35D1"/>
    <w:rsid w:val="007C3B6E"/>
    <w:rsid w:val="007D0F3C"/>
    <w:rsid w:val="007D22EF"/>
    <w:rsid w:val="007E1E43"/>
    <w:rsid w:val="007E3B95"/>
    <w:rsid w:val="007E4D4D"/>
    <w:rsid w:val="0080003F"/>
    <w:rsid w:val="00807AB8"/>
    <w:rsid w:val="00811ACB"/>
    <w:rsid w:val="0081495C"/>
    <w:rsid w:val="0082043F"/>
    <w:rsid w:val="00825A0D"/>
    <w:rsid w:val="00827916"/>
    <w:rsid w:val="00827D9F"/>
    <w:rsid w:val="00831484"/>
    <w:rsid w:val="00833D68"/>
    <w:rsid w:val="0083458C"/>
    <w:rsid w:val="00845196"/>
    <w:rsid w:val="00850957"/>
    <w:rsid w:val="00853331"/>
    <w:rsid w:val="0085671D"/>
    <w:rsid w:val="00871411"/>
    <w:rsid w:val="00876C3E"/>
    <w:rsid w:val="008815AC"/>
    <w:rsid w:val="008858D8"/>
    <w:rsid w:val="0088594D"/>
    <w:rsid w:val="008874D0"/>
    <w:rsid w:val="00891B20"/>
    <w:rsid w:val="008A05EC"/>
    <w:rsid w:val="008A44F7"/>
    <w:rsid w:val="008A5E01"/>
    <w:rsid w:val="008C133A"/>
    <w:rsid w:val="008C35C2"/>
    <w:rsid w:val="008C5A7A"/>
    <w:rsid w:val="008D757E"/>
    <w:rsid w:val="008E2ADB"/>
    <w:rsid w:val="008E2C47"/>
    <w:rsid w:val="00904B4F"/>
    <w:rsid w:val="0090776A"/>
    <w:rsid w:val="00914B0D"/>
    <w:rsid w:val="0092168B"/>
    <w:rsid w:val="0092551C"/>
    <w:rsid w:val="00943C05"/>
    <w:rsid w:val="00943E0D"/>
    <w:rsid w:val="0095148E"/>
    <w:rsid w:val="00952E60"/>
    <w:rsid w:val="00956EC4"/>
    <w:rsid w:val="00972992"/>
    <w:rsid w:val="0098119F"/>
    <w:rsid w:val="00983264"/>
    <w:rsid w:val="009920CE"/>
    <w:rsid w:val="00993B2B"/>
    <w:rsid w:val="009A12DF"/>
    <w:rsid w:val="009B2AD2"/>
    <w:rsid w:val="009B2F8F"/>
    <w:rsid w:val="009B30AE"/>
    <w:rsid w:val="009C0C93"/>
    <w:rsid w:val="009C7576"/>
    <w:rsid w:val="009C77DE"/>
    <w:rsid w:val="009D47AA"/>
    <w:rsid w:val="009D5DD1"/>
    <w:rsid w:val="009E0FA3"/>
    <w:rsid w:val="009F337A"/>
    <w:rsid w:val="009F3424"/>
    <w:rsid w:val="009F59FE"/>
    <w:rsid w:val="00A23BB6"/>
    <w:rsid w:val="00A31F59"/>
    <w:rsid w:val="00A35CD6"/>
    <w:rsid w:val="00A47FF7"/>
    <w:rsid w:val="00A809D4"/>
    <w:rsid w:val="00A841E9"/>
    <w:rsid w:val="00A87A39"/>
    <w:rsid w:val="00A916B7"/>
    <w:rsid w:val="00A918D4"/>
    <w:rsid w:val="00AB3C3C"/>
    <w:rsid w:val="00AB4D48"/>
    <w:rsid w:val="00AD0D70"/>
    <w:rsid w:val="00AD447F"/>
    <w:rsid w:val="00AE0BFD"/>
    <w:rsid w:val="00AE5273"/>
    <w:rsid w:val="00AF1A5B"/>
    <w:rsid w:val="00AF5737"/>
    <w:rsid w:val="00AF6FEC"/>
    <w:rsid w:val="00B06ADA"/>
    <w:rsid w:val="00B11ED5"/>
    <w:rsid w:val="00B12975"/>
    <w:rsid w:val="00B31266"/>
    <w:rsid w:val="00B63AF7"/>
    <w:rsid w:val="00B733F1"/>
    <w:rsid w:val="00B74628"/>
    <w:rsid w:val="00B82209"/>
    <w:rsid w:val="00B83C5D"/>
    <w:rsid w:val="00B86505"/>
    <w:rsid w:val="00B90929"/>
    <w:rsid w:val="00B9119F"/>
    <w:rsid w:val="00B9760F"/>
    <w:rsid w:val="00BA2384"/>
    <w:rsid w:val="00BA5827"/>
    <w:rsid w:val="00BB66C3"/>
    <w:rsid w:val="00BC0914"/>
    <w:rsid w:val="00BC6695"/>
    <w:rsid w:val="00BD50EF"/>
    <w:rsid w:val="00BD66E7"/>
    <w:rsid w:val="00BD6FF8"/>
    <w:rsid w:val="00BD7DDE"/>
    <w:rsid w:val="00BE1373"/>
    <w:rsid w:val="00BE2738"/>
    <w:rsid w:val="00BF1754"/>
    <w:rsid w:val="00C05427"/>
    <w:rsid w:val="00C1029A"/>
    <w:rsid w:val="00C120EC"/>
    <w:rsid w:val="00C1442D"/>
    <w:rsid w:val="00C15552"/>
    <w:rsid w:val="00C2011E"/>
    <w:rsid w:val="00C21B1D"/>
    <w:rsid w:val="00C22AA5"/>
    <w:rsid w:val="00C239A7"/>
    <w:rsid w:val="00C25C85"/>
    <w:rsid w:val="00C2751D"/>
    <w:rsid w:val="00C27FE1"/>
    <w:rsid w:val="00C35DE7"/>
    <w:rsid w:val="00C43C5F"/>
    <w:rsid w:val="00C64C03"/>
    <w:rsid w:val="00C80AD1"/>
    <w:rsid w:val="00C822B9"/>
    <w:rsid w:val="00C85825"/>
    <w:rsid w:val="00C85B88"/>
    <w:rsid w:val="00C9137F"/>
    <w:rsid w:val="00C935B6"/>
    <w:rsid w:val="00CA325E"/>
    <w:rsid w:val="00CD1E8A"/>
    <w:rsid w:val="00CE0DA9"/>
    <w:rsid w:val="00CE3739"/>
    <w:rsid w:val="00CE3EE1"/>
    <w:rsid w:val="00CE4DB7"/>
    <w:rsid w:val="00CE5F23"/>
    <w:rsid w:val="00CF2FBF"/>
    <w:rsid w:val="00CF3081"/>
    <w:rsid w:val="00D00CF8"/>
    <w:rsid w:val="00D00D3A"/>
    <w:rsid w:val="00D144EA"/>
    <w:rsid w:val="00D14EE2"/>
    <w:rsid w:val="00D20423"/>
    <w:rsid w:val="00D33AA6"/>
    <w:rsid w:val="00D37D3D"/>
    <w:rsid w:val="00D521C6"/>
    <w:rsid w:val="00D6072A"/>
    <w:rsid w:val="00D63410"/>
    <w:rsid w:val="00D7529E"/>
    <w:rsid w:val="00D755BE"/>
    <w:rsid w:val="00D81D14"/>
    <w:rsid w:val="00D8401F"/>
    <w:rsid w:val="00D86F51"/>
    <w:rsid w:val="00D96F2B"/>
    <w:rsid w:val="00DA2100"/>
    <w:rsid w:val="00DB30F2"/>
    <w:rsid w:val="00DB4CDA"/>
    <w:rsid w:val="00DC0C84"/>
    <w:rsid w:val="00DC16B7"/>
    <w:rsid w:val="00DC237C"/>
    <w:rsid w:val="00DC5165"/>
    <w:rsid w:val="00DC5D2B"/>
    <w:rsid w:val="00DE1EDE"/>
    <w:rsid w:val="00DE3463"/>
    <w:rsid w:val="00DE4A45"/>
    <w:rsid w:val="00DE4EC0"/>
    <w:rsid w:val="00DE60FE"/>
    <w:rsid w:val="00DF3BCA"/>
    <w:rsid w:val="00DF56B2"/>
    <w:rsid w:val="00DF7152"/>
    <w:rsid w:val="00E02214"/>
    <w:rsid w:val="00E02477"/>
    <w:rsid w:val="00E0403B"/>
    <w:rsid w:val="00E05AE5"/>
    <w:rsid w:val="00E05DF0"/>
    <w:rsid w:val="00E1025B"/>
    <w:rsid w:val="00E112F3"/>
    <w:rsid w:val="00E24914"/>
    <w:rsid w:val="00E27EEB"/>
    <w:rsid w:val="00E40095"/>
    <w:rsid w:val="00E4017A"/>
    <w:rsid w:val="00E42586"/>
    <w:rsid w:val="00E450BC"/>
    <w:rsid w:val="00E47205"/>
    <w:rsid w:val="00E55E81"/>
    <w:rsid w:val="00E74F32"/>
    <w:rsid w:val="00E81F6D"/>
    <w:rsid w:val="00E90CFE"/>
    <w:rsid w:val="00E9442C"/>
    <w:rsid w:val="00EA0175"/>
    <w:rsid w:val="00EB0B90"/>
    <w:rsid w:val="00EB3811"/>
    <w:rsid w:val="00EB5FB9"/>
    <w:rsid w:val="00EC6A84"/>
    <w:rsid w:val="00ED61D0"/>
    <w:rsid w:val="00EE3181"/>
    <w:rsid w:val="00EF2AB4"/>
    <w:rsid w:val="00EF5DA4"/>
    <w:rsid w:val="00EF7680"/>
    <w:rsid w:val="00F00F4C"/>
    <w:rsid w:val="00F06B2D"/>
    <w:rsid w:val="00F1242D"/>
    <w:rsid w:val="00F230E8"/>
    <w:rsid w:val="00F26244"/>
    <w:rsid w:val="00F33780"/>
    <w:rsid w:val="00F60607"/>
    <w:rsid w:val="00F67607"/>
    <w:rsid w:val="00F67C65"/>
    <w:rsid w:val="00F70C81"/>
    <w:rsid w:val="00F735D3"/>
    <w:rsid w:val="00F74780"/>
    <w:rsid w:val="00F81739"/>
    <w:rsid w:val="00F8656E"/>
    <w:rsid w:val="00F93D1D"/>
    <w:rsid w:val="00F93E55"/>
    <w:rsid w:val="00F9697A"/>
    <w:rsid w:val="00FA4449"/>
    <w:rsid w:val="00FB1508"/>
    <w:rsid w:val="00FC026D"/>
    <w:rsid w:val="00FC083D"/>
    <w:rsid w:val="00FC6C27"/>
    <w:rsid w:val="00FD01D9"/>
    <w:rsid w:val="00FE5CD7"/>
    <w:rsid w:val="00FF229B"/>
    <w:rsid w:val="00FF49BE"/>
    <w:rsid w:val="00FF5A08"/>
    <w:rsid w:val="00FF5C9B"/>
    <w:rsid w:val="00FF5E1D"/>
    <w:rsid w:val="00FF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uiPriority="99"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C3F4E"/>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5C3F4E"/>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5C3F4E"/>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5C3F4E"/>
    <w:pPr>
      <w:keepNext/>
      <w:spacing w:after="40"/>
      <w:outlineLvl w:val="2"/>
    </w:pPr>
    <w:rPr>
      <w:rFonts w:cs="Arial"/>
      <w:b/>
      <w:bCs/>
      <w:szCs w:val="26"/>
    </w:rPr>
  </w:style>
  <w:style w:type="paragraph" w:styleId="Heading4">
    <w:name w:val="heading 4"/>
    <w:basedOn w:val="Body"/>
    <w:next w:val="Body"/>
    <w:link w:val="Heading4Char"/>
    <w:rsid w:val="005C3F4E"/>
    <w:pPr>
      <w:keepNext/>
      <w:spacing w:after="0"/>
      <w:outlineLvl w:val="3"/>
    </w:pPr>
    <w:rPr>
      <w:bCs/>
      <w:i/>
      <w:szCs w:val="28"/>
    </w:rPr>
  </w:style>
  <w:style w:type="paragraph" w:styleId="Heading5">
    <w:name w:val="heading 5"/>
    <w:basedOn w:val="Heading4"/>
    <w:next w:val="Body"/>
    <w:link w:val="Heading5Char"/>
    <w:rsid w:val="005C3F4E"/>
    <w:pPr>
      <w:spacing w:after="40"/>
      <w:outlineLvl w:val="4"/>
    </w:pPr>
    <w:rPr>
      <w:b/>
      <w:bCs w:val="0"/>
      <w:i w:val="0"/>
      <w:color w:val="000080"/>
      <w:sz w:val="144"/>
      <w:szCs w:val="144"/>
    </w:rPr>
  </w:style>
  <w:style w:type="paragraph" w:styleId="Heading6">
    <w:name w:val="heading 6"/>
    <w:basedOn w:val="Heading1"/>
    <w:next w:val="Normal"/>
    <w:link w:val="Heading6Char"/>
    <w:rsid w:val="005C3F4E"/>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5C3F4E"/>
    <w:pPr>
      <w:keepNext/>
      <w:keepLines/>
      <w:spacing w:after="100"/>
      <w:outlineLvl w:val="6"/>
    </w:pPr>
    <w:rPr>
      <w:color w:val="000080"/>
      <w:sz w:val="144"/>
      <w:szCs w:val="144"/>
    </w:rPr>
  </w:style>
  <w:style w:type="paragraph" w:styleId="Heading8">
    <w:name w:val="heading 8"/>
    <w:basedOn w:val="Normal"/>
    <w:next w:val="Normal"/>
    <w:link w:val="Heading8Char"/>
    <w:rsid w:val="005C3F4E"/>
    <w:pPr>
      <w:spacing w:before="240" w:after="60"/>
      <w:outlineLvl w:val="7"/>
    </w:pPr>
    <w:rPr>
      <w:i/>
      <w:iCs/>
    </w:rPr>
  </w:style>
  <w:style w:type="paragraph" w:styleId="Heading9">
    <w:name w:val="heading 9"/>
    <w:basedOn w:val="Normal"/>
    <w:next w:val="Normal"/>
    <w:link w:val="Heading9Char"/>
    <w:rsid w:val="005C3F4E"/>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5C3F4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C3F4E"/>
  </w:style>
  <w:style w:type="paragraph" w:styleId="Header">
    <w:name w:val="header"/>
    <w:basedOn w:val="Normal"/>
    <w:link w:val="HeaderChar"/>
    <w:rsid w:val="005C3F4E"/>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5C3F4E"/>
    <w:rPr>
      <w:rFonts w:ascii="Arial" w:eastAsia="MS Mincho" w:hAnsi="Arial" w:cs="Times New Roman"/>
      <w:noProof/>
      <w:kern w:val="20"/>
      <w:sz w:val="14"/>
      <w:szCs w:val="24"/>
      <w:lang w:val="en-US" w:eastAsia="en-US"/>
    </w:rPr>
  </w:style>
  <w:style w:type="paragraph" w:styleId="Footer">
    <w:name w:val="footer"/>
    <w:basedOn w:val="Normal"/>
    <w:link w:val="FooterChar"/>
    <w:rsid w:val="005C3F4E"/>
    <w:pPr>
      <w:tabs>
        <w:tab w:val="left" w:pos="6552"/>
      </w:tabs>
      <w:spacing w:before="240"/>
    </w:pPr>
    <w:rPr>
      <w:rFonts w:ascii="Arial" w:hAnsi="Arial"/>
      <w:b/>
      <w:sz w:val="14"/>
    </w:rPr>
  </w:style>
  <w:style w:type="character" w:customStyle="1" w:styleId="FooterChar">
    <w:name w:val="Footer Char"/>
    <w:basedOn w:val="DefaultParagraphFont"/>
    <w:link w:val="Footer"/>
    <w:rsid w:val="005C3F4E"/>
    <w:rPr>
      <w:rFonts w:ascii="Arial" w:eastAsia="MS Mincho" w:hAnsi="Arial" w:cs="Times New Roman"/>
      <w:b/>
      <w:sz w:val="14"/>
      <w:szCs w:val="24"/>
      <w:lang w:val="en-US" w:eastAsia="en-US"/>
    </w:rPr>
  </w:style>
  <w:style w:type="paragraph" w:styleId="BalloonText">
    <w:name w:val="Balloon Text"/>
    <w:basedOn w:val="Normal"/>
    <w:link w:val="BalloonTextChar"/>
    <w:semiHidden/>
    <w:rsid w:val="005C3F4E"/>
    <w:rPr>
      <w:rFonts w:ascii="Tahoma" w:hAnsi="Tahoma" w:cs="Tahoma"/>
      <w:sz w:val="16"/>
      <w:szCs w:val="16"/>
    </w:rPr>
  </w:style>
  <w:style w:type="character" w:customStyle="1" w:styleId="BalloonTextChar">
    <w:name w:val="Balloon Text Char"/>
    <w:basedOn w:val="DefaultParagraphFont"/>
    <w:link w:val="BalloonText"/>
    <w:semiHidden/>
    <w:rsid w:val="005C3F4E"/>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5C3F4E"/>
    <w:rPr>
      <w:color w:val="808080"/>
    </w:rPr>
  </w:style>
  <w:style w:type="paragraph" w:customStyle="1" w:styleId="Body">
    <w:name w:val="Body"/>
    <w:aliases w:val="by,body,body + Black,Justified,After:  3 pt,Line spacing:  At least 9 pt + Bl...,Line spacing:  At least 9 pt...,body + 10 pt,Body Text + 10 pt,by1,body + 10 pt1,Justified1,by + Arial,18 pt,Custom Color(RGB(9,90,156)),by + After:  8 pt,Body1,body1"/>
    <w:basedOn w:val="Normal"/>
    <w:link w:val="BodyChar"/>
    <w:qFormat/>
    <w:rsid w:val="005C3F4E"/>
    <w:pPr>
      <w:spacing w:after="240"/>
    </w:pPr>
    <w:rPr>
      <w:sz w:val="20"/>
    </w:rPr>
  </w:style>
  <w:style w:type="paragraph" w:customStyle="1" w:styleId="FooterFrontPage">
    <w:name w:val="FooterFrontPage"/>
    <w:basedOn w:val="Normal"/>
    <w:rsid w:val="005C3F4E"/>
    <w:pPr>
      <w:framePr w:wrap="around" w:hAnchor="text" w:yAlign="bottom"/>
      <w:spacing w:line="216" w:lineRule="atLeast"/>
      <w:jc w:val="both"/>
    </w:pPr>
    <w:rPr>
      <w:rFonts w:ascii="Arial Narrow" w:hAnsi="Arial Narrow"/>
      <w:bCs/>
      <w:iCs/>
      <w:noProof/>
      <w:spacing w:val="-2"/>
      <w:sz w:val="20"/>
      <w:szCs w:val="18"/>
    </w:rPr>
  </w:style>
  <w:style w:type="paragraph" w:customStyle="1" w:styleId="Industry">
    <w:name w:val="Industry"/>
    <w:basedOn w:val="Body"/>
    <w:next w:val="Body"/>
    <w:rsid w:val="005C3F4E"/>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5C3F4E"/>
    <w:pPr>
      <w:framePr w:hSpace="187" w:wrap="around" w:vAnchor="text" w:hAnchor="text" w:xAlign="right" w:y="1"/>
      <w:spacing w:line="240" w:lineRule="auto"/>
    </w:pPr>
    <w:rPr>
      <w:color w:val="4E8ABE"/>
    </w:rPr>
  </w:style>
  <w:style w:type="paragraph" w:customStyle="1" w:styleId="HeaderRegionGroup">
    <w:name w:val="HeaderRegionGroup"/>
    <w:basedOn w:val="Header"/>
    <w:rsid w:val="005C3F4E"/>
    <w:pPr>
      <w:spacing w:after="0"/>
    </w:pPr>
    <w:rPr>
      <w:b/>
      <w:color w:val="4E8ABE"/>
      <w:szCs w:val="14"/>
    </w:rPr>
  </w:style>
  <w:style w:type="paragraph" w:customStyle="1" w:styleId="IPOInsidePage">
    <w:name w:val="IPOInsidePage"/>
    <w:basedOn w:val="IPO"/>
    <w:rsid w:val="005C3F4E"/>
    <w:pPr>
      <w:spacing w:before="120" w:after="50"/>
      <w:ind w:right="0"/>
    </w:pPr>
    <w:rPr>
      <w:sz w:val="18"/>
    </w:rPr>
  </w:style>
  <w:style w:type="character" w:styleId="PageNumber">
    <w:name w:val="page number"/>
    <w:basedOn w:val="DefaultParagraphFont"/>
    <w:rsid w:val="005C3F4E"/>
    <w:rPr>
      <w:rFonts w:ascii="Arial" w:hAnsi="Arial"/>
      <w:sz w:val="14"/>
    </w:rPr>
  </w:style>
  <w:style w:type="paragraph" w:customStyle="1" w:styleId="PriceDual">
    <w:name w:val="PriceDual"/>
    <w:basedOn w:val="RatingDual"/>
    <w:next w:val="Body"/>
    <w:rsid w:val="005C3F4E"/>
    <w:pPr>
      <w:framePr w:wrap="around"/>
    </w:pPr>
    <w:rPr>
      <w:b/>
    </w:rPr>
  </w:style>
  <w:style w:type="paragraph" w:customStyle="1" w:styleId="PTChangeArrow">
    <w:name w:val="PTChangeArrow"/>
    <w:basedOn w:val="FPTitleCompany"/>
    <w:rsid w:val="005C3F4E"/>
    <w:pPr>
      <w:framePr w:wrap="auto"/>
      <w:spacing w:before="260" w:after="300"/>
    </w:pPr>
    <w:rPr>
      <w:color w:val="616265"/>
      <w:sz w:val="20"/>
      <w:szCs w:val="20"/>
    </w:rPr>
  </w:style>
  <w:style w:type="paragraph" w:customStyle="1" w:styleId="PublishDate">
    <w:name w:val="PublishDate"/>
    <w:basedOn w:val="Normal"/>
    <w:rsid w:val="005C3F4E"/>
    <w:pPr>
      <w:spacing w:after="260" w:line="200" w:lineRule="atLeast"/>
      <w:ind w:left="7114"/>
    </w:pPr>
    <w:rPr>
      <w:rFonts w:ascii="Arial" w:hAnsi="Arial"/>
      <w:noProof/>
      <w:sz w:val="16"/>
    </w:rPr>
  </w:style>
  <w:style w:type="paragraph" w:customStyle="1" w:styleId="RatingChangeArrow">
    <w:name w:val="RatingChangeArrow"/>
    <w:basedOn w:val="FPTitleCompany"/>
    <w:rsid w:val="005C3F4E"/>
    <w:pPr>
      <w:framePr w:wrap="auto"/>
      <w:spacing w:before="120" w:after="480"/>
    </w:pPr>
    <w:rPr>
      <w:color w:val="616265"/>
      <w:sz w:val="28"/>
      <w:szCs w:val="28"/>
    </w:rPr>
  </w:style>
  <w:style w:type="paragraph" w:customStyle="1" w:styleId="RegionGroup">
    <w:name w:val="RegionGroup"/>
    <w:basedOn w:val="Body"/>
    <w:next w:val="PublishDate"/>
    <w:rsid w:val="005C3F4E"/>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5C3F4E"/>
    <w:pPr>
      <w:spacing w:before="1440"/>
    </w:pPr>
    <w:rPr>
      <w:color w:val="FFFFFF"/>
    </w:rPr>
  </w:style>
  <w:style w:type="paragraph" w:customStyle="1" w:styleId="ReportType">
    <w:name w:val="ReportType"/>
    <w:basedOn w:val="RatingDual"/>
    <w:rsid w:val="005C3F4E"/>
    <w:pPr>
      <w:framePr w:wrap="around"/>
    </w:pPr>
    <w:rPr>
      <w:b/>
      <w:sz w:val="18"/>
    </w:rPr>
  </w:style>
  <w:style w:type="paragraph" w:customStyle="1" w:styleId="SubTitle">
    <w:name w:val="SubTitle"/>
    <w:basedOn w:val="Body"/>
    <w:next w:val="Body"/>
    <w:rsid w:val="005C3F4E"/>
    <w:pPr>
      <w:spacing w:before="60" w:after="120"/>
    </w:pPr>
    <w:rPr>
      <w:rFonts w:ascii="Arial" w:hAnsi="Arial"/>
      <w:sz w:val="26"/>
    </w:rPr>
  </w:style>
  <w:style w:type="table" w:styleId="TableGrid">
    <w:name w:val="Table Grid"/>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5C3F4E"/>
    <w:pPr>
      <w:numPr>
        <w:numId w:val="1"/>
      </w:numPr>
    </w:pPr>
  </w:style>
  <w:style w:type="numbering" w:styleId="1ai">
    <w:name w:val="Outline List 1"/>
    <w:basedOn w:val="NoList"/>
    <w:rsid w:val="005C3F4E"/>
    <w:pPr>
      <w:numPr>
        <w:numId w:val="2"/>
      </w:numPr>
    </w:pPr>
  </w:style>
  <w:style w:type="paragraph" w:customStyle="1" w:styleId="AbstractRP">
    <w:name w:val="AbstractRP"/>
    <w:basedOn w:val="Body"/>
    <w:semiHidden/>
    <w:rsid w:val="005C3F4E"/>
  </w:style>
  <w:style w:type="paragraph" w:styleId="CommentText">
    <w:name w:val="annotation text"/>
    <w:basedOn w:val="Normal"/>
    <w:link w:val="CommentTextChar"/>
    <w:semiHidden/>
    <w:rsid w:val="005C3F4E"/>
    <w:rPr>
      <w:sz w:val="20"/>
    </w:rPr>
  </w:style>
  <w:style w:type="character" w:customStyle="1" w:styleId="CommentTextChar">
    <w:name w:val="Comment Text Char"/>
    <w:basedOn w:val="DefaultParagraphFont"/>
    <w:link w:val="CommentText"/>
    <w:semiHidden/>
    <w:rsid w:val="005C3F4E"/>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5C3F4E"/>
    <w:rPr>
      <w:rFonts w:ascii="Arial" w:hAnsi="Arial"/>
      <w:i/>
      <w:sz w:val="16"/>
    </w:rPr>
  </w:style>
  <w:style w:type="paragraph" w:customStyle="1" w:styleId="AgencyRating">
    <w:name w:val="AgencyRating"/>
    <w:basedOn w:val="Body"/>
    <w:rsid w:val="005C3F4E"/>
    <w:pPr>
      <w:spacing w:after="0"/>
    </w:pPr>
    <w:rPr>
      <w:rFonts w:ascii="Arial Narrow" w:hAnsi="Arial Narrow"/>
      <w:sz w:val="18"/>
      <w:szCs w:val="18"/>
    </w:rPr>
  </w:style>
  <w:style w:type="paragraph" w:styleId="BodyText">
    <w:name w:val="Body Text"/>
    <w:basedOn w:val="Normal"/>
    <w:link w:val="BodyTextChar"/>
    <w:rsid w:val="005C3F4E"/>
    <w:pPr>
      <w:spacing w:after="120"/>
    </w:pPr>
  </w:style>
  <w:style w:type="character" w:customStyle="1" w:styleId="BodyTextChar">
    <w:name w:val="Body Text Char"/>
    <w:basedOn w:val="DefaultParagraphFont"/>
    <w:link w:val="BodyText"/>
    <w:rsid w:val="005C3F4E"/>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5C3F4E"/>
    <w:pPr>
      <w:ind w:left="-3125"/>
    </w:pPr>
    <w:rPr>
      <w:sz w:val="20"/>
    </w:rPr>
  </w:style>
  <w:style w:type="paragraph" w:customStyle="1" w:styleId="AnalystCertificationHead">
    <w:name w:val="AnalystCertificationHead"/>
    <w:basedOn w:val="Normal"/>
    <w:rsid w:val="005C3F4E"/>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5C3F4E"/>
    <w:pPr>
      <w:spacing w:after="40"/>
    </w:pPr>
    <w:rPr>
      <w:rFonts w:ascii="Arial Narrow" w:hAnsi="Arial Narrow"/>
      <w:sz w:val="18"/>
      <w:szCs w:val="18"/>
    </w:rPr>
  </w:style>
  <w:style w:type="paragraph" w:customStyle="1" w:styleId="AnchorLETable">
    <w:name w:val="AnchorLETable"/>
    <w:basedOn w:val="FooterFrontPage"/>
    <w:rsid w:val="005C3F4E"/>
    <w:pPr>
      <w:framePr w:wrap="around"/>
    </w:pPr>
    <w:rPr>
      <w:rFonts w:ascii="Arial" w:hAnsi="Arial"/>
    </w:rPr>
  </w:style>
  <w:style w:type="paragraph" w:customStyle="1" w:styleId="AnchorPriceData">
    <w:name w:val="AnchorPriceData"/>
    <w:basedOn w:val="FooterFrontPage"/>
    <w:rsid w:val="005C3F4E"/>
    <w:pPr>
      <w:framePr w:wrap="around"/>
    </w:pPr>
  </w:style>
  <w:style w:type="character" w:customStyle="1" w:styleId="Heading1Char">
    <w:name w:val="Heading 1 Char"/>
    <w:basedOn w:val="DefaultParagraphFont"/>
    <w:link w:val="Heading1"/>
    <w:rsid w:val="005C3F4E"/>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5C3F4E"/>
    <w:pPr>
      <w:numPr>
        <w:numId w:val="3"/>
      </w:numPr>
    </w:pPr>
  </w:style>
  <w:style w:type="character" w:customStyle="1" w:styleId="Heading2Char">
    <w:name w:val="Heading 2 Char"/>
    <w:basedOn w:val="DefaultParagraphFont"/>
    <w:link w:val="Heading2"/>
    <w:rsid w:val="005C3F4E"/>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5C3F4E"/>
  </w:style>
  <w:style w:type="character" w:customStyle="1" w:styleId="Heading3Char">
    <w:name w:val="Heading 3 Char"/>
    <w:basedOn w:val="DefaultParagraphFont"/>
    <w:link w:val="Heading3"/>
    <w:rsid w:val="005C3F4E"/>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5C3F4E"/>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5C3F4E"/>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5C3F4E"/>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5C3F4E"/>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5C3F4E"/>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5C3F4E"/>
    <w:rPr>
      <w:rFonts w:ascii="Arial" w:eastAsia="MS Mincho" w:hAnsi="Arial" w:cs="Arial"/>
      <w:sz w:val="24"/>
      <w:lang w:val="en-US" w:eastAsia="en-US"/>
    </w:rPr>
  </w:style>
  <w:style w:type="numbering" w:styleId="ArticleSection">
    <w:name w:val="Outline List 3"/>
    <w:basedOn w:val="NoList"/>
    <w:rsid w:val="005C3F4E"/>
    <w:pPr>
      <w:numPr>
        <w:numId w:val="4"/>
      </w:numPr>
    </w:pPr>
  </w:style>
  <w:style w:type="paragraph" w:styleId="BlockText">
    <w:name w:val="Block Text"/>
    <w:basedOn w:val="Normal"/>
    <w:rsid w:val="005C3F4E"/>
    <w:pPr>
      <w:spacing w:after="120"/>
      <w:ind w:left="1440" w:right="1440"/>
    </w:pPr>
  </w:style>
  <w:style w:type="paragraph" w:styleId="BodyText2">
    <w:name w:val="Body Text 2"/>
    <w:basedOn w:val="Normal"/>
    <w:link w:val="BodyText2Char"/>
    <w:rsid w:val="005C3F4E"/>
    <w:pPr>
      <w:spacing w:after="120" w:line="480" w:lineRule="auto"/>
    </w:pPr>
  </w:style>
  <w:style w:type="character" w:customStyle="1" w:styleId="BodyText2Char">
    <w:name w:val="Body Text 2 Char"/>
    <w:basedOn w:val="DefaultParagraphFont"/>
    <w:link w:val="BodyText2"/>
    <w:rsid w:val="005C3F4E"/>
    <w:rPr>
      <w:rFonts w:ascii="Times New Roman" w:eastAsia="MS Mincho" w:hAnsi="Times New Roman" w:cs="Times New Roman"/>
      <w:sz w:val="24"/>
      <w:szCs w:val="24"/>
      <w:lang w:val="en-US" w:eastAsia="en-US"/>
    </w:rPr>
  </w:style>
  <w:style w:type="paragraph" w:styleId="BodyText3">
    <w:name w:val="Body Text 3"/>
    <w:basedOn w:val="Normal"/>
    <w:link w:val="BodyText3Char"/>
    <w:rsid w:val="005C3F4E"/>
    <w:pPr>
      <w:spacing w:after="120"/>
    </w:pPr>
    <w:rPr>
      <w:sz w:val="16"/>
      <w:szCs w:val="16"/>
    </w:rPr>
  </w:style>
  <w:style w:type="character" w:customStyle="1" w:styleId="BodyText3Char">
    <w:name w:val="Body Text 3 Char"/>
    <w:basedOn w:val="DefaultParagraphFont"/>
    <w:link w:val="BodyText3"/>
    <w:rsid w:val="005C3F4E"/>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5C3F4E"/>
    <w:pPr>
      <w:ind w:firstLine="210"/>
    </w:pPr>
  </w:style>
  <w:style w:type="character" w:customStyle="1" w:styleId="BodyTextFirstIndentChar">
    <w:name w:val="Body Text First Indent Char"/>
    <w:basedOn w:val="BodyTextChar"/>
    <w:link w:val="BodyTextFirstIndent"/>
    <w:rsid w:val="005C3F4E"/>
  </w:style>
  <w:style w:type="paragraph" w:styleId="BodyTextIndent">
    <w:name w:val="Body Text Indent"/>
    <w:basedOn w:val="Normal"/>
    <w:link w:val="BodyTextIndentChar"/>
    <w:rsid w:val="005C3F4E"/>
    <w:pPr>
      <w:spacing w:after="120"/>
      <w:ind w:left="360"/>
    </w:pPr>
  </w:style>
  <w:style w:type="character" w:customStyle="1" w:styleId="BodyTextIndentChar">
    <w:name w:val="Body Text Indent Char"/>
    <w:basedOn w:val="DefaultParagraphFont"/>
    <w:link w:val="BodyTextIndent"/>
    <w:rsid w:val="005C3F4E"/>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5C3F4E"/>
    <w:pPr>
      <w:ind w:firstLine="210"/>
    </w:pPr>
  </w:style>
  <w:style w:type="character" w:customStyle="1" w:styleId="BodyTextFirstIndent2Char">
    <w:name w:val="Body Text First Indent 2 Char"/>
    <w:basedOn w:val="BodyTextIndentChar"/>
    <w:link w:val="BodyTextFirstIndent2"/>
    <w:rsid w:val="005C3F4E"/>
  </w:style>
  <w:style w:type="paragraph" w:styleId="BodyTextIndent2">
    <w:name w:val="Body Text Indent 2"/>
    <w:basedOn w:val="Normal"/>
    <w:link w:val="BodyTextIndent2Char"/>
    <w:rsid w:val="005C3F4E"/>
    <w:pPr>
      <w:spacing w:after="120" w:line="480" w:lineRule="auto"/>
      <w:ind w:left="360"/>
    </w:pPr>
  </w:style>
  <w:style w:type="character" w:customStyle="1" w:styleId="BodyTextIndent2Char">
    <w:name w:val="Body Text Indent 2 Char"/>
    <w:basedOn w:val="DefaultParagraphFont"/>
    <w:link w:val="BodyTextIndent2"/>
    <w:rsid w:val="005C3F4E"/>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5C3F4E"/>
    <w:pPr>
      <w:spacing w:after="120"/>
      <w:ind w:left="360"/>
    </w:pPr>
    <w:rPr>
      <w:sz w:val="16"/>
      <w:szCs w:val="16"/>
    </w:rPr>
  </w:style>
  <w:style w:type="character" w:customStyle="1" w:styleId="BodyTextIndent3Char">
    <w:name w:val="Body Text Indent 3 Char"/>
    <w:basedOn w:val="DefaultParagraphFont"/>
    <w:link w:val="BodyTextIndent3"/>
    <w:rsid w:val="005C3F4E"/>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5C3F4E"/>
    <w:pPr>
      <w:spacing w:after="120"/>
    </w:pPr>
    <w:rPr>
      <w:rFonts w:ascii="Arial Narrow" w:hAnsi="Arial Narrow"/>
      <w:noProof/>
      <w:sz w:val="18"/>
    </w:rPr>
  </w:style>
  <w:style w:type="paragraph" w:customStyle="1" w:styleId="Bullet">
    <w:name w:val="Bullet"/>
    <w:basedOn w:val="Body"/>
    <w:qFormat/>
    <w:rsid w:val="005C3F4E"/>
    <w:pPr>
      <w:numPr>
        <w:numId w:val="5"/>
      </w:numPr>
      <w:tabs>
        <w:tab w:val="left" w:pos="288"/>
      </w:tabs>
      <w:spacing w:after="120"/>
    </w:pPr>
  </w:style>
  <w:style w:type="paragraph" w:customStyle="1" w:styleId="Bullettext">
    <w:name w:val="Bullet text"/>
    <w:basedOn w:val="Normal"/>
    <w:rsid w:val="005C3F4E"/>
    <w:pPr>
      <w:spacing w:after="240" w:line="240" w:lineRule="exact"/>
    </w:pPr>
    <w:rPr>
      <w:color w:val="000000"/>
      <w:sz w:val="20"/>
      <w:szCs w:val="20"/>
    </w:rPr>
  </w:style>
  <w:style w:type="paragraph" w:customStyle="1" w:styleId="BulletAsia">
    <w:name w:val="BulletAsia"/>
    <w:basedOn w:val="Body"/>
    <w:rsid w:val="005C3F4E"/>
    <w:pPr>
      <w:numPr>
        <w:numId w:val="6"/>
      </w:numPr>
      <w:tabs>
        <w:tab w:val="left" w:pos="170"/>
      </w:tabs>
      <w:spacing w:after="120"/>
    </w:pPr>
  </w:style>
  <w:style w:type="paragraph" w:customStyle="1" w:styleId="Bullet-first">
    <w:name w:val="Bullet-first"/>
    <w:basedOn w:val="Normal"/>
    <w:rsid w:val="005C3F4E"/>
    <w:pPr>
      <w:numPr>
        <w:numId w:val="7"/>
      </w:numPr>
      <w:pBdr>
        <w:top w:val="single" w:sz="4" w:space="3" w:color="auto"/>
      </w:pBdr>
      <w:spacing w:before="420" w:after="120"/>
    </w:pPr>
    <w:rPr>
      <w:b/>
      <w:sz w:val="20"/>
    </w:rPr>
  </w:style>
  <w:style w:type="paragraph" w:customStyle="1" w:styleId="Bullet-middle">
    <w:name w:val="Bullet-middle"/>
    <w:basedOn w:val="Bullet-first"/>
    <w:rsid w:val="005C3F4E"/>
    <w:pPr>
      <w:pBdr>
        <w:top w:val="none" w:sz="0" w:space="0" w:color="auto"/>
      </w:pBdr>
      <w:spacing w:before="0"/>
    </w:pPr>
  </w:style>
  <w:style w:type="paragraph" w:customStyle="1" w:styleId="Bullet-last">
    <w:name w:val="Bullet-last"/>
    <w:basedOn w:val="Normal"/>
    <w:rsid w:val="005C3F4E"/>
    <w:pPr>
      <w:numPr>
        <w:numId w:val="8"/>
      </w:numPr>
      <w:pBdr>
        <w:bottom w:val="single" w:sz="4" w:space="1" w:color="auto"/>
      </w:pBdr>
      <w:spacing w:after="360"/>
    </w:pPr>
    <w:rPr>
      <w:b/>
      <w:sz w:val="20"/>
    </w:rPr>
  </w:style>
  <w:style w:type="paragraph" w:customStyle="1" w:styleId="BulletRP">
    <w:name w:val="BulletRP"/>
    <w:basedOn w:val="Normal"/>
    <w:rsid w:val="005C3F4E"/>
    <w:pPr>
      <w:spacing w:after="180" w:line="240" w:lineRule="atLeast"/>
      <w:jc w:val="both"/>
    </w:pPr>
    <w:rPr>
      <w:sz w:val="22"/>
      <w:szCs w:val="22"/>
    </w:rPr>
  </w:style>
  <w:style w:type="paragraph" w:customStyle="1" w:styleId="TableTitle">
    <w:name w:val="Table Title"/>
    <w:basedOn w:val="Body"/>
    <w:next w:val="Normal"/>
    <w:link w:val="TableTitleChar"/>
    <w:rsid w:val="005C3F4E"/>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5C3F4E"/>
    <w:rPr>
      <w:bCs/>
    </w:rPr>
  </w:style>
  <w:style w:type="paragraph" w:customStyle="1" w:styleId="Chartsubtitle">
    <w:name w:val="Chart subtitle"/>
    <w:basedOn w:val="Normal"/>
    <w:rsid w:val="005C3F4E"/>
    <w:rPr>
      <w:rFonts w:ascii="Arial Narrow" w:hAnsi="Arial Narrow"/>
      <w:sz w:val="16"/>
    </w:rPr>
  </w:style>
  <w:style w:type="paragraph" w:customStyle="1" w:styleId="Charttitle">
    <w:name w:val="Chart title"/>
    <w:basedOn w:val="Normal"/>
    <w:rsid w:val="005C3F4E"/>
    <w:rPr>
      <w:rFonts w:ascii="Arial Narrow" w:hAnsi="Arial Narrow"/>
      <w:b/>
      <w:color w:val="4E8ABE"/>
      <w:sz w:val="18"/>
      <w:szCs w:val="18"/>
    </w:rPr>
  </w:style>
  <w:style w:type="paragraph" w:styleId="Closing">
    <w:name w:val="Closing"/>
    <w:basedOn w:val="Normal"/>
    <w:link w:val="ClosingChar"/>
    <w:rsid w:val="005C3F4E"/>
    <w:pPr>
      <w:ind w:left="4320"/>
    </w:pPr>
  </w:style>
  <w:style w:type="character" w:customStyle="1" w:styleId="ClosingChar">
    <w:name w:val="Closing Char"/>
    <w:basedOn w:val="DefaultParagraphFont"/>
    <w:link w:val="Closing"/>
    <w:rsid w:val="005C3F4E"/>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5C3F4E"/>
    <w:rPr>
      <w:sz w:val="16"/>
      <w:szCs w:val="16"/>
    </w:rPr>
  </w:style>
  <w:style w:type="paragraph" w:styleId="CommentSubject">
    <w:name w:val="annotation subject"/>
    <w:basedOn w:val="CommentText"/>
    <w:next w:val="CommentText"/>
    <w:link w:val="CommentSubjectChar"/>
    <w:semiHidden/>
    <w:rsid w:val="005C3F4E"/>
    <w:rPr>
      <w:b/>
      <w:bCs/>
      <w:szCs w:val="20"/>
    </w:rPr>
  </w:style>
  <w:style w:type="character" w:customStyle="1" w:styleId="CommentSubjectChar">
    <w:name w:val="Comment Subject Char"/>
    <w:basedOn w:val="CommentTextChar"/>
    <w:link w:val="CommentSubject"/>
    <w:semiHidden/>
    <w:rsid w:val="005C3F4E"/>
    <w:rPr>
      <w:b/>
      <w:bCs/>
      <w:szCs w:val="20"/>
    </w:rPr>
  </w:style>
  <w:style w:type="paragraph" w:customStyle="1" w:styleId="CompanyDescription">
    <w:name w:val="CompanyDescription"/>
    <w:basedOn w:val="Body"/>
    <w:qFormat/>
    <w:rsid w:val="005C3F4E"/>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5C3F4E"/>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5C3F4E"/>
    <w:rPr>
      <w:rFonts w:ascii="Arial" w:hAnsi="Arial"/>
      <w:b/>
      <w:sz w:val="18"/>
      <w:szCs w:val="18"/>
      <w:vertAlign w:val="superscript"/>
    </w:rPr>
  </w:style>
  <w:style w:type="paragraph" w:customStyle="1" w:styleId="Country">
    <w:name w:val="Country"/>
    <w:basedOn w:val="Industry"/>
    <w:rsid w:val="005C3F4E"/>
    <w:pPr>
      <w:spacing w:after="40"/>
    </w:pPr>
  </w:style>
  <w:style w:type="paragraph" w:customStyle="1" w:styleId="CoverContentsTitle">
    <w:name w:val="Cover Contents Title"/>
    <w:next w:val="Normal"/>
    <w:rsid w:val="005C3F4E"/>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5C3F4E"/>
    <w:pPr>
      <w:spacing w:after="0"/>
    </w:pPr>
    <w:rPr>
      <w:rFonts w:ascii="Arial" w:hAnsi="Arial"/>
      <w:sz w:val="16"/>
      <w:szCs w:val="16"/>
    </w:rPr>
  </w:style>
  <w:style w:type="paragraph" w:customStyle="1" w:styleId="CreditAnalystTickerValue">
    <w:name w:val="CreditAnalystTickerValue"/>
    <w:basedOn w:val="Body"/>
    <w:rsid w:val="005C3F4E"/>
    <w:pPr>
      <w:spacing w:after="0"/>
    </w:pPr>
    <w:rPr>
      <w:rFonts w:ascii="Arial" w:hAnsi="Arial"/>
      <w:b/>
      <w:sz w:val="22"/>
      <w:szCs w:val="22"/>
    </w:rPr>
  </w:style>
  <w:style w:type="paragraph" w:styleId="Date">
    <w:name w:val="Date"/>
    <w:basedOn w:val="Normal"/>
    <w:next w:val="Normal"/>
    <w:link w:val="DateChar"/>
    <w:rsid w:val="005C3F4E"/>
  </w:style>
  <w:style w:type="character" w:customStyle="1" w:styleId="DateChar">
    <w:name w:val="Date Char"/>
    <w:basedOn w:val="DefaultParagraphFont"/>
    <w:link w:val="Date"/>
    <w:rsid w:val="005C3F4E"/>
    <w:rPr>
      <w:rFonts w:ascii="Times New Roman" w:eastAsia="MS Mincho" w:hAnsi="Times New Roman" w:cs="Times New Roman"/>
      <w:sz w:val="24"/>
      <w:szCs w:val="24"/>
      <w:lang w:val="en-US" w:eastAsia="en-US"/>
    </w:rPr>
  </w:style>
  <w:style w:type="paragraph" w:customStyle="1" w:styleId="Disclosure">
    <w:name w:val="Disclosure"/>
    <w:basedOn w:val="Body"/>
    <w:rsid w:val="005C3F4E"/>
    <w:pPr>
      <w:spacing w:after="50" w:line="175" w:lineRule="exact"/>
      <w:ind w:left="-3125"/>
    </w:pPr>
    <w:rPr>
      <w:bCs/>
      <w:noProof/>
      <w:sz w:val="16"/>
    </w:rPr>
  </w:style>
  <w:style w:type="paragraph" w:customStyle="1" w:styleId="DiscClause">
    <w:name w:val="DiscClause"/>
    <w:basedOn w:val="Disclosure"/>
    <w:rsid w:val="005C3F4E"/>
    <w:rPr>
      <w:b/>
    </w:rPr>
  </w:style>
  <w:style w:type="paragraph" w:customStyle="1" w:styleId="Disclaimer">
    <w:name w:val="Disclaimer"/>
    <w:basedOn w:val="Normal"/>
    <w:rsid w:val="005C3F4E"/>
    <w:pPr>
      <w:numPr>
        <w:numId w:val="9"/>
      </w:numPr>
    </w:pPr>
    <w:rPr>
      <w:snapToGrid w:val="0"/>
      <w:color w:val="000000"/>
      <w:sz w:val="18"/>
    </w:rPr>
  </w:style>
  <w:style w:type="paragraph" w:customStyle="1" w:styleId="DisclaimerBP">
    <w:name w:val="DisclaimerBP"/>
    <w:basedOn w:val="Normal"/>
    <w:rsid w:val="005C3F4E"/>
    <w:pPr>
      <w:keepNext/>
      <w:spacing w:after="240"/>
      <w:ind w:left="-3125"/>
    </w:pPr>
    <w:rPr>
      <w:b/>
      <w:snapToGrid w:val="0"/>
      <w:color w:val="000000"/>
      <w:sz w:val="20"/>
    </w:rPr>
  </w:style>
  <w:style w:type="paragraph" w:customStyle="1" w:styleId="DisclaimerHeading">
    <w:name w:val="DisclaimerHeading"/>
    <w:basedOn w:val="Heading1"/>
    <w:rsid w:val="005C3F4E"/>
    <w:pPr>
      <w:ind w:left="-3119"/>
    </w:pPr>
    <w:rPr>
      <w:sz w:val="16"/>
      <w:szCs w:val="16"/>
    </w:rPr>
  </w:style>
  <w:style w:type="paragraph" w:customStyle="1" w:styleId="DisclaimerText">
    <w:name w:val="DisclaimerText"/>
    <w:basedOn w:val="Normal"/>
    <w:rsid w:val="005C3F4E"/>
    <w:pPr>
      <w:ind w:left="-3125"/>
    </w:pPr>
    <w:rPr>
      <w:snapToGrid w:val="0"/>
      <w:color w:val="000000"/>
      <w:sz w:val="16"/>
    </w:rPr>
  </w:style>
  <w:style w:type="paragraph" w:customStyle="1" w:styleId="DisclosureDistribution">
    <w:name w:val="DisclosureDistribution"/>
    <w:basedOn w:val="Disclosure"/>
    <w:rsid w:val="005C3F4E"/>
    <w:pPr>
      <w:spacing w:after="0"/>
    </w:pPr>
    <w:rPr>
      <w:b/>
      <w:bCs w:val="0"/>
      <w:sz w:val="18"/>
    </w:rPr>
  </w:style>
  <w:style w:type="paragraph" w:customStyle="1" w:styleId="DisclosureFreeText">
    <w:name w:val="DisclosureFreeText"/>
    <w:basedOn w:val="FooterFrontPage"/>
    <w:rsid w:val="005C3F4E"/>
    <w:pPr>
      <w:framePr w:wrap="around"/>
    </w:pPr>
    <w:rPr>
      <w:rFonts w:ascii="Times New Roman" w:hAnsi="Times New Roman"/>
      <w:b/>
    </w:rPr>
  </w:style>
  <w:style w:type="paragraph" w:customStyle="1" w:styleId="DisclosureHead">
    <w:name w:val="DisclosureHead"/>
    <w:basedOn w:val="Disclosure"/>
    <w:rsid w:val="005C3F4E"/>
    <w:pPr>
      <w:keepNext/>
      <w:pBdr>
        <w:top w:val="single" w:sz="4" w:space="1" w:color="auto"/>
      </w:pBdr>
    </w:pPr>
    <w:rPr>
      <w:b/>
    </w:rPr>
  </w:style>
  <w:style w:type="paragraph" w:customStyle="1" w:styleId="DocTitle">
    <w:name w:val="DocTitle"/>
    <w:basedOn w:val="Body"/>
    <w:next w:val="Body"/>
    <w:rsid w:val="005C3F4E"/>
    <w:pPr>
      <w:spacing w:after="0" w:line="480" w:lineRule="atLeast"/>
    </w:pPr>
    <w:rPr>
      <w:rFonts w:ascii="Arial" w:hAnsi="Arial"/>
      <w:b/>
      <w:sz w:val="40"/>
    </w:rPr>
  </w:style>
  <w:style w:type="paragraph" w:styleId="DocumentMap">
    <w:name w:val="Document Map"/>
    <w:basedOn w:val="Normal"/>
    <w:link w:val="DocumentMapChar"/>
    <w:semiHidden/>
    <w:rsid w:val="005C3F4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C3F4E"/>
    <w:rPr>
      <w:rFonts w:ascii="Tahoma" w:eastAsia="MS Mincho" w:hAnsi="Tahoma" w:cs="Tahoma"/>
      <w:sz w:val="24"/>
      <w:szCs w:val="24"/>
      <w:shd w:val="clear" w:color="auto" w:fill="000080"/>
      <w:lang w:val="en-US" w:eastAsia="en-US"/>
    </w:rPr>
  </w:style>
  <w:style w:type="paragraph" w:customStyle="1" w:styleId="DraftMark">
    <w:name w:val="DraftMark"/>
    <w:rsid w:val="005C3F4E"/>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5C3F4E"/>
    <w:pPr>
      <w:ind w:left="-3125"/>
    </w:pPr>
    <w:rPr>
      <w:sz w:val="20"/>
    </w:rPr>
  </w:style>
  <w:style w:type="paragraph" w:customStyle="1" w:styleId="EarningsCover">
    <w:name w:val="EarningsCover"/>
    <w:basedOn w:val="Footer"/>
    <w:next w:val="Normal"/>
    <w:semiHidden/>
    <w:rsid w:val="005C3F4E"/>
    <w:pPr>
      <w:framePr w:wrap="around" w:hAnchor="text" w:yAlign="bottom"/>
      <w:spacing w:before="0"/>
    </w:pPr>
  </w:style>
  <w:style w:type="paragraph" w:customStyle="1" w:styleId="Phone">
    <w:name w:val="Phone"/>
    <w:basedOn w:val="Body"/>
    <w:next w:val="Normal"/>
    <w:rsid w:val="005C3F4E"/>
    <w:pPr>
      <w:spacing w:after="40"/>
    </w:pPr>
    <w:rPr>
      <w:rFonts w:ascii="Arial" w:hAnsi="Arial"/>
      <w:noProof/>
      <w:sz w:val="14"/>
    </w:rPr>
  </w:style>
  <w:style w:type="paragraph" w:customStyle="1" w:styleId="EMail">
    <w:name w:val="EMail"/>
    <w:basedOn w:val="Phone"/>
    <w:next w:val="Normal"/>
    <w:rsid w:val="005C3F4E"/>
    <w:pPr>
      <w:spacing w:after="60"/>
    </w:pPr>
  </w:style>
  <w:style w:type="paragraph" w:styleId="E-mailSignature">
    <w:name w:val="E-mail Signature"/>
    <w:basedOn w:val="Normal"/>
    <w:link w:val="E-mailSignatureChar"/>
    <w:rsid w:val="005C3F4E"/>
  </w:style>
  <w:style w:type="character" w:customStyle="1" w:styleId="E-mailSignatureChar">
    <w:name w:val="E-mail Signature Char"/>
    <w:basedOn w:val="DefaultParagraphFont"/>
    <w:link w:val="E-mailSignature"/>
    <w:rsid w:val="005C3F4E"/>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5C3F4E"/>
    <w:pPr>
      <w:framePr w:w="2520" w:hSpace="187" w:vSpace="187" w:wrap="around" w:vAnchor="text" w:hAnchor="margin" w:x="-3124" w:y="1"/>
    </w:pPr>
  </w:style>
  <w:style w:type="character" w:styleId="Emphasis">
    <w:name w:val="Emphasis"/>
    <w:basedOn w:val="DefaultParagraphFont"/>
    <w:rsid w:val="005C3F4E"/>
    <w:rPr>
      <w:i/>
      <w:iCs/>
    </w:rPr>
  </w:style>
  <w:style w:type="character" w:styleId="EndnoteReference">
    <w:name w:val="endnote reference"/>
    <w:basedOn w:val="DefaultParagraphFont"/>
    <w:semiHidden/>
    <w:rsid w:val="005C3F4E"/>
    <w:rPr>
      <w:vertAlign w:val="superscript"/>
    </w:rPr>
  </w:style>
  <w:style w:type="paragraph" w:styleId="EndnoteText">
    <w:name w:val="endnote text"/>
    <w:basedOn w:val="Normal"/>
    <w:link w:val="EndnoteTextChar"/>
    <w:semiHidden/>
    <w:rsid w:val="005C3F4E"/>
    <w:rPr>
      <w:sz w:val="20"/>
    </w:rPr>
  </w:style>
  <w:style w:type="character" w:customStyle="1" w:styleId="EndnoteTextChar">
    <w:name w:val="Endnote Text Char"/>
    <w:basedOn w:val="DefaultParagraphFont"/>
    <w:link w:val="EndnoteText"/>
    <w:semiHidden/>
    <w:rsid w:val="005C3F4E"/>
    <w:rPr>
      <w:rFonts w:ascii="Times New Roman" w:eastAsia="MS Mincho" w:hAnsi="Times New Roman" w:cs="Times New Roman"/>
      <w:sz w:val="20"/>
      <w:szCs w:val="24"/>
      <w:lang w:val="en-US" w:eastAsia="en-US"/>
    </w:rPr>
  </w:style>
  <w:style w:type="paragraph" w:styleId="EnvelopeAddress">
    <w:name w:val="envelope address"/>
    <w:basedOn w:val="Normal"/>
    <w:rsid w:val="005C3F4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C3F4E"/>
    <w:rPr>
      <w:rFonts w:ascii="Arial" w:hAnsi="Arial" w:cs="Arial"/>
      <w:sz w:val="20"/>
    </w:rPr>
  </w:style>
  <w:style w:type="paragraph" w:customStyle="1" w:styleId="ESTableCaption">
    <w:name w:val="ESTableCaption"/>
    <w:next w:val="Normal"/>
    <w:semiHidden/>
    <w:rsid w:val="005C3F4E"/>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5C3F4E"/>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5C3F4E"/>
    <w:rPr>
      <w:sz w:val="14"/>
    </w:rPr>
  </w:style>
  <w:style w:type="character" w:customStyle="1" w:styleId="FASB123">
    <w:name w:val="FASB123"/>
    <w:basedOn w:val="DefaultParagraphFont"/>
    <w:rsid w:val="005C3F4E"/>
    <w:rPr>
      <w:rFonts w:ascii="Arial Narrow" w:hAnsi="Arial Narrow"/>
      <w:b/>
      <w:dstrike w:val="0"/>
      <w:sz w:val="18"/>
      <w:szCs w:val="18"/>
      <w:vertAlign w:val="superscript"/>
    </w:rPr>
  </w:style>
  <w:style w:type="paragraph" w:customStyle="1" w:styleId="FigureTitle">
    <w:name w:val="FigureTitle"/>
    <w:basedOn w:val="Body"/>
    <w:next w:val="Body"/>
    <w:rsid w:val="005C3F4E"/>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5C3F4E"/>
    <w:rPr>
      <w:color w:val="800080"/>
      <w:u w:val="single"/>
    </w:rPr>
  </w:style>
  <w:style w:type="character" w:styleId="FootnoteReference">
    <w:name w:val="footnote reference"/>
    <w:basedOn w:val="DefaultParagraphFont"/>
    <w:semiHidden/>
    <w:rsid w:val="005C3F4E"/>
    <w:rPr>
      <w:sz w:val="20"/>
      <w:vertAlign w:val="superscript"/>
    </w:rPr>
  </w:style>
  <w:style w:type="paragraph" w:styleId="FootnoteText">
    <w:name w:val="footnote text"/>
    <w:basedOn w:val="Normal"/>
    <w:link w:val="FootnoteTextChar"/>
    <w:semiHidden/>
    <w:rsid w:val="005C3F4E"/>
    <w:rPr>
      <w:sz w:val="18"/>
    </w:rPr>
  </w:style>
  <w:style w:type="character" w:customStyle="1" w:styleId="FootnoteTextChar">
    <w:name w:val="Footnote Text Char"/>
    <w:basedOn w:val="DefaultParagraphFont"/>
    <w:link w:val="FootnoteText"/>
    <w:semiHidden/>
    <w:rsid w:val="005C3F4E"/>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5C3F4E"/>
    <w:pPr>
      <w:spacing w:before="20" w:after="0"/>
    </w:pPr>
    <w:rPr>
      <w:noProof/>
      <w:sz w:val="12"/>
    </w:rPr>
  </w:style>
  <w:style w:type="paragraph" w:customStyle="1" w:styleId="FPBody">
    <w:name w:val="FPBody"/>
    <w:basedOn w:val="Body"/>
    <w:link w:val="FPBodyChar"/>
    <w:rsid w:val="005C3F4E"/>
    <w:pPr>
      <w:spacing w:after="180"/>
      <w:ind w:right="3272"/>
      <w:jc w:val="both"/>
    </w:pPr>
    <w:rPr>
      <w:sz w:val="22"/>
    </w:rPr>
  </w:style>
  <w:style w:type="paragraph" w:customStyle="1" w:styleId="FPBodyNala">
    <w:name w:val="FPBodyNala"/>
    <w:basedOn w:val="FPBody"/>
    <w:next w:val="Normal"/>
    <w:rsid w:val="005C3F4E"/>
  </w:style>
  <w:style w:type="paragraph" w:customStyle="1" w:styleId="FPBulletBold">
    <w:name w:val="FPBulletBold"/>
    <w:basedOn w:val="Normal"/>
    <w:rsid w:val="005C3F4E"/>
    <w:pPr>
      <w:spacing w:after="180" w:line="240" w:lineRule="atLeast"/>
      <w:ind w:left="187" w:hanging="187"/>
      <w:jc w:val="both"/>
    </w:pPr>
    <w:rPr>
      <w:b/>
      <w:sz w:val="20"/>
      <w:szCs w:val="22"/>
    </w:rPr>
  </w:style>
  <w:style w:type="paragraph" w:customStyle="1" w:styleId="FPLegalEntityName">
    <w:name w:val="FPLegalEntityName"/>
    <w:basedOn w:val="EMail"/>
    <w:rsid w:val="005C3F4E"/>
    <w:pPr>
      <w:pBdr>
        <w:bottom w:val="single" w:sz="2" w:space="4" w:color="auto"/>
      </w:pBdr>
    </w:pPr>
    <w:rPr>
      <w:color w:val="000000"/>
      <w:szCs w:val="14"/>
    </w:rPr>
  </w:style>
  <w:style w:type="table" w:customStyle="1" w:styleId="GPSDisclosureTable">
    <w:name w:val="GPSDisclosureTable"/>
    <w:basedOn w:val="TableNormal"/>
    <w:rsid w:val="005C3F4E"/>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5C3F4E"/>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5C3F4E"/>
    <w:pPr>
      <w:spacing w:after="60"/>
    </w:pPr>
  </w:style>
  <w:style w:type="table" w:customStyle="1" w:styleId="HeaderDetailsTable">
    <w:name w:val="HeaderDetailsTable"/>
    <w:basedOn w:val="TableNormal"/>
    <w:rsid w:val="005C3F4E"/>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5C3F4E"/>
  </w:style>
  <w:style w:type="paragraph" w:customStyle="1" w:styleId="Heading2-NoTOC">
    <w:name w:val="Heading 2 -No TOC"/>
    <w:basedOn w:val="Heading2"/>
    <w:qFormat/>
    <w:rsid w:val="005C3F4E"/>
  </w:style>
  <w:style w:type="paragraph" w:customStyle="1" w:styleId="HeadingVR">
    <w:name w:val="Heading VR"/>
    <w:basedOn w:val="Heading2"/>
    <w:rsid w:val="005C3F4E"/>
    <w:pPr>
      <w:spacing w:before="120" w:after="80" w:line="160" w:lineRule="atLeast"/>
    </w:pPr>
  </w:style>
  <w:style w:type="character" w:customStyle="1" w:styleId="HeadingVRRatingPT">
    <w:name w:val="Heading VR (Rating/PT)"/>
    <w:basedOn w:val="DefaultParagraphFont"/>
    <w:rsid w:val="005C3F4E"/>
    <w:rPr>
      <w:rFonts w:ascii="Arial" w:hAnsi="Arial"/>
      <w:b/>
      <w:i/>
      <w:sz w:val="20"/>
      <w:szCs w:val="20"/>
    </w:rPr>
  </w:style>
  <w:style w:type="paragraph" w:customStyle="1" w:styleId="Heading1Abstract">
    <w:name w:val="Heading1Abstract"/>
    <w:basedOn w:val="Heading1"/>
    <w:semiHidden/>
    <w:rsid w:val="005C3F4E"/>
    <w:pPr>
      <w:outlineLvl w:val="9"/>
    </w:pPr>
  </w:style>
  <w:style w:type="paragraph" w:customStyle="1" w:styleId="HeadlineRPText">
    <w:name w:val="HeadlineRPText"/>
    <w:basedOn w:val="Body"/>
    <w:semiHidden/>
    <w:rsid w:val="005C3F4E"/>
    <w:pPr>
      <w:spacing w:after="0"/>
      <w:ind w:left="-3125"/>
    </w:pPr>
  </w:style>
  <w:style w:type="paragraph" w:customStyle="1" w:styleId="HeadlineRPHangingIndent">
    <w:name w:val="HeadlineRPHangingIndent"/>
    <w:basedOn w:val="HeadlineRPText"/>
    <w:semiHidden/>
    <w:rsid w:val="005C3F4E"/>
    <w:pPr>
      <w:ind w:left="-1685" w:hanging="1440"/>
    </w:pPr>
  </w:style>
  <w:style w:type="paragraph" w:customStyle="1" w:styleId="HeadlineRPSubject">
    <w:name w:val="HeadlineRPSubject"/>
    <w:basedOn w:val="Heading2"/>
    <w:semiHidden/>
    <w:rsid w:val="005C3F4E"/>
    <w:pPr>
      <w:outlineLvl w:val="9"/>
    </w:pPr>
  </w:style>
  <w:style w:type="character" w:customStyle="1" w:styleId="HiddenFieldRP">
    <w:name w:val="HiddenFieldRP"/>
    <w:basedOn w:val="DefaultParagraphFont"/>
    <w:semiHidden/>
    <w:rsid w:val="005C3F4E"/>
    <w:rPr>
      <w:rFonts w:ascii="Arial" w:hAnsi="Arial"/>
      <w:vanish/>
      <w:color w:val="FFFFFF"/>
      <w:sz w:val="2"/>
    </w:rPr>
  </w:style>
  <w:style w:type="character" w:styleId="HTMLAcronym">
    <w:name w:val="HTML Acronym"/>
    <w:basedOn w:val="DefaultParagraphFont"/>
    <w:rsid w:val="005C3F4E"/>
  </w:style>
  <w:style w:type="paragraph" w:styleId="HTMLAddress">
    <w:name w:val="HTML Address"/>
    <w:basedOn w:val="Normal"/>
    <w:link w:val="HTMLAddressChar"/>
    <w:rsid w:val="005C3F4E"/>
    <w:rPr>
      <w:i/>
      <w:iCs/>
    </w:rPr>
  </w:style>
  <w:style w:type="character" w:customStyle="1" w:styleId="HTMLAddressChar">
    <w:name w:val="HTML Address Char"/>
    <w:basedOn w:val="DefaultParagraphFont"/>
    <w:link w:val="HTMLAddress"/>
    <w:rsid w:val="005C3F4E"/>
    <w:rPr>
      <w:rFonts w:ascii="Times New Roman" w:eastAsia="MS Mincho" w:hAnsi="Times New Roman" w:cs="Times New Roman"/>
      <w:i/>
      <w:iCs/>
      <w:sz w:val="24"/>
      <w:szCs w:val="24"/>
      <w:lang w:val="en-US" w:eastAsia="en-US"/>
    </w:rPr>
  </w:style>
  <w:style w:type="character" w:styleId="HTMLCite">
    <w:name w:val="HTML Cite"/>
    <w:basedOn w:val="DefaultParagraphFont"/>
    <w:rsid w:val="005C3F4E"/>
    <w:rPr>
      <w:i/>
      <w:iCs/>
    </w:rPr>
  </w:style>
  <w:style w:type="character" w:styleId="HTMLCode">
    <w:name w:val="HTML Code"/>
    <w:basedOn w:val="DefaultParagraphFont"/>
    <w:rsid w:val="005C3F4E"/>
    <w:rPr>
      <w:rFonts w:ascii="Courier New" w:hAnsi="Courier New"/>
      <w:sz w:val="20"/>
      <w:szCs w:val="20"/>
    </w:rPr>
  </w:style>
  <w:style w:type="character" w:styleId="HTMLDefinition">
    <w:name w:val="HTML Definition"/>
    <w:basedOn w:val="DefaultParagraphFont"/>
    <w:rsid w:val="005C3F4E"/>
    <w:rPr>
      <w:i/>
      <w:iCs/>
    </w:rPr>
  </w:style>
  <w:style w:type="character" w:styleId="HTMLKeyboard">
    <w:name w:val="HTML Keyboard"/>
    <w:basedOn w:val="DefaultParagraphFont"/>
    <w:rsid w:val="005C3F4E"/>
    <w:rPr>
      <w:rFonts w:ascii="Courier New" w:hAnsi="Courier New"/>
      <w:sz w:val="20"/>
      <w:szCs w:val="20"/>
    </w:rPr>
  </w:style>
  <w:style w:type="paragraph" w:styleId="HTMLPreformatted">
    <w:name w:val="HTML Preformatted"/>
    <w:basedOn w:val="Normal"/>
    <w:link w:val="HTMLPreformattedChar"/>
    <w:rsid w:val="005C3F4E"/>
    <w:rPr>
      <w:rFonts w:ascii="Courier New" w:hAnsi="Courier New" w:cs="Courier New"/>
      <w:sz w:val="20"/>
    </w:rPr>
  </w:style>
  <w:style w:type="character" w:customStyle="1" w:styleId="HTMLPreformattedChar">
    <w:name w:val="HTML Preformatted Char"/>
    <w:basedOn w:val="DefaultParagraphFont"/>
    <w:link w:val="HTMLPreformatted"/>
    <w:rsid w:val="005C3F4E"/>
    <w:rPr>
      <w:rFonts w:ascii="Courier New" w:eastAsia="MS Mincho" w:hAnsi="Courier New" w:cs="Courier New"/>
      <w:sz w:val="20"/>
      <w:szCs w:val="24"/>
      <w:lang w:val="en-US" w:eastAsia="en-US"/>
    </w:rPr>
  </w:style>
  <w:style w:type="character" w:styleId="HTMLSample">
    <w:name w:val="HTML Sample"/>
    <w:basedOn w:val="DefaultParagraphFont"/>
    <w:rsid w:val="005C3F4E"/>
    <w:rPr>
      <w:rFonts w:ascii="Courier New" w:hAnsi="Courier New"/>
    </w:rPr>
  </w:style>
  <w:style w:type="character" w:styleId="HTMLTypewriter">
    <w:name w:val="HTML Typewriter"/>
    <w:basedOn w:val="DefaultParagraphFont"/>
    <w:rsid w:val="005C3F4E"/>
    <w:rPr>
      <w:rFonts w:ascii="Courier New" w:hAnsi="Courier New"/>
      <w:sz w:val="20"/>
      <w:szCs w:val="20"/>
    </w:rPr>
  </w:style>
  <w:style w:type="character" w:styleId="HTMLVariable">
    <w:name w:val="HTML Variable"/>
    <w:basedOn w:val="DefaultParagraphFont"/>
    <w:rsid w:val="005C3F4E"/>
    <w:rPr>
      <w:i/>
      <w:iCs/>
    </w:rPr>
  </w:style>
  <w:style w:type="character" w:styleId="Hyperlink">
    <w:name w:val="Hyperlink"/>
    <w:basedOn w:val="DefaultParagraphFont"/>
    <w:uiPriority w:val="99"/>
    <w:rsid w:val="005C3F4E"/>
    <w:rPr>
      <w:color w:val="0000FF"/>
      <w:u w:val="single"/>
    </w:rPr>
  </w:style>
  <w:style w:type="paragraph" w:styleId="Index1">
    <w:name w:val="index 1"/>
    <w:basedOn w:val="Normal"/>
    <w:next w:val="Normal"/>
    <w:autoRedefine/>
    <w:semiHidden/>
    <w:rsid w:val="005C3F4E"/>
    <w:pPr>
      <w:ind w:left="240" w:hanging="240"/>
    </w:pPr>
  </w:style>
  <w:style w:type="paragraph" w:styleId="Index2">
    <w:name w:val="index 2"/>
    <w:basedOn w:val="Normal"/>
    <w:next w:val="Normal"/>
    <w:autoRedefine/>
    <w:semiHidden/>
    <w:rsid w:val="005C3F4E"/>
    <w:pPr>
      <w:ind w:left="480" w:hanging="240"/>
    </w:pPr>
  </w:style>
  <w:style w:type="paragraph" w:styleId="Index3">
    <w:name w:val="index 3"/>
    <w:basedOn w:val="Normal"/>
    <w:next w:val="Normal"/>
    <w:autoRedefine/>
    <w:semiHidden/>
    <w:rsid w:val="005C3F4E"/>
    <w:pPr>
      <w:ind w:left="720" w:hanging="240"/>
    </w:pPr>
  </w:style>
  <w:style w:type="paragraph" w:styleId="Index4">
    <w:name w:val="index 4"/>
    <w:basedOn w:val="Normal"/>
    <w:next w:val="Normal"/>
    <w:autoRedefine/>
    <w:semiHidden/>
    <w:rsid w:val="005C3F4E"/>
    <w:pPr>
      <w:ind w:left="960" w:hanging="240"/>
    </w:pPr>
  </w:style>
  <w:style w:type="paragraph" w:styleId="Index5">
    <w:name w:val="index 5"/>
    <w:basedOn w:val="Normal"/>
    <w:next w:val="Normal"/>
    <w:autoRedefine/>
    <w:semiHidden/>
    <w:rsid w:val="005C3F4E"/>
    <w:pPr>
      <w:ind w:left="1200" w:hanging="240"/>
    </w:pPr>
  </w:style>
  <w:style w:type="paragraph" w:styleId="Index6">
    <w:name w:val="index 6"/>
    <w:basedOn w:val="Normal"/>
    <w:next w:val="Normal"/>
    <w:autoRedefine/>
    <w:semiHidden/>
    <w:rsid w:val="005C3F4E"/>
    <w:pPr>
      <w:ind w:left="1440" w:hanging="240"/>
    </w:pPr>
  </w:style>
  <w:style w:type="paragraph" w:styleId="Index7">
    <w:name w:val="index 7"/>
    <w:basedOn w:val="Normal"/>
    <w:next w:val="Normal"/>
    <w:autoRedefine/>
    <w:semiHidden/>
    <w:rsid w:val="005C3F4E"/>
    <w:pPr>
      <w:ind w:left="1680" w:hanging="240"/>
    </w:pPr>
  </w:style>
  <w:style w:type="paragraph" w:styleId="Index8">
    <w:name w:val="index 8"/>
    <w:basedOn w:val="Normal"/>
    <w:next w:val="Normal"/>
    <w:autoRedefine/>
    <w:semiHidden/>
    <w:rsid w:val="005C3F4E"/>
    <w:pPr>
      <w:ind w:left="1920" w:hanging="240"/>
    </w:pPr>
  </w:style>
  <w:style w:type="paragraph" w:styleId="Index9">
    <w:name w:val="index 9"/>
    <w:basedOn w:val="Normal"/>
    <w:next w:val="Normal"/>
    <w:autoRedefine/>
    <w:semiHidden/>
    <w:rsid w:val="005C3F4E"/>
    <w:pPr>
      <w:ind w:left="2160" w:hanging="240"/>
    </w:pPr>
  </w:style>
  <w:style w:type="paragraph" w:styleId="IndexHeading">
    <w:name w:val="index heading"/>
    <w:basedOn w:val="Normal"/>
    <w:next w:val="Index1"/>
    <w:semiHidden/>
    <w:rsid w:val="005C3F4E"/>
    <w:rPr>
      <w:rFonts w:ascii="Arial" w:hAnsi="Arial" w:cs="Arial"/>
      <w:b/>
      <w:bCs/>
    </w:rPr>
  </w:style>
  <w:style w:type="paragraph" w:customStyle="1" w:styleId="IPO">
    <w:name w:val="IPO"/>
    <w:basedOn w:val="DiscClause"/>
    <w:rsid w:val="005C3F4E"/>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5C3F4E"/>
    <w:pPr>
      <w:ind w:left="3125"/>
    </w:pPr>
  </w:style>
  <w:style w:type="paragraph" w:customStyle="1" w:styleId="ipubnormal">
    <w:name w:val="ipubnormal"/>
    <w:rsid w:val="005C3F4E"/>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5C3F4E"/>
    <w:pPr>
      <w:spacing w:before="20" w:after="0" w:line="160" w:lineRule="atLeast"/>
    </w:pPr>
    <w:rPr>
      <w:rFonts w:ascii="Arial Narrow" w:hAnsi="Arial Narrow"/>
      <w:sz w:val="12"/>
    </w:rPr>
  </w:style>
  <w:style w:type="paragraph" w:customStyle="1" w:styleId="LegalEntityName">
    <w:name w:val="LegalEntityName"/>
    <w:basedOn w:val="FooterFrontPage"/>
    <w:rsid w:val="005C3F4E"/>
    <w:pPr>
      <w:framePr w:wrap="around"/>
      <w:spacing w:line="240" w:lineRule="auto"/>
      <w:jc w:val="right"/>
    </w:pPr>
    <w:rPr>
      <w:rFonts w:ascii="Arial" w:hAnsi="Arial"/>
      <w:b/>
      <w:szCs w:val="20"/>
    </w:rPr>
  </w:style>
  <w:style w:type="table" w:customStyle="1" w:styleId="LegalEntityTable">
    <w:name w:val="LegalEntityTable"/>
    <w:basedOn w:val="TableNormal"/>
    <w:rsid w:val="005C3F4E"/>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5C3F4E"/>
  </w:style>
  <w:style w:type="paragraph" w:styleId="List">
    <w:name w:val="List"/>
    <w:basedOn w:val="Normal"/>
    <w:rsid w:val="005C3F4E"/>
    <w:pPr>
      <w:ind w:left="360" w:hanging="360"/>
    </w:pPr>
  </w:style>
  <w:style w:type="paragraph" w:styleId="List2">
    <w:name w:val="List 2"/>
    <w:basedOn w:val="Normal"/>
    <w:rsid w:val="005C3F4E"/>
    <w:pPr>
      <w:ind w:left="720" w:hanging="360"/>
    </w:pPr>
  </w:style>
  <w:style w:type="paragraph" w:styleId="List3">
    <w:name w:val="List 3"/>
    <w:basedOn w:val="Normal"/>
    <w:rsid w:val="005C3F4E"/>
    <w:pPr>
      <w:ind w:left="1080" w:hanging="360"/>
    </w:pPr>
  </w:style>
  <w:style w:type="paragraph" w:styleId="List4">
    <w:name w:val="List 4"/>
    <w:basedOn w:val="Normal"/>
    <w:rsid w:val="005C3F4E"/>
    <w:pPr>
      <w:ind w:left="1440" w:hanging="360"/>
    </w:pPr>
  </w:style>
  <w:style w:type="paragraph" w:styleId="List5">
    <w:name w:val="List 5"/>
    <w:basedOn w:val="Normal"/>
    <w:rsid w:val="005C3F4E"/>
    <w:pPr>
      <w:ind w:left="1800" w:hanging="360"/>
    </w:pPr>
  </w:style>
  <w:style w:type="paragraph" w:styleId="ListBullet">
    <w:name w:val="List Bullet"/>
    <w:basedOn w:val="Normal"/>
    <w:autoRedefine/>
    <w:rsid w:val="005C3F4E"/>
    <w:pPr>
      <w:numPr>
        <w:numId w:val="10"/>
      </w:numPr>
    </w:pPr>
  </w:style>
  <w:style w:type="paragraph" w:styleId="ListBullet2">
    <w:name w:val="List Bullet 2"/>
    <w:basedOn w:val="Normal"/>
    <w:autoRedefine/>
    <w:rsid w:val="005C3F4E"/>
    <w:pPr>
      <w:numPr>
        <w:numId w:val="11"/>
      </w:numPr>
    </w:pPr>
  </w:style>
  <w:style w:type="paragraph" w:styleId="ListBullet3">
    <w:name w:val="List Bullet 3"/>
    <w:basedOn w:val="Normal"/>
    <w:autoRedefine/>
    <w:rsid w:val="005C3F4E"/>
    <w:pPr>
      <w:numPr>
        <w:numId w:val="12"/>
      </w:numPr>
    </w:pPr>
  </w:style>
  <w:style w:type="paragraph" w:styleId="ListBullet4">
    <w:name w:val="List Bullet 4"/>
    <w:basedOn w:val="Normal"/>
    <w:autoRedefine/>
    <w:rsid w:val="005C3F4E"/>
    <w:pPr>
      <w:numPr>
        <w:numId w:val="13"/>
      </w:numPr>
    </w:pPr>
  </w:style>
  <w:style w:type="paragraph" w:styleId="ListBullet5">
    <w:name w:val="List Bullet 5"/>
    <w:basedOn w:val="Normal"/>
    <w:autoRedefine/>
    <w:rsid w:val="005C3F4E"/>
    <w:pPr>
      <w:numPr>
        <w:numId w:val="14"/>
      </w:numPr>
    </w:pPr>
  </w:style>
  <w:style w:type="paragraph" w:styleId="ListContinue">
    <w:name w:val="List Continue"/>
    <w:basedOn w:val="Normal"/>
    <w:rsid w:val="005C3F4E"/>
    <w:pPr>
      <w:spacing w:after="120"/>
      <w:ind w:left="360"/>
    </w:pPr>
  </w:style>
  <w:style w:type="paragraph" w:styleId="ListContinue2">
    <w:name w:val="List Continue 2"/>
    <w:basedOn w:val="Normal"/>
    <w:rsid w:val="005C3F4E"/>
    <w:pPr>
      <w:spacing w:after="120"/>
      <w:ind w:left="720"/>
    </w:pPr>
  </w:style>
  <w:style w:type="paragraph" w:styleId="ListContinue3">
    <w:name w:val="List Continue 3"/>
    <w:basedOn w:val="Normal"/>
    <w:rsid w:val="005C3F4E"/>
    <w:pPr>
      <w:spacing w:after="120"/>
      <w:ind w:left="1080"/>
    </w:pPr>
  </w:style>
  <w:style w:type="paragraph" w:styleId="ListContinue4">
    <w:name w:val="List Continue 4"/>
    <w:basedOn w:val="Normal"/>
    <w:rsid w:val="005C3F4E"/>
    <w:pPr>
      <w:spacing w:after="120"/>
      <w:ind w:left="1440"/>
    </w:pPr>
  </w:style>
  <w:style w:type="paragraph" w:styleId="ListContinue5">
    <w:name w:val="List Continue 5"/>
    <w:basedOn w:val="Normal"/>
    <w:rsid w:val="005C3F4E"/>
    <w:pPr>
      <w:spacing w:after="120"/>
      <w:ind w:left="1800"/>
    </w:pPr>
  </w:style>
  <w:style w:type="paragraph" w:styleId="ListNumber">
    <w:name w:val="List Number"/>
    <w:basedOn w:val="Normal"/>
    <w:rsid w:val="005C3F4E"/>
    <w:pPr>
      <w:numPr>
        <w:numId w:val="15"/>
      </w:numPr>
    </w:pPr>
  </w:style>
  <w:style w:type="paragraph" w:styleId="ListNumber2">
    <w:name w:val="List Number 2"/>
    <w:basedOn w:val="Normal"/>
    <w:rsid w:val="005C3F4E"/>
    <w:pPr>
      <w:numPr>
        <w:numId w:val="16"/>
      </w:numPr>
    </w:pPr>
  </w:style>
  <w:style w:type="paragraph" w:styleId="ListNumber3">
    <w:name w:val="List Number 3"/>
    <w:basedOn w:val="Normal"/>
    <w:rsid w:val="005C3F4E"/>
    <w:pPr>
      <w:numPr>
        <w:numId w:val="17"/>
      </w:numPr>
    </w:pPr>
  </w:style>
  <w:style w:type="paragraph" w:styleId="ListNumber4">
    <w:name w:val="List Number 4"/>
    <w:basedOn w:val="Normal"/>
    <w:rsid w:val="005C3F4E"/>
    <w:pPr>
      <w:numPr>
        <w:numId w:val="18"/>
      </w:numPr>
    </w:pPr>
  </w:style>
  <w:style w:type="paragraph" w:styleId="ListNumber5">
    <w:name w:val="List Number 5"/>
    <w:basedOn w:val="Normal"/>
    <w:rsid w:val="005C3F4E"/>
    <w:pPr>
      <w:numPr>
        <w:numId w:val="19"/>
      </w:numPr>
    </w:pPr>
  </w:style>
  <w:style w:type="paragraph" w:styleId="MacroText">
    <w:name w:val="macro"/>
    <w:link w:val="MacroTextChar"/>
    <w:semiHidden/>
    <w:rsid w:val="005C3F4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5C3F4E"/>
    <w:rPr>
      <w:rFonts w:ascii="Courier New" w:eastAsia="MS Mincho" w:hAnsi="Courier New" w:cs="Courier New"/>
      <w:sz w:val="20"/>
      <w:szCs w:val="20"/>
      <w:lang w:val="en-US" w:eastAsia="en-US"/>
    </w:rPr>
  </w:style>
  <w:style w:type="paragraph" w:styleId="MessageHeader">
    <w:name w:val="Message Header"/>
    <w:basedOn w:val="Normal"/>
    <w:link w:val="MessageHeaderChar"/>
    <w:rsid w:val="005C3F4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5C3F4E"/>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5C3F4E"/>
    <w:pPr>
      <w:framePr w:wrap="around"/>
      <w:spacing w:line="240" w:lineRule="auto"/>
    </w:pPr>
    <w:rPr>
      <w:rFonts w:ascii="Arial" w:hAnsi="Arial"/>
      <w:b/>
      <w:color w:val="4E8ABE"/>
      <w:szCs w:val="20"/>
    </w:rPr>
  </w:style>
  <w:style w:type="paragraph" w:customStyle="1" w:styleId="Name">
    <w:name w:val="Name"/>
    <w:basedOn w:val="Body"/>
    <w:next w:val="Phone"/>
    <w:rsid w:val="005C3F4E"/>
    <w:pPr>
      <w:spacing w:after="40"/>
    </w:pPr>
    <w:rPr>
      <w:rFonts w:ascii="Arial" w:hAnsi="Arial"/>
      <w:b/>
      <w:noProof/>
      <w:sz w:val="17"/>
    </w:rPr>
  </w:style>
  <w:style w:type="paragraph" w:customStyle="1" w:styleId="NameSide">
    <w:name w:val="NameSide"/>
    <w:basedOn w:val="Name"/>
    <w:next w:val="Normal"/>
    <w:rsid w:val="005C3F4E"/>
    <w:pPr>
      <w:framePr w:w="2520" w:hSpace="187" w:vSpace="187" w:wrap="around" w:vAnchor="text" w:hAnchor="margin" w:x="-3124" w:y="1"/>
    </w:pPr>
  </w:style>
  <w:style w:type="character" w:customStyle="1" w:styleId="NCOComplianceMark">
    <w:name w:val="NCO_ComplianceMark"/>
    <w:basedOn w:val="DefaultParagraphFont"/>
    <w:rsid w:val="005C3F4E"/>
    <w:rPr>
      <w:rFonts w:ascii="Arial" w:hAnsi="Arial"/>
      <w:b/>
      <w:dstrike w:val="0"/>
      <w:sz w:val="14"/>
      <w:szCs w:val="14"/>
      <w:vertAlign w:val="superscript"/>
    </w:rPr>
  </w:style>
  <w:style w:type="paragraph" w:customStyle="1" w:styleId="NCOEmail">
    <w:name w:val="NCO_Email"/>
    <w:basedOn w:val="EMail"/>
    <w:rsid w:val="005C3F4E"/>
  </w:style>
  <w:style w:type="table" w:customStyle="1" w:styleId="NCOFrontPageFooterTable">
    <w:name w:val="NCO_FrontPageFooterTable"/>
    <w:basedOn w:val="TableNormal"/>
    <w:rsid w:val="005C3F4E"/>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5C3F4E"/>
    <w:pPr>
      <w:framePr w:wrap="around"/>
      <w:jc w:val="left"/>
    </w:pPr>
    <w:rPr>
      <w:sz w:val="14"/>
    </w:rPr>
  </w:style>
  <w:style w:type="paragraph" w:customStyle="1" w:styleId="NCOLocation">
    <w:name w:val="NCO_Location"/>
    <w:basedOn w:val="Body"/>
    <w:rsid w:val="005C3F4E"/>
    <w:pPr>
      <w:spacing w:before="40" w:after="0" w:line="0" w:lineRule="atLeast"/>
    </w:pPr>
    <w:rPr>
      <w:rFonts w:ascii="Arial" w:hAnsi="Arial"/>
      <w:sz w:val="14"/>
    </w:rPr>
  </w:style>
  <w:style w:type="paragraph" w:customStyle="1" w:styleId="NCOName">
    <w:name w:val="NCO_Name"/>
    <w:basedOn w:val="Name"/>
    <w:rsid w:val="005C3F4E"/>
    <w:rPr>
      <w:sz w:val="14"/>
    </w:rPr>
  </w:style>
  <w:style w:type="character" w:customStyle="1" w:styleId="NCOPhone">
    <w:name w:val="NCO_Phone"/>
    <w:basedOn w:val="DefaultParagraphFont"/>
    <w:rsid w:val="005C3F4E"/>
    <w:rPr>
      <w:rFonts w:ascii="Arial" w:hAnsi="Arial"/>
      <w:noProof/>
      <w:sz w:val="14"/>
      <w:szCs w:val="14"/>
    </w:rPr>
  </w:style>
  <w:style w:type="paragraph" w:customStyle="1" w:styleId="NextToSource">
    <w:name w:val="NextToSource"/>
    <w:basedOn w:val="Normal"/>
    <w:next w:val="Body"/>
    <w:rsid w:val="005C3F4E"/>
    <w:pPr>
      <w:keepLines/>
      <w:spacing w:line="180" w:lineRule="atLeast"/>
    </w:pPr>
    <w:rPr>
      <w:rFonts w:ascii="Arial Narrow" w:hAnsi="Arial Narrow"/>
      <w:sz w:val="14"/>
    </w:rPr>
  </w:style>
  <w:style w:type="paragraph" w:styleId="NormalWeb">
    <w:name w:val="Normal (Web)"/>
    <w:basedOn w:val="Normal"/>
    <w:uiPriority w:val="99"/>
    <w:qFormat/>
    <w:rsid w:val="005C3F4E"/>
    <w:rPr>
      <w:sz w:val="20"/>
      <w:szCs w:val="20"/>
    </w:rPr>
  </w:style>
  <w:style w:type="paragraph" w:styleId="NormalIndent">
    <w:name w:val="Normal Indent"/>
    <w:basedOn w:val="Normal"/>
    <w:rsid w:val="005C3F4E"/>
    <w:pPr>
      <w:ind w:left="720"/>
    </w:pPr>
  </w:style>
  <w:style w:type="paragraph" w:styleId="NoteHeading">
    <w:name w:val="Note Heading"/>
    <w:basedOn w:val="Normal"/>
    <w:next w:val="Normal"/>
    <w:link w:val="NoteHeadingChar"/>
    <w:rsid w:val="005C3F4E"/>
  </w:style>
  <w:style w:type="character" w:customStyle="1" w:styleId="NoteHeadingChar">
    <w:name w:val="Note Heading Char"/>
    <w:basedOn w:val="DefaultParagraphFont"/>
    <w:link w:val="NoteHeading"/>
    <w:rsid w:val="005C3F4E"/>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5C3F4E"/>
    <w:rPr>
      <w:rFonts w:ascii="Arial" w:hAnsi="Arial"/>
      <w:sz w:val="20"/>
      <w:szCs w:val="20"/>
      <w:vertAlign w:val="superscript"/>
    </w:rPr>
  </w:style>
  <w:style w:type="paragraph" w:customStyle="1" w:styleId="NotSeries8687QualifiedMessage">
    <w:name w:val="NotSeries8687QualifiedMessage"/>
    <w:basedOn w:val="FooterFrontPage"/>
    <w:rsid w:val="005C3F4E"/>
    <w:pPr>
      <w:framePr w:wrap="around"/>
      <w:spacing w:line="226" w:lineRule="atLeast"/>
    </w:pPr>
  </w:style>
  <w:style w:type="paragraph" w:customStyle="1" w:styleId="NumberBullet">
    <w:name w:val="NumberBullet"/>
    <w:qFormat/>
    <w:rsid w:val="005C3F4E"/>
    <w:pPr>
      <w:numPr>
        <w:numId w:val="20"/>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5C3F4E"/>
    <w:pPr>
      <w:keepLines/>
    </w:pPr>
    <w:rPr>
      <w:rFonts w:ascii="Arial Narrow" w:hAnsi="Arial Narrow"/>
      <w:noProof/>
      <w:sz w:val="14"/>
    </w:rPr>
  </w:style>
  <w:style w:type="paragraph" w:customStyle="1" w:styleId="PerfChart">
    <w:name w:val="PerfChart"/>
    <w:basedOn w:val="PerfSource"/>
    <w:rsid w:val="005C3F4E"/>
  </w:style>
  <w:style w:type="paragraph" w:customStyle="1" w:styleId="PhoneSide">
    <w:name w:val="PhoneSide"/>
    <w:basedOn w:val="Phone"/>
    <w:next w:val="EmailSide"/>
    <w:rsid w:val="005C3F4E"/>
    <w:pPr>
      <w:framePr w:w="2520" w:hSpace="187" w:vSpace="187" w:wrap="around" w:vAnchor="text" w:hAnchor="margin" w:x="-3124" w:y="1"/>
    </w:pPr>
  </w:style>
  <w:style w:type="paragraph" w:styleId="PlainText">
    <w:name w:val="Plain Text"/>
    <w:basedOn w:val="Normal"/>
    <w:link w:val="PlainTextChar"/>
    <w:rsid w:val="005C3F4E"/>
    <w:rPr>
      <w:rFonts w:ascii="Courier New" w:hAnsi="Courier New" w:cs="Courier New"/>
      <w:sz w:val="20"/>
      <w:szCs w:val="20"/>
    </w:rPr>
  </w:style>
  <w:style w:type="character" w:customStyle="1" w:styleId="PlainTextChar">
    <w:name w:val="Plain Text Char"/>
    <w:basedOn w:val="DefaultParagraphFont"/>
    <w:link w:val="PlainText"/>
    <w:rsid w:val="005C3F4E"/>
    <w:rPr>
      <w:rFonts w:ascii="Courier New" w:eastAsia="MS Mincho" w:hAnsi="Courier New" w:cs="Courier New"/>
      <w:sz w:val="20"/>
      <w:szCs w:val="20"/>
      <w:lang w:val="en-US" w:eastAsia="en-US"/>
    </w:rPr>
  </w:style>
  <w:style w:type="paragraph" w:customStyle="1" w:styleId="Price">
    <w:name w:val="Price"/>
    <w:basedOn w:val="Normal"/>
    <w:next w:val="Body"/>
    <w:rsid w:val="005C3F4E"/>
    <w:pPr>
      <w:framePr w:hSpace="187" w:wrap="around" w:vAnchor="page" w:hAnchor="text" w:xAlign="right" w:y="2161"/>
    </w:pPr>
    <w:rPr>
      <w:rFonts w:ascii="Arial" w:hAnsi="Arial"/>
      <w:noProof/>
      <w:sz w:val="16"/>
    </w:rPr>
  </w:style>
  <w:style w:type="paragraph" w:customStyle="1" w:styleId="Target">
    <w:name w:val="Target"/>
    <w:basedOn w:val="Normal"/>
    <w:next w:val="Body"/>
    <w:rsid w:val="005C3F4E"/>
    <w:pPr>
      <w:spacing w:line="200" w:lineRule="atLeast"/>
    </w:pPr>
    <w:rPr>
      <w:rFonts w:ascii="Arial" w:hAnsi="Arial"/>
      <w:sz w:val="16"/>
    </w:rPr>
  </w:style>
  <w:style w:type="paragraph" w:customStyle="1" w:styleId="PriceDate">
    <w:name w:val="PriceDate"/>
    <w:basedOn w:val="Target"/>
    <w:rsid w:val="005C3F4E"/>
    <w:pPr>
      <w:framePr w:hSpace="187" w:wrap="around" w:vAnchor="page" w:hAnchor="text" w:xAlign="right" w:y="2161"/>
      <w:spacing w:before="120" w:line="240" w:lineRule="auto"/>
    </w:pPr>
    <w:rPr>
      <w:b/>
      <w:noProof/>
    </w:rPr>
  </w:style>
  <w:style w:type="paragraph" w:customStyle="1" w:styleId="PriceDateDual">
    <w:name w:val="PriceDateDual"/>
    <w:basedOn w:val="Target"/>
    <w:rsid w:val="005C3F4E"/>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5C3F4E"/>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5C3F4E"/>
    <w:pPr>
      <w:framePr w:wrap="around"/>
    </w:pPr>
  </w:style>
  <w:style w:type="paragraph" w:customStyle="1" w:styleId="PriceTargetPrior">
    <w:name w:val="PriceTargetPrior"/>
    <w:basedOn w:val="PriceDate"/>
    <w:rsid w:val="005C3F4E"/>
    <w:pPr>
      <w:framePr w:wrap="around"/>
      <w:spacing w:before="0"/>
    </w:pPr>
    <w:rPr>
      <w:b w:val="0"/>
    </w:rPr>
  </w:style>
  <w:style w:type="paragraph" w:customStyle="1" w:styleId="PriorRecommendation">
    <w:name w:val="Prior Recommendation"/>
    <w:basedOn w:val="Body"/>
    <w:rsid w:val="005C3F4E"/>
    <w:pPr>
      <w:spacing w:after="0" w:line="200" w:lineRule="atLeast"/>
    </w:pPr>
    <w:rPr>
      <w:rFonts w:ascii="Arial" w:hAnsi="Arial"/>
      <w:noProof/>
      <w:sz w:val="16"/>
    </w:rPr>
  </w:style>
  <w:style w:type="paragraph" w:customStyle="1" w:styleId="ProductData1">
    <w:name w:val="ProductData1"/>
    <w:basedOn w:val="Body"/>
    <w:next w:val="Normal"/>
    <w:rsid w:val="005C3F4E"/>
    <w:pPr>
      <w:spacing w:after="0" w:line="200" w:lineRule="atLeast"/>
    </w:pPr>
    <w:rPr>
      <w:rFonts w:ascii="Arial" w:hAnsi="Arial"/>
      <w:b/>
      <w:sz w:val="18"/>
      <w:szCs w:val="18"/>
    </w:rPr>
  </w:style>
  <w:style w:type="paragraph" w:customStyle="1" w:styleId="ProductData2">
    <w:name w:val="ProductData2"/>
    <w:basedOn w:val="Body"/>
    <w:next w:val="Normal"/>
    <w:rsid w:val="005C3F4E"/>
    <w:pPr>
      <w:spacing w:after="0" w:line="200" w:lineRule="atLeast"/>
    </w:pPr>
    <w:rPr>
      <w:rFonts w:ascii="Arial" w:hAnsi="Arial"/>
      <w:b/>
      <w:sz w:val="14"/>
    </w:rPr>
  </w:style>
  <w:style w:type="paragraph" w:customStyle="1" w:styleId="ProductData3">
    <w:name w:val="ProductData3"/>
    <w:basedOn w:val="ProductData2"/>
    <w:rsid w:val="005C3F4E"/>
  </w:style>
  <w:style w:type="paragraph" w:customStyle="1" w:styleId="ProductOfJPMSI">
    <w:name w:val="ProductOfJPMSI"/>
    <w:basedOn w:val="DisclaimerBP"/>
    <w:next w:val="Body"/>
    <w:rsid w:val="005C3F4E"/>
  </w:style>
  <w:style w:type="paragraph" w:customStyle="1" w:styleId="Rating">
    <w:name w:val="Rating"/>
    <w:basedOn w:val="Body"/>
    <w:next w:val="Body"/>
    <w:rsid w:val="005C3F4E"/>
    <w:pPr>
      <w:spacing w:after="0"/>
    </w:pPr>
    <w:rPr>
      <w:rFonts w:ascii="Arial" w:hAnsi="Arial"/>
      <w:b/>
      <w:noProof/>
      <w:sz w:val="28"/>
    </w:rPr>
  </w:style>
  <w:style w:type="paragraph" w:customStyle="1" w:styleId="RatingPrior">
    <w:name w:val="RatingPrior"/>
    <w:basedOn w:val="Body"/>
    <w:rsid w:val="005C3F4E"/>
    <w:pPr>
      <w:spacing w:after="0"/>
    </w:pPr>
    <w:rPr>
      <w:rFonts w:ascii="Arial" w:hAnsi="Arial"/>
      <w:noProof/>
      <w:sz w:val="16"/>
    </w:rPr>
  </w:style>
  <w:style w:type="paragraph" w:customStyle="1" w:styleId="RatingPriorDual">
    <w:name w:val="RatingPriorDual"/>
    <w:basedOn w:val="Body"/>
    <w:rsid w:val="005C3F4E"/>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5C3F4E"/>
    <w:pPr>
      <w:framePr w:w="2520" w:vSpace="187" w:wrap="around" w:vAnchor="text" w:hAnchor="margin" w:x="-3124" w:y="1"/>
    </w:pPr>
    <w:rPr>
      <w:b w:val="0"/>
    </w:rPr>
  </w:style>
  <w:style w:type="paragraph" w:customStyle="1" w:styleId="RatingsDistributionTableHead">
    <w:name w:val="RatingsDistributionTableHead"/>
    <w:basedOn w:val="Normal"/>
    <w:rsid w:val="005C3F4E"/>
    <w:pPr>
      <w:spacing w:before="100" w:beforeAutospacing="1" w:after="100" w:afterAutospacing="1"/>
    </w:pPr>
    <w:rPr>
      <w:b/>
      <w:bCs/>
      <w:sz w:val="16"/>
      <w:szCs w:val="16"/>
    </w:rPr>
  </w:style>
  <w:style w:type="paragraph" w:customStyle="1" w:styleId="RatingSide">
    <w:name w:val="RatingSide"/>
    <w:basedOn w:val="RatingDual"/>
    <w:next w:val="NameSide"/>
    <w:rsid w:val="005C3F4E"/>
    <w:pPr>
      <w:framePr w:w="2520" w:vSpace="187" w:wrap="around" w:vAnchor="text" w:hAnchor="margin" w:x="-3124" w:y="1"/>
    </w:pPr>
    <w:rPr>
      <w:b/>
    </w:rPr>
  </w:style>
  <w:style w:type="paragraph" w:styleId="Salutation">
    <w:name w:val="Salutation"/>
    <w:basedOn w:val="Normal"/>
    <w:next w:val="Normal"/>
    <w:link w:val="SalutationChar"/>
    <w:rsid w:val="005C3F4E"/>
  </w:style>
  <w:style w:type="character" w:customStyle="1" w:styleId="SalutationChar">
    <w:name w:val="Salutation Char"/>
    <w:basedOn w:val="DefaultParagraphFont"/>
    <w:link w:val="Salutation"/>
    <w:rsid w:val="005C3F4E"/>
    <w:rPr>
      <w:rFonts w:ascii="Times New Roman" w:eastAsia="MS Mincho" w:hAnsi="Times New Roman" w:cs="Times New Roman"/>
      <w:sz w:val="24"/>
      <w:szCs w:val="24"/>
      <w:lang w:val="en-US" w:eastAsia="en-US"/>
    </w:rPr>
  </w:style>
  <w:style w:type="paragraph" w:customStyle="1" w:styleId="SCFigureTitle">
    <w:name w:val="SCFigureTitle"/>
    <w:basedOn w:val="Normal"/>
    <w:rsid w:val="005C3F4E"/>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5C3F4E"/>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5C3F4E"/>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5C3F4E"/>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5C3F4E"/>
    <w:pPr>
      <w:spacing w:after="0" w:line="220" w:lineRule="atLeast"/>
    </w:pPr>
    <w:rPr>
      <w:rFonts w:ascii="Arial" w:hAnsi="Arial"/>
      <w:b/>
      <w:sz w:val="18"/>
      <w:szCs w:val="18"/>
    </w:rPr>
  </w:style>
  <w:style w:type="paragraph" w:customStyle="1" w:styleId="Sidecomments">
    <w:name w:val="Sidecomments"/>
    <w:basedOn w:val="Body"/>
    <w:qFormat/>
    <w:rsid w:val="005C3F4E"/>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5C3F4E"/>
    <w:pPr>
      <w:framePr w:wrap="around"/>
    </w:pPr>
    <w:rPr>
      <w:color w:val="4E8ABE"/>
      <w:sz w:val="24"/>
    </w:rPr>
  </w:style>
  <w:style w:type="paragraph" w:customStyle="1" w:styleId="SideCommentRating">
    <w:name w:val="SideCommentRating"/>
    <w:basedOn w:val="Sidecomments"/>
    <w:qFormat/>
    <w:rsid w:val="005C3F4E"/>
    <w:pPr>
      <w:framePr w:wrap="around"/>
    </w:pPr>
    <w:rPr>
      <w:color w:val="4E8ABE"/>
      <w:sz w:val="18"/>
      <w:szCs w:val="18"/>
    </w:rPr>
  </w:style>
  <w:style w:type="paragraph" w:styleId="Signature">
    <w:name w:val="Signature"/>
    <w:basedOn w:val="Normal"/>
    <w:link w:val="SignatureChar"/>
    <w:rsid w:val="005C3F4E"/>
    <w:pPr>
      <w:ind w:left="4320"/>
    </w:pPr>
  </w:style>
  <w:style w:type="character" w:customStyle="1" w:styleId="SignatureChar">
    <w:name w:val="Signature Char"/>
    <w:basedOn w:val="DefaultParagraphFont"/>
    <w:link w:val="Signature"/>
    <w:rsid w:val="005C3F4E"/>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5C3F4E"/>
    <w:pPr>
      <w:keepLines/>
      <w:spacing w:before="40" w:line="180" w:lineRule="atLeast"/>
    </w:pPr>
    <w:rPr>
      <w:rFonts w:ascii="Arial Narrow" w:hAnsi="Arial Narrow"/>
      <w:sz w:val="14"/>
    </w:rPr>
  </w:style>
  <w:style w:type="character" w:styleId="Strong">
    <w:name w:val="Strong"/>
    <w:basedOn w:val="DefaultParagraphFont"/>
    <w:rsid w:val="005C3F4E"/>
    <w:rPr>
      <w:b/>
      <w:bCs/>
    </w:rPr>
  </w:style>
  <w:style w:type="paragraph" w:customStyle="1" w:styleId="StyleArial8ptBoldTopSinglesolidlineAuto05ptLin">
    <w:name w:val="Style Arial 8 pt Bold Top: (Single solid line Auto  0.5 pt Lin..."/>
    <w:basedOn w:val="ESTableRow"/>
    <w:next w:val="ESTableRow"/>
    <w:rsid w:val="005C3F4E"/>
    <w:pPr>
      <w:pBdr>
        <w:top w:val="single" w:sz="4" w:space="0" w:color="auto"/>
        <w:bottom w:val="single" w:sz="4" w:space="0" w:color="auto"/>
      </w:pBdr>
    </w:pPr>
    <w:rPr>
      <w:b/>
      <w:bCs/>
      <w:szCs w:val="20"/>
    </w:rPr>
  </w:style>
  <w:style w:type="paragraph" w:styleId="Subtitle0">
    <w:name w:val="Subtitle"/>
    <w:basedOn w:val="Normal"/>
    <w:link w:val="SubtitleChar"/>
    <w:rsid w:val="005C3F4E"/>
    <w:pPr>
      <w:spacing w:after="60"/>
      <w:jc w:val="center"/>
      <w:outlineLvl w:val="1"/>
    </w:pPr>
    <w:rPr>
      <w:rFonts w:ascii="Arial" w:hAnsi="Arial" w:cs="Arial"/>
    </w:rPr>
  </w:style>
  <w:style w:type="character" w:customStyle="1" w:styleId="SubtitleChar">
    <w:name w:val="Subtitle Char"/>
    <w:basedOn w:val="DefaultParagraphFont"/>
    <w:link w:val="Subtitle0"/>
    <w:rsid w:val="005C3F4E"/>
    <w:rPr>
      <w:rFonts w:ascii="Arial" w:eastAsia="MS Mincho" w:hAnsi="Arial" w:cs="Arial"/>
      <w:sz w:val="24"/>
      <w:szCs w:val="24"/>
      <w:lang w:val="en-US" w:eastAsia="en-US"/>
    </w:rPr>
  </w:style>
  <w:style w:type="paragraph" w:customStyle="1" w:styleId="SubTitleRP">
    <w:name w:val="SubTitleRP"/>
    <w:basedOn w:val="SubTitle"/>
    <w:next w:val="Body"/>
    <w:rsid w:val="005C3F4E"/>
    <w:pPr>
      <w:spacing w:after="0" w:line="0" w:lineRule="atLeast"/>
      <w:ind w:left="-3125"/>
    </w:pPr>
  </w:style>
  <w:style w:type="table" w:styleId="Table3Deffects1">
    <w:name w:val="Table 3D effects 1"/>
    <w:basedOn w:val="TableNormal"/>
    <w:rsid w:val="005C3F4E"/>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C3F4E"/>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C3F4E"/>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5C3F4E"/>
    <w:pPr>
      <w:keepNext/>
      <w:keepLines/>
      <w:spacing w:after="7" w:line="200" w:lineRule="atLeast"/>
      <w:jc w:val="right"/>
    </w:pPr>
    <w:rPr>
      <w:rFonts w:ascii="Arial Narrow" w:hAnsi="Arial Narrow"/>
      <w:sz w:val="16"/>
    </w:rPr>
  </w:style>
  <w:style w:type="table" w:styleId="TableClassic1">
    <w:name w:val="Table Classic 1"/>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C3F4E"/>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C3F4E"/>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C3F4E"/>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C3F4E"/>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C3F4E"/>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C3F4E"/>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C3F4E"/>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C3F4E"/>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C3F4E"/>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C3F4E"/>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C3F4E"/>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C3F4E"/>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5C3F4E"/>
    <w:pPr>
      <w:keepNext/>
      <w:keepLines/>
      <w:jc w:val="center"/>
    </w:pPr>
    <w:rPr>
      <w:b/>
      <w:sz w:val="16"/>
      <w:szCs w:val="20"/>
    </w:rPr>
  </w:style>
  <w:style w:type="paragraph" w:customStyle="1" w:styleId="TableHeadBorder">
    <w:name w:val="Table Head Border"/>
    <w:basedOn w:val="Normal"/>
    <w:rsid w:val="005C3F4E"/>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5C3F4E"/>
    <w:pPr>
      <w:keepNext/>
      <w:keepLines/>
      <w:spacing w:before="7" w:after="7" w:line="180" w:lineRule="atLeast"/>
      <w:jc w:val="center"/>
    </w:pPr>
    <w:rPr>
      <w:rFonts w:ascii="Arial Narrow" w:hAnsi="Arial Narrow"/>
      <w:b/>
      <w:sz w:val="16"/>
    </w:rPr>
  </w:style>
  <w:style w:type="table" w:styleId="TableList1">
    <w:name w:val="Table List 1"/>
    <w:basedOn w:val="TableNormal"/>
    <w:rsid w:val="005C3F4E"/>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C3F4E"/>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C3F4E"/>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C3F4E"/>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C3F4E"/>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C3F4E"/>
    <w:pPr>
      <w:ind w:left="240" w:hanging="240"/>
    </w:pPr>
  </w:style>
  <w:style w:type="paragraph" w:styleId="TableofFigures">
    <w:name w:val="table of figures"/>
    <w:basedOn w:val="Normal"/>
    <w:next w:val="Normal"/>
    <w:semiHidden/>
    <w:rsid w:val="005C3F4E"/>
    <w:pPr>
      <w:ind w:left="480" w:hanging="480"/>
    </w:pPr>
  </w:style>
  <w:style w:type="table" w:styleId="TableProfessional">
    <w:name w:val="Table Professional"/>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5C3F4E"/>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C3F4E"/>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C3F4E"/>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C3F4E"/>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C3F4E"/>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C3F4E"/>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C3F4E"/>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5C3F4E"/>
    <w:pPr>
      <w:framePr w:wrap="around"/>
      <w:spacing w:before="120"/>
    </w:pPr>
    <w:rPr>
      <w:b/>
      <w:sz w:val="16"/>
      <w:szCs w:val="16"/>
    </w:rPr>
  </w:style>
  <w:style w:type="paragraph" w:customStyle="1" w:styleId="Tiny">
    <w:name w:val="Tiny"/>
    <w:basedOn w:val="Body"/>
    <w:rsid w:val="005C3F4E"/>
    <w:pPr>
      <w:spacing w:after="0" w:line="14" w:lineRule="exact"/>
    </w:pPr>
    <w:rPr>
      <w:sz w:val="2"/>
    </w:rPr>
  </w:style>
  <w:style w:type="paragraph" w:styleId="Title">
    <w:name w:val="Title"/>
    <w:basedOn w:val="Normal"/>
    <w:link w:val="TitleChar"/>
    <w:rsid w:val="005C3F4E"/>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5C3F4E"/>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5C3F4E"/>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5C3F4E"/>
    <w:pPr>
      <w:spacing w:before="120" w:after="120"/>
    </w:pPr>
    <w:rPr>
      <w:rFonts w:ascii="Arial" w:hAnsi="Arial"/>
      <w:color w:val="4E8ABE"/>
      <w:sz w:val="36"/>
      <w:szCs w:val="36"/>
    </w:rPr>
  </w:style>
  <w:style w:type="paragraph" w:styleId="TOAHeading">
    <w:name w:val="toa heading"/>
    <w:basedOn w:val="Normal"/>
    <w:next w:val="Normal"/>
    <w:semiHidden/>
    <w:rsid w:val="005C3F4E"/>
    <w:pPr>
      <w:spacing w:before="120"/>
    </w:pPr>
    <w:rPr>
      <w:rFonts w:ascii="Arial" w:hAnsi="Arial" w:cs="Arial"/>
      <w:b/>
      <w:bCs/>
    </w:rPr>
  </w:style>
  <w:style w:type="paragraph" w:styleId="TOC1">
    <w:name w:val="toc 1"/>
    <w:basedOn w:val="Heading2"/>
    <w:next w:val="Body"/>
    <w:autoRedefine/>
    <w:semiHidden/>
    <w:rsid w:val="005C3F4E"/>
    <w:pPr>
      <w:tabs>
        <w:tab w:val="left" w:leader="dot" w:pos="0"/>
        <w:tab w:val="right" w:leader="dot" w:pos="6840"/>
      </w:tabs>
      <w:spacing w:line="240" w:lineRule="auto"/>
      <w:outlineLvl w:val="0"/>
    </w:pPr>
  </w:style>
  <w:style w:type="paragraph" w:styleId="TOC2">
    <w:name w:val="toc 2"/>
    <w:basedOn w:val="Body"/>
    <w:next w:val="Body"/>
    <w:autoRedefine/>
    <w:semiHidden/>
    <w:rsid w:val="005C3F4E"/>
    <w:pPr>
      <w:tabs>
        <w:tab w:val="left" w:pos="0"/>
        <w:tab w:val="right" w:leader="dot" w:pos="6840"/>
      </w:tabs>
      <w:spacing w:after="40"/>
    </w:pPr>
  </w:style>
  <w:style w:type="paragraph" w:styleId="TOC3">
    <w:name w:val="toc 3"/>
    <w:basedOn w:val="Body"/>
    <w:next w:val="Body"/>
    <w:autoRedefine/>
    <w:semiHidden/>
    <w:rsid w:val="005C3F4E"/>
    <w:pPr>
      <w:tabs>
        <w:tab w:val="left" w:pos="0"/>
      </w:tabs>
      <w:ind w:left="-340"/>
    </w:pPr>
  </w:style>
  <w:style w:type="paragraph" w:styleId="TOC4">
    <w:name w:val="toc 4"/>
    <w:basedOn w:val="Body"/>
    <w:next w:val="Body"/>
    <w:autoRedefine/>
    <w:semiHidden/>
    <w:rsid w:val="005C3F4E"/>
    <w:pPr>
      <w:tabs>
        <w:tab w:val="left" w:pos="0"/>
      </w:tabs>
      <w:ind w:left="-340"/>
    </w:pPr>
  </w:style>
  <w:style w:type="paragraph" w:styleId="TOC5">
    <w:name w:val="toc 5"/>
    <w:basedOn w:val="Body"/>
    <w:next w:val="Body"/>
    <w:autoRedefine/>
    <w:semiHidden/>
    <w:rsid w:val="005C3F4E"/>
    <w:pPr>
      <w:tabs>
        <w:tab w:val="left" w:pos="0"/>
      </w:tabs>
      <w:ind w:left="-340"/>
    </w:pPr>
  </w:style>
  <w:style w:type="paragraph" w:styleId="TOC6">
    <w:name w:val="toc 6"/>
    <w:basedOn w:val="TOC3"/>
    <w:next w:val="Normal"/>
    <w:autoRedefine/>
    <w:semiHidden/>
    <w:rsid w:val="005C3F4E"/>
    <w:rPr>
      <w:b/>
    </w:rPr>
  </w:style>
  <w:style w:type="paragraph" w:styleId="TOC7">
    <w:name w:val="toc 7"/>
    <w:basedOn w:val="TOC1"/>
    <w:next w:val="Normal"/>
    <w:autoRedefine/>
    <w:semiHidden/>
    <w:rsid w:val="005C3F4E"/>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5C3F4E"/>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5C3F4E"/>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5C3F4E"/>
    <w:rPr>
      <w:color w:val="auto"/>
    </w:rPr>
  </w:style>
  <w:style w:type="paragraph" w:customStyle="1" w:styleId="TOCHeading2">
    <w:name w:val="TOC Heading 2"/>
    <w:basedOn w:val="Heading2"/>
    <w:next w:val="Body"/>
    <w:rsid w:val="005C3F4E"/>
    <w:pPr>
      <w:spacing w:before="120" w:line="260" w:lineRule="atLeast"/>
    </w:pPr>
  </w:style>
  <w:style w:type="paragraph" w:customStyle="1" w:styleId="TPR">
    <w:name w:val="TPR"/>
    <w:basedOn w:val="BodyTextIndent"/>
    <w:rsid w:val="005C3F4E"/>
    <w:pPr>
      <w:ind w:left="-3125" w:right="-14"/>
    </w:pPr>
    <w:rPr>
      <w:bCs/>
      <w:sz w:val="20"/>
      <w:szCs w:val="16"/>
    </w:rPr>
  </w:style>
  <w:style w:type="paragraph" w:customStyle="1" w:styleId="TPRHead">
    <w:name w:val="TPRHead"/>
    <w:basedOn w:val="TPR"/>
    <w:rsid w:val="005C3F4E"/>
    <w:pPr>
      <w:keepNext/>
      <w:spacing w:after="0"/>
    </w:pPr>
    <w:rPr>
      <w:b/>
    </w:rPr>
  </w:style>
  <w:style w:type="paragraph" w:customStyle="1" w:styleId="Tradedetail">
    <w:name w:val="Trade detail"/>
    <w:basedOn w:val="Bullettext"/>
    <w:rsid w:val="005C3F4E"/>
    <w:pPr>
      <w:numPr>
        <w:numId w:val="21"/>
      </w:numPr>
      <w:spacing w:after="0"/>
    </w:pPr>
  </w:style>
  <w:style w:type="paragraph" w:customStyle="1" w:styleId="Tradeinnertext">
    <w:name w:val="Trade inner text"/>
    <w:basedOn w:val="CommentText"/>
    <w:rsid w:val="005C3F4E"/>
    <w:pPr>
      <w:tabs>
        <w:tab w:val="left" w:pos="216"/>
      </w:tabs>
      <w:spacing w:line="240" w:lineRule="exact"/>
      <w:ind w:left="216"/>
    </w:pPr>
  </w:style>
  <w:style w:type="paragraph" w:customStyle="1" w:styleId="Underline">
    <w:name w:val="Underline"/>
    <w:basedOn w:val="Normal"/>
    <w:rsid w:val="005C3F4E"/>
    <w:pPr>
      <w:keepNext/>
      <w:spacing w:before="20" w:after="60" w:line="60" w:lineRule="atLeast"/>
      <w:ind w:left="-3125"/>
    </w:pPr>
    <w:rPr>
      <w:sz w:val="16"/>
    </w:rPr>
  </w:style>
  <w:style w:type="paragraph" w:customStyle="1" w:styleId="Units">
    <w:name w:val="Units"/>
    <w:basedOn w:val="Body"/>
    <w:rsid w:val="005C3F4E"/>
    <w:pPr>
      <w:keepNext/>
      <w:keepLines/>
      <w:spacing w:after="50" w:line="200" w:lineRule="atLeast"/>
    </w:pPr>
    <w:rPr>
      <w:rFonts w:ascii="Arial Narrow" w:hAnsi="Arial Narrow"/>
      <w:spacing w:val="5"/>
      <w:sz w:val="16"/>
    </w:rPr>
  </w:style>
  <w:style w:type="paragraph" w:customStyle="1" w:styleId="units0">
    <w:name w:val="units"/>
    <w:basedOn w:val="Normal"/>
    <w:rsid w:val="005C3F4E"/>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5C3F4E"/>
    <w:pPr>
      <w:spacing w:after="0"/>
    </w:pPr>
    <w:rPr>
      <w:rFonts w:ascii="Arial Narrow" w:hAnsi="Arial Narrow"/>
      <w:b/>
      <w:color w:val="4E8ABE"/>
      <w:sz w:val="16"/>
      <w:szCs w:val="16"/>
    </w:rPr>
  </w:style>
  <w:style w:type="character" w:customStyle="1" w:styleId="SourceChar">
    <w:name w:val="Source Char"/>
    <w:basedOn w:val="DefaultParagraphFont"/>
    <w:link w:val="Source"/>
    <w:rsid w:val="005C3F4E"/>
    <w:rPr>
      <w:rFonts w:ascii="Arial Narrow" w:eastAsia="MS Mincho" w:hAnsi="Arial Narrow" w:cs="Times New Roman"/>
      <w:sz w:val="14"/>
      <w:szCs w:val="24"/>
      <w:lang w:val="en-US" w:eastAsia="en-US"/>
    </w:rPr>
  </w:style>
  <w:style w:type="paragraph" w:customStyle="1" w:styleId="TableText">
    <w:name w:val="Table Text"/>
    <w:basedOn w:val="Normal"/>
    <w:rsid w:val="005C3F4E"/>
    <w:pPr>
      <w:keepNext/>
      <w:keepLines/>
    </w:pPr>
    <w:rPr>
      <w:rFonts w:eastAsia="Times New Roman"/>
      <w:sz w:val="16"/>
      <w:szCs w:val="20"/>
    </w:rPr>
  </w:style>
  <w:style w:type="paragraph" w:customStyle="1" w:styleId="TableFootnotes">
    <w:name w:val="Table Footnotes"/>
    <w:basedOn w:val="Normal"/>
    <w:next w:val="Normal"/>
    <w:rsid w:val="005C3F4E"/>
    <w:rPr>
      <w:rFonts w:eastAsia="Times New Roman"/>
      <w:sz w:val="16"/>
      <w:lang w:val="en-GB"/>
    </w:rPr>
  </w:style>
  <w:style w:type="paragraph" w:customStyle="1" w:styleId="FooterFrontPage1stLine">
    <w:name w:val="FooterFrontPage1stLine"/>
    <w:basedOn w:val="Normal"/>
    <w:rsid w:val="005C3F4E"/>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5C3F4E"/>
    <w:pPr>
      <w:tabs>
        <w:tab w:val="clear" w:pos="0"/>
      </w:tabs>
      <w:ind w:left="2707" w:right="518"/>
    </w:pPr>
  </w:style>
  <w:style w:type="paragraph" w:customStyle="1" w:styleId="ShiftFPBody">
    <w:name w:val="Shift FPBody"/>
    <w:basedOn w:val="FPBody"/>
    <w:rsid w:val="005C3F4E"/>
    <w:pPr>
      <w:ind w:left="2520" w:right="518"/>
    </w:pPr>
  </w:style>
  <w:style w:type="paragraph" w:customStyle="1" w:styleId="Heading1-PBBefore">
    <w:name w:val="Heading 1 -PB Before"/>
    <w:basedOn w:val="Heading1"/>
    <w:qFormat/>
    <w:rsid w:val="005C3F4E"/>
    <w:pPr>
      <w:pageBreakBefore/>
      <w:spacing w:before="0"/>
    </w:pPr>
  </w:style>
  <w:style w:type="paragraph" w:customStyle="1" w:styleId="FPBullet">
    <w:name w:val="FPBullet"/>
    <w:basedOn w:val="Body"/>
    <w:link w:val="FPBulletChar"/>
    <w:rsid w:val="005C3F4E"/>
    <w:pPr>
      <w:numPr>
        <w:numId w:val="22"/>
      </w:numPr>
      <w:spacing w:after="180"/>
      <w:ind w:left="187" w:right="3269" w:hanging="187"/>
      <w:jc w:val="both"/>
    </w:pPr>
    <w:rPr>
      <w:sz w:val="22"/>
    </w:rPr>
  </w:style>
  <w:style w:type="paragraph" w:customStyle="1" w:styleId="52807BB80E4E409F9A162793A918D5C65">
    <w:name w:val="52807BB80E4E409F9A162793A918D5C65"/>
    <w:rsid w:val="005C3F4E"/>
    <w:pPr>
      <w:numPr>
        <w:numId w:val="23"/>
      </w:numPr>
      <w:tabs>
        <w:tab w:val="num" w:pos="0"/>
      </w:tabs>
      <w:spacing w:after="180"/>
      <w:ind w:left="187" w:right="3272" w:hanging="187"/>
      <w:jc w:val="both"/>
    </w:pPr>
    <w:rPr>
      <w:rFonts w:ascii="Times New Roman" w:eastAsia="MS Mincho" w:hAnsi="Times New Roman" w:cs="Times New Roman"/>
      <w:lang w:val="en-US" w:eastAsia="en-US"/>
    </w:rPr>
  </w:style>
  <w:style w:type="paragraph" w:customStyle="1" w:styleId="TradeBullet">
    <w:name w:val="Trade Bullet"/>
    <w:next w:val="Tradeinner"/>
    <w:rsid w:val="005C3F4E"/>
    <w:pPr>
      <w:numPr>
        <w:numId w:val="24"/>
      </w:numPr>
      <w:tabs>
        <w:tab w:val="clear" w:pos="360"/>
      </w:tabs>
      <w:spacing w:after="0" w:line="240" w:lineRule="auto"/>
      <w:ind w:left="216" w:hanging="216"/>
    </w:pPr>
    <w:rPr>
      <w:rFonts w:ascii="Times New Roman" w:eastAsia="MS Mincho" w:hAnsi="Times New Roman" w:cs="Times New Roman"/>
      <w:b/>
      <w:sz w:val="20"/>
      <w:szCs w:val="24"/>
      <w:lang w:val="en-US" w:eastAsia="en-US"/>
    </w:rPr>
  </w:style>
  <w:style w:type="paragraph" w:customStyle="1" w:styleId="Tradeinner">
    <w:name w:val="Trade inner"/>
    <w:basedOn w:val="TradeBullet"/>
    <w:rsid w:val="005C3F4E"/>
    <w:pPr>
      <w:numPr>
        <w:numId w:val="0"/>
      </w:numPr>
      <w:ind w:left="181"/>
    </w:pPr>
    <w:rPr>
      <w:b w:val="0"/>
    </w:rPr>
  </w:style>
  <w:style w:type="paragraph" w:customStyle="1" w:styleId="Source-NoSpacingAfter">
    <w:name w:val="Source-NoSpacingAfter"/>
    <w:basedOn w:val="Source"/>
    <w:next w:val="Body"/>
    <w:rsid w:val="005C3F4E"/>
    <w:pPr>
      <w:spacing w:after="0"/>
    </w:pPr>
  </w:style>
  <w:style w:type="paragraph" w:customStyle="1" w:styleId="BBGText">
    <w:name w:val="BBGText"/>
    <w:next w:val="Normal"/>
    <w:rsid w:val="005C3F4E"/>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rsid w:val="005C3F4E"/>
    <w:pPr>
      <w:spacing w:before="40" w:after="60" w:line="240" w:lineRule="auto"/>
    </w:pPr>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5C3F4E"/>
    <w:pPr>
      <w:spacing w:after="90"/>
    </w:pPr>
    <w:rPr>
      <w:color w:val="000000" w:themeColor="text1"/>
    </w:rPr>
  </w:style>
  <w:style w:type="paragraph" w:customStyle="1" w:styleId="LastBullet">
    <w:name w:val="Last Bullet"/>
    <w:basedOn w:val="Bullet"/>
    <w:link w:val="LastBulletChar"/>
    <w:rsid w:val="005C3F4E"/>
    <w:pPr>
      <w:spacing w:after="240"/>
    </w:pPr>
  </w:style>
  <w:style w:type="character" w:customStyle="1" w:styleId="BodyChar">
    <w:name w:val="Body Char"/>
    <w:aliases w:val="by Char,body Char,body + Black Char,Justified Char,After:  3 pt Char,Line spacing:  At least 9 pt + Bl... Char,Line spacing:  At least 9 pt... Char,body + 10 pt Char,Body Text + 10 pt Char,by1 Char,body1 Char,body + 10 pt1 Char,Justified1 Char"/>
    <w:basedOn w:val="DefaultParagraphFont"/>
    <w:link w:val="Body"/>
    <w:rsid w:val="005C3F4E"/>
    <w:rPr>
      <w:rFonts w:ascii="Times New Roman" w:eastAsia="MS Mincho" w:hAnsi="Times New Roman" w:cs="Times New Roman"/>
      <w:sz w:val="20"/>
      <w:szCs w:val="24"/>
      <w:lang w:val="en-US" w:eastAsia="en-US"/>
    </w:rPr>
  </w:style>
  <w:style w:type="character" w:customStyle="1" w:styleId="FPBulletChar">
    <w:name w:val="FPBullet Char"/>
    <w:basedOn w:val="BodyChar"/>
    <w:link w:val="FPBullet"/>
    <w:rsid w:val="005C3F4E"/>
  </w:style>
  <w:style w:type="character" w:customStyle="1" w:styleId="LastBulletChar">
    <w:name w:val="Last Bullet Char"/>
    <w:basedOn w:val="FPBulletChar"/>
    <w:link w:val="LastBullet"/>
    <w:rsid w:val="005C3F4E"/>
    <w:rPr>
      <w:sz w:val="20"/>
    </w:rPr>
  </w:style>
  <w:style w:type="character" w:customStyle="1" w:styleId="TableTitleChar">
    <w:name w:val="Table Title Char"/>
    <w:basedOn w:val="DefaultParagraphFont"/>
    <w:link w:val="TableTitle"/>
    <w:rsid w:val="002E187C"/>
    <w:rPr>
      <w:rFonts w:ascii="Arial Narrow" w:eastAsia="MS Mincho" w:hAnsi="Arial Narrow" w:cs="Times New Roman"/>
      <w:b/>
      <w:color w:val="4E8ABE"/>
      <w:sz w:val="18"/>
      <w:szCs w:val="18"/>
      <w:lang w:val="en-US" w:eastAsia="en-US"/>
    </w:rPr>
  </w:style>
  <w:style w:type="character" w:customStyle="1" w:styleId="FPBodyChar">
    <w:name w:val="FPBody Char"/>
    <w:basedOn w:val="DefaultParagraphFont"/>
    <w:link w:val="FPBody"/>
    <w:rsid w:val="002E187C"/>
    <w:rPr>
      <w:rFonts w:ascii="Times New Roman" w:eastAsia="MS Mincho" w:hAnsi="Times New Roman" w:cs="Times New Roman"/>
      <w:szCs w:val="24"/>
      <w:lang w:val="en-US" w:eastAsia="en-US"/>
    </w:rPr>
  </w:style>
  <w:style w:type="paragraph" w:styleId="ListParagraph">
    <w:name w:val="List Paragraph"/>
    <w:basedOn w:val="Normal"/>
    <w:uiPriority w:val="34"/>
    <w:qFormat/>
    <w:rsid w:val="002E187C"/>
    <w:pPr>
      <w:ind w:left="720"/>
    </w:pPr>
  </w:style>
  <w:style w:type="paragraph" w:styleId="Revision">
    <w:name w:val="Revision"/>
    <w:hidden/>
    <w:uiPriority w:val="99"/>
    <w:semiHidden/>
    <w:rsid w:val="002E187C"/>
    <w:pPr>
      <w:spacing w:after="0" w:line="240" w:lineRule="auto"/>
    </w:pPr>
    <w:rPr>
      <w:rFonts w:ascii="Times New Roman" w:eastAsia="MS Mincho" w:hAnsi="Times New Roman" w:cs="Times New Roman"/>
      <w:sz w:val="24"/>
      <w:szCs w:val="24"/>
      <w:lang w:val="en-US" w:eastAsia="en-US"/>
    </w:rPr>
  </w:style>
  <w:style w:type="paragraph" w:customStyle="1" w:styleId="Default">
    <w:name w:val="Default"/>
    <w:basedOn w:val="Normal"/>
    <w:rsid w:val="002E187C"/>
    <w:pPr>
      <w:autoSpaceDE w:val="0"/>
      <w:autoSpaceDN w:val="0"/>
    </w:pPr>
    <w:rPr>
      <w:color w:val="000000"/>
    </w:rPr>
  </w:style>
  <w:style w:type="character" w:customStyle="1" w:styleId="ai">
    <w:name w:val="ai"/>
    <w:basedOn w:val="DefaultParagraphFont"/>
    <w:rsid w:val="002E187C"/>
    <w:rPr>
      <w:rFonts w:ascii="Arial" w:hAnsi="Arial" w:cs="Arial" w:hint="default"/>
    </w:rPr>
  </w:style>
  <w:style w:type="paragraph" w:styleId="NoSpacing">
    <w:name w:val="No Spacing"/>
    <w:basedOn w:val="Normal"/>
    <w:uiPriority w:val="1"/>
    <w:qFormat/>
    <w:rsid w:val="002E187C"/>
    <w:pPr>
      <w:spacing w:before="100" w:beforeAutospacing="1" w:after="100" w:afterAutospacing="1"/>
    </w:pPr>
  </w:style>
  <w:style w:type="character" w:customStyle="1" w:styleId="bqquotelink1">
    <w:name w:val="bqquotelink1"/>
    <w:basedOn w:val="DefaultParagraphFont"/>
    <w:rsid w:val="002E187C"/>
    <w:rPr>
      <w:rFonts w:ascii="Verdana" w:hAnsi="Verdana" w:hint="default"/>
      <w:sz w:val="29"/>
      <w:szCs w:val="29"/>
    </w:rPr>
  </w:style>
  <w:style w:type="character" w:customStyle="1" w:styleId="st">
    <w:name w:val="st"/>
    <w:basedOn w:val="DefaultParagraphFont"/>
    <w:rsid w:val="002E187C"/>
  </w:style>
  <w:style w:type="character" w:customStyle="1" w:styleId="bq">
    <w:name w:val="bq"/>
    <w:basedOn w:val="DefaultParagraphFont"/>
    <w:rsid w:val="002E187C"/>
  </w:style>
  <w:style w:type="character" w:customStyle="1" w:styleId="bqquotelink">
    <w:name w:val="bqquotelink"/>
    <w:basedOn w:val="DefaultParagraphFont"/>
    <w:rsid w:val="002E187C"/>
  </w:style>
</w:styles>
</file>

<file path=word/webSettings.xml><?xml version="1.0" encoding="utf-8"?>
<w:webSettings xmlns:r="http://schemas.openxmlformats.org/officeDocument/2006/relationships" xmlns:w="http://schemas.openxmlformats.org/wordprocessingml/2006/main">
  <w:divs>
    <w:div w:id="34359300">
      <w:bodyDiv w:val="1"/>
      <w:marLeft w:val="0"/>
      <w:marRight w:val="0"/>
      <w:marTop w:val="0"/>
      <w:marBottom w:val="0"/>
      <w:divBdr>
        <w:top w:val="none" w:sz="0" w:space="0" w:color="auto"/>
        <w:left w:val="none" w:sz="0" w:space="0" w:color="auto"/>
        <w:bottom w:val="none" w:sz="0" w:space="0" w:color="auto"/>
        <w:right w:val="none" w:sz="0" w:space="0" w:color="auto"/>
      </w:divBdr>
    </w:div>
    <w:div w:id="37897798">
      <w:bodyDiv w:val="1"/>
      <w:marLeft w:val="0"/>
      <w:marRight w:val="0"/>
      <w:marTop w:val="0"/>
      <w:marBottom w:val="0"/>
      <w:divBdr>
        <w:top w:val="none" w:sz="0" w:space="0" w:color="auto"/>
        <w:left w:val="none" w:sz="0" w:space="0" w:color="auto"/>
        <w:bottom w:val="none" w:sz="0" w:space="0" w:color="auto"/>
        <w:right w:val="none" w:sz="0" w:space="0" w:color="auto"/>
      </w:divBdr>
    </w:div>
    <w:div w:id="66266981">
      <w:bodyDiv w:val="1"/>
      <w:marLeft w:val="0"/>
      <w:marRight w:val="0"/>
      <w:marTop w:val="0"/>
      <w:marBottom w:val="0"/>
      <w:divBdr>
        <w:top w:val="none" w:sz="0" w:space="0" w:color="auto"/>
        <w:left w:val="none" w:sz="0" w:space="0" w:color="auto"/>
        <w:bottom w:val="none" w:sz="0" w:space="0" w:color="auto"/>
        <w:right w:val="none" w:sz="0" w:space="0" w:color="auto"/>
      </w:divBdr>
      <w:divsChild>
        <w:div w:id="1266771588">
          <w:marLeft w:val="0"/>
          <w:marRight w:val="0"/>
          <w:marTop w:val="0"/>
          <w:marBottom w:val="0"/>
          <w:divBdr>
            <w:top w:val="none" w:sz="0" w:space="0" w:color="auto"/>
            <w:left w:val="none" w:sz="0" w:space="0" w:color="auto"/>
            <w:bottom w:val="none" w:sz="0" w:space="0" w:color="auto"/>
            <w:right w:val="none" w:sz="0" w:space="0" w:color="auto"/>
          </w:divBdr>
        </w:div>
        <w:div w:id="2070303852">
          <w:marLeft w:val="0"/>
          <w:marRight w:val="0"/>
          <w:marTop w:val="0"/>
          <w:marBottom w:val="0"/>
          <w:divBdr>
            <w:top w:val="none" w:sz="0" w:space="0" w:color="auto"/>
            <w:left w:val="none" w:sz="0" w:space="0" w:color="auto"/>
            <w:bottom w:val="none" w:sz="0" w:space="0" w:color="auto"/>
            <w:right w:val="none" w:sz="0" w:space="0" w:color="auto"/>
          </w:divBdr>
        </w:div>
        <w:div w:id="1506894504">
          <w:marLeft w:val="0"/>
          <w:marRight w:val="0"/>
          <w:marTop w:val="0"/>
          <w:marBottom w:val="0"/>
          <w:divBdr>
            <w:top w:val="none" w:sz="0" w:space="0" w:color="auto"/>
            <w:left w:val="none" w:sz="0" w:space="0" w:color="auto"/>
            <w:bottom w:val="none" w:sz="0" w:space="0" w:color="auto"/>
            <w:right w:val="none" w:sz="0" w:space="0" w:color="auto"/>
          </w:divBdr>
        </w:div>
        <w:div w:id="1086148429">
          <w:marLeft w:val="0"/>
          <w:marRight w:val="0"/>
          <w:marTop w:val="0"/>
          <w:marBottom w:val="0"/>
          <w:divBdr>
            <w:top w:val="none" w:sz="0" w:space="0" w:color="auto"/>
            <w:left w:val="none" w:sz="0" w:space="0" w:color="auto"/>
            <w:bottom w:val="none" w:sz="0" w:space="0" w:color="auto"/>
            <w:right w:val="none" w:sz="0" w:space="0" w:color="auto"/>
          </w:divBdr>
        </w:div>
        <w:div w:id="1699622529">
          <w:marLeft w:val="0"/>
          <w:marRight w:val="0"/>
          <w:marTop w:val="0"/>
          <w:marBottom w:val="0"/>
          <w:divBdr>
            <w:top w:val="none" w:sz="0" w:space="0" w:color="auto"/>
            <w:left w:val="none" w:sz="0" w:space="0" w:color="auto"/>
            <w:bottom w:val="none" w:sz="0" w:space="0" w:color="auto"/>
            <w:right w:val="none" w:sz="0" w:space="0" w:color="auto"/>
          </w:divBdr>
        </w:div>
        <w:div w:id="780221496">
          <w:marLeft w:val="0"/>
          <w:marRight w:val="0"/>
          <w:marTop w:val="0"/>
          <w:marBottom w:val="0"/>
          <w:divBdr>
            <w:top w:val="none" w:sz="0" w:space="0" w:color="auto"/>
            <w:left w:val="none" w:sz="0" w:space="0" w:color="auto"/>
            <w:bottom w:val="none" w:sz="0" w:space="0" w:color="auto"/>
            <w:right w:val="none" w:sz="0" w:space="0" w:color="auto"/>
          </w:divBdr>
        </w:div>
        <w:div w:id="1358585205">
          <w:marLeft w:val="0"/>
          <w:marRight w:val="0"/>
          <w:marTop w:val="0"/>
          <w:marBottom w:val="0"/>
          <w:divBdr>
            <w:top w:val="none" w:sz="0" w:space="0" w:color="auto"/>
            <w:left w:val="none" w:sz="0" w:space="0" w:color="auto"/>
            <w:bottom w:val="none" w:sz="0" w:space="0" w:color="auto"/>
            <w:right w:val="none" w:sz="0" w:space="0" w:color="auto"/>
          </w:divBdr>
        </w:div>
        <w:div w:id="1972245402">
          <w:marLeft w:val="0"/>
          <w:marRight w:val="0"/>
          <w:marTop w:val="0"/>
          <w:marBottom w:val="0"/>
          <w:divBdr>
            <w:top w:val="none" w:sz="0" w:space="0" w:color="auto"/>
            <w:left w:val="none" w:sz="0" w:space="0" w:color="auto"/>
            <w:bottom w:val="none" w:sz="0" w:space="0" w:color="auto"/>
            <w:right w:val="none" w:sz="0" w:space="0" w:color="auto"/>
          </w:divBdr>
        </w:div>
        <w:div w:id="2041319603">
          <w:marLeft w:val="0"/>
          <w:marRight w:val="0"/>
          <w:marTop w:val="0"/>
          <w:marBottom w:val="0"/>
          <w:divBdr>
            <w:top w:val="none" w:sz="0" w:space="0" w:color="auto"/>
            <w:left w:val="none" w:sz="0" w:space="0" w:color="auto"/>
            <w:bottom w:val="none" w:sz="0" w:space="0" w:color="auto"/>
            <w:right w:val="none" w:sz="0" w:space="0" w:color="auto"/>
          </w:divBdr>
        </w:div>
        <w:div w:id="519006135">
          <w:marLeft w:val="0"/>
          <w:marRight w:val="0"/>
          <w:marTop w:val="0"/>
          <w:marBottom w:val="0"/>
          <w:divBdr>
            <w:top w:val="none" w:sz="0" w:space="0" w:color="auto"/>
            <w:left w:val="none" w:sz="0" w:space="0" w:color="auto"/>
            <w:bottom w:val="none" w:sz="0" w:space="0" w:color="auto"/>
            <w:right w:val="none" w:sz="0" w:space="0" w:color="auto"/>
          </w:divBdr>
        </w:div>
        <w:div w:id="89937437">
          <w:marLeft w:val="0"/>
          <w:marRight w:val="0"/>
          <w:marTop w:val="0"/>
          <w:marBottom w:val="0"/>
          <w:divBdr>
            <w:top w:val="none" w:sz="0" w:space="0" w:color="auto"/>
            <w:left w:val="none" w:sz="0" w:space="0" w:color="auto"/>
            <w:bottom w:val="none" w:sz="0" w:space="0" w:color="auto"/>
            <w:right w:val="none" w:sz="0" w:space="0" w:color="auto"/>
          </w:divBdr>
        </w:div>
        <w:div w:id="894240946">
          <w:marLeft w:val="0"/>
          <w:marRight w:val="0"/>
          <w:marTop w:val="0"/>
          <w:marBottom w:val="0"/>
          <w:divBdr>
            <w:top w:val="none" w:sz="0" w:space="0" w:color="auto"/>
            <w:left w:val="none" w:sz="0" w:space="0" w:color="auto"/>
            <w:bottom w:val="none" w:sz="0" w:space="0" w:color="auto"/>
            <w:right w:val="none" w:sz="0" w:space="0" w:color="auto"/>
          </w:divBdr>
        </w:div>
        <w:div w:id="563299199">
          <w:marLeft w:val="0"/>
          <w:marRight w:val="0"/>
          <w:marTop w:val="0"/>
          <w:marBottom w:val="0"/>
          <w:divBdr>
            <w:top w:val="none" w:sz="0" w:space="0" w:color="auto"/>
            <w:left w:val="none" w:sz="0" w:space="0" w:color="auto"/>
            <w:bottom w:val="none" w:sz="0" w:space="0" w:color="auto"/>
            <w:right w:val="none" w:sz="0" w:space="0" w:color="auto"/>
          </w:divBdr>
        </w:div>
        <w:div w:id="1949700129">
          <w:marLeft w:val="0"/>
          <w:marRight w:val="0"/>
          <w:marTop w:val="0"/>
          <w:marBottom w:val="0"/>
          <w:divBdr>
            <w:top w:val="none" w:sz="0" w:space="0" w:color="auto"/>
            <w:left w:val="none" w:sz="0" w:space="0" w:color="auto"/>
            <w:bottom w:val="none" w:sz="0" w:space="0" w:color="auto"/>
            <w:right w:val="none" w:sz="0" w:space="0" w:color="auto"/>
          </w:divBdr>
        </w:div>
        <w:div w:id="1110776724">
          <w:marLeft w:val="0"/>
          <w:marRight w:val="0"/>
          <w:marTop w:val="0"/>
          <w:marBottom w:val="0"/>
          <w:divBdr>
            <w:top w:val="none" w:sz="0" w:space="0" w:color="auto"/>
            <w:left w:val="none" w:sz="0" w:space="0" w:color="auto"/>
            <w:bottom w:val="none" w:sz="0" w:space="0" w:color="auto"/>
            <w:right w:val="none" w:sz="0" w:space="0" w:color="auto"/>
          </w:divBdr>
        </w:div>
        <w:div w:id="89158813">
          <w:marLeft w:val="0"/>
          <w:marRight w:val="0"/>
          <w:marTop w:val="0"/>
          <w:marBottom w:val="0"/>
          <w:divBdr>
            <w:top w:val="none" w:sz="0" w:space="0" w:color="auto"/>
            <w:left w:val="none" w:sz="0" w:space="0" w:color="auto"/>
            <w:bottom w:val="none" w:sz="0" w:space="0" w:color="auto"/>
            <w:right w:val="none" w:sz="0" w:space="0" w:color="auto"/>
          </w:divBdr>
        </w:div>
        <w:div w:id="1745489416">
          <w:marLeft w:val="0"/>
          <w:marRight w:val="0"/>
          <w:marTop w:val="0"/>
          <w:marBottom w:val="0"/>
          <w:divBdr>
            <w:top w:val="none" w:sz="0" w:space="0" w:color="auto"/>
            <w:left w:val="none" w:sz="0" w:space="0" w:color="auto"/>
            <w:bottom w:val="none" w:sz="0" w:space="0" w:color="auto"/>
            <w:right w:val="none" w:sz="0" w:space="0" w:color="auto"/>
          </w:divBdr>
        </w:div>
        <w:div w:id="1555702470">
          <w:marLeft w:val="0"/>
          <w:marRight w:val="0"/>
          <w:marTop w:val="0"/>
          <w:marBottom w:val="0"/>
          <w:divBdr>
            <w:top w:val="none" w:sz="0" w:space="0" w:color="auto"/>
            <w:left w:val="none" w:sz="0" w:space="0" w:color="auto"/>
            <w:bottom w:val="none" w:sz="0" w:space="0" w:color="auto"/>
            <w:right w:val="none" w:sz="0" w:space="0" w:color="auto"/>
          </w:divBdr>
        </w:div>
        <w:div w:id="134302553">
          <w:marLeft w:val="0"/>
          <w:marRight w:val="0"/>
          <w:marTop w:val="0"/>
          <w:marBottom w:val="0"/>
          <w:divBdr>
            <w:top w:val="none" w:sz="0" w:space="0" w:color="auto"/>
            <w:left w:val="none" w:sz="0" w:space="0" w:color="auto"/>
            <w:bottom w:val="none" w:sz="0" w:space="0" w:color="auto"/>
            <w:right w:val="none" w:sz="0" w:space="0" w:color="auto"/>
          </w:divBdr>
        </w:div>
        <w:div w:id="1117522854">
          <w:marLeft w:val="0"/>
          <w:marRight w:val="0"/>
          <w:marTop w:val="0"/>
          <w:marBottom w:val="0"/>
          <w:divBdr>
            <w:top w:val="none" w:sz="0" w:space="0" w:color="auto"/>
            <w:left w:val="none" w:sz="0" w:space="0" w:color="auto"/>
            <w:bottom w:val="none" w:sz="0" w:space="0" w:color="auto"/>
            <w:right w:val="none" w:sz="0" w:space="0" w:color="auto"/>
          </w:divBdr>
        </w:div>
        <w:div w:id="1574776268">
          <w:marLeft w:val="0"/>
          <w:marRight w:val="0"/>
          <w:marTop w:val="0"/>
          <w:marBottom w:val="0"/>
          <w:divBdr>
            <w:top w:val="none" w:sz="0" w:space="0" w:color="auto"/>
            <w:left w:val="none" w:sz="0" w:space="0" w:color="auto"/>
            <w:bottom w:val="none" w:sz="0" w:space="0" w:color="auto"/>
            <w:right w:val="none" w:sz="0" w:space="0" w:color="auto"/>
          </w:divBdr>
        </w:div>
      </w:divsChild>
    </w:div>
    <w:div w:id="70785247">
      <w:bodyDiv w:val="1"/>
      <w:marLeft w:val="0"/>
      <w:marRight w:val="0"/>
      <w:marTop w:val="0"/>
      <w:marBottom w:val="0"/>
      <w:divBdr>
        <w:top w:val="none" w:sz="0" w:space="0" w:color="auto"/>
        <w:left w:val="none" w:sz="0" w:space="0" w:color="auto"/>
        <w:bottom w:val="none" w:sz="0" w:space="0" w:color="auto"/>
        <w:right w:val="none" w:sz="0" w:space="0" w:color="auto"/>
      </w:divBdr>
    </w:div>
    <w:div w:id="77756028">
      <w:bodyDiv w:val="1"/>
      <w:marLeft w:val="0"/>
      <w:marRight w:val="0"/>
      <w:marTop w:val="0"/>
      <w:marBottom w:val="0"/>
      <w:divBdr>
        <w:top w:val="none" w:sz="0" w:space="0" w:color="auto"/>
        <w:left w:val="none" w:sz="0" w:space="0" w:color="auto"/>
        <w:bottom w:val="none" w:sz="0" w:space="0" w:color="auto"/>
        <w:right w:val="none" w:sz="0" w:space="0" w:color="auto"/>
      </w:divBdr>
      <w:divsChild>
        <w:div w:id="1331762023">
          <w:marLeft w:val="0"/>
          <w:marRight w:val="0"/>
          <w:marTop w:val="0"/>
          <w:marBottom w:val="0"/>
          <w:divBdr>
            <w:top w:val="none" w:sz="0" w:space="0" w:color="auto"/>
            <w:left w:val="none" w:sz="0" w:space="0" w:color="auto"/>
            <w:bottom w:val="none" w:sz="0" w:space="0" w:color="auto"/>
            <w:right w:val="none" w:sz="0" w:space="0" w:color="auto"/>
          </w:divBdr>
        </w:div>
        <w:div w:id="1865361670">
          <w:marLeft w:val="0"/>
          <w:marRight w:val="0"/>
          <w:marTop w:val="0"/>
          <w:marBottom w:val="0"/>
          <w:divBdr>
            <w:top w:val="none" w:sz="0" w:space="0" w:color="auto"/>
            <w:left w:val="none" w:sz="0" w:space="0" w:color="auto"/>
            <w:bottom w:val="none" w:sz="0" w:space="0" w:color="auto"/>
            <w:right w:val="none" w:sz="0" w:space="0" w:color="auto"/>
          </w:divBdr>
        </w:div>
        <w:div w:id="1821313539">
          <w:marLeft w:val="0"/>
          <w:marRight w:val="0"/>
          <w:marTop w:val="0"/>
          <w:marBottom w:val="0"/>
          <w:divBdr>
            <w:top w:val="none" w:sz="0" w:space="0" w:color="auto"/>
            <w:left w:val="none" w:sz="0" w:space="0" w:color="auto"/>
            <w:bottom w:val="none" w:sz="0" w:space="0" w:color="auto"/>
            <w:right w:val="none" w:sz="0" w:space="0" w:color="auto"/>
          </w:divBdr>
        </w:div>
        <w:div w:id="1165441410">
          <w:marLeft w:val="0"/>
          <w:marRight w:val="0"/>
          <w:marTop w:val="0"/>
          <w:marBottom w:val="0"/>
          <w:divBdr>
            <w:top w:val="none" w:sz="0" w:space="0" w:color="auto"/>
            <w:left w:val="none" w:sz="0" w:space="0" w:color="auto"/>
            <w:bottom w:val="none" w:sz="0" w:space="0" w:color="auto"/>
            <w:right w:val="none" w:sz="0" w:space="0" w:color="auto"/>
          </w:divBdr>
        </w:div>
        <w:div w:id="1208299336">
          <w:marLeft w:val="0"/>
          <w:marRight w:val="0"/>
          <w:marTop w:val="0"/>
          <w:marBottom w:val="0"/>
          <w:divBdr>
            <w:top w:val="none" w:sz="0" w:space="0" w:color="auto"/>
            <w:left w:val="none" w:sz="0" w:space="0" w:color="auto"/>
            <w:bottom w:val="none" w:sz="0" w:space="0" w:color="auto"/>
            <w:right w:val="none" w:sz="0" w:space="0" w:color="auto"/>
          </w:divBdr>
        </w:div>
        <w:div w:id="1755928535">
          <w:marLeft w:val="0"/>
          <w:marRight w:val="0"/>
          <w:marTop w:val="0"/>
          <w:marBottom w:val="0"/>
          <w:divBdr>
            <w:top w:val="none" w:sz="0" w:space="0" w:color="auto"/>
            <w:left w:val="none" w:sz="0" w:space="0" w:color="auto"/>
            <w:bottom w:val="none" w:sz="0" w:space="0" w:color="auto"/>
            <w:right w:val="none" w:sz="0" w:space="0" w:color="auto"/>
          </w:divBdr>
        </w:div>
        <w:div w:id="1733384670">
          <w:marLeft w:val="0"/>
          <w:marRight w:val="0"/>
          <w:marTop w:val="0"/>
          <w:marBottom w:val="0"/>
          <w:divBdr>
            <w:top w:val="none" w:sz="0" w:space="0" w:color="auto"/>
            <w:left w:val="none" w:sz="0" w:space="0" w:color="auto"/>
            <w:bottom w:val="none" w:sz="0" w:space="0" w:color="auto"/>
            <w:right w:val="none" w:sz="0" w:space="0" w:color="auto"/>
          </w:divBdr>
        </w:div>
        <w:div w:id="1304626604">
          <w:marLeft w:val="0"/>
          <w:marRight w:val="0"/>
          <w:marTop w:val="0"/>
          <w:marBottom w:val="0"/>
          <w:divBdr>
            <w:top w:val="none" w:sz="0" w:space="0" w:color="auto"/>
            <w:left w:val="none" w:sz="0" w:space="0" w:color="auto"/>
            <w:bottom w:val="none" w:sz="0" w:space="0" w:color="auto"/>
            <w:right w:val="none" w:sz="0" w:space="0" w:color="auto"/>
          </w:divBdr>
        </w:div>
        <w:div w:id="733435286">
          <w:marLeft w:val="0"/>
          <w:marRight w:val="0"/>
          <w:marTop w:val="0"/>
          <w:marBottom w:val="0"/>
          <w:divBdr>
            <w:top w:val="none" w:sz="0" w:space="0" w:color="auto"/>
            <w:left w:val="none" w:sz="0" w:space="0" w:color="auto"/>
            <w:bottom w:val="none" w:sz="0" w:space="0" w:color="auto"/>
            <w:right w:val="none" w:sz="0" w:space="0" w:color="auto"/>
          </w:divBdr>
        </w:div>
        <w:div w:id="216936580">
          <w:marLeft w:val="0"/>
          <w:marRight w:val="0"/>
          <w:marTop w:val="0"/>
          <w:marBottom w:val="0"/>
          <w:divBdr>
            <w:top w:val="none" w:sz="0" w:space="0" w:color="auto"/>
            <w:left w:val="none" w:sz="0" w:space="0" w:color="auto"/>
            <w:bottom w:val="none" w:sz="0" w:space="0" w:color="auto"/>
            <w:right w:val="none" w:sz="0" w:space="0" w:color="auto"/>
          </w:divBdr>
        </w:div>
        <w:div w:id="1076393933">
          <w:marLeft w:val="0"/>
          <w:marRight w:val="0"/>
          <w:marTop w:val="0"/>
          <w:marBottom w:val="0"/>
          <w:divBdr>
            <w:top w:val="none" w:sz="0" w:space="0" w:color="auto"/>
            <w:left w:val="none" w:sz="0" w:space="0" w:color="auto"/>
            <w:bottom w:val="none" w:sz="0" w:space="0" w:color="auto"/>
            <w:right w:val="none" w:sz="0" w:space="0" w:color="auto"/>
          </w:divBdr>
        </w:div>
        <w:div w:id="359937591">
          <w:marLeft w:val="0"/>
          <w:marRight w:val="0"/>
          <w:marTop w:val="0"/>
          <w:marBottom w:val="0"/>
          <w:divBdr>
            <w:top w:val="none" w:sz="0" w:space="0" w:color="auto"/>
            <w:left w:val="none" w:sz="0" w:space="0" w:color="auto"/>
            <w:bottom w:val="none" w:sz="0" w:space="0" w:color="auto"/>
            <w:right w:val="none" w:sz="0" w:space="0" w:color="auto"/>
          </w:divBdr>
        </w:div>
        <w:div w:id="85463691">
          <w:marLeft w:val="0"/>
          <w:marRight w:val="0"/>
          <w:marTop w:val="0"/>
          <w:marBottom w:val="0"/>
          <w:divBdr>
            <w:top w:val="none" w:sz="0" w:space="0" w:color="auto"/>
            <w:left w:val="none" w:sz="0" w:space="0" w:color="auto"/>
            <w:bottom w:val="none" w:sz="0" w:space="0" w:color="auto"/>
            <w:right w:val="none" w:sz="0" w:space="0" w:color="auto"/>
          </w:divBdr>
        </w:div>
        <w:div w:id="1579093039">
          <w:marLeft w:val="0"/>
          <w:marRight w:val="0"/>
          <w:marTop w:val="0"/>
          <w:marBottom w:val="0"/>
          <w:divBdr>
            <w:top w:val="none" w:sz="0" w:space="0" w:color="auto"/>
            <w:left w:val="none" w:sz="0" w:space="0" w:color="auto"/>
            <w:bottom w:val="none" w:sz="0" w:space="0" w:color="auto"/>
            <w:right w:val="none" w:sz="0" w:space="0" w:color="auto"/>
          </w:divBdr>
        </w:div>
        <w:div w:id="2020348720">
          <w:marLeft w:val="0"/>
          <w:marRight w:val="0"/>
          <w:marTop w:val="0"/>
          <w:marBottom w:val="0"/>
          <w:divBdr>
            <w:top w:val="none" w:sz="0" w:space="0" w:color="auto"/>
            <w:left w:val="none" w:sz="0" w:space="0" w:color="auto"/>
            <w:bottom w:val="none" w:sz="0" w:space="0" w:color="auto"/>
            <w:right w:val="none" w:sz="0" w:space="0" w:color="auto"/>
          </w:divBdr>
        </w:div>
        <w:div w:id="323320026">
          <w:marLeft w:val="0"/>
          <w:marRight w:val="0"/>
          <w:marTop w:val="0"/>
          <w:marBottom w:val="0"/>
          <w:divBdr>
            <w:top w:val="none" w:sz="0" w:space="0" w:color="auto"/>
            <w:left w:val="none" w:sz="0" w:space="0" w:color="auto"/>
            <w:bottom w:val="none" w:sz="0" w:space="0" w:color="auto"/>
            <w:right w:val="none" w:sz="0" w:space="0" w:color="auto"/>
          </w:divBdr>
        </w:div>
        <w:div w:id="1706322072">
          <w:marLeft w:val="0"/>
          <w:marRight w:val="0"/>
          <w:marTop w:val="0"/>
          <w:marBottom w:val="0"/>
          <w:divBdr>
            <w:top w:val="none" w:sz="0" w:space="0" w:color="auto"/>
            <w:left w:val="none" w:sz="0" w:space="0" w:color="auto"/>
            <w:bottom w:val="none" w:sz="0" w:space="0" w:color="auto"/>
            <w:right w:val="none" w:sz="0" w:space="0" w:color="auto"/>
          </w:divBdr>
        </w:div>
        <w:div w:id="616837109">
          <w:marLeft w:val="0"/>
          <w:marRight w:val="0"/>
          <w:marTop w:val="0"/>
          <w:marBottom w:val="0"/>
          <w:divBdr>
            <w:top w:val="none" w:sz="0" w:space="0" w:color="auto"/>
            <w:left w:val="none" w:sz="0" w:space="0" w:color="auto"/>
            <w:bottom w:val="none" w:sz="0" w:space="0" w:color="auto"/>
            <w:right w:val="none" w:sz="0" w:space="0" w:color="auto"/>
          </w:divBdr>
        </w:div>
        <w:div w:id="1630353642">
          <w:marLeft w:val="0"/>
          <w:marRight w:val="0"/>
          <w:marTop w:val="0"/>
          <w:marBottom w:val="0"/>
          <w:divBdr>
            <w:top w:val="none" w:sz="0" w:space="0" w:color="auto"/>
            <w:left w:val="none" w:sz="0" w:space="0" w:color="auto"/>
            <w:bottom w:val="none" w:sz="0" w:space="0" w:color="auto"/>
            <w:right w:val="none" w:sz="0" w:space="0" w:color="auto"/>
          </w:divBdr>
        </w:div>
        <w:div w:id="1957055465">
          <w:marLeft w:val="0"/>
          <w:marRight w:val="0"/>
          <w:marTop w:val="0"/>
          <w:marBottom w:val="0"/>
          <w:divBdr>
            <w:top w:val="none" w:sz="0" w:space="0" w:color="auto"/>
            <w:left w:val="none" w:sz="0" w:space="0" w:color="auto"/>
            <w:bottom w:val="none" w:sz="0" w:space="0" w:color="auto"/>
            <w:right w:val="none" w:sz="0" w:space="0" w:color="auto"/>
          </w:divBdr>
        </w:div>
        <w:div w:id="1174882663">
          <w:marLeft w:val="0"/>
          <w:marRight w:val="0"/>
          <w:marTop w:val="0"/>
          <w:marBottom w:val="0"/>
          <w:divBdr>
            <w:top w:val="none" w:sz="0" w:space="0" w:color="auto"/>
            <w:left w:val="none" w:sz="0" w:space="0" w:color="auto"/>
            <w:bottom w:val="none" w:sz="0" w:space="0" w:color="auto"/>
            <w:right w:val="none" w:sz="0" w:space="0" w:color="auto"/>
          </w:divBdr>
        </w:div>
      </w:divsChild>
    </w:div>
    <w:div w:id="140391568">
      <w:bodyDiv w:val="1"/>
      <w:marLeft w:val="0"/>
      <w:marRight w:val="0"/>
      <w:marTop w:val="0"/>
      <w:marBottom w:val="0"/>
      <w:divBdr>
        <w:top w:val="none" w:sz="0" w:space="0" w:color="auto"/>
        <w:left w:val="none" w:sz="0" w:space="0" w:color="auto"/>
        <w:bottom w:val="none" w:sz="0" w:space="0" w:color="auto"/>
        <w:right w:val="none" w:sz="0" w:space="0" w:color="auto"/>
      </w:divBdr>
      <w:divsChild>
        <w:div w:id="1822236385">
          <w:marLeft w:val="0"/>
          <w:marRight w:val="0"/>
          <w:marTop w:val="0"/>
          <w:marBottom w:val="0"/>
          <w:divBdr>
            <w:top w:val="none" w:sz="0" w:space="0" w:color="auto"/>
            <w:left w:val="none" w:sz="0" w:space="0" w:color="auto"/>
            <w:bottom w:val="none" w:sz="0" w:space="0" w:color="auto"/>
            <w:right w:val="none" w:sz="0" w:space="0" w:color="auto"/>
          </w:divBdr>
        </w:div>
        <w:div w:id="535585536">
          <w:marLeft w:val="0"/>
          <w:marRight w:val="0"/>
          <w:marTop w:val="0"/>
          <w:marBottom w:val="0"/>
          <w:divBdr>
            <w:top w:val="none" w:sz="0" w:space="0" w:color="auto"/>
            <w:left w:val="none" w:sz="0" w:space="0" w:color="auto"/>
            <w:bottom w:val="none" w:sz="0" w:space="0" w:color="auto"/>
            <w:right w:val="none" w:sz="0" w:space="0" w:color="auto"/>
          </w:divBdr>
        </w:div>
        <w:div w:id="325206379">
          <w:marLeft w:val="0"/>
          <w:marRight w:val="0"/>
          <w:marTop w:val="0"/>
          <w:marBottom w:val="0"/>
          <w:divBdr>
            <w:top w:val="none" w:sz="0" w:space="0" w:color="auto"/>
            <w:left w:val="none" w:sz="0" w:space="0" w:color="auto"/>
            <w:bottom w:val="none" w:sz="0" w:space="0" w:color="auto"/>
            <w:right w:val="none" w:sz="0" w:space="0" w:color="auto"/>
          </w:divBdr>
        </w:div>
        <w:div w:id="1418987506">
          <w:marLeft w:val="0"/>
          <w:marRight w:val="0"/>
          <w:marTop w:val="0"/>
          <w:marBottom w:val="0"/>
          <w:divBdr>
            <w:top w:val="none" w:sz="0" w:space="0" w:color="auto"/>
            <w:left w:val="none" w:sz="0" w:space="0" w:color="auto"/>
            <w:bottom w:val="none" w:sz="0" w:space="0" w:color="auto"/>
            <w:right w:val="none" w:sz="0" w:space="0" w:color="auto"/>
          </w:divBdr>
        </w:div>
        <w:div w:id="1782264134">
          <w:marLeft w:val="0"/>
          <w:marRight w:val="0"/>
          <w:marTop w:val="0"/>
          <w:marBottom w:val="0"/>
          <w:divBdr>
            <w:top w:val="none" w:sz="0" w:space="0" w:color="auto"/>
            <w:left w:val="none" w:sz="0" w:space="0" w:color="auto"/>
            <w:bottom w:val="none" w:sz="0" w:space="0" w:color="auto"/>
            <w:right w:val="none" w:sz="0" w:space="0" w:color="auto"/>
          </w:divBdr>
        </w:div>
        <w:div w:id="1709069575">
          <w:marLeft w:val="0"/>
          <w:marRight w:val="0"/>
          <w:marTop w:val="0"/>
          <w:marBottom w:val="0"/>
          <w:divBdr>
            <w:top w:val="none" w:sz="0" w:space="0" w:color="auto"/>
            <w:left w:val="none" w:sz="0" w:space="0" w:color="auto"/>
            <w:bottom w:val="none" w:sz="0" w:space="0" w:color="auto"/>
            <w:right w:val="none" w:sz="0" w:space="0" w:color="auto"/>
          </w:divBdr>
        </w:div>
        <w:div w:id="89590212">
          <w:marLeft w:val="0"/>
          <w:marRight w:val="0"/>
          <w:marTop w:val="0"/>
          <w:marBottom w:val="0"/>
          <w:divBdr>
            <w:top w:val="none" w:sz="0" w:space="0" w:color="auto"/>
            <w:left w:val="none" w:sz="0" w:space="0" w:color="auto"/>
            <w:bottom w:val="none" w:sz="0" w:space="0" w:color="auto"/>
            <w:right w:val="none" w:sz="0" w:space="0" w:color="auto"/>
          </w:divBdr>
        </w:div>
        <w:div w:id="715158436">
          <w:marLeft w:val="0"/>
          <w:marRight w:val="0"/>
          <w:marTop w:val="0"/>
          <w:marBottom w:val="0"/>
          <w:divBdr>
            <w:top w:val="none" w:sz="0" w:space="0" w:color="auto"/>
            <w:left w:val="none" w:sz="0" w:space="0" w:color="auto"/>
            <w:bottom w:val="none" w:sz="0" w:space="0" w:color="auto"/>
            <w:right w:val="none" w:sz="0" w:space="0" w:color="auto"/>
          </w:divBdr>
        </w:div>
        <w:div w:id="2014260731">
          <w:marLeft w:val="0"/>
          <w:marRight w:val="0"/>
          <w:marTop w:val="0"/>
          <w:marBottom w:val="0"/>
          <w:divBdr>
            <w:top w:val="none" w:sz="0" w:space="0" w:color="auto"/>
            <w:left w:val="none" w:sz="0" w:space="0" w:color="auto"/>
            <w:bottom w:val="none" w:sz="0" w:space="0" w:color="auto"/>
            <w:right w:val="none" w:sz="0" w:space="0" w:color="auto"/>
          </w:divBdr>
        </w:div>
        <w:div w:id="204215108">
          <w:marLeft w:val="0"/>
          <w:marRight w:val="0"/>
          <w:marTop w:val="0"/>
          <w:marBottom w:val="0"/>
          <w:divBdr>
            <w:top w:val="none" w:sz="0" w:space="0" w:color="auto"/>
            <w:left w:val="none" w:sz="0" w:space="0" w:color="auto"/>
            <w:bottom w:val="none" w:sz="0" w:space="0" w:color="auto"/>
            <w:right w:val="none" w:sz="0" w:space="0" w:color="auto"/>
          </w:divBdr>
        </w:div>
        <w:div w:id="730810117">
          <w:marLeft w:val="0"/>
          <w:marRight w:val="0"/>
          <w:marTop w:val="0"/>
          <w:marBottom w:val="0"/>
          <w:divBdr>
            <w:top w:val="none" w:sz="0" w:space="0" w:color="auto"/>
            <w:left w:val="none" w:sz="0" w:space="0" w:color="auto"/>
            <w:bottom w:val="none" w:sz="0" w:space="0" w:color="auto"/>
            <w:right w:val="none" w:sz="0" w:space="0" w:color="auto"/>
          </w:divBdr>
        </w:div>
        <w:div w:id="474836814">
          <w:marLeft w:val="0"/>
          <w:marRight w:val="0"/>
          <w:marTop w:val="0"/>
          <w:marBottom w:val="0"/>
          <w:divBdr>
            <w:top w:val="none" w:sz="0" w:space="0" w:color="auto"/>
            <w:left w:val="none" w:sz="0" w:space="0" w:color="auto"/>
            <w:bottom w:val="none" w:sz="0" w:space="0" w:color="auto"/>
            <w:right w:val="none" w:sz="0" w:space="0" w:color="auto"/>
          </w:divBdr>
        </w:div>
        <w:div w:id="646862145">
          <w:marLeft w:val="0"/>
          <w:marRight w:val="0"/>
          <w:marTop w:val="0"/>
          <w:marBottom w:val="0"/>
          <w:divBdr>
            <w:top w:val="none" w:sz="0" w:space="0" w:color="auto"/>
            <w:left w:val="none" w:sz="0" w:space="0" w:color="auto"/>
            <w:bottom w:val="none" w:sz="0" w:space="0" w:color="auto"/>
            <w:right w:val="none" w:sz="0" w:space="0" w:color="auto"/>
          </w:divBdr>
        </w:div>
        <w:div w:id="1391807437">
          <w:marLeft w:val="0"/>
          <w:marRight w:val="0"/>
          <w:marTop w:val="0"/>
          <w:marBottom w:val="0"/>
          <w:divBdr>
            <w:top w:val="none" w:sz="0" w:space="0" w:color="auto"/>
            <w:left w:val="none" w:sz="0" w:space="0" w:color="auto"/>
            <w:bottom w:val="none" w:sz="0" w:space="0" w:color="auto"/>
            <w:right w:val="none" w:sz="0" w:space="0" w:color="auto"/>
          </w:divBdr>
        </w:div>
        <w:div w:id="645400115">
          <w:marLeft w:val="0"/>
          <w:marRight w:val="0"/>
          <w:marTop w:val="0"/>
          <w:marBottom w:val="0"/>
          <w:divBdr>
            <w:top w:val="none" w:sz="0" w:space="0" w:color="auto"/>
            <w:left w:val="none" w:sz="0" w:space="0" w:color="auto"/>
            <w:bottom w:val="none" w:sz="0" w:space="0" w:color="auto"/>
            <w:right w:val="none" w:sz="0" w:space="0" w:color="auto"/>
          </w:divBdr>
        </w:div>
        <w:div w:id="1707175537">
          <w:marLeft w:val="0"/>
          <w:marRight w:val="0"/>
          <w:marTop w:val="0"/>
          <w:marBottom w:val="0"/>
          <w:divBdr>
            <w:top w:val="none" w:sz="0" w:space="0" w:color="auto"/>
            <w:left w:val="none" w:sz="0" w:space="0" w:color="auto"/>
            <w:bottom w:val="none" w:sz="0" w:space="0" w:color="auto"/>
            <w:right w:val="none" w:sz="0" w:space="0" w:color="auto"/>
          </w:divBdr>
        </w:div>
        <w:div w:id="461466621">
          <w:marLeft w:val="0"/>
          <w:marRight w:val="0"/>
          <w:marTop w:val="0"/>
          <w:marBottom w:val="0"/>
          <w:divBdr>
            <w:top w:val="none" w:sz="0" w:space="0" w:color="auto"/>
            <w:left w:val="none" w:sz="0" w:space="0" w:color="auto"/>
            <w:bottom w:val="none" w:sz="0" w:space="0" w:color="auto"/>
            <w:right w:val="none" w:sz="0" w:space="0" w:color="auto"/>
          </w:divBdr>
        </w:div>
        <w:div w:id="1582644106">
          <w:marLeft w:val="0"/>
          <w:marRight w:val="0"/>
          <w:marTop w:val="0"/>
          <w:marBottom w:val="0"/>
          <w:divBdr>
            <w:top w:val="none" w:sz="0" w:space="0" w:color="auto"/>
            <w:left w:val="none" w:sz="0" w:space="0" w:color="auto"/>
            <w:bottom w:val="none" w:sz="0" w:space="0" w:color="auto"/>
            <w:right w:val="none" w:sz="0" w:space="0" w:color="auto"/>
          </w:divBdr>
        </w:div>
        <w:div w:id="701856065">
          <w:marLeft w:val="0"/>
          <w:marRight w:val="0"/>
          <w:marTop w:val="0"/>
          <w:marBottom w:val="0"/>
          <w:divBdr>
            <w:top w:val="none" w:sz="0" w:space="0" w:color="auto"/>
            <w:left w:val="none" w:sz="0" w:space="0" w:color="auto"/>
            <w:bottom w:val="none" w:sz="0" w:space="0" w:color="auto"/>
            <w:right w:val="none" w:sz="0" w:space="0" w:color="auto"/>
          </w:divBdr>
        </w:div>
        <w:div w:id="1574966655">
          <w:marLeft w:val="0"/>
          <w:marRight w:val="0"/>
          <w:marTop w:val="0"/>
          <w:marBottom w:val="0"/>
          <w:divBdr>
            <w:top w:val="none" w:sz="0" w:space="0" w:color="auto"/>
            <w:left w:val="none" w:sz="0" w:space="0" w:color="auto"/>
            <w:bottom w:val="none" w:sz="0" w:space="0" w:color="auto"/>
            <w:right w:val="none" w:sz="0" w:space="0" w:color="auto"/>
          </w:divBdr>
        </w:div>
        <w:div w:id="1249771940">
          <w:marLeft w:val="0"/>
          <w:marRight w:val="0"/>
          <w:marTop w:val="0"/>
          <w:marBottom w:val="0"/>
          <w:divBdr>
            <w:top w:val="none" w:sz="0" w:space="0" w:color="auto"/>
            <w:left w:val="none" w:sz="0" w:space="0" w:color="auto"/>
            <w:bottom w:val="none" w:sz="0" w:space="0" w:color="auto"/>
            <w:right w:val="none" w:sz="0" w:space="0" w:color="auto"/>
          </w:divBdr>
        </w:div>
      </w:divsChild>
    </w:div>
    <w:div w:id="146483026">
      <w:bodyDiv w:val="1"/>
      <w:marLeft w:val="0"/>
      <w:marRight w:val="0"/>
      <w:marTop w:val="0"/>
      <w:marBottom w:val="0"/>
      <w:divBdr>
        <w:top w:val="none" w:sz="0" w:space="0" w:color="auto"/>
        <w:left w:val="none" w:sz="0" w:space="0" w:color="auto"/>
        <w:bottom w:val="none" w:sz="0" w:space="0" w:color="auto"/>
        <w:right w:val="none" w:sz="0" w:space="0" w:color="auto"/>
      </w:divBdr>
    </w:div>
    <w:div w:id="186022254">
      <w:bodyDiv w:val="1"/>
      <w:marLeft w:val="0"/>
      <w:marRight w:val="0"/>
      <w:marTop w:val="0"/>
      <w:marBottom w:val="0"/>
      <w:divBdr>
        <w:top w:val="none" w:sz="0" w:space="0" w:color="auto"/>
        <w:left w:val="none" w:sz="0" w:space="0" w:color="auto"/>
        <w:bottom w:val="none" w:sz="0" w:space="0" w:color="auto"/>
        <w:right w:val="none" w:sz="0" w:space="0" w:color="auto"/>
      </w:divBdr>
    </w:div>
    <w:div w:id="213735136">
      <w:bodyDiv w:val="1"/>
      <w:marLeft w:val="0"/>
      <w:marRight w:val="0"/>
      <w:marTop w:val="0"/>
      <w:marBottom w:val="0"/>
      <w:divBdr>
        <w:top w:val="none" w:sz="0" w:space="0" w:color="auto"/>
        <w:left w:val="none" w:sz="0" w:space="0" w:color="auto"/>
        <w:bottom w:val="none" w:sz="0" w:space="0" w:color="auto"/>
        <w:right w:val="none" w:sz="0" w:space="0" w:color="auto"/>
      </w:divBdr>
      <w:divsChild>
        <w:div w:id="1981036100">
          <w:marLeft w:val="0"/>
          <w:marRight w:val="0"/>
          <w:marTop w:val="0"/>
          <w:marBottom w:val="0"/>
          <w:divBdr>
            <w:top w:val="none" w:sz="0" w:space="0" w:color="auto"/>
            <w:left w:val="none" w:sz="0" w:space="0" w:color="auto"/>
            <w:bottom w:val="none" w:sz="0" w:space="0" w:color="auto"/>
            <w:right w:val="none" w:sz="0" w:space="0" w:color="auto"/>
          </w:divBdr>
        </w:div>
        <w:div w:id="1634140953">
          <w:marLeft w:val="0"/>
          <w:marRight w:val="0"/>
          <w:marTop w:val="0"/>
          <w:marBottom w:val="0"/>
          <w:divBdr>
            <w:top w:val="none" w:sz="0" w:space="0" w:color="auto"/>
            <w:left w:val="none" w:sz="0" w:space="0" w:color="auto"/>
            <w:bottom w:val="none" w:sz="0" w:space="0" w:color="auto"/>
            <w:right w:val="none" w:sz="0" w:space="0" w:color="auto"/>
          </w:divBdr>
        </w:div>
        <w:div w:id="1324048480">
          <w:marLeft w:val="0"/>
          <w:marRight w:val="0"/>
          <w:marTop w:val="0"/>
          <w:marBottom w:val="0"/>
          <w:divBdr>
            <w:top w:val="none" w:sz="0" w:space="0" w:color="auto"/>
            <w:left w:val="none" w:sz="0" w:space="0" w:color="auto"/>
            <w:bottom w:val="none" w:sz="0" w:space="0" w:color="auto"/>
            <w:right w:val="none" w:sz="0" w:space="0" w:color="auto"/>
          </w:divBdr>
        </w:div>
        <w:div w:id="2127307247">
          <w:marLeft w:val="0"/>
          <w:marRight w:val="0"/>
          <w:marTop w:val="0"/>
          <w:marBottom w:val="0"/>
          <w:divBdr>
            <w:top w:val="none" w:sz="0" w:space="0" w:color="auto"/>
            <w:left w:val="none" w:sz="0" w:space="0" w:color="auto"/>
            <w:bottom w:val="none" w:sz="0" w:space="0" w:color="auto"/>
            <w:right w:val="none" w:sz="0" w:space="0" w:color="auto"/>
          </w:divBdr>
        </w:div>
        <w:div w:id="1855533063">
          <w:marLeft w:val="0"/>
          <w:marRight w:val="0"/>
          <w:marTop w:val="0"/>
          <w:marBottom w:val="0"/>
          <w:divBdr>
            <w:top w:val="none" w:sz="0" w:space="0" w:color="auto"/>
            <w:left w:val="none" w:sz="0" w:space="0" w:color="auto"/>
            <w:bottom w:val="none" w:sz="0" w:space="0" w:color="auto"/>
            <w:right w:val="none" w:sz="0" w:space="0" w:color="auto"/>
          </w:divBdr>
        </w:div>
        <w:div w:id="593635304">
          <w:marLeft w:val="0"/>
          <w:marRight w:val="0"/>
          <w:marTop w:val="0"/>
          <w:marBottom w:val="0"/>
          <w:divBdr>
            <w:top w:val="none" w:sz="0" w:space="0" w:color="auto"/>
            <w:left w:val="none" w:sz="0" w:space="0" w:color="auto"/>
            <w:bottom w:val="none" w:sz="0" w:space="0" w:color="auto"/>
            <w:right w:val="none" w:sz="0" w:space="0" w:color="auto"/>
          </w:divBdr>
        </w:div>
        <w:div w:id="69011461">
          <w:marLeft w:val="0"/>
          <w:marRight w:val="0"/>
          <w:marTop w:val="0"/>
          <w:marBottom w:val="0"/>
          <w:divBdr>
            <w:top w:val="none" w:sz="0" w:space="0" w:color="auto"/>
            <w:left w:val="none" w:sz="0" w:space="0" w:color="auto"/>
            <w:bottom w:val="none" w:sz="0" w:space="0" w:color="auto"/>
            <w:right w:val="none" w:sz="0" w:space="0" w:color="auto"/>
          </w:divBdr>
        </w:div>
        <w:div w:id="921179096">
          <w:marLeft w:val="0"/>
          <w:marRight w:val="0"/>
          <w:marTop w:val="0"/>
          <w:marBottom w:val="0"/>
          <w:divBdr>
            <w:top w:val="none" w:sz="0" w:space="0" w:color="auto"/>
            <w:left w:val="none" w:sz="0" w:space="0" w:color="auto"/>
            <w:bottom w:val="none" w:sz="0" w:space="0" w:color="auto"/>
            <w:right w:val="none" w:sz="0" w:space="0" w:color="auto"/>
          </w:divBdr>
        </w:div>
        <w:div w:id="1682127106">
          <w:marLeft w:val="0"/>
          <w:marRight w:val="0"/>
          <w:marTop w:val="0"/>
          <w:marBottom w:val="0"/>
          <w:divBdr>
            <w:top w:val="none" w:sz="0" w:space="0" w:color="auto"/>
            <w:left w:val="none" w:sz="0" w:space="0" w:color="auto"/>
            <w:bottom w:val="none" w:sz="0" w:space="0" w:color="auto"/>
            <w:right w:val="none" w:sz="0" w:space="0" w:color="auto"/>
          </w:divBdr>
        </w:div>
        <w:div w:id="159201790">
          <w:marLeft w:val="0"/>
          <w:marRight w:val="0"/>
          <w:marTop w:val="0"/>
          <w:marBottom w:val="0"/>
          <w:divBdr>
            <w:top w:val="none" w:sz="0" w:space="0" w:color="auto"/>
            <w:left w:val="none" w:sz="0" w:space="0" w:color="auto"/>
            <w:bottom w:val="none" w:sz="0" w:space="0" w:color="auto"/>
            <w:right w:val="none" w:sz="0" w:space="0" w:color="auto"/>
          </w:divBdr>
        </w:div>
        <w:div w:id="1747340963">
          <w:marLeft w:val="0"/>
          <w:marRight w:val="0"/>
          <w:marTop w:val="0"/>
          <w:marBottom w:val="0"/>
          <w:divBdr>
            <w:top w:val="none" w:sz="0" w:space="0" w:color="auto"/>
            <w:left w:val="none" w:sz="0" w:space="0" w:color="auto"/>
            <w:bottom w:val="none" w:sz="0" w:space="0" w:color="auto"/>
            <w:right w:val="none" w:sz="0" w:space="0" w:color="auto"/>
          </w:divBdr>
        </w:div>
        <w:div w:id="1964144243">
          <w:marLeft w:val="0"/>
          <w:marRight w:val="0"/>
          <w:marTop w:val="0"/>
          <w:marBottom w:val="0"/>
          <w:divBdr>
            <w:top w:val="none" w:sz="0" w:space="0" w:color="auto"/>
            <w:left w:val="none" w:sz="0" w:space="0" w:color="auto"/>
            <w:bottom w:val="none" w:sz="0" w:space="0" w:color="auto"/>
            <w:right w:val="none" w:sz="0" w:space="0" w:color="auto"/>
          </w:divBdr>
        </w:div>
        <w:div w:id="859854385">
          <w:marLeft w:val="0"/>
          <w:marRight w:val="0"/>
          <w:marTop w:val="0"/>
          <w:marBottom w:val="0"/>
          <w:divBdr>
            <w:top w:val="none" w:sz="0" w:space="0" w:color="auto"/>
            <w:left w:val="none" w:sz="0" w:space="0" w:color="auto"/>
            <w:bottom w:val="none" w:sz="0" w:space="0" w:color="auto"/>
            <w:right w:val="none" w:sz="0" w:space="0" w:color="auto"/>
          </w:divBdr>
        </w:div>
        <w:div w:id="1215652394">
          <w:marLeft w:val="0"/>
          <w:marRight w:val="0"/>
          <w:marTop w:val="0"/>
          <w:marBottom w:val="0"/>
          <w:divBdr>
            <w:top w:val="none" w:sz="0" w:space="0" w:color="auto"/>
            <w:left w:val="none" w:sz="0" w:space="0" w:color="auto"/>
            <w:bottom w:val="none" w:sz="0" w:space="0" w:color="auto"/>
            <w:right w:val="none" w:sz="0" w:space="0" w:color="auto"/>
          </w:divBdr>
        </w:div>
        <w:div w:id="346834819">
          <w:marLeft w:val="0"/>
          <w:marRight w:val="0"/>
          <w:marTop w:val="0"/>
          <w:marBottom w:val="0"/>
          <w:divBdr>
            <w:top w:val="none" w:sz="0" w:space="0" w:color="auto"/>
            <w:left w:val="none" w:sz="0" w:space="0" w:color="auto"/>
            <w:bottom w:val="none" w:sz="0" w:space="0" w:color="auto"/>
            <w:right w:val="none" w:sz="0" w:space="0" w:color="auto"/>
          </w:divBdr>
        </w:div>
        <w:div w:id="350642806">
          <w:marLeft w:val="0"/>
          <w:marRight w:val="0"/>
          <w:marTop w:val="0"/>
          <w:marBottom w:val="0"/>
          <w:divBdr>
            <w:top w:val="none" w:sz="0" w:space="0" w:color="auto"/>
            <w:left w:val="none" w:sz="0" w:space="0" w:color="auto"/>
            <w:bottom w:val="none" w:sz="0" w:space="0" w:color="auto"/>
            <w:right w:val="none" w:sz="0" w:space="0" w:color="auto"/>
          </w:divBdr>
        </w:div>
        <w:div w:id="2111511209">
          <w:marLeft w:val="0"/>
          <w:marRight w:val="0"/>
          <w:marTop w:val="0"/>
          <w:marBottom w:val="0"/>
          <w:divBdr>
            <w:top w:val="none" w:sz="0" w:space="0" w:color="auto"/>
            <w:left w:val="none" w:sz="0" w:space="0" w:color="auto"/>
            <w:bottom w:val="none" w:sz="0" w:space="0" w:color="auto"/>
            <w:right w:val="none" w:sz="0" w:space="0" w:color="auto"/>
          </w:divBdr>
        </w:div>
        <w:div w:id="1149785316">
          <w:marLeft w:val="0"/>
          <w:marRight w:val="0"/>
          <w:marTop w:val="0"/>
          <w:marBottom w:val="0"/>
          <w:divBdr>
            <w:top w:val="none" w:sz="0" w:space="0" w:color="auto"/>
            <w:left w:val="none" w:sz="0" w:space="0" w:color="auto"/>
            <w:bottom w:val="none" w:sz="0" w:space="0" w:color="auto"/>
            <w:right w:val="none" w:sz="0" w:space="0" w:color="auto"/>
          </w:divBdr>
        </w:div>
        <w:div w:id="1198393338">
          <w:marLeft w:val="0"/>
          <w:marRight w:val="0"/>
          <w:marTop w:val="0"/>
          <w:marBottom w:val="0"/>
          <w:divBdr>
            <w:top w:val="none" w:sz="0" w:space="0" w:color="auto"/>
            <w:left w:val="none" w:sz="0" w:space="0" w:color="auto"/>
            <w:bottom w:val="none" w:sz="0" w:space="0" w:color="auto"/>
            <w:right w:val="none" w:sz="0" w:space="0" w:color="auto"/>
          </w:divBdr>
        </w:div>
        <w:div w:id="390345201">
          <w:marLeft w:val="0"/>
          <w:marRight w:val="0"/>
          <w:marTop w:val="0"/>
          <w:marBottom w:val="0"/>
          <w:divBdr>
            <w:top w:val="none" w:sz="0" w:space="0" w:color="auto"/>
            <w:left w:val="none" w:sz="0" w:space="0" w:color="auto"/>
            <w:bottom w:val="none" w:sz="0" w:space="0" w:color="auto"/>
            <w:right w:val="none" w:sz="0" w:space="0" w:color="auto"/>
          </w:divBdr>
        </w:div>
        <w:div w:id="1863516294">
          <w:marLeft w:val="0"/>
          <w:marRight w:val="0"/>
          <w:marTop w:val="0"/>
          <w:marBottom w:val="0"/>
          <w:divBdr>
            <w:top w:val="none" w:sz="0" w:space="0" w:color="auto"/>
            <w:left w:val="none" w:sz="0" w:space="0" w:color="auto"/>
            <w:bottom w:val="none" w:sz="0" w:space="0" w:color="auto"/>
            <w:right w:val="none" w:sz="0" w:space="0" w:color="auto"/>
          </w:divBdr>
        </w:div>
      </w:divsChild>
    </w:div>
    <w:div w:id="222984231">
      <w:bodyDiv w:val="1"/>
      <w:marLeft w:val="0"/>
      <w:marRight w:val="0"/>
      <w:marTop w:val="0"/>
      <w:marBottom w:val="0"/>
      <w:divBdr>
        <w:top w:val="none" w:sz="0" w:space="0" w:color="auto"/>
        <w:left w:val="none" w:sz="0" w:space="0" w:color="auto"/>
        <w:bottom w:val="none" w:sz="0" w:space="0" w:color="auto"/>
        <w:right w:val="none" w:sz="0" w:space="0" w:color="auto"/>
      </w:divBdr>
    </w:div>
    <w:div w:id="258610379">
      <w:bodyDiv w:val="1"/>
      <w:marLeft w:val="0"/>
      <w:marRight w:val="0"/>
      <w:marTop w:val="0"/>
      <w:marBottom w:val="0"/>
      <w:divBdr>
        <w:top w:val="none" w:sz="0" w:space="0" w:color="auto"/>
        <w:left w:val="none" w:sz="0" w:space="0" w:color="auto"/>
        <w:bottom w:val="none" w:sz="0" w:space="0" w:color="auto"/>
        <w:right w:val="none" w:sz="0" w:space="0" w:color="auto"/>
      </w:divBdr>
    </w:div>
    <w:div w:id="260455456">
      <w:bodyDiv w:val="1"/>
      <w:marLeft w:val="0"/>
      <w:marRight w:val="0"/>
      <w:marTop w:val="0"/>
      <w:marBottom w:val="0"/>
      <w:divBdr>
        <w:top w:val="none" w:sz="0" w:space="0" w:color="auto"/>
        <w:left w:val="none" w:sz="0" w:space="0" w:color="auto"/>
        <w:bottom w:val="none" w:sz="0" w:space="0" w:color="auto"/>
        <w:right w:val="none" w:sz="0" w:space="0" w:color="auto"/>
      </w:divBdr>
    </w:div>
    <w:div w:id="294483677">
      <w:bodyDiv w:val="1"/>
      <w:marLeft w:val="0"/>
      <w:marRight w:val="0"/>
      <w:marTop w:val="0"/>
      <w:marBottom w:val="0"/>
      <w:divBdr>
        <w:top w:val="none" w:sz="0" w:space="0" w:color="auto"/>
        <w:left w:val="none" w:sz="0" w:space="0" w:color="auto"/>
        <w:bottom w:val="none" w:sz="0" w:space="0" w:color="auto"/>
        <w:right w:val="none" w:sz="0" w:space="0" w:color="auto"/>
      </w:divBdr>
      <w:divsChild>
        <w:div w:id="64619029">
          <w:marLeft w:val="0"/>
          <w:marRight w:val="0"/>
          <w:marTop w:val="0"/>
          <w:marBottom w:val="0"/>
          <w:divBdr>
            <w:top w:val="none" w:sz="0" w:space="0" w:color="auto"/>
            <w:left w:val="none" w:sz="0" w:space="0" w:color="auto"/>
            <w:bottom w:val="none" w:sz="0" w:space="0" w:color="auto"/>
            <w:right w:val="none" w:sz="0" w:space="0" w:color="auto"/>
          </w:divBdr>
        </w:div>
        <w:div w:id="1470125891">
          <w:marLeft w:val="0"/>
          <w:marRight w:val="0"/>
          <w:marTop w:val="0"/>
          <w:marBottom w:val="0"/>
          <w:divBdr>
            <w:top w:val="none" w:sz="0" w:space="0" w:color="auto"/>
            <w:left w:val="none" w:sz="0" w:space="0" w:color="auto"/>
            <w:bottom w:val="none" w:sz="0" w:space="0" w:color="auto"/>
            <w:right w:val="none" w:sz="0" w:space="0" w:color="auto"/>
          </w:divBdr>
        </w:div>
        <w:div w:id="1210191894">
          <w:marLeft w:val="0"/>
          <w:marRight w:val="0"/>
          <w:marTop w:val="0"/>
          <w:marBottom w:val="0"/>
          <w:divBdr>
            <w:top w:val="none" w:sz="0" w:space="0" w:color="auto"/>
            <w:left w:val="none" w:sz="0" w:space="0" w:color="auto"/>
            <w:bottom w:val="none" w:sz="0" w:space="0" w:color="auto"/>
            <w:right w:val="none" w:sz="0" w:space="0" w:color="auto"/>
          </w:divBdr>
        </w:div>
        <w:div w:id="33193936">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763914606">
          <w:marLeft w:val="0"/>
          <w:marRight w:val="0"/>
          <w:marTop w:val="0"/>
          <w:marBottom w:val="0"/>
          <w:divBdr>
            <w:top w:val="none" w:sz="0" w:space="0" w:color="auto"/>
            <w:left w:val="none" w:sz="0" w:space="0" w:color="auto"/>
            <w:bottom w:val="none" w:sz="0" w:space="0" w:color="auto"/>
            <w:right w:val="none" w:sz="0" w:space="0" w:color="auto"/>
          </w:divBdr>
        </w:div>
        <w:div w:id="119886830">
          <w:marLeft w:val="0"/>
          <w:marRight w:val="0"/>
          <w:marTop w:val="0"/>
          <w:marBottom w:val="0"/>
          <w:divBdr>
            <w:top w:val="none" w:sz="0" w:space="0" w:color="auto"/>
            <w:left w:val="none" w:sz="0" w:space="0" w:color="auto"/>
            <w:bottom w:val="none" w:sz="0" w:space="0" w:color="auto"/>
            <w:right w:val="none" w:sz="0" w:space="0" w:color="auto"/>
          </w:divBdr>
        </w:div>
        <w:div w:id="2007128772">
          <w:marLeft w:val="0"/>
          <w:marRight w:val="0"/>
          <w:marTop w:val="0"/>
          <w:marBottom w:val="0"/>
          <w:divBdr>
            <w:top w:val="none" w:sz="0" w:space="0" w:color="auto"/>
            <w:left w:val="none" w:sz="0" w:space="0" w:color="auto"/>
            <w:bottom w:val="none" w:sz="0" w:space="0" w:color="auto"/>
            <w:right w:val="none" w:sz="0" w:space="0" w:color="auto"/>
          </w:divBdr>
        </w:div>
        <w:div w:id="691536535">
          <w:marLeft w:val="0"/>
          <w:marRight w:val="0"/>
          <w:marTop w:val="0"/>
          <w:marBottom w:val="0"/>
          <w:divBdr>
            <w:top w:val="none" w:sz="0" w:space="0" w:color="auto"/>
            <w:left w:val="none" w:sz="0" w:space="0" w:color="auto"/>
            <w:bottom w:val="none" w:sz="0" w:space="0" w:color="auto"/>
            <w:right w:val="none" w:sz="0" w:space="0" w:color="auto"/>
          </w:divBdr>
        </w:div>
        <w:div w:id="1883320545">
          <w:marLeft w:val="0"/>
          <w:marRight w:val="0"/>
          <w:marTop w:val="0"/>
          <w:marBottom w:val="0"/>
          <w:divBdr>
            <w:top w:val="none" w:sz="0" w:space="0" w:color="auto"/>
            <w:left w:val="none" w:sz="0" w:space="0" w:color="auto"/>
            <w:bottom w:val="none" w:sz="0" w:space="0" w:color="auto"/>
            <w:right w:val="none" w:sz="0" w:space="0" w:color="auto"/>
          </w:divBdr>
        </w:div>
        <w:div w:id="843015164">
          <w:marLeft w:val="0"/>
          <w:marRight w:val="0"/>
          <w:marTop w:val="0"/>
          <w:marBottom w:val="0"/>
          <w:divBdr>
            <w:top w:val="none" w:sz="0" w:space="0" w:color="auto"/>
            <w:left w:val="none" w:sz="0" w:space="0" w:color="auto"/>
            <w:bottom w:val="none" w:sz="0" w:space="0" w:color="auto"/>
            <w:right w:val="none" w:sz="0" w:space="0" w:color="auto"/>
          </w:divBdr>
        </w:div>
        <w:div w:id="1842313018">
          <w:marLeft w:val="0"/>
          <w:marRight w:val="0"/>
          <w:marTop w:val="0"/>
          <w:marBottom w:val="0"/>
          <w:divBdr>
            <w:top w:val="none" w:sz="0" w:space="0" w:color="auto"/>
            <w:left w:val="none" w:sz="0" w:space="0" w:color="auto"/>
            <w:bottom w:val="none" w:sz="0" w:space="0" w:color="auto"/>
            <w:right w:val="none" w:sz="0" w:space="0" w:color="auto"/>
          </w:divBdr>
        </w:div>
        <w:div w:id="348289651">
          <w:marLeft w:val="0"/>
          <w:marRight w:val="0"/>
          <w:marTop w:val="0"/>
          <w:marBottom w:val="0"/>
          <w:divBdr>
            <w:top w:val="none" w:sz="0" w:space="0" w:color="auto"/>
            <w:left w:val="none" w:sz="0" w:space="0" w:color="auto"/>
            <w:bottom w:val="none" w:sz="0" w:space="0" w:color="auto"/>
            <w:right w:val="none" w:sz="0" w:space="0" w:color="auto"/>
          </w:divBdr>
        </w:div>
        <w:div w:id="1175412852">
          <w:marLeft w:val="0"/>
          <w:marRight w:val="0"/>
          <w:marTop w:val="0"/>
          <w:marBottom w:val="0"/>
          <w:divBdr>
            <w:top w:val="none" w:sz="0" w:space="0" w:color="auto"/>
            <w:left w:val="none" w:sz="0" w:space="0" w:color="auto"/>
            <w:bottom w:val="none" w:sz="0" w:space="0" w:color="auto"/>
            <w:right w:val="none" w:sz="0" w:space="0" w:color="auto"/>
          </w:divBdr>
        </w:div>
        <w:div w:id="1587835182">
          <w:marLeft w:val="0"/>
          <w:marRight w:val="0"/>
          <w:marTop w:val="0"/>
          <w:marBottom w:val="0"/>
          <w:divBdr>
            <w:top w:val="none" w:sz="0" w:space="0" w:color="auto"/>
            <w:left w:val="none" w:sz="0" w:space="0" w:color="auto"/>
            <w:bottom w:val="none" w:sz="0" w:space="0" w:color="auto"/>
            <w:right w:val="none" w:sz="0" w:space="0" w:color="auto"/>
          </w:divBdr>
        </w:div>
        <w:div w:id="606042914">
          <w:marLeft w:val="0"/>
          <w:marRight w:val="0"/>
          <w:marTop w:val="0"/>
          <w:marBottom w:val="0"/>
          <w:divBdr>
            <w:top w:val="none" w:sz="0" w:space="0" w:color="auto"/>
            <w:left w:val="none" w:sz="0" w:space="0" w:color="auto"/>
            <w:bottom w:val="none" w:sz="0" w:space="0" w:color="auto"/>
            <w:right w:val="none" w:sz="0" w:space="0" w:color="auto"/>
          </w:divBdr>
        </w:div>
        <w:div w:id="11347698">
          <w:marLeft w:val="0"/>
          <w:marRight w:val="0"/>
          <w:marTop w:val="0"/>
          <w:marBottom w:val="0"/>
          <w:divBdr>
            <w:top w:val="none" w:sz="0" w:space="0" w:color="auto"/>
            <w:left w:val="none" w:sz="0" w:space="0" w:color="auto"/>
            <w:bottom w:val="none" w:sz="0" w:space="0" w:color="auto"/>
            <w:right w:val="none" w:sz="0" w:space="0" w:color="auto"/>
          </w:divBdr>
        </w:div>
        <w:div w:id="675808439">
          <w:marLeft w:val="0"/>
          <w:marRight w:val="0"/>
          <w:marTop w:val="0"/>
          <w:marBottom w:val="0"/>
          <w:divBdr>
            <w:top w:val="none" w:sz="0" w:space="0" w:color="auto"/>
            <w:left w:val="none" w:sz="0" w:space="0" w:color="auto"/>
            <w:bottom w:val="none" w:sz="0" w:space="0" w:color="auto"/>
            <w:right w:val="none" w:sz="0" w:space="0" w:color="auto"/>
          </w:divBdr>
        </w:div>
        <w:div w:id="1875265190">
          <w:marLeft w:val="0"/>
          <w:marRight w:val="0"/>
          <w:marTop w:val="0"/>
          <w:marBottom w:val="0"/>
          <w:divBdr>
            <w:top w:val="none" w:sz="0" w:space="0" w:color="auto"/>
            <w:left w:val="none" w:sz="0" w:space="0" w:color="auto"/>
            <w:bottom w:val="none" w:sz="0" w:space="0" w:color="auto"/>
            <w:right w:val="none" w:sz="0" w:space="0" w:color="auto"/>
          </w:divBdr>
        </w:div>
        <w:div w:id="1951936325">
          <w:marLeft w:val="0"/>
          <w:marRight w:val="0"/>
          <w:marTop w:val="0"/>
          <w:marBottom w:val="0"/>
          <w:divBdr>
            <w:top w:val="none" w:sz="0" w:space="0" w:color="auto"/>
            <w:left w:val="none" w:sz="0" w:space="0" w:color="auto"/>
            <w:bottom w:val="none" w:sz="0" w:space="0" w:color="auto"/>
            <w:right w:val="none" w:sz="0" w:space="0" w:color="auto"/>
          </w:divBdr>
        </w:div>
        <w:div w:id="1909874088">
          <w:marLeft w:val="0"/>
          <w:marRight w:val="0"/>
          <w:marTop w:val="0"/>
          <w:marBottom w:val="0"/>
          <w:divBdr>
            <w:top w:val="none" w:sz="0" w:space="0" w:color="auto"/>
            <w:left w:val="none" w:sz="0" w:space="0" w:color="auto"/>
            <w:bottom w:val="none" w:sz="0" w:space="0" w:color="auto"/>
            <w:right w:val="none" w:sz="0" w:space="0" w:color="auto"/>
          </w:divBdr>
        </w:div>
      </w:divsChild>
    </w:div>
    <w:div w:id="314259531">
      <w:bodyDiv w:val="1"/>
      <w:marLeft w:val="0"/>
      <w:marRight w:val="0"/>
      <w:marTop w:val="0"/>
      <w:marBottom w:val="0"/>
      <w:divBdr>
        <w:top w:val="none" w:sz="0" w:space="0" w:color="auto"/>
        <w:left w:val="none" w:sz="0" w:space="0" w:color="auto"/>
        <w:bottom w:val="none" w:sz="0" w:space="0" w:color="auto"/>
        <w:right w:val="none" w:sz="0" w:space="0" w:color="auto"/>
      </w:divBdr>
    </w:div>
    <w:div w:id="326135484">
      <w:bodyDiv w:val="1"/>
      <w:marLeft w:val="0"/>
      <w:marRight w:val="0"/>
      <w:marTop w:val="0"/>
      <w:marBottom w:val="0"/>
      <w:divBdr>
        <w:top w:val="none" w:sz="0" w:space="0" w:color="auto"/>
        <w:left w:val="none" w:sz="0" w:space="0" w:color="auto"/>
        <w:bottom w:val="none" w:sz="0" w:space="0" w:color="auto"/>
        <w:right w:val="none" w:sz="0" w:space="0" w:color="auto"/>
      </w:divBdr>
    </w:div>
    <w:div w:id="370571759">
      <w:bodyDiv w:val="1"/>
      <w:marLeft w:val="0"/>
      <w:marRight w:val="0"/>
      <w:marTop w:val="0"/>
      <w:marBottom w:val="0"/>
      <w:divBdr>
        <w:top w:val="none" w:sz="0" w:space="0" w:color="auto"/>
        <w:left w:val="none" w:sz="0" w:space="0" w:color="auto"/>
        <w:bottom w:val="none" w:sz="0" w:space="0" w:color="auto"/>
        <w:right w:val="none" w:sz="0" w:space="0" w:color="auto"/>
      </w:divBdr>
    </w:div>
    <w:div w:id="390427628">
      <w:bodyDiv w:val="1"/>
      <w:marLeft w:val="0"/>
      <w:marRight w:val="0"/>
      <w:marTop w:val="0"/>
      <w:marBottom w:val="0"/>
      <w:divBdr>
        <w:top w:val="none" w:sz="0" w:space="0" w:color="auto"/>
        <w:left w:val="none" w:sz="0" w:space="0" w:color="auto"/>
        <w:bottom w:val="none" w:sz="0" w:space="0" w:color="auto"/>
        <w:right w:val="none" w:sz="0" w:space="0" w:color="auto"/>
      </w:divBdr>
      <w:divsChild>
        <w:div w:id="1971009307">
          <w:marLeft w:val="0"/>
          <w:marRight w:val="0"/>
          <w:marTop w:val="0"/>
          <w:marBottom w:val="0"/>
          <w:divBdr>
            <w:top w:val="none" w:sz="0" w:space="0" w:color="auto"/>
            <w:left w:val="none" w:sz="0" w:space="0" w:color="auto"/>
            <w:bottom w:val="none" w:sz="0" w:space="0" w:color="auto"/>
            <w:right w:val="none" w:sz="0" w:space="0" w:color="auto"/>
          </w:divBdr>
        </w:div>
        <w:div w:id="432091187">
          <w:marLeft w:val="0"/>
          <w:marRight w:val="0"/>
          <w:marTop w:val="0"/>
          <w:marBottom w:val="0"/>
          <w:divBdr>
            <w:top w:val="none" w:sz="0" w:space="0" w:color="auto"/>
            <w:left w:val="none" w:sz="0" w:space="0" w:color="auto"/>
            <w:bottom w:val="none" w:sz="0" w:space="0" w:color="auto"/>
            <w:right w:val="none" w:sz="0" w:space="0" w:color="auto"/>
          </w:divBdr>
        </w:div>
        <w:div w:id="1334452870">
          <w:marLeft w:val="0"/>
          <w:marRight w:val="0"/>
          <w:marTop w:val="0"/>
          <w:marBottom w:val="0"/>
          <w:divBdr>
            <w:top w:val="none" w:sz="0" w:space="0" w:color="auto"/>
            <w:left w:val="none" w:sz="0" w:space="0" w:color="auto"/>
            <w:bottom w:val="none" w:sz="0" w:space="0" w:color="auto"/>
            <w:right w:val="none" w:sz="0" w:space="0" w:color="auto"/>
          </w:divBdr>
        </w:div>
        <w:div w:id="207886527">
          <w:marLeft w:val="0"/>
          <w:marRight w:val="0"/>
          <w:marTop w:val="0"/>
          <w:marBottom w:val="0"/>
          <w:divBdr>
            <w:top w:val="none" w:sz="0" w:space="0" w:color="auto"/>
            <w:left w:val="none" w:sz="0" w:space="0" w:color="auto"/>
            <w:bottom w:val="none" w:sz="0" w:space="0" w:color="auto"/>
            <w:right w:val="none" w:sz="0" w:space="0" w:color="auto"/>
          </w:divBdr>
        </w:div>
        <w:div w:id="1777628924">
          <w:marLeft w:val="0"/>
          <w:marRight w:val="0"/>
          <w:marTop w:val="0"/>
          <w:marBottom w:val="0"/>
          <w:divBdr>
            <w:top w:val="none" w:sz="0" w:space="0" w:color="auto"/>
            <w:left w:val="none" w:sz="0" w:space="0" w:color="auto"/>
            <w:bottom w:val="none" w:sz="0" w:space="0" w:color="auto"/>
            <w:right w:val="none" w:sz="0" w:space="0" w:color="auto"/>
          </w:divBdr>
        </w:div>
        <w:div w:id="1500461326">
          <w:marLeft w:val="0"/>
          <w:marRight w:val="0"/>
          <w:marTop w:val="0"/>
          <w:marBottom w:val="0"/>
          <w:divBdr>
            <w:top w:val="none" w:sz="0" w:space="0" w:color="auto"/>
            <w:left w:val="none" w:sz="0" w:space="0" w:color="auto"/>
            <w:bottom w:val="none" w:sz="0" w:space="0" w:color="auto"/>
            <w:right w:val="none" w:sz="0" w:space="0" w:color="auto"/>
          </w:divBdr>
        </w:div>
        <w:div w:id="1973289683">
          <w:marLeft w:val="0"/>
          <w:marRight w:val="0"/>
          <w:marTop w:val="0"/>
          <w:marBottom w:val="0"/>
          <w:divBdr>
            <w:top w:val="none" w:sz="0" w:space="0" w:color="auto"/>
            <w:left w:val="none" w:sz="0" w:space="0" w:color="auto"/>
            <w:bottom w:val="none" w:sz="0" w:space="0" w:color="auto"/>
            <w:right w:val="none" w:sz="0" w:space="0" w:color="auto"/>
          </w:divBdr>
        </w:div>
        <w:div w:id="1523785236">
          <w:marLeft w:val="0"/>
          <w:marRight w:val="0"/>
          <w:marTop w:val="0"/>
          <w:marBottom w:val="0"/>
          <w:divBdr>
            <w:top w:val="none" w:sz="0" w:space="0" w:color="auto"/>
            <w:left w:val="none" w:sz="0" w:space="0" w:color="auto"/>
            <w:bottom w:val="none" w:sz="0" w:space="0" w:color="auto"/>
            <w:right w:val="none" w:sz="0" w:space="0" w:color="auto"/>
          </w:divBdr>
        </w:div>
        <w:div w:id="1966505019">
          <w:marLeft w:val="0"/>
          <w:marRight w:val="0"/>
          <w:marTop w:val="0"/>
          <w:marBottom w:val="0"/>
          <w:divBdr>
            <w:top w:val="none" w:sz="0" w:space="0" w:color="auto"/>
            <w:left w:val="none" w:sz="0" w:space="0" w:color="auto"/>
            <w:bottom w:val="none" w:sz="0" w:space="0" w:color="auto"/>
            <w:right w:val="none" w:sz="0" w:space="0" w:color="auto"/>
          </w:divBdr>
        </w:div>
        <w:div w:id="121265188">
          <w:marLeft w:val="0"/>
          <w:marRight w:val="0"/>
          <w:marTop w:val="0"/>
          <w:marBottom w:val="0"/>
          <w:divBdr>
            <w:top w:val="none" w:sz="0" w:space="0" w:color="auto"/>
            <w:left w:val="none" w:sz="0" w:space="0" w:color="auto"/>
            <w:bottom w:val="none" w:sz="0" w:space="0" w:color="auto"/>
            <w:right w:val="none" w:sz="0" w:space="0" w:color="auto"/>
          </w:divBdr>
        </w:div>
        <w:div w:id="1884711060">
          <w:marLeft w:val="0"/>
          <w:marRight w:val="0"/>
          <w:marTop w:val="0"/>
          <w:marBottom w:val="0"/>
          <w:divBdr>
            <w:top w:val="none" w:sz="0" w:space="0" w:color="auto"/>
            <w:left w:val="none" w:sz="0" w:space="0" w:color="auto"/>
            <w:bottom w:val="none" w:sz="0" w:space="0" w:color="auto"/>
            <w:right w:val="none" w:sz="0" w:space="0" w:color="auto"/>
          </w:divBdr>
        </w:div>
        <w:div w:id="744568133">
          <w:marLeft w:val="0"/>
          <w:marRight w:val="0"/>
          <w:marTop w:val="0"/>
          <w:marBottom w:val="0"/>
          <w:divBdr>
            <w:top w:val="none" w:sz="0" w:space="0" w:color="auto"/>
            <w:left w:val="none" w:sz="0" w:space="0" w:color="auto"/>
            <w:bottom w:val="none" w:sz="0" w:space="0" w:color="auto"/>
            <w:right w:val="none" w:sz="0" w:space="0" w:color="auto"/>
          </w:divBdr>
        </w:div>
        <w:div w:id="1048065490">
          <w:marLeft w:val="0"/>
          <w:marRight w:val="0"/>
          <w:marTop w:val="0"/>
          <w:marBottom w:val="0"/>
          <w:divBdr>
            <w:top w:val="none" w:sz="0" w:space="0" w:color="auto"/>
            <w:left w:val="none" w:sz="0" w:space="0" w:color="auto"/>
            <w:bottom w:val="none" w:sz="0" w:space="0" w:color="auto"/>
            <w:right w:val="none" w:sz="0" w:space="0" w:color="auto"/>
          </w:divBdr>
        </w:div>
        <w:div w:id="1246257193">
          <w:marLeft w:val="0"/>
          <w:marRight w:val="0"/>
          <w:marTop w:val="0"/>
          <w:marBottom w:val="0"/>
          <w:divBdr>
            <w:top w:val="none" w:sz="0" w:space="0" w:color="auto"/>
            <w:left w:val="none" w:sz="0" w:space="0" w:color="auto"/>
            <w:bottom w:val="none" w:sz="0" w:space="0" w:color="auto"/>
            <w:right w:val="none" w:sz="0" w:space="0" w:color="auto"/>
          </w:divBdr>
        </w:div>
        <w:div w:id="972295469">
          <w:marLeft w:val="0"/>
          <w:marRight w:val="0"/>
          <w:marTop w:val="0"/>
          <w:marBottom w:val="0"/>
          <w:divBdr>
            <w:top w:val="none" w:sz="0" w:space="0" w:color="auto"/>
            <w:left w:val="none" w:sz="0" w:space="0" w:color="auto"/>
            <w:bottom w:val="none" w:sz="0" w:space="0" w:color="auto"/>
            <w:right w:val="none" w:sz="0" w:space="0" w:color="auto"/>
          </w:divBdr>
        </w:div>
        <w:div w:id="2092308110">
          <w:marLeft w:val="0"/>
          <w:marRight w:val="0"/>
          <w:marTop w:val="0"/>
          <w:marBottom w:val="0"/>
          <w:divBdr>
            <w:top w:val="none" w:sz="0" w:space="0" w:color="auto"/>
            <w:left w:val="none" w:sz="0" w:space="0" w:color="auto"/>
            <w:bottom w:val="none" w:sz="0" w:space="0" w:color="auto"/>
            <w:right w:val="none" w:sz="0" w:space="0" w:color="auto"/>
          </w:divBdr>
        </w:div>
        <w:div w:id="1445494639">
          <w:marLeft w:val="0"/>
          <w:marRight w:val="0"/>
          <w:marTop w:val="0"/>
          <w:marBottom w:val="0"/>
          <w:divBdr>
            <w:top w:val="none" w:sz="0" w:space="0" w:color="auto"/>
            <w:left w:val="none" w:sz="0" w:space="0" w:color="auto"/>
            <w:bottom w:val="none" w:sz="0" w:space="0" w:color="auto"/>
            <w:right w:val="none" w:sz="0" w:space="0" w:color="auto"/>
          </w:divBdr>
        </w:div>
        <w:div w:id="2045015005">
          <w:marLeft w:val="0"/>
          <w:marRight w:val="0"/>
          <w:marTop w:val="0"/>
          <w:marBottom w:val="0"/>
          <w:divBdr>
            <w:top w:val="none" w:sz="0" w:space="0" w:color="auto"/>
            <w:left w:val="none" w:sz="0" w:space="0" w:color="auto"/>
            <w:bottom w:val="none" w:sz="0" w:space="0" w:color="auto"/>
            <w:right w:val="none" w:sz="0" w:space="0" w:color="auto"/>
          </w:divBdr>
        </w:div>
      </w:divsChild>
    </w:div>
    <w:div w:id="390925559">
      <w:bodyDiv w:val="1"/>
      <w:marLeft w:val="0"/>
      <w:marRight w:val="0"/>
      <w:marTop w:val="0"/>
      <w:marBottom w:val="0"/>
      <w:divBdr>
        <w:top w:val="none" w:sz="0" w:space="0" w:color="auto"/>
        <w:left w:val="none" w:sz="0" w:space="0" w:color="auto"/>
        <w:bottom w:val="none" w:sz="0" w:space="0" w:color="auto"/>
        <w:right w:val="none" w:sz="0" w:space="0" w:color="auto"/>
      </w:divBdr>
    </w:div>
    <w:div w:id="393507607">
      <w:bodyDiv w:val="1"/>
      <w:marLeft w:val="0"/>
      <w:marRight w:val="0"/>
      <w:marTop w:val="0"/>
      <w:marBottom w:val="0"/>
      <w:divBdr>
        <w:top w:val="none" w:sz="0" w:space="0" w:color="auto"/>
        <w:left w:val="none" w:sz="0" w:space="0" w:color="auto"/>
        <w:bottom w:val="none" w:sz="0" w:space="0" w:color="auto"/>
        <w:right w:val="none" w:sz="0" w:space="0" w:color="auto"/>
      </w:divBdr>
    </w:div>
    <w:div w:id="402027558">
      <w:bodyDiv w:val="1"/>
      <w:marLeft w:val="0"/>
      <w:marRight w:val="0"/>
      <w:marTop w:val="0"/>
      <w:marBottom w:val="0"/>
      <w:divBdr>
        <w:top w:val="none" w:sz="0" w:space="0" w:color="auto"/>
        <w:left w:val="none" w:sz="0" w:space="0" w:color="auto"/>
        <w:bottom w:val="none" w:sz="0" w:space="0" w:color="auto"/>
        <w:right w:val="none" w:sz="0" w:space="0" w:color="auto"/>
      </w:divBdr>
    </w:div>
    <w:div w:id="415131631">
      <w:bodyDiv w:val="1"/>
      <w:marLeft w:val="0"/>
      <w:marRight w:val="0"/>
      <w:marTop w:val="0"/>
      <w:marBottom w:val="0"/>
      <w:divBdr>
        <w:top w:val="none" w:sz="0" w:space="0" w:color="auto"/>
        <w:left w:val="none" w:sz="0" w:space="0" w:color="auto"/>
        <w:bottom w:val="none" w:sz="0" w:space="0" w:color="auto"/>
        <w:right w:val="none" w:sz="0" w:space="0" w:color="auto"/>
      </w:divBdr>
    </w:div>
    <w:div w:id="432552185">
      <w:bodyDiv w:val="1"/>
      <w:marLeft w:val="0"/>
      <w:marRight w:val="0"/>
      <w:marTop w:val="0"/>
      <w:marBottom w:val="0"/>
      <w:divBdr>
        <w:top w:val="none" w:sz="0" w:space="0" w:color="auto"/>
        <w:left w:val="none" w:sz="0" w:space="0" w:color="auto"/>
        <w:bottom w:val="none" w:sz="0" w:space="0" w:color="auto"/>
        <w:right w:val="none" w:sz="0" w:space="0" w:color="auto"/>
      </w:divBdr>
      <w:divsChild>
        <w:div w:id="926159443">
          <w:marLeft w:val="0"/>
          <w:marRight w:val="0"/>
          <w:marTop w:val="0"/>
          <w:marBottom w:val="0"/>
          <w:divBdr>
            <w:top w:val="none" w:sz="0" w:space="0" w:color="auto"/>
            <w:left w:val="none" w:sz="0" w:space="0" w:color="auto"/>
            <w:bottom w:val="none" w:sz="0" w:space="0" w:color="auto"/>
            <w:right w:val="none" w:sz="0" w:space="0" w:color="auto"/>
          </w:divBdr>
        </w:div>
        <w:div w:id="338966612">
          <w:marLeft w:val="0"/>
          <w:marRight w:val="0"/>
          <w:marTop w:val="0"/>
          <w:marBottom w:val="0"/>
          <w:divBdr>
            <w:top w:val="none" w:sz="0" w:space="0" w:color="auto"/>
            <w:left w:val="none" w:sz="0" w:space="0" w:color="auto"/>
            <w:bottom w:val="none" w:sz="0" w:space="0" w:color="auto"/>
            <w:right w:val="none" w:sz="0" w:space="0" w:color="auto"/>
          </w:divBdr>
        </w:div>
        <w:div w:id="286206814">
          <w:marLeft w:val="0"/>
          <w:marRight w:val="0"/>
          <w:marTop w:val="0"/>
          <w:marBottom w:val="0"/>
          <w:divBdr>
            <w:top w:val="none" w:sz="0" w:space="0" w:color="auto"/>
            <w:left w:val="none" w:sz="0" w:space="0" w:color="auto"/>
            <w:bottom w:val="none" w:sz="0" w:space="0" w:color="auto"/>
            <w:right w:val="none" w:sz="0" w:space="0" w:color="auto"/>
          </w:divBdr>
        </w:div>
        <w:div w:id="120996278">
          <w:marLeft w:val="0"/>
          <w:marRight w:val="0"/>
          <w:marTop w:val="0"/>
          <w:marBottom w:val="0"/>
          <w:divBdr>
            <w:top w:val="none" w:sz="0" w:space="0" w:color="auto"/>
            <w:left w:val="none" w:sz="0" w:space="0" w:color="auto"/>
            <w:bottom w:val="none" w:sz="0" w:space="0" w:color="auto"/>
            <w:right w:val="none" w:sz="0" w:space="0" w:color="auto"/>
          </w:divBdr>
        </w:div>
        <w:div w:id="2011056719">
          <w:marLeft w:val="0"/>
          <w:marRight w:val="0"/>
          <w:marTop w:val="0"/>
          <w:marBottom w:val="0"/>
          <w:divBdr>
            <w:top w:val="none" w:sz="0" w:space="0" w:color="auto"/>
            <w:left w:val="none" w:sz="0" w:space="0" w:color="auto"/>
            <w:bottom w:val="none" w:sz="0" w:space="0" w:color="auto"/>
            <w:right w:val="none" w:sz="0" w:space="0" w:color="auto"/>
          </w:divBdr>
        </w:div>
        <w:div w:id="1325471430">
          <w:marLeft w:val="0"/>
          <w:marRight w:val="0"/>
          <w:marTop w:val="0"/>
          <w:marBottom w:val="0"/>
          <w:divBdr>
            <w:top w:val="none" w:sz="0" w:space="0" w:color="auto"/>
            <w:left w:val="none" w:sz="0" w:space="0" w:color="auto"/>
            <w:bottom w:val="none" w:sz="0" w:space="0" w:color="auto"/>
            <w:right w:val="none" w:sz="0" w:space="0" w:color="auto"/>
          </w:divBdr>
        </w:div>
        <w:div w:id="1254629568">
          <w:marLeft w:val="0"/>
          <w:marRight w:val="0"/>
          <w:marTop w:val="0"/>
          <w:marBottom w:val="0"/>
          <w:divBdr>
            <w:top w:val="none" w:sz="0" w:space="0" w:color="auto"/>
            <w:left w:val="none" w:sz="0" w:space="0" w:color="auto"/>
            <w:bottom w:val="none" w:sz="0" w:space="0" w:color="auto"/>
            <w:right w:val="none" w:sz="0" w:space="0" w:color="auto"/>
          </w:divBdr>
        </w:div>
        <w:div w:id="1725372256">
          <w:marLeft w:val="0"/>
          <w:marRight w:val="0"/>
          <w:marTop w:val="0"/>
          <w:marBottom w:val="0"/>
          <w:divBdr>
            <w:top w:val="none" w:sz="0" w:space="0" w:color="auto"/>
            <w:left w:val="none" w:sz="0" w:space="0" w:color="auto"/>
            <w:bottom w:val="none" w:sz="0" w:space="0" w:color="auto"/>
            <w:right w:val="none" w:sz="0" w:space="0" w:color="auto"/>
          </w:divBdr>
        </w:div>
        <w:div w:id="1259145246">
          <w:marLeft w:val="0"/>
          <w:marRight w:val="0"/>
          <w:marTop w:val="0"/>
          <w:marBottom w:val="0"/>
          <w:divBdr>
            <w:top w:val="none" w:sz="0" w:space="0" w:color="auto"/>
            <w:left w:val="none" w:sz="0" w:space="0" w:color="auto"/>
            <w:bottom w:val="none" w:sz="0" w:space="0" w:color="auto"/>
            <w:right w:val="none" w:sz="0" w:space="0" w:color="auto"/>
          </w:divBdr>
        </w:div>
        <w:div w:id="2134011323">
          <w:marLeft w:val="0"/>
          <w:marRight w:val="0"/>
          <w:marTop w:val="0"/>
          <w:marBottom w:val="0"/>
          <w:divBdr>
            <w:top w:val="none" w:sz="0" w:space="0" w:color="auto"/>
            <w:left w:val="none" w:sz="0" w:space="0" w:color="auto"/>
            <w:bottom w:val="none" w:sz="0" w:space="0" w:color="auto"/>
            <w:right w:val="none" w:sz="0" w:space="0" w:color="auto"/>
          </w:divBdr>
        </w:div>
        <w:div w:id="1109085496">
          <w:marLeft w:val="0"/>
          <w:marRight w:val="0"/>
          <w:marTop w:val="0"/>
          <w:marBottom w:val="0"/>
          <w:divBdr>
            <w:top w:val="none" w:sz="0" w:space="0" w:color="auto"/>
            <w:left w:val="none" w:sz="0" w:space="0" w:color="auto"/>
            <w:bottom w:val="none" w:sz="0" w:space="0" w:color="auto"/>
            <w:right w:val="none" w:sz="0" w:space="0" w:color="auto"/>
          </w:divBdr>
        </w:div>
        <w:div w:id="1873808238">
          <w:marLeft w:val="0"/>
          <w:marRight w:val="0"/>
          <w:marTop w:val="0"/>
          <w:marBottom w:val="0"/>
          <w:divBdr>
            <w:top w:val="none" w:sz="0" w:space="0" w:color="auto"/>
            <w:left w:val="none" w:sz="0" w:space="0" w:color="auto"/>
            <w:bottom w:val="none" w:sz="0" w:space="0" w:color="auto"/>
            <w:right w:val="none" w:sz="0" w:space="0" w:color="auto"/>
          </w:divBdr>
        </w:div>
        <w:div w:id="187259055">
          <w:marLeft w:val="0"/>
          <w:marRight w:val="0"/>
          <w:marTop w:val="0"/>
          <w:marBottom w:val="0"/>
          <w:divBdr>
            <w:top w:val="none" w:sz="0" w:space="0" w:color="auto"/>
            <w:left w:val="none" w:sz="0" w:space="0" w:color="auto"/>
            <w:bottom w:val="none" w:sz="0" w:space="0" w:color="auto"/>
            <w:right w:val="none" w:sz="0" w:space="0" w:color="auto"/>
          </w:divBdr>
        </w:div>
        <w:div w:id="1620063748">
          <w:marLeft w:val="0"/>
          <w:marRight w:val="0"/>
          <w:marTop w:val="0"/>
          <w:marBottom w:val="0"/>
          <w:divBdr>
            <w:top w:val="none" w:sz="0" w:space="0" w:color="auto"/>
            <w:left w:val="none" w:sz="0" w:space="0" w:color="auto"/>
            <w:bottom w:val="none" w:sz="0" w:space="0" w:color="auto"/>
            <w:right w:val="none" w:sz="0" w:space="0" w:color="auto"/>
          </w:divBdr>
        </w:div>
        <w:div w:id="1637560929">
          <w:marLeft w:val="0"/>
          <w:marRight w:val="0"/>
          <w:marTop w:val="0"/>
          <w:marBottom w:val="0"/>
          <w:divBdr>
            <w:top w:val="none" w:sz="0" w:space="0" w:color="auto"/>
            <w:left w:val="none" w:sz="0" w:space="0" w:color="auto"/>
            <w:bottom w:val="none" w:sz="0" w:space="0" w:color="auto"/>
            <w:right w:val="none" w:sz="0" w:space="0" w:color="auto"/>
          </w:divBdr>
        </w:div>
        <w:div w:id="1457799658">
          <w:marLeft w:val="0"/>
          <w:marRight w:val="0"/>
          <w:marTop w:val="0"/>
          <w:marBottom w:val="0"/>
          <w:divBdr>
            <w:top w:val="none" w:sz="0" w:space="0" w:color="auto"/>
            <w:left w:val="none" w:sz="0" w:space="0" w:color="auto"/>
            <w:bottom w:val="none" w:sz="0" w:space="0" w:color="auto"/>
            <w:right w:val="none" w:sz="0" w:space="0" w:color="auto"/>
          </w:divBdr>
        </w:div>
        <w:div w:id="1019890053">
          <w:marLeft w:val="0"/>
          <w:marRight w:val="0"/>
          <w:marTop w:val="0"/>
          <w:marBottom w:val="0"/>
          <w:divBdr>
            <w:top w:val="none" w:sz="0" w:space="0" w:color="auto"/>
            <w:left w:val="none" w:sz="0" w:space="0" w:color="auto"/>
            <w:bottom w:val="none" w:sz="0" w:space="0" w:color="auto"/>
            <w:right w:val="none" w:sz="0" w:space="0" w:color="auto"/>
          </w:divBdr>
        </w:div>
        <w:div w:id="180246581">
          <w:marLeft w:val="0"/>
          <w:marRight w:val="0"/>
          <w:marTop w:val="0"/>
          <w:marBottom w:val="0"/>
          <w:divBdr>
            <w:top w:val="none" w:sz="0" w:space="0" w:color="auto"/>
            <w:left w:val="none" w:sz="0" w:space="0" w:color="auto"/>
            <w:bottom w:val="none" w:sz="0" w:space="0" w:color="auto"/>
            <w:right w:val="none" w:sz="0" w:space="0" w:color="auto"/>
          </w:divBdr>
        </w:div>
        <w:div w:id="2091466962">
          <w:marLeft w:val="0"/>
          <w:marRight w:val="0"/>
          <w:marTop w:val="0"/>
          <w:marBottom w:val="0"/>
          <w:divBdr>
            <w:top w:val="none" w:sz="0" w:space="0" w:color="auto"/>
            <w:left w:val="none" w:sz="0" w:space="0" w:color="auto"/>
            <w:bottom w:val="none" w:sz="0" w:space="0" w:color="auto"/>
            <w:right w:val="none" w:sz="0" w:space="0" w:color="auto"/>
          </w:divBdr>
        </w:div>
        <w:div w:id="1378511410">
          <w:marLeft w:val="0"/>
          <w:marRight w:val="0"/>
          <w:marTop w:val="0"/>
          <w:marBottom w:val="0"/>
          <w:divBdr>
            <w:top w:val="none" w:sz="0" w:space="0" w:color="auto"/>
            <w:left w:val="none" w:sz="0" w:space="0" w:color="auto"/>
            <w:bottom w:val="none" w:sz="0" w:space="0" w:color="auto"/>
            <w:right w:val="none" w:sz="0" w:space="0" w:color="auto"/>
          </w:divBdr>
        </w:div>
        <w:div w:id="477848086">
          <w:marLeft w:val="0"/>
          <w:marRight w:val="0"/>
          <w:marTop w:val="0"/>
          <w:marBottom w:val="0"/>
          <w:divBdr>
            <w:top w:val="none" w:sz="0" w:space="0" w:color="auto"/>
            <w:left w:val="none" w:sz="0" w:space="0" w:color="auto"/>
            <w:bottom w:val="none" w:sz="0" w:space="0" w:color="auto"/>
            <w:right w:val="none" w:sz="0" w:space="0" w:color="auto"/>
          </w:divBdr>
        </w:div>
      </w:divsChild>
    </w:div>
    <w:div w:id="476144619">
      <w:bodyDiv w:val="1"/>
      <w:marLeft w:val="0"/>
      <w:marRight w:val="0"/>
      <w:marTop w:val="0"/>
      <w:marBottom w:val="0"/>
      <w:divBdr>
        <w:top w:val="none" w:sz="0" w:space="0" w:color="auto"/>
        <w:left w:val="none" w:sz="0" w:space="0" w:color="auto"/>
        <w:bottom w:val="none" w:sz="0" w:space="0" w:color="auto"/>
        <w:right w:val="none" w:sz="0" w:space="0" w:color="auto"/>
      </w:divBdr>
    </w:div>
    <w:div w:id="515197393">
      <w:bodyDiv w:val="1"/>
      <w:marLeft w:val="0"/>
      <w:marRight w:val="0"/>
      <w:marTop w:val="0"/>
      <w:marBottom w:val="0"/>
      <w:divBdr>
        <w:top w:val="none" w:sz="0" w:space="0" w:color="auto"/>
        <w:left w:val="none" w:sz="0" w:space="0" w:color="auto"/>
        <w:bottom w:val="none" w:sz="0" w:space="0" w:color="auto"/>
        <w:right w:val="none" w:sz="0" w:space="0" w:color="auto"/>
      </w:divBdr>
    </w:div>
    <w:div w:id="542400602">
      <w:bodyDiv w:val="1"/>
      <w:marLeft w:val="0"/>
      <w:marRight w:val="0"/>
      <w:marTop w:val="0"/>
      <w:marBottom w:val="0"/>
      <w:divBdr>
        <w:top w:val="none" w:sz="0" w:space="0" w:color="auto"/>
        <w:left w:val="none" w:sz="0" w:space="0" w:color="auto"/>
        <w:bottom w:val="none" w:sz="0" w:space="0" w:color="auto"/>
        <w:right w:val="none" w:sz="0" w:space="0" w:color="auto"/>
      </w:divBdr>
      <w:divsChild>
        <w:div w:id="1586919726">
          <w:marLeft w:val="0"/>
          <w:marRight w:val="0"/>
          <w:marTop w:val="0"/>
          <w:marBottom w:val="0"/>
          <w:divBdr>
            <w:top w:val="none" w:sz="0" w:space="0" w:color="auto"/>
            <w:left w:val="none" w:sz="0" w:space="0" w:color="auto"/>
            <w:bottom w:val="none" w:sz="0" w:space="0" w:color="auto"/>
            <w:right w:val="none" w:sz="0" w:space="0" w:color="auto"/>
          </w:divBdr>
        </w:div>
        <w:div w:id="98139865">
          <w:marLeft w:val="0"/>
          <w:marRight w:val="0"/>
          <w:marTop w:val="0"/>
          <w:marBottom w:val="0"/>
          <w:divBdr>
            <w:top w:val="none" w:sz="0" w:space="0" w:color="auto"/>
            <w:left w:val="none" w:sz="0" w:space="0" w:color="auto"/>
            <w:bottom w:val="none" w:sz="0" w:space="0" w:color="auto"/>
            <w:right w:val="none" w:sz="0" w:space="0" w:color="auto"/>
          </w:divBdr>
        </w:div>
        <w:div w:id="1777869701">
          <w:marLeft w:val="0"/>
          <w:marRight w:val="0"/>
          <w:marTop w:val="0"/>
          <w:marBottom w:val="0"/>
          <w:divBdr>
            <w:top w:val="none" w:sz="0" w:space="0" w:color="auto"/>
            <w:left w:val="none" w:sz="0" w:space="0" w:color="auto"/>
            <w:bottom w:val="none" w:sz="0" w:space="0" w:color="auto"/>
            <w:right w:val="none" w:sz="0" w:space="0" w:color="auto"/>
          </w:divBdr>
        </w:div>
        <w:div w:id="2022076021">
          <w:marLeft w:val="0"/>
          <w:marRight w:val="0"/>
          <w:marTop w:val="0"/>
          <w:marBottom w:val="0"/>
          <w:divBdr>
            <w:top w:val="none" w:sz="0" w:space="0" w:color="auto"/>
            <w:left w:val="none" w:sz="0" w:space="0" w:color="auto"/>
            <w:bottom w:val="none" w:sz="0" w:space="0" w:color="auto"/>
            <w:right w:val="none" w:sz="0" w:space="0" w:color="auto"/>
          </w:divBdr>
        </w:div>
        <w:div w:id="882064227">
          <w:marLeft w:val="0"/>
          <w:marRight w:val="0"/>
          <w:marTop w:val="0"/>
          <w:marBottom w:val="0"/>
          <w:divBdr>
            <w:top w:val="none" w:sz="0" w:space="0" w:color="auto"/>
            <w:left w:val="none" w:sz="0" w:space="0" w:color="auto"/>
            <w:bottom w:val="none" w:sz="0" w:space="0" w:color="auto"/>
            <w:right w:val="none" w:sz="0" w:space="0" w:color="auto"/>
          </w:divBdr>
        </w:div>
        <w:div w:id="1303268524">
          <w:marLeft w:val="0"/>
          <w:marRight w:val="0"/>
          <w:marTop w:val="0"/>
          <w:marBottom w:val="0"/>
          <w:divBdr>
            <w:top w:val="none" w:sz="0" w:space="0" w:color="auto"/>
            <w:left w:val="none" w:sz="0" w:space="0" w:color="auto"/>
            <w:bottom w:val="none" w:sz="0" w:space="0" w:color="auto"/>
            <w:right w:val="none" w:sz="0" w:space="0" w:color="auto"/>
          </w:divBdr>
        </w:div>
        <w:div w:id="2026782881">
          <w:marLeft w:val="0"/>
          <w:marRight w:val="0"/>
          <w:marTop w:val="0"/>
          <w:marBottom w:val="0"/>
          <w:divBdr>
            <w:top w:val="none" w:sz="0" w:space="0" w:color="auto"/>
            <w:left w:val="none" w:sz="0" w:space="0" w:color="auto"/>
            <w:bottom w:val="none" w:sz="0" w:space="0" w:color="auto"/>
            <w:right w:val="none" w:sz="0" w:space="0" w:color="auto"/>
          </w:divBdr>
        </w:div>
        <w:div w:id="1792819022">
          <w:marLeft w:val="0"/>
          <w:marRight w:val="0"/>
          <w:marTop w:val="0"/>
          <w:marBottom w:val="0"/>
          <w:divBdr>
            <w:top w:val="none" w:sz="0" w:space="0" w:color="auto"/>
            <w:left w:val="none" w:sz="0" w:space="0" w:color="auto"/>
            <w:bottom w:val="none" w:sz="0" w:space="0" w:color="auto"/>
            <w:right w:val="none" w:sz="0" w:space="0" w:color="auto"/>
          </w:divBdr>
        </w:div>
        <w:div w:id="912275809">
          <w:marLeft w:val="0"/>
          <w:marRight w:val="0"/>
          <w:marTop w:val="0"/>
          <w:marBottom w:val="0"/>
          <w:divBdr>
            <w:top w:val="none" w:sz="0" w:space="0" w:color="auto"/>
            <w:left w:val="none" w:sz="0" w:space="0" w:color="auto"/>
            <w:bottom w:val="none" w:sz="0" w:space="0" w:color="auto"/>
            <w:right w:val="none" w:sz="0" w:space="0" w:color="auto"/>
          </w:divBdr>
        </w:div>
        <w:div w:id="1258172145">
          <w:marLeft w:val="0"/>
          <w:marRight w:val="0"/>
          <w:marTop w:val="0"/>
          <w:marBottom w:val="0"/>
          <w:divBdr>
            <w:top w:val="none" w:sz="0" w:space="0" w:color="auto"/>
            <w:left w:val="none" w:sz="0" w:space="0" w:color="auto"/>
            <w:bottom w:val="none" w:sz="0" w:space="0" w:color="auto"/>
            <w:right w:val="none" w:sz="0" w:space="0" w:color="auto"/>
          </w:divBdr>
        </w:div>
        <w:div w:id="1851212860">
          <w:marLeft w:val="0"/>
          <w:marRight w:val="0"/>
          <w:marTop w:val="0"/>
          <w:marBottom w:val="0"/>
          <w:divBdr>
            <w:top w:val="none" w:sz="0" w:space="0" w:color="auto"/>
            <w:left w:val="none" w:sz="0" w:space="0" w:color="auto"/>
            <w:bottom w:val="none" w:sz="0" w:space="0" w:color="auto"/>
            <w:right w:val="none" w:sz="0" w:space="0" w:color="auto"/>
          </w:divBdr>
        </w:div>
        <w:div w:id="1214543564">
          <w:marLeft w:val="0"/>
          <w:marRight w:val="0"/>
          <w:marTop w:val="0"/>
          <w:marBottom w:val="0"/>
          <w:divBdr>
            <w:top w:val="none" w:sz="0" w:space="0" w:color="auto"/>
            <w:left w:val="none" w:sz="0" w:space="0" w:color="auto"/>
            <w:bottom w:val="none" w:sz="0" w:space="0" w:color="auto"/>
            <w:right w:val="none" w:sz="0" w:space="0" w:color="auto"/>
          </w:divBdr>
        </w:div>
        <w:div w:id="496266545">
          <w:marLeft w:val="0"/>
          <w:marRight w:val="0"/>
          <w:marTop w:val="0"/>
          <w:marBottom w:val="0"/>
          <w:divBdr>
            <w:top w:val="none" w:sz="0" w:space="0" w:color="auto"/>
            <w:left w:val="none" w:sz="0" w:space="0" w:color="auto"/>
            <w:bottom w:val="none" w:sz="0" w:space="0" w:color="auto"/>
            <w:right w:val="none" w:sz="0" w:space="0" w:color="auto"/>
          </w:divBdr>
        </w:div>
        <w:div w:id="239758706">
          <w:marLeft w:val="0"/>
          <w:marRight w:val="0"/>
          <w:marTop w:val="0"/>
          <w:marBottom w:val="0"/>
          <w:divBdr>
            <w:top w:val="none" w:sz="0" w:space="0" w:color="auto"/>
            <w:left w:val="none" w:sz="0" w:space="0" w:color="auto"/>
            <w:bottom w:val="none" w:sz="0" w:space="0" w:color="auto"/>
            <w:right w:val="none" w:sz="0" w:space="0" w:color="auto"/>
          </w:divBdr>
        </w:div>
        <w:div w:id="1733849323">
          <w:marLeft w:val="0"/>
          <w:marRight w:val="0"/>
          <w:marTop w:val="0"/>
          <w:marBottom w:val="0"/>
          <w:divBdr>
            <w:top w:val="none" w:sz="0" w:space="0" w:color="auto"/>
            <w:left w:val="none" w:sz="0" w:space="0" w:color="auto"/>
            <w:bottom w:val="none" w:sz="0" w:space="0" w:color="auto"/>
            <w:right w:val="none" w:sz="0" w:space="0" w:color="auto"/>
          </w:divBdr>
        </w:div>
        <w:div w:id="330452114">
          <w:marLeft w:val="0"/>
          <w:marRight w:val="0"/>
          <w:marTop w:val="0"/>
          <w:marBottom w:val="0"/>
          <w:divBdr>
            <w:top w:val="none" w:sz="0" w:space="0" w:color="auto"/>
            <w:left w:val="none" w:sz="0" w:space="0" w:color="auto"/>
            <w:bottom w:val="none" w:sz="0" w:space="0" w:color="auto"/>
            <w:right w:val="none" w:sz="0" w:space="0" w:color="auto"/>
          </w:divBdr>
        </w:div>
        <w:div w:id="432437488">
          <w:marLeft w:val="0"/>
          <w:marRight w:val="0"/>
          <w:marTop w:val="0"/>
          <w:marBottom w:val="0"/>
          <w:divBdr>
            <w:top w:val="none" w:sz="0" w:space="0" w:color="auto"/>
            <w:left w:val="none" w:sz="0" w:space="0" w:color="auto"/>
            <w:bottom w:val="none" w:sz="0" w:space="0" w:color="auto"/>
            <w:right w:val="none" w:sz="0" w:space="0" w:color="auto"/>
          </w:divBdr>
        </w:div>
        <w:div w:id="728648044">
          <w:marLeft w:val="0"/>
          <w:marRight w:val="0"/>
          <w:marTop w:val="0"/>
          <w:marBottom w:val="0"/>
          <w:divBdr>
            <w:top w:val="none" w:sz="0" w:space="0" w:color="auto"/>
            <w:left w:val="none" w:sz="0" w:space="0" w:color="auto"/>
            <w:bottom w:val="none" w:sz="0" w:space="0" w:color="auto"/>
            <w:right w:val="none" w:sz="0" w:space="0" w:color="auto"/>
          </w:divBdr>
        </w:div>
        <w:div w:id="1128088482">
          <w:marLeft w:val="0"/>
          <w:marRight w:val="0"/>
          <w:marTop w:val="0"/>
          <w:marBottom w:val="0"/>
          <w:divBdr>
            <w:top w:val="none" w:sz="0" w:space="0" w:color="auto"/>
            <w:left w:val="none" w:sz="0" w:space="0" w:color="auto"/>
            <w:bottom w:val="none" w:sz="0" w:space="0" w:color="auto"/>
            <w:right w:val="none" w:sz="0" w:space="0" w:color="auto"/>
          </w:divBdr>
        </w:div>
        <w:div w:id="738359711">
          <w:marLeft w:val="0"/>
          <w:marRight w:val="0"/>
          <w:marTop w:val="0"/>
          <w:marBottom w:val="0"/>
          <w:divBdr>
            <w:top w:val="none" w:sz="0" w:space="0" w:color="auto"/>
            <w:left w:val="none" w:sz="0" w:space="0" w:color="auto"/>
            <w:bottom w:val="none" w:sz="0" w:space="0" w:color="auto"/>
            <w:right w:val="none" w:sz="0" w:space="0" w:color="auto"/>
          </w:divBdr>
        </w:div>
        <w:div w:id="1684621992">
          <w:marLeft w:val="0"/>
          <w:marRight w:val="0"/>
          <w:marTop w:val="0"/>
          <w:marBottom w:val="0"/>
          <w:divBdr>
            <w:top w:val="none" w:sz="0" w:space="0" w:color="auto"/>
            <w:left w:val="none" w:sz="0" w:space="0" w:color="auto"/>
            <w:bottom w:val="none" w:sz="0" w:space="0" w:color="auto"/>
            <w:right w:val="none" w:sz="0" w:space="0" w:color="auto"/>
          </w:divBdr>
        </w:div>
      </w:divsChild>
    </w:div>
    <w:div w:id="542601248">
      <w:bodyDiv w:val="1"/>
      <w:marLeft w:val="0"/>
      <w:marRight w:val="0"/>
      <w:marTop w:val="0"/>
      <w:marBottom w:val="0"/>
      <w:divBdr>
        <w:top w:val="none" w:sz="0" w:space="0" w:color="auto"/>
        <w:left w:val="none" w:sz="0" w:space="0" w:color="auto"/>
        <w:bottom w:val="none" w:sz="0" w:space="0" w:color="auto"/>
        <w:right w:val="none" w:sz="0" w:space="0" w:color="auto"/>
      </w:divBdr>
    </w:div>
    <w:div w:id="555092725">
      <w:bodyDiv w:val="1"/>
      <w:marLeft w:val="0"/>
      <w:marRight w:val="0"/>
      <w:marTop w:val="0"/>
      <w:marBottom w:val="0"/>
      <w:divBdr>
        <w:top w:val="none" w:sz="0" w:space="0" w:color="auto"/>
        <w:left w:val="none" w:sz="0" w:space="0" w:color="auto"/>
        <w:bottom w:val="none" w:sz="0" w:space="0" w:color="auto"/>
        <w:right w:val="none" w:sz="0" w:space="0" w:color="auto"/>
      </w:divBdr>
    </w:div>
    <w:div w:id="565380345">
      <w:bodyDiv w:val="1"/>
      <w:marLeft w:val="0"/>
      <w:marRight w:val="0"/>
      <w:marTop w:val="0"/>
      <w:marBottom w:val="0"/>
      <w:divBdr>
        <w:top w:val="none" w:sz="0" w:space="0" w:color="auto"/>
        <w:left w:val="none" w:sz="0" w:space="0" w:color="auto"/>
        <w:bottom w:val="none" w:sz="0" w:space="0" w:color="auto"/>
        <w:right w:val="none" w:sz="0" w:space="0" w:color="auto"/>
      </w:divBdr>
    </w:div>
    <w:div w:id="609972322">
      <w:bodyDiv w:val="1"/>
      <w:marLeft w:val="0"/>
      <w:marRight w:val="0"/>
      <w:marTop w:val="0"/>
      <w:marBottom w:val="0"/>
      <w:divBdr>
        <w:top w:val="none" w:sz="0" w:space="0" w:color="auto"/>
        <w:left w:val="none" w:sz="0" w:space="0" w:color="auto"/>
        <w:bottom w:val="none" w:sz="0" w:space="0" w:color="auto"/>
        <w:right w:val="none" w:sz="0" w:space="0" w:color="auto"/>
      </w:divBdr>
    </w:div>
    <w:div w:id="611522736">
      <w:bodyDiv w:val="1"/>
      <w:marLeft w:val="0"/>
      <w:marRight w:val="0"/>
      <w:marTop w:val="0"/>
      <w:marBottom w:val="0"/>
      <w:divBdr>
        <w:top w:val="none" w:sz="0" w:space="0" w:color="auto"/>
        <w:left w:val="none" w:sz="0" w:space="0" w:color="auto"/>
        <w:bottom w:val="none" w:sz="0" w:space="0" w:color="auto"/>
        <w:right w:val="none" w:sz="0" w:space="0" w:color="auto"/>
      </w:divBdr>
    </w:div>
    <w:div w:id="6304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520594">
          <w:marLeft w:val="0"/>
          <w:marRight w:val="0"/>
          <w:marTop w:val="0"/>
          <w:marBottom w:val="0"/>
          <w:divBdr>
            <w:top w:val="none" w:sz="0" w:space="0" w:color="auto"/>
            <w:left w:val="none" w:sz="0" w:space="0" w:color="auto"/>
            <w:bottom w:val="none" w:sz="0" w:space="0" w:color="auto"/>
            <w:right w:val="none" w:sz="0" w:space="0" w:color="auto"/>
          </w:divBdr>
        </w:div>
        <w:div w:id="1260674385">
          <w:marLeft w:val="0"/>
          <w:marRight w:val="0"/>
          <w:marTop w:val="0"/>
          <w:marBottom w:val="0"/>
          <w:divBdr>
            <w:top w:val="none" w:sz="0" w:space="0" w:color="auto"/>
            <w:left w:val="none" w:sz="0" w:space="0" w:color="auto"/>
            <w:bottom w:val="none" w:sz="0" w:space="0" w:color="auto"/>
            <w:right w:val="none" w:sz="0" w:space="0" w:color="auto"/>
          </w:divBdr>
        </w:div>
        <w:div w:id="874196197">
          <w:marLeft w:val="0"/>
          <w:marRight w:val="0"/>
          <w:marTop w:val="0"/>
          <w:marBottom w:val="0"/>
          <w:divBdr>
            <w:top w:val="none" w:sz="0" w:space="0" w:color="auto"/>
            <w:left w:val="none" w:sz="0" w:space="0" w:color="auto"/>
            <w:bottom w:val="none" w:sz="0" w:space="0" w:color="auto"/>
            <w:right w:val="none" w:sz="0" w:space="0" w:color="auto"/>
          </w:divBdr>
        </w:div>
        <w:div w:id="1709572554">
          <w:marLeft w:val="0"/>
          <w:marRight w:val="0"/>
          <w:marTop w:val="0"/>
          <w:marBottom w:val="0"/>
          <w:divBdr>
            <w:top w:val="none" w:sz="0" w:space="0" w:color="auto"/>
            <w:left w:val="none" w:sz="0" w:space="0" w:color="auto"/>
            <w:bottom w:val="none" w:sz="0" w:space="0" w:color="auto"/>
            <w:right w:val="none" w:sz="0" w:space="0" w:color="auto"/>
          </w:divBdr>
        </w:div>
        <w:div w:id="732966598">
          <w:marLeft w:val="0"/>
          <w:marRight w:val="0"/>
          <w:marTop w:val="0"/>
          <w:marBottom w:val="0"/>
          <w:divBdr>
            <w:top w:val="none" w:sz="0" w:space="0" w:color="auto"/>
            <w:left w:val="none" w:sz="0" w:space="0" w:color="auto"/>
            <w:bottom w:val="none" w:sz="0" w:space="0" w:color="auto"/>
            <w:right w:val="none" w:sz="0" w:space="0" w:color="auto"/>
          </w:divBdr>
        </w:div>
        <w:div w:id="1935549168">
          <w:marLeft w:val="0"/>
          <w:marRight w:val="0"/>
          <w:marTop w:val="0"/>
          <w:marBottom w:val="0"/>
          <w:divBdr>
            <w:top w:val="none" w:sz="0" w:space="0" w:color="auto"/>
            <w:left w:val="none" w:sz="0" w:space="0" w:color="auto"/>
            <w:bottom w:val="none" w:sz="0" w:space="0" w:color="auto"/>
            <w:right w:val="none" w:sz="0" w:space="0" w:color="auto"/>
          </w:divBdr>
        </w:div>
        <w:div w:id="1567836073">
          <w:marLeft w:val="0"/>
          <w:marRight w:val="0"/>
          <w:marTop w:val="0"/>
          <w:marBottom w:val="0"/>
          <w:divBdr>
            <w:top w:val="none" w:sz="0" w:space="0" w:color="auto"/>
            <w:left w:val="none" w:sz="0" w:space="0" w:color="auto"/>
            <w:bottom w:val="none" w:sz="0" w:space="0" w:color="auto"/>
            <w:right w:val="none" w:sz="0" w:space="0" w:color="auto"/>
          </w:divBdr>
        </w:div>
        <w:div w:id="1246232827">
          <w:marLeft w:val="0"/>
          <w:marRight w:val="0"/>
          <w:marTop w:val="0"/>
          <w:marBottom w:val="0"/>
          <w:divBdr>
            <w:top w:val="none" w:sz="0" w:space="0" w:color="auto"/>
            <w:left w:val="none" w:sz="0" w:space="0" w:color="auto"/>
            <w:bottom w:val="none" w:sz="0" w:space="0" w:color="auto"/>
            <w:right w:val="none" w:sz="0" w:space="0" w:color="auto"/>
          </w:divBdr>
        </w:div>
        <w:div w:id="765658980">
          <w:marLeft w:val="0"/>
          <w:marRight w:val="0"/>
          <w:marTop w:val="0"/>
          <w:marBottom w:val="0"/>
          <w:divBdr>
            <w:top w:val="none" w:sz="0" w:space="0" w:color="auto"/>
            <w:left w:val="none" w:sz="0" w:space="0" w:color="auto"/>
            <w:bottom w:val="none" w:sz="0" w:space="0" w:color="auto"/>
            <w:right w:val="none" w:sz="0" w:space="0" w:color="auto"/>
          </w:divBdr>
        </w:div>
        <w:div w:id="591476516">
          <w:marLeft w:val="0"/>
          <w:marRight w:val="0"/>
          <w:marTop w:val="0"/>
          <w:marBottom w:val="0"/>
          <w:divBdr>
            <w:top w:val="none" w:sz="0" w:space="0" w:color="auto"/>
            <w:left w:val="none" w:sz="0" w:space="0" w:color="auto"/>
            <w:bottom w:val="none" w:sz="0" w:space="0" w:color="auto"/>
            <w:right w:val="none" w:sz="0" w:space="0" w:color="auto"/>
          </w:divBdr>
        </w:div>
        <w:div w:id="1921787734">
          <w:marLeft w:val="0"/>
          <w:marRight w:val="0"/>
          <w:marTop w:val="0"/>
          <w:marBottom w:val="0"/>
          <w:divBdr>
            <w:top w:val="none" w:sz="0" w:space="0" w:color="auto"/>
            <w:left w:val="none" w:sz="0" w:space="0" w:color="auto"/>
            <w:bottom w:val="none" w:sz="0" w:space="0" w:color="auto"/>
            <w:right w:val="none" w:sz="0" w:space="0" w:color="auto"/>
          </w:divBdr>
        </w:div>
        <w:div w:id="476185606">
          <w:marLeft w:val="0"/>
          <w:marRight w:val="0"/>
          <w:marTop w:val="0"/>
          <w:marBottom w:val="0"/>
          <w:divBdr>
            <w:top w:val="none" w:sz="0" w:space="0" w:color="auto"/>
            <w:left w:val="none" w:sz="0" w:space="0" w:color="auto"/>
            <w:bottom w:val="none" w:sz="0" w:space="0" w:color="auto"/>
            <w:right w:val="none" w:sz="0" w:space="0" w:color="auto"/>
          </w:divBdr>
        </w:div>
        <w:div w:id="1918980794">
          <w:marLeft w:val="0"/>
          <w:marRight w:val="0"/>
          <w:marTop w:val="0"/>
          <w:marBottom w:val="0"/>
          <w:divBdr>
            <w:top w:val="none" w:sz="0" w:space="0" w:color="auto"/>
            <w:left w:val="none" w:sz="0" w:space="0" w:color="auto"/>
            <w:bottom w:val="none" w:sz="0" w:space="0" w:color="auto"/>
            <w:right w:val="none" w:sz="0" w:space="0" w:color="auto"/>
          </w:divBdr>
        </w:div>
        <w:div w:id="997005258">
          <w:marLeft w:val="0"/>
          <w:marRight w:val="0"/>
          <w:marTop w:val="0"/>
          <w:marBottom w:val="0"/>
          <w:divBdr>
            <w:top w:val="none" w:sz="0" w:space="0" w:color="auto"/>
            <w:left w:val="none" w:sz="0" w:space="0" w:color="auto"/>
            <w:bottom w:val="none" w:sz="0" w:space="0" w:color="auto"/>
            <w:right w:val="none" w:sz="0" w:space="0" w:color="auto"/>
          </w:divBdr>
        </w:div>
        <w:div w:id="1048607119">
          <w:marLeft w:val="0"/>
          <w:marRight w:val="0"/>
          <w:marTop w:val="0"/>
          <w:marBottom w:val="0"/>
          <w:divBdr>
            <w:top w:val="none" w:sz="0" w:space="0" w:color="auto"/>
            <w:left w:val="none" w:sz="0" w:space="0" w:color="auto"/>
            <w:bottom w:val="none" w:sz="0" w:space="0" w:color="auto"/>
            <w:right w:val="none" w:sz="0" w:space="0" w:color="auto"/>
          </w:divBdr>
        </w:div>
        <w:div w:id="331030828">
          <w:marLeft w:val="0"/>
          <w:marRight w:val="0"/>
          <w:marTop w:val="0"/>
          <w:marBottom w:val="0"/>
          <w:divBdr>
            <w:top w:val="none" w:sz="0" w:space="0" w:color="auto"/>
            <w:left w:val="none" w:sz="0" w:space="0" w:color="auto"/>
            <w:bottom w:val="none" w:sz="0" w:space="0" w:color="auto"/>
            <w:right w:val="none" w:sz="0" w:space="0" w:color="auto"/>
          </w:divBdr>
        </w:div>
        <w:div w:id="334844494">
          <w:marLeft w:val="0"/>
          <w:marRight w:val="0"/>
          <w:marTop w:val="0"/>
          <w:marBottom w:val="0"/>
          <w:divBdr>
            <w:top w:val="none" w:sz="0" w:space="0" w:color="auto"/>
            <w:left w:val="none" w:sz="0" w:space="0" w:color="auto"/>
            <w:bottom w:val="none" w:sz="0" w:space="0" w:color="auto"/>
            <w:right w:val="none" w:sz="0" w:space="0" w:color="auto"/>
          </w:divBdr>
        </w:div>
        <w:div w:id="716703165">
          <w:marLeft w:val="0"/>
          <w:marRight w:val="0"/>
          <w:marTop w:val="0"/>
          <w:marBottom w:val="0"/>
          <w:divBdr>
            <w:top w:val="none" w:sz="0" w:space="0" w:color="auto"/>
            <w:left w:val="none" w:sz="0" w:space="0" w:color="auto"/>
            <w:bottom w:val="none" w:sz="0" w:space="0" w:color="auto"/>
            <w:right w:val="none" w:sz="0" w:space="0" w:color="auto"/>
          </w:divBdr>
        </w:div>
      </w:divsChild>
    </w:div>
    <w:div w:id="635717232">
      <w:bodyDiv w:val="1"/>
      <w:marLeft w:val="0"/>
      <w:marRight w:val="0"/>
      <w:marTop w:val="0"/>
      <w:marBottom w:val="0"/>
      <w:divBdr>
        <w:top w:val="none" w:sz="0" w:space="0" w:color="auto"/>
        <w:left w:val="none" w:sz="0" w:space="0" w:color="auto"/>
        <w:bottom w:val="none" w:sz="0" w:space="0" w:color="auto"/>
        <w:right w:val="none" w:sz="0" w:space="0" w:color="auto"/>
      </w:divBdr>
      <w:divsChild>
        <w:div w:id="209191144">
          <w:marLeft w:val="0"/>
          <w:marRight w:val="0"/>
          <w:marTop w:val="0"/>
          <w:marBottom w:val="0"/>
          <w:divBdr>
            <w:top w:val="none" w:sz="0" w:space="0" w:color="auto"/>
            <w:left w:val="none" w:sz="0" w:space="0" w:color="auto"/>
            <w:bottom w:val="none" w:sz="0" w:space="0" w:color="auto"/>
            <w:right w:val="none" w:sz="0" w:space="0" w:color="auto"/>
          </w:divBdr>
        </w:div>
        <w:div w:id="970673986">
          <w:marLeft w:val="0"/>
          <w:marRight w:val="0"/>
          <w:marTop w:val="0"/>
          <w:marBottom w:val="0"/>
          <w:divBdr>
            <w:top w:val="none" w:sz="0" w:space="0" w:color="auto"/>
            <w:left w:val="none" w:sz="0" w:space="0" w:color="auto"/>
            <w:bottom w:val="none" w:sz="0" w:space="0" w:color="auto"/>
            <w:right w:val="none" w:sz="0" w:space="0" w:color="auto"/>
          </w:divBdr>
        </w:div>
        <w:div w:id="1424574775">
          <w:marLeft w:val="0"/>
          <w:marRight w:val="0"/>
          <w:marTop w:val="0"/>
          <w:marBottom w:val="0"/>
          <w:divBdr>
            <w:top w:val="none" w:sz="0" w:space="0" w:color="auto"/>
            <w:left w:val="none" w:sz="0" w:space="0" w:color="auto"/>
            <w:bottom w:val="none" w:sz="0" w:space="0" w:color="auto"/>
            <w:right w:val="none" w:sz="0" w:space="0" w:color="auto"/>
          </w:divBdr>
        </w:div>
        <w:div w:id="1827745632">
          <w:marLeft w:val="0"/>
          <w:marRight w:val="0"/>
          <w:marTop w:val="0"/>
          <w:marBottom w:val="0"/>
          <w:divBdr>
            <w:top w:val="none" w:sz="0" w:space="0" w:color="auto"/>
            <w:left w:val="none" w:sz="0" w:space="0" w:color="auto"/>
            <w:bottom w:val="none" w:sz="0" w:space="0" w:color="auto"/>
            <w:right w:val="none" w:sz="0" w:space="0" w:color="auto"/>
          </w:divBdr>
        </w:div>
        <w:div w:id="2089964293">
          <w:marLeft w:val="0"/>
          <w:marRight w:val="0"/>
          <w:marTop w:val="0"/>
          <w:marBottom w:val="0"/>
          <w:divBdr>
            <w:top w:val="none" w:sz="0" w:space="0" w:color="auto"/>
            <w:left w:val="none" w:sz="0" w:space="0" w:color="auto"/>
            <w:bottom w:val="none" w:sz="0" w:space="0" w:color="auto"/>
            <w:right w:val="none" w:sz="0" w:space="0" w:color="auto"/>
          </w:divBdr>
        </w:div>
        <w:div w:id="1955668423">
          <w:marLeft w:val="0"/>
          <w:marRight w:val="0"/>
          <w:marTop w:val="0"/>
          <w:marBottom w:val="0"/>
          <w:divBdr>
            <w:top w:val="none" w:sz="0" w:space="0" w:color="auto"/>
            <w:left w:val="none" w:sz="0" w:space="0" w:color="auto"/>
            <w:bottom w:val="none" w:sz="0" w:space="0" w:color="auto"/>
            <w:right w:val="none" w:sz="0" w:space="0" w:color="auto"/>
          </w:divBdr>
        </w:div>
        <w:div w:id="1671517559">
          <w:marLeft w:val="0"/>
          <w:marRight w:val="0"/>
          <w:marTop w:val="0"/>
          <w:marBottom w:val="0"/>
          <w:divBdr>
            <w:top w:val="none" w:sz="0" w:space="0" w:color="auto"/>
            <w:left w:val="none" w:sz="0" w:space="0" w:color="auto"/>
            <w:bottom w:val="none" w:sz="0" w:space="0" w:color="auto"/>
            <w:right w:val="none" w:sz="0" w:space="0" w:color="auto"/>
          </w:divBdr>
        </w:div>
        <w:div w:id="1703020705">
          <w:marLeft w:val="0"/>
          <w:marRight w:val="0"/>
          <w:marTop w:val="0"/>
          <w:marBottom w:val="0"/>
          <w:divBdr>
            <w:top w:val="none" w:sz="0" w:space="0" w:color="auto"/>
            <w:left w:val="none" w:sz="0" w:space="0" w:color="auto"/>
            <w:bottom w:val="none" w:sz="0" w:space="0" w:color="auto"/>
            <w:right w:val="none" w:sz="0" w:space="0" w:color="auto"/>
          </w:divBdr>
        </w:div>
        <w:div w:id="415328323">
          <w:marLeft w:val="0"/>
          <w:marRight w:val="0"/>
          <w:marTop w:val="0"/>
          <w:marBottom w:val="0"/>
          <w:divBdr>
            <w:top w:val="none" w:sz="0" w:space="0" w:color="auto"/>
            <w:left w:val="none" w:sz="0" w:space="0" w:color="auto"/>
            <w:bottom w:val="none" w:sz="0" w:space="0" w:color="auto"/>
            <w:right w:val="none" w:sz="0" w:space="0" w:color="auto"/>
          </w:divBdr>
        </w:div>
        <w:div w:id="1987664288">
          <w:marLeft w:val="0"/>
          <w:marRight w:val="0"/>
          <w:marTop w:val="0"/>
          <w:marBottom w:val="0"/>
          <w:divBdr>
            <w:top w:val="none" w:sz="0" w:space="0" w:color="auto"/>
            <w:left w:val="none" w:sz="0" w:space="0" w:color="auto"/>
            <w:bottom w:val="none" w:sz="0" w:space="0" w:color="auto"/>
            <w:right w:val="none" w:sz="0" w:space="0" w:color="auto"/>
          </w:divBdr>
        </w:div>
        <w:div w:id="24211497">
          <w:marLeft w:val="0"/>
          <w:marRight w:val="0"/>
          <w:marTop w:val="0"/>
          <w:marBottom w:val="0"/>
          <w:divBdr>
            <w:top w:val="none" w:sz="0" w:space="0" w:color="auto"/>
            <w:left w:val="none" w:sz="0" w:space="0" w:color="auto"/>
            <w:bottom w:val="none" w:sz="0" w:space="0" w:color="auto"/>
            <w:right w:val="none" w:sz="0" w:space="0" w:color="auto"/>
          </w:divBdr>
        </w:div>
        <w:div w:id="166411584">
          <w:marLeft w:val="0"/>
          <w:marRight w:val="0"/>
          <w:marTop w:val="0"/>
          <w:marBottom w:val="0"/>
          <w:divBdr>
            <w:top w:val="none" w:sz="0" w:space="0" w:color="auto"/>
            <w:left w:val="none" w:sz="0" w:space="0" w:color="auto"/>
            <w:bottom w:val="none" w:sz="0" w:space="0" w:color="auto"/>
            <w:right w:val="none" w:sz="0" w:space="0" w:color="auto"/>
          </w:divBdr>
        </w:div>
        <w:div w:id="1572545069">
          <w:marLeft w:val="0"/>
          <w:marRight w:val="0"/>
          <w:marTop w:val="0"/>
          <w:marBottom w:val="0"/>
          <w:divBdr>
            <w:top w:val="none" w:sz="0" w:space="0" w:color="auto"/>
            <w:left w:val="none" w:sz="0" w:space="0" w:color="auto"/>
            <w:bottom w:val="none" w:sz="0" w:space="0" w:color="auto"/>
            <w:right w:val="none" w:sz="0" w:space="0" w:color="auto"/>
          </w:divBdr>
        </w:div>
        <w:div w:id="631061247">
          <w:marLeft w:val="0"/>
          <w:marRight w:val="0"/>
          <w:marTop w:val="0"/>
          <w:marBottom w:val="0"/>
          <w:divBdr>
            <w:top w:val="none" w:sz="0" w:space="0" w:color="auto"/>
            <w:left w:val="none" w:sz="0" w:space="0" w:color="auto"/>
            <w:bottom w:val="none" w:sz="0" w:space="0" w:color="auto"/>
            <w:right w:val="none" w:sz="0" w:space="0" w:color="auto"/>
          </w:divBdr>
        </w:div>
        <w:div w:id="1498501193">
          <w:marLeft w:val="0"/>
          <w:marRight w:val="0"/>
          <w:marTop w:val="0"/>
          <w:marBottom w:val="0"/>
          <w:divBdr>
            <w:top w:val="none" w:sz="0" w:space="0" w:color="auto"/>
            <w:left w:val="none" w:sz="0" w:space="0" w:color="auto"/>
            <w:bottom w:val="none" w:sz="0" w:space="0" w:color="auto"/>
            <w:right w:val="none" w:sz="0" w:space="0" w:color="auto"/>
          </w:divBdr>
        </w:div>
        <w:div w:id="475147774">
          <w:marLeft w:val="0"/>
          <w:marRight w:val="0"/>
          <w:marTop w:val="0"/>
          <w:marBottom w:val="0"/>
          <w:divBdr>
            <w:top w:val="none" w:sz="0" w:space="0" w:color="auto"/>
            <w:left w:val="none" w:sz="0" w:space="0" w:color="auto"/>
            <w:bottom w:val="none" w:sz="0" w:space="0" w:color="auto"/>
            <w:right w:val="none" w:sz="0" w:space="0" w:color="auto"/>
          </w:divBdr>
        </w:div>
        <w:div w:id="256060480">
          <w:marLeft w:val="0"/>
          <w:marRight w:val="0"/>
          <w:marTop w:val="0"/>
          <w:marBottom w:val="0"/>
          <w:divBdr>
            <w:top w:val="none" w:sz="0" w:space="0" w:color="auto"/>
            <w:left w:val="none" w:sz="0" w:space="0" w:color="auto"/>
            <w:bottom w:val="none" w:sz="0" w:space="0" w:color="auto"/>
            <w:right w:val="none" w:sz="0" w:space="0" w:color="auto"/>
          </w:divBdr>
        </w:div>
        <w:div w:id="813792956">
          <w:marLeft w:val="0"/>
          <w:marRight w:val="0"/>
          <w:marTop w:val="0"/>
          <w:marBottom w:val="0"/>
          <w:divBdr>
            <w:top w:val="none" w:sz="0" w:space="0" w:color="auto"/>
            <w:left w:val="none" w:sz="0" w:space="0" w:color="auto"/>
            <w:bottom w:val="none" w:sz="0" w:space="0" w:color="auto"/>
            <w:right w:val="none" w:sz="0" w:space="0" w:color="auto"/>
          </w:divBdr>
        </w:div>
      </w:divsChild>
    </w:div>
    <w:div w:id="650714459">
      <w:bodyDiv w:val="1"/>
      <w:marLeft w:val="0"/>
      <w:marRight w:val="0"/>
      <w:marTop w:val="0"/>
      <w:marBottom w:val="0"/>
      <w:divBdr>
        <w:top w:val="none" w:sz="0" w:space="0" w:color="auto"/>
        <w:left w:val="none" w:sz="0" w:space="0" w:color="auto"/>
        <w:bottom w:val="none" w:sz="0" w:space="0" w:color="auto"/>
        <w:right w:val="none" w:sz="0" w:space="0" w:color="auto"/>
      </w:divBdr>
    </w:div>
    <w:div w:id="679896297">
      <w:bodyDiv w:val="1"/>
      <w:marLeft w:val="0"/>
      <w:marRight w:val="0"/>
      <w:marTop w:val="0"/>
      <w:marBottom w:val="0"/>
      <w:divBdr>
        <w:top w:val="none" w:sz="0" w:space="0" w:color="auto"/>
        <w:left w:val="none" w:sz="0" w:space="0" w:color="auto"/>
        <w:bottom w:val="none" w:sz="0" w:space="0" w:color="auto"/>
        <w:right w:val="none" w:sz="0" w:space="0" w:color="auto"/>
      </w:divBdr>
    </w:div>
    <w:div w:id="704722174">
      <w:bodyDiv w:val="1"/>
      <w:marLeft w:val="0"/>
      <w:marRight w:val="0"/>
      <w:marTop w:val="0"/>
      <w:marBottom w:val="0"/>
      <w:divBdr>
        <w:top w:val="none" w:sz="0" w:space="0" w:color="auto"/>
        <w:left w:val="none" w:sz="0" w:space="0" w:color="auto"/>
        <w:bottom w:val="none" w:sz="0" w:space="0" w:color="auto"/>
        <w:right w:val="none" w:sz="0" w:space="0" w:color="auto"/>
      </w:divBdr>
    </w:div>
    <w:div w:id="734552985">
      <w:bodyDiv w:val="1"/>
      <w:marLeft w:val="0"/>
      <w:marRight w:val="0"/>
      <w:marTop w:val="0"/>
      <w:marBottom w:val="0"/>
      <w:divBdr>
        <w:top w:val="none" w:sz="0" w:space="0" w:color="auto"/>
        <w:left w:val="none" w:sz="0" w:space="0" w:color="auto"/>
        <w:bottom w:val="none" w:sz="0" w:space="0" w:color="auto"/>
        <w:right w:val="none" w:sz="0" w:space="0" w:color="auto"/>
      </w:divBdr>
    </w:div>
    <w:div w:id="763644872">
      <w:bodyDiv w:val="1"/>
      <w:marLeft w:val="0"/>
      <w:marRight w:val="0"/>
      <w:marTop w:val="0"/>
      <w:marBottom w:val="0"/>
      <w:divBdr>
        <w:top w:val="none" w:sz="0" w:space="0" w:color="auto"/>
        <w:left w:val="none" w:sz="0" w:space="0" w:color="auto"/>
        <w:bottom w:val="none" w:sz="0" w:space="0" w:color="auto"/>
        <w:right w:val="none" w:sz="0" w:space="0" w:color="auto"/>
      </w:divBdr>
      <w:divsChild>
        <w:div w:id="118884818">
          <w:marLeft w:val="0"/>
          <w:marRight w:val="0"/>
          <w:marTop w:val="0"/>
          <w:marBottom w:val="0"/>
          <w:divBdr>
            <w:top w:val="none" w:sz="0" w:space="0" w:color="auto"/>
            <w:left w:val="none" w:sz="0" w:space="0" w:color="auto"/>
            <w:bottom w:val="none" w:sz="0" w:space="0" w:color="auto"/>
            <w:right w:val="none" w:sz="0" w:space="0" w:color="auto"/>
          </w:divBdr>
        </w:div>
        <w:div w:id="977996335">
          <w:marLeft w:val="0"/>
          <w:marRight w:val="0"/>
          <w:marTop w:val="0"/>
          <w:marBottom w:val="0"/>
          <w:divBdr>
            <w:top w:val="none" w:sz="0" w:space="0" w:color="auto"/>
            <w:left w:val="none" w:sz="0" w:space="0" w:color="auto"/>
            <w:bottom w:val="none" w:sz="0" w:space="0" w:color="auto"/>
            <w:right w:val="none" w:sz="0" w:space="0" w:color="auto"/>
          </w:divBdr>
        </w:div>
        <w:div w:id="39402464">
          <w:marLeft w:val="0"/>
          <w:marRight w:val="0"/>
          <w:marTop w:val="0"/>
          <w:marBottom w:val="0"/>
          <w:divBdr>
            <w:top w:val="none" w:sz="0" w:space="0" w:color="auto"/>
            <w:left w:val="none" w:sz="0" w:space="0" w:color="auto"/>
            <w:bottom w:val="none" w:sz="0" w:space="0" w:color="auto"/>
            <w:right w:val="none" w:sz="0" w:space="0" w:color="auto"/>
          </w:divBdr>
        </w:div>
        <w:div w:id="732119889">
          <w:marLeft w:val="0"/>
          <w:marRight w:val="0"/>
          <w:marTop w:val="0"/>
          <w:marBottom w:val="0"/>
          <w:divBdr>
            <w:top w:val="none" w:sz="0" w:space="0" w:color="auto"/>
            <w:left w:val="none" w:sz="0" w:space="0" w:color="auto"/>
            <w:bottom w:val="none" w:sz="0" w:space="0" w:color="auto"/>
            <w:right w:val="none" w:sz="0" w:space="0" w:color="auto"/>
          </w:divBdr>
        </w:div>
        <w:div w:id="479461420">
          <w:marLeft w:val="0"/>
          <w:marRight w:val="0"/>
          <w:marTop w:val="0"/>
          <w:marBottom w:val="0"/>
          <w:divBdr>
            <w:top w:val="none" w:sz="0" w:space="0" w:color="auto"/>
            <w:left w:val="none" w:sz="0" w:space="0" w:color="auto"/>
            <w:bottom w:val="none" w:sz="0" w:space="0" w:color="auto"/>
            <w:right w:val="none" w:sz="0" w:space="0" w:color="auto"/>
          </w:divBdr>
        </w:div>
        <w:div w:id="690493944">
          <w:marLeft w:val="0"/>
          <w:marRight w:val="0"/>
          <w:marTop w:val="0"/>
          <w:marBottom w:val="0"/>
          <w:divBdr>
            <w:top w:val="none" w:sz="0" w:space="0" w:color="auto"/>
            <w:left w:val="none" w:sz="0" w:space="0" w:color="auto"/>
            <w:bottom w:val="none" w:sz="0" w:space="0" w:color="auto"/>
            <w:right w:val="none" w:sz="0" w:space="0" w:color="auto"/>
          </w:divBdr>
        </w:div>
        <w:div w:id="1301809049">
          <w:marLeft w:val="0"/>
          <w:marRight w:val="0"/>
          <w:marTop w:val="0"/>
          <w:marBottom w:val="0"/>
          <w:divBdr>
            <w:top w:val="none" w:sz="0" w:space="0" w:color="auto"/>
            <w:left w:val="none" w:sz="0" w:space="0" w:color="auto"/>
            <w:bottom w:val="none" w:sz="0" w:space="0" w:color="auto"/>
            <w:right w:val="none" w:sz="0" w:space="0" w:color="auto"/>
          </w:divBdr>
        </w:div>
        <w:div w:id="1988699480">
          <w:marLeft w:val="0"/>
          <w:marRight w:val="0"/>
          <w:marTop w:val="0"/>
          <w:marBottom w:val="0"/>
          <w:divBdr>
            <w:top w:val="none" w:sz="0" w:space="0" w:color="auto"/>
            <w:left w:val="none" w:sz="0" w:space="0" w:color="auto"/>
            <w:bottom w:val="none" w:sz="0" w:space="0" w:color="auto"/>
            <w:right w:val="none" w:sz="0" w:space="0" w:color="auto"/>
          </w:divBdr>
        </w:div>
        <w:div w:id="787353467">
          <w:marLeft w:val="0"/>
          <w:marRight w:val="0"/>
          <w:marTop w:val="0"/>
          <w:marBottom w:val="0"/>
          <w:divBdr>
            <w:top w:val="none" w:sz="0" w:space="0" w:color="auto"/>
            <w:left w:val="none" w:sz="0" w:space="0" w:color="auto"/>
            <w:bottom w:val="none" w:sz="0" w:space="0" w:color="auto"/>
            <w:right w:val="none" w:sz="0" w:space="0" w:color="auto"/>
          </w:divBdr>
        </w:div>
        <w:div w:id="2108575038">
          <w:marLeft w:val="0"/>
          <w:marRight w:val="0"/>
          <w:marTop w:val="0"/>
          <w:marBottom w:val="0"/>
          <w:divBdr>
            <w:top w:val="none" w:sz="0" w:space="0" w:color="auto"/>
            <w:left w:val="none" w:sz="0" w:space="0" w:color="auto"/>
            <w:bottom w:val="none" w:sz="0" w:space="0" w:color="auto"/>
            <w:right w:val="none" w:sz="0" w:space="0" w:color="auto"/>
          </w:divBdr>
        </w:div>
        <w:div w:id="1421489251">
          <w:marLeft w:val="0"/>
          <w:marRight w:val="0"/>
          <w:marTop w:val="0"/>
          <w:marBottom w:val="0"/>
          <w:divBdr>
            <w:top w:val="none" w:sz="0" w:space="0" w:color="auto"/>
            <w:left w:val="none" w:sz="0" w:space="0" w:color="auto"/>
            <w:bottom w:val="none" w:sz="0" w:space="0" w:color="auto"/>
            <w:right w:val="none" w:sz="0" w:space="0" w:color="auto"/>
          </w:divBdr>
        </w:div>
        <w:div w:id="1058280782">
          <w:marLeft w:val="0"/>
          <w:marRight w:val="0"/>
          <w:marTop w:val="0"/>
          <w:marBottom w:val="0"/>
          <w:divBdr>
            <w:top w:val="none" w:sz="0" w:space="0" w:color="auto"/>
            <w:left w:val="none" w:sz="0" w:space="0" w:color="auto"/>
            <w:bottom w:val="none" w:sz="0" w:space="0" w:color="auto"/>
            <w:right w:val="none" w:sz="0" w:space="0" w:color="auto"/>
          </w:divBdr>
        </w:div>
        <w:div w:id="1479422871">
          <w:marLeft w:val="0"/>
          <w:marRight w:val="0"/>
          <w:marTop w:val="0"/>
          <w:marBottom w:val="0"/>
          <w:divBdr>
            <w:top w:val="none" w:sz="0" w:space="0" w:color="auto"/>
            <w:left w:val="none" w:sz="0" w:space="0" w:color="auto"/>
            <w:bottom w:val="none" w:sz="0" w:space="0" w:color="auto"/>
            <w:right w:val="none" w:sz="0" w:space="0" w:color="auto"/>
          </w:divBdr>
        </w:div>
        <w:div w:id="1119185562">
          <w:marLeft w:val="0"/>
          <w:marRight w:val="0"/>
          <w:marTop w:val="0"/>
          <w:marBottom w:val="0"/>
          <w:divBdr>
            <w:top w:val="none" w:sz="0" w:space="0" w:color="auto"/>
            <w:left w:val="none" w:sz="0" w:space="0" w:color="auto"/>
            <w:bottom w:val="none" w:sz="0" w:space="0" w:color="auto"/>
            <w:right w:val="none" w:sz="0" w:space="0" w:color="auto"/>
          </w:divBdr>
        </w:div>
        <w:div w:id="1123309184">
          <w:marLeft w:val="0"/>
          <w:marRight w:val="0"/>
          <w:marTop w:val="0"/>
          <w:marBottom w:val="0"/>
          <w:divBdr>
            <w:top w:val="none" w:sz="0" w:space="0" w:color="auto"/>
            <w:left w:val="none" w:sz="0" w:space="0" w:color="auto"/>
            <w:bottom w:val="none" w:sz="0" w:space="0" w:color="auto"/>
            <w:right w:val="none" w:sz="0" w:space="0" w:color="auto"/>
          </w:divBdr>
        </w:div>
        <w:div w:id="137234998">
          <w:marLeft w:val="0"/>
          <w:marRight w:val="0"/>
          <w:marTop w:val="0"/>
          <w:marBottom w:val="0"/>
          <w:divBdr>
            <w:top w:val="none" w:sz="0" w:space="0" w:color="auto"/>
            <w:left w:val="none" w:sz="0" w:space="0" w:color="auto"/>
            <w:bottom w:val="none" w:sz="0" w:space="0" w:color="auto"/>
            <w:right w:val="none" w:sz="0" w:space="0" w:color="auto"/>
          </w:divBdr>
        </w:div>
        <w:div w:id="1373925048">
          <w:marLeft w:val="0"/>
          <w:marRight w:val="0"/>
          <w:marTop w:val="0"/>
          <w:marBottom w:val="0"/>
          <w:divBdr>
            <w:top w:val="none" w:sz="0" w:space="0" w:color="auto"/>
            <w:left w:val="none" w:sz="0" w:space="0" w:color="auto"/>
            <w:bottom w:val="none" w:sz="0" w:space="0" w:color="auto"/>
            <w:right w:val="none" w:sz="0" w:space="0" w:color="auto"/>
          </w:divBdr>
        </w:div>
        <w:div w:id="990407171">
          <w:marLeft w:val="0"/>
          <w:marRight w:val="0"/>
          <w:marTop w:val="0"/>
          <w:marBottom w:val="0"/>
          <w:divBdr>
            <w:top w:val="none" w:sz="0" w:space="0" w:color="auto"/>
            <w:left w:val="none" w:sz="0" w:space="0" w:color="auto"/>
            <w:bottom w:val="none" w:sz="0" w:space="0" w:color="auto"/>
            <w:right w:val="none" w:sz="0" w:space="0" w:color="auto"/>
          </w:divBdr>
        </w:div>
      </w:divsChild>
    </w:div>
    <w:div w:id="781807056">
      <w:bodyDiv w:val="1"/>
      <w:marLeft w:val="0"/>
      <w:marRight w:val="0"/>
      <w:marTop w:val="0"/>
      <w:marBottom w:val="0"/>
      <w:divBdr>
        <w:top w:val="none" w:sz="0" w:space="0" w:color="auto"/>
        <w:left w:val="none" w:sz="0" w:space="0" w:color="auto"/>
        <w:bottom w:val="none" w:sz="0" w:space="0" w:color="auto"/>
        <w:right w:val="none" w:sz="0" w:space="0" w:color="auto"/>
      </w:divBdr>
    </w:div>
    <w:div w:id="782656545">
      <w:bodyDiv w:val="1"/>
      <w:marLeft w:val="0"/>
      <w:marRight w:val="0"/>
      <w:marTop w:val="0"/>
      <w:marBottom w:val="0"/>
      <w:divBdr>
        <w:top w:val="none" w:sz="0" w:space="0" w:color="auto"/>
        <w:left w:val="none" w:sz="0" w:space="0" w:color="auto"/>
        <w:bottom w:val="none" w:sz="0" w:space="0" w:color="auto"/>
        <w:right w:val="none" w:sz="0" w:space="0" w:color="auto"/>
      </w:divBdr>
    </w:div>
    <w:div w:id="792944075">
      <w:bodyDiv w:val="1"/>
      <w:marLeft w:val="0"/>
      <w:marRight w:val="0"/>
      <w:marTop w:val="0"/>
      <w:marBottom w:val="0"/>
      <w:divBdr>
        <w:top w:val="none" w:sz="0" w:space="0" w:color="auto"/>
        <w:left w:val="none" w:sz="0" w:space="0" w:color="auto"/>
        <w:bottom w:val="none" w:sz="0" w:space="0" w:color="auto"/>
        <w:right w:val="none" w:sz="0" w:space="0" w:color="auto"/>
      </w:divBdr>
    </w:div>
    <w:div w:id="811941618">
      <w:bodyDiv w:val="1"/>
      <w:marLeft w:val="0"/>
      <w:marRight w:val="0"/>
      <w:marTop w:val="0"/>
      <w:marBottom w:val="0"/>
      <w:divBdr>
        <w:top w:val="none" w:sz="0" w:space="0" w:color="auto"/>
        <w:left w:val="none" w:sz="0" w:space="0" w:color="auto"/>
        <w:bottom w:val="none" w:sz="0" w:space="0" w:color="auto"/>
        <w:right w:val="none" w:sz="0" w:space="0" w:color="auto"/>
      </w:divBdr>
    </w:div>
    <w:div w:id="829561972">
      <w:bodyDiv w:val="1"/>
      <w:marLeft w:val="0"/>
      <w:marRight w:val="0"/>
      <w:marTop w:val="0"/>
      <w:marBottom w:val="0"/>
      <w:divBdr>
        <w:top w:val="none" w:sz="0" w:space="0" w:color="auto"/>
        <w:left w:val="none" w:sz="0" w:space="0" w:color="auto"/>
        <w:bottom w:val="none" w:sz="0" w:space="0" w:color="auto"/>
        <w:right w:val="none" w:sz="0" w:space="0" w:color="auto"/>
      </w:divBdr>
      <w:divsChild>
        <w:div w:id="2040155502">
          <w:marLeft w:val="0"/>
          <w:marRight w:val="0"/>
          <w:marTop w:val="0"/>
          <w:marBottom w:val="0"/>
          <w:divBdr>
            <w:top w:val="none" w:sz="0" w:space="0" w:color="auto"/>
            <w:left w:val="none" w:sz="0" w:space="0" w:color="auto"/>
            <w:bottom w:val="none" w:sz="0" w:space="0" w:color="auto"/>
            <w:right w:val="none" w:sz="0" w:space="0" w:color="auto"/>
          </w:divBdr>
        </w:div>
        <w:div w:id="645863006">
          <w:marLeft w:val="0"/>
          <w:marRight w:val="0"/>
          <w:marTop w:val="0"/>
          <w:marBottom w:val="0"/>
          <w:divBdr>
            <w:top w:val="none" w:sz="0" w:space="0" w:color="auto"/>
            <w:left w:val="none" w:sz="0" w:space="0" w:color="auto"/>
            <w:bottom w:val="none" w:sz="0" w:space="0" w:color="auto"/>
            <w:right w:val="none" w:sz="0" w:space="0" w:color="auto"/>
          </w:divBdr>
        </w:div>
        <w:div w:id="1448818427">
          <w:marLeft w:val="0"/>
          <w:marRight w:val="0"/>
          <w:marTop w:val="0"/>
          <w:marBottom w:val="0"/>
          <w:divBdr>
            <w:top w:val="none" w:sz="0" w:space="0" w:color="auto"/>
            <w:left w:val="none" w:sz="0" w:space="0" w:color="auto"/>
            <w:bottom w:val="none" w:sz="0" w:space="0" w:color="auto"/>
            <w:right w:val="none" w:sz="0" w:space="0" w:color="auto"/>
          </w:divBdr>
        </w:div>
        <w:div w:id="1465922612">
          <w:marLeft w:val="0"/>
          <w:marRight w:val="0"/>
          <w:marTop w:val="0"/>
          <w:marBottom w:val="0"/>
          <w:divBdr>
            <w:top w:val="none" w:sz="0" w:space="0" w:color="auto"/>
            <w:left w:val="none" w:sz="0" w:space="0" w:color="auto"/>
            <w:bottom w:val="none" w:sz="0" w:space="0" w:color="auto"/>
            <w:right w:val="none" w:sz="0" w:space="0" w:color="auto"/>
          </w:divBdr>
        </w:div>
        <w:div w:id="1333798713">
          <w:marLeft w:val="0"/>
          <w:marRight w:val="0"/>
          <w:marTop w:val="0"/>
          <w:marBottom w:val="0"/>
          <w:divBdr>
            <w:top w:val="none" w:sz="0" w:space="0" w:color="auto"/>
            <w:left w:val="none" w:sz="0" w:space="0" w:color="auto"/>
            <w:bottom w:val="none" w:sz="0" w:space="0" w:color="auto"/>
            <w:right w:val="none" w:sz="0" w:space="0" w:color="auto"/>
          </w:divBdr>
        </w:div>
        <w:div w:id="1420323423">
          <w:marLeft w:val="0"/>
          <w:marRight w:val="0"/>
          <w:marTop w:val="0"/>
          <w:marBottom w:val="0"/>
          <w:divBdr>
            <w:top w:val="none" w:sz="0" w:space="0" w:color="auto"/>
            <w:left w:val="none" w:sz="0" w:space="0" w:color="auto"/>
            <w:bottom w:val="none" w:sz="0" w:space="0" w:color="auto"/>
            <w:right w:val="none" w:sz="0" w:space="0" w:color="auto"/>
          </w:divBdr>
        </w:div>
        <w:div w:id="1474757070">
          <w:marLeft w:val="0"/>
          <w:marRight w:val="0"/>
          <w:marTop w:val="0"/>
          <w:marBottom w:val="0"/>
          <w:divBdr>
            <w:top w:val="none" w:sz="0" w:space="0" w:color="auto"/>
            <w:left w:val="none" w:sz="0" w:space="0" w:color="auto"/>
            <w:bottom w:val="none" w:sz="0" w:space="0" w:color="auto"/>
            <w:right w:val="none" w:sz="0" w:space="0" w:color="auto"/>
          </w:divBdr>
        </w:div>
        <w:div w:id="877666587">
          <w:marLeft w:val="0"/>
          <w:marRight w:val="0"/>
          <w:marTop w:val="0"/>
          <w:marBottom w:val="0"/>
          <w:divBdr>
            <w:top w:val="none" w:sz="0" w:space="0" w:color="auto"/>
            <w:left w:val="none" w:sz="0" w:space="0" w:color="auto"/>
            <w:bottom w:val="none" w:sz="0" w:space="0" w:color="auto"/>
            <w:right w:val="none" w:sz="0" w:space="0" w:color="auto"/>
          </w:divBdr>
        </w:div>
        <w:div w:id="268975212">
          <w:marLeft w:val="0"/>
          <w:marRight w:val="0"/>
          <w:marTop w:val="0"/>
          <w:marBottom w:val="0"/>
          <w:divBdr>
            <w:top w:val="none" w:sz="0" w:space="0" w:color="auto"/>
            <w:left w:val="none" w:sz="0" w:space="0" w:color="auto"/>
            <w:bottom w:val="none" w:sz="0" w:space="0" w:color="auto"/>
            <w:right w:val="none" w:sz="0" w:space="0" w:color="auto"/>
          </w:divBdr>
        </w:div>
        <w:div w:id="64648796">
          <w:marLeft w:val="0"/>
          <w:marRight w:val="0"/>
          <w:marTop w:val="0"/>
          <w:marBottom w:val="0"/>
          <w:divBdr>
            <w:top w:val="none" w:sz="0" w:space="0" w:color="auto"/>
            <w:left w:val="none" w:sz="0" w:space="0" w:color="auto"/>
            <w:bottom w:val="none" w:sz="0" w:space="0" w:color="auto"/>
            <w:right w:val="none" w:sz="0" w:space="0" w:color="auto"/>
          </w:divBdr>
        </w:div>
        <w:div w:id="1327509875">
          <w:marLeft w:val="0"/>
          <w:marRight w:val="0"/>
          <w:marTop w:val="0"/>
          <w:marBottom w:val="0"/>
          <w:divBdr>
            <w:top w:val="none" w:sz="0" w:space="0" w:color="auto"/>
            <w:left w:val="none" w:sz="0" w:space="0" w:color="auto"/>
            <w:bottom w:val="none" w:sz="0" w:space="0" w:color="auto"/>
            <w:right w:val="none" w:sz="0" w:space="0" w:color="auto"/>
          </w:divBdr>
        </w:div>
        <w:div w:id="388765844">
          <w:marLeft w:val="0"/>
          <w:marRight w:val="0"/>
          <w:marTop w:val="0"/>
          <w:marBottom w:val="0"/>
          <w:divBdr>
            <w:top w:val="none" w:sz="0" w:space="0" w:color="auto"/>
            <w:left w:val="none" w:sz="0" w:space="0" w:color="auto"/>
            <w:bottom w:val="none" w:sz="0" w:space="0" w:color="auto"/>
            <w:right w:val="none" w:sz="0" w:space="0" w:color="auto"/>
          </w:divBdr>
        </w:div>
        <w:div w:id="1831868100">
          <w:marLeft w:val="0"/>
          <w:marRight w:val="0"/>
          <w:marTop w:val="0"/>
          <w:marBottom w:val="0"/>
          <w:divBdr>
            <w:top w:val="none" w:sz="0" w:space="0" w:color="auto"/>
            <w:left w:val="none" w:sz="0" w:space="0" w:color="auto"/>
            <w:bottom w:val="none" w:sz="0" w:space="0" w:color="auto"/>
            <w:right w:val="none" w:sz="0" w:space="0" w:color="auto"/>
          </w:divBdr>
        </w:div>
        <w:div w:id="1629626187">
          <w:marLeft w:val="0"/>
          <w:marRight w:val="0"/>
          <w:marTop w:val="0"/>
          <w:marBottom w:val="0"/>
          <w:divBdr>
            <w:top w:val="none" w:sz="0" w:space="0" w:color="auto"/>
            <w:left w:val="none" w:sz="0" w:space="0" w:color="auto"/>
            <w:bottom w:val="none" w:sz="0" w:space="0" w:color="auto"/>
            <w:right w:val="none" w:sz="0" w:space="0" w:color="auto"/>
          </w:divBdr>
        </w:div>
        <w:div w:id="567034134">
          <w:marLeft w:val="0"/>
          <w:marRight w:val="0"/>
          <w:marTop w:val="0"/>
          <w:marBottom w:val="0"/>
          <w:divBdr>
            <w:top w:val="none" w:sz="0" w:space="0" w:color="auto"/>
            <w:left w:val="none" w:sz="0" w:space="0" w:color="auto"/>
            <w:bottom w:val="none" w:sz="0" w:space="0" w:color="auto"/>
            <w:right w:val="none" w:sz="0" w:space="0" w:color="auto"/>
          </w:divBdr>
        </w:div>
        <w:div w:id="2070641059">
          <w:marLeft w:val="0"/>
          <w:marRight w:val="0"/>
          <w:marTop w:val="0"/>
          <w:marBottom w:val="0"/>
          <w:divBdr>
            <w:top w:val="none" w:sz="0" w:space="0" w:color="auto"/>
            <w:left w:val="none" w:sz="0" w:space="0" w:color="auto"/>
            <w:bottom w:val="none" w:sz="0" w:space="0" w:color="auto"/>
            <w:right w:val="none" w:sz="0" w:space="0" w:color="auto"/>
          </w:divBdr>
        </w:div>
        <w:div w:id="513149665">
          <w:marLeft w:val="0"/>
          <w:marRight w:val="0"/>
          <w:marTop w:val="0"/>
          <w:marBottom w:val="0"/>
          <w:divBdr>
            <w:top w:val="none" w:sz="0" w:space="0" w:color="auto"/>
            <w:left w:val="none" w:sz="0" w:space="0" w:color="auto"/>
            <w:bottom w:val="none" w:sz="0" w:space="0" w:color="auto"/>
            <w:right w:val="none" w:sz="0" w:space="0" w:color="auto"/>
          </w:divBdr>
        </w:div>
        <w:div w:id="1755466882">
          <w:marLeft w:val="0"/>
          <w:marRight w:val="0"/>
          <w:marTop w:val="0"/>
          <w:marBottom w:val="0"/>
          <w:divBdr>
            <w:top w:val="none" w:sz="0" w:space="0" w:color="auto"/>
            <w:left w:val="none" w:sz="0" w:space="0" w:color="auto"/>
            <w:bottom w:val="none" w:sz="0" w:space="0" w:color="auto"/>
            <w:right w:val="none" w:sz="0" w:space="0" w:color="auto"/>
          </w:divBdr>
        </w:div>
      </w:divsChild>
    </w:div>
    <w:div w:id="839153857">
      <w:bodyDiv w:val="1"/>
      <w:marLeft w:val="0"/>
      <w:marRight w:val="0"/>
      <w:marTop w:val="0"/>
      <w:marBottom w:val="0"/>
      <w:divBdr>
        <w:top w:val="none" w:sz="0" w:space="0" w:color="auto"/>
        <w:left w:val="none" w:sz="0" w:space="0" w:color="auto"/>
        <w:bottom w:val="none" w:sz="0" w:space="0" w:color="auto"/>
        <w:right w:val="none" w:sz="0" w:space="0" w:color="auto"/>
      </w:divBdr>
      <w:divsChild>
        <w:div w:id="1620182773">
          <w:marLeft w:val="0"/>
          <w:marRight w:val="0"/>
          <w:marTop w:val="0"/>
          <w:marBottom w:val="0"/>
          <w:divBdr>
            <w:top w:val="none" w:sz="0" w:space="0" w:color="auto"/>
            <w:left w:val="none" w:sz="0" w:space="0" w:color="auto"/>
            <w:bottom w:val="none" w:sz="0" w:space="0" w:color="auto"/>
            <w:right w:val="none" w:sz="0" w:space="0" w:color="auto"/>
          </w:divBdr>
        </w:div>
        <w:div w:id="1849828267">
          <w:marLeft w:val="0"/>
          <w:marRight w:val="0"/>
          <w:marTop w:val="0"/>
          <w:marBottom w:val="0"/>
          <w:divBdr>
            <w:top w:val="none" w:sz="0" w:space="0" w:color="auto"/>
            <w:left w:val="none" w:sz="0" w:space="0" w:color="auto"/>
            <w:bottom w:val="none" w:sz="0" w:space="0" w:color="auto"/>
            <w:right w:val="none" w:sz="0" w:space="0" w:color="auto"/>
          </w:divBdr>
        </w:div>
        <w:div w:id="2011371465">
          <w:marLeft w:val="0"/>
          <w:marRight w:val="0"/>
          <w:marTop w:val="0"/>
          <w:marBottom w:val="0"/>
          <w:divBdr>
            <w:top w:val="none" w:sz="0" w:space="0" w:color="auto"/>
            <w:left w:val="none" w:sz="0" w:space="0" w:color="auto"/>
            <w:bottom w:val="none" w:sz="0" w:space="0" w:color="auto"/>
            <w:right w:val="none" w:sz="0" w:space="0" w:color="auto"/>
          </w:divBdr>
        </w:div>
        <w:div w:id="573468704">
          <w:marLeft w:val="0"/>
          <w:marRight w:val="0"/>
          <w:marTop w:val="0"/>
          <w:marBottom w:val="0"/>
          <w:divBdr>
            <w:top w:val="none" w:sz="0" w:space="0" w:color="auto"/>
            <w:left w:val="none" w:sz="0" w:space="0" w:color="auto"/>
            <w:bottom w:val="none" w:sz="0" w:space="0" w:color="auto"/>
            <w:right w:val="none" w:sz="0" w:space="0" w:color="auto"/>
          </w:divBdr>
        </w:div>
        <w:div w:id="934363135">
          <w:marLeft w:val="0"/>
          <w:marRight w:val="0"/>
          <w:marTop w:val="0"/>
          <w:marBottom w:val="0"/>
          <w:divBdr>
            <w:top w:val="none" w:sz="0" w:space="0" w:color="auto"/>
            <w:left w:val="none" w:sz="0" w:space="0" w:color="auto"/>
            <w:bottom w:val="none" w:sz="0" w:space="0" w:color="auto"/>
            <w:right w:val="none" w:sz="0" w:space="0" w:color="auto"/>
          </w:divBdr>
        </w:div>
        <w:div w:id="978539259">
          <w:marLeft w:val="0"/>
          <w:marRight w:val="0"/>
          <w:marTop w:val="0"/>
          <w:marBottom w:val="0"/>
          <w:divBdr>
            <w:top w:val="none" w:sz="0" w:space="0" w:color="auto"/>
            <w:left w:val="none" w:sz="0" w:space="0" w:color="auto"/>
            <w:bottom w:val="none" w:sz="0" w:space="0" w:color="auto"/>
            <w:right w:val="none" w:sz="0" w:space="0" w:color="auto"/>
          </w:divBdr>
        </w:div>
        <w:div w:id="9915292">
          <w:marLeft w:val="0"/>
          <w:marRight w:val="0"/>
          <w:marTop w:val="0"/>
          <w:marBottom w:val="0"/>
          <w:divBdr>
            <w:top w:val="none" w:sz="0" w:space="0" w:color="auto"/>
            <w:left w:val="none" w:sz="0" w:space="0" w:color="auto"/>
            <w:bottom w:val="none" w:sz="0" w:space="0" w:color="auto"/>
            <w:right w:val="none" w:sz="0" w:space="0" w:color="auto"/>
          </w:divBdr>
        </w:div>
        <w:div w:id="776293243">
          <w:marLeft w:val="0"/>
          <w:marRight w:val="0"/>
          <w:marTop w:val="0"/>
          <w:marBottom w:val="0"/>
          <w:divBdr>
            <w:top w:val="none" w:sz="0" w:space="0" w:color="auto"/>
            <w:left w:val="none" w:sz="0" w:space="0" w:color="auto"/>
            <w:bottom w:val="none" w:sz="0" w:space="0" w:color="auto"/>
            <w:right w:val="none" w:sz="0" w:space="0" w:color="auto"/>
          </w:divBdr>
        </w:div>
        <w:div w:id="1487090571">
          <w:marLeft w:val="0"/>
          <w:marRight w:val="0"/>
          <w:marTop w:val="0"/>
          <w:marBottom w:val="0"/>
          <w:divBdr>
            <w:top w:val="none" w:sz="0" w:space="0" w:color="auto"/>
            <w:left w:val="none" w:sz="0" w:space="0" w:color="auto"/>
            <w:bottom w:val="none" w:sz="0" w:space="0" w:color="auto"/>
            <w:right w:val="none" w:sz="0" w:space="0" w:color="auto"/>
          </w:divBdr>
        </w:div>
        <w:div w:id="1846554521">
          <w:marLeft w:val="0"/>
          <w:marRight w:val="0"/>
          <w:marTop w:val="0"/>
          <w:marBottom w:val="0"/>
          <w:divBdr>
            <w:top w:val="none" w:sz="0" w:space="0" w:color="auto"/>
            <w:left w:val="none" w:sz="0" w:space="0" w:color="auto"/>
            <w:bottom w:val="none" w:sz="0" w:space="0" w:color="auto"/>
            <w:right w:val="none" w:sz="0" w:space="0" w:color="auto"/>
          </w:divBdr>
        </w:div>
        <w:div w:id="252663061">
          <w:marLeft w:val="0"/>
          <w:marRight w:val="0"/>
          <w:marTop w:val="0"/>
          <w:marBottom w:val="0"/>
          <w:divBdr>
            <w:top w:val="none" w:sz="0" w:space="0" w:color="auto"/>
            <w:left w:val="none" w:sz="0" w:space="0" w:color="auto"/>
            <w:bottom w:val="none" w:sz="0" w:space="0" w:color="auto"/>
            <w:right w:val="none" w:sz="0" w:space="0" w:color="auto"/>
          </w:divBdr>
        </w:div>
        <w:div w:id="404574817">
          <w:marLeft w:val="0"/>
          <w:marRight w:val="0"/>
          <w:marTop w:val="0"/>
          <w:marBottom w:val="0"/>
          <w:divBdr>
            <w:top w:val="none" w:sz="0" w:space="0" w:color="auto"/>
            <w:left w:val="none" w:sz="0" w:space="0" w:color="auto"/>
            <w:bottom w:val="none" w:sz="0" w:space="0" w:color="auto"/>
            <w:right w:val="none" w:sz="0" w:space="0" w:color="auto"/>
          </w:divBdr>
        </w:div>
        <w:div w:id="1901790280">
          <w:marLeft w:val="0"/>
          <w:marRight w:val="0"/>
          <w:marTop w:val="0"/>
          <w:marBottom w:val="0"/>
          <w:divBdr>
            <w:top w:val="none" w:sz="0" w:space="0" w:color="auto"/>
            <w:left w:val="none" w:sz="0" w:space="0" w:color="auto"/>
            <w:bottom w:val="none" w:sz="0" w:space="0" w:color="auto"/>
            <w:right w:val="none" w:sz="0" w:space="0" w:color="auto"/>
          </w:divBdr>
        </w:div>
        <w:div w:id="939531239">
          <w:marLeft w:val="0"/>
          <w:marRight w:val="0"/>
          <w:marTop w:val="0"/>
          <w:marBottom w:val="0"/>
          <w:divBdr>
            <w:top w:val="none" w:sz="0" w:space="0" w:color="auto"/>
            <w:left w:val="none" w:sz="0" w:space="0" w:color="auto"/>
            <w:bottom w:val="none" w:sz="0" w:space="0" w:color="auto"/>
            <w:right w:val="none" w:sz="0" w:space="0" w:color="auto"/>
          </w:divBdr>
        </w:div>
        <w:div w:id="108666533">
          <w:marLeft w:val="0"/>
          <w:marRight w:val="0"/>
          <w:marTop w:val="0"/>
          <w:marBottom w:val="0"/>
          <w:divBdr>
            <w:top w:val="none" w:sz="0" w:space="0" w:color="auto"/>
            <w:left w:val="none" w:sz="0" w:space="0" w:color="auto"/>
            <w:bottom w:val="none" w:sz="0" w:space="0" w:color="auto"/>
            <w:right w:val="none" w:sz="0" w:space="0" w:color="auto"/>
          </w:divBdr>
        </w:div>
        <w:div w:id="729621897">
          <w:marLeft w:val="0"/>
          <w:marRight w:val="0"/>
          <w:marTop w:val="0"/>
          <w:marBottom w:val="0"/>
          <w:divBdr>
            <w:top w:val="none" w:sz="0" w:space="0" w:color="auto"/>
            <w:left w:val="none" w:sz="0" w:space="0" w:color="auto"/>
            <w:bottom w:val="none" w:sz="0" w:space="0" w:color="auto"/>
            <w:right w:val="none" w:sz="0" w:space="0" w:color="auto"/>
          </w:divBdr>
        </w:div>
        <w:div w:id="284505820">
          <w:marLeft w:val="0"/>
          <w:marRight w:val="0"/>
          <w:marTop w:val="0"/>
          <w:marBottom w:val="0"/>
          <w:divBdr>
            <w:top w:val="none" w:sz="0" w:space="0" w:color="auto"/>
            <w:left w:val="none" w:sz="0" w:space="0" w:color="auto"/>
            <w:bottom w:val="none" w:sz="0" w:space="0" w:color="auto"/>
            <w:right w:val="none" w:sz="0" w:space="0" w:color="auto"/>
          </w:divBdr>
        </w:div>
        <w:div w:id="552236208">
          <w:marLeft w:val="0"/>
          <w:marRight w:val="0"/>
          <w:marTop w:val="0"/>
          <w:marBottom w:val="0"/>
          <w:divBdr>
            <w:top w:val="none" w:sz="0" w:space="0" w:color="auto"/>
            <w:left w:val="none" w:sz="0" w:space="0" w:color="auto"/>
            <w:bottom w:val="none" w:sz="0" w:space="0" w:color="auto"/>
            <w:right w:val="none" w:sz="0" w:space="0" w:color="auto"/>
          </w:divBdr>
        </w:div>
        <w:div w:id="1067922023">
          <w:marLeft w:val="0"/>
          <w:marRight w:val="0"/>
          <w:marTop w:val="0"/>
          <w:marBottom w:val="0"/>
          <w:divBdr>
            <w:top w:val="none" w:sz="0" w:space="0" w:color="auto"/>
            <w:left w:val="none" w:sz="0" w:space="0" w:color="auto"/>
            <w:bottom w:val="none" w:sz="0" w:space="0" w:color="auto"/>
            <w:right w:val="none" w:sz="0" w:space="0" w:color="auto"/>
          </w:divBdr>
        </w:div>
        <w:div w:id="902791027">
          <w:marLeft w:val="0"/>
          <w:marRight w:val="0"/>
          <w:marTop w:val="0"/>
          <w:marBottom w:val="0"/>
          <w:divBdr>
            <w:top w:val="none" w:sz="0" w:space="0" w:color="auto"/>
            <w:left w:val="none" w:sz="0" w:space="0" w:color="auto"/>
            <w:bottom w:val="none" w:sz="0" w:space="0" w:color="auto"/>
            <w:right w:val="none" w:sz="0" w:space="0" w:color="auto"/>
          </w:divBdr>
        </w:div>
        <w:div w:id="290788281">
          <w:marLeft w:val="0"/>
          <w:marRight w:val="0"/>
          <w:marTop w:val="0"/>
          <w:marBottom w:val="0"/>
          <w:divBdr>
            <w:top w:val="none" w:sz="0" w:space="0" w:color="auto"/>
            <w:left w:val="none" w:sz="0" w:space="0" w:color="auto"/>
            <w:bottom w:val="none" w:sz="0" w:space="0" w:color="auto"/>
            <w:right w:val="none" w:sz="0" w:space="0" w:color="auto"/>
          </w:divBdr>
        </w:div>
      </w:divsChild>
    </w:div>
    <w:div w:id="841355486">
      <w:bodyDiv w:val="1"/>
      <w:marLeft w:val="0"/>
      <w:marRight w:val="0"/>
      <w:marTop w:val="0"/>
      <w:marBottom w:val="0"/>
      <w:divBdr>
        <w:top w:val="none" w:sz="0" w:space="0" w:color="auto"/>
        <w:left w:val="none" w:sz="0" w:space="0" w:color="auto"/>
        <w:bottom w:val="none" w:sz="0" w:space="0" w:color="auto"/>
        <w:right w:val="none" w:sz="0" w:space="0" w:color="auto"/>
      </w:divBdr>
    </w:div>
    <w:div w:id="852719556">
      <w:bodyDiv w:val="1"/>
      <w:marLeft w:val="0"/>
      <w:marRight w:val="0"/>
      <w:marTop w:val="0"/>
      <w:marBottom w:val="0"/>
      <w:divBdr>
        <w:top w:val="none" w:sz="0" w:space="0" w:color="auto"/>
        <w:left w:val="none" w:sz="0" w:space="0" w:color="auto"/>
        <w:bottom w:val="none" w:sz="0" w:space="0" w:color="auto"/>
        <w:right w:val="none" w:sz="0" w:space="0" w:color="auto"/>
      </w:divBdr>
    </w:div>
    <w:div w:id="853880928">
      <w:bodyDiv w:val="1"/>
      <w:marLeft w:val="0"/>
      <w:marRight w:val="0"/>
      <w:marTop w:val="0"/>
      <w:marBottom w:val="0"/>
      <w:divBdr>
        <w:top w:val="none" w:sz="0" w:space="0" w:color="auto"/>
        <w:left w:val="none" w:sz="0" w:space="0" w:color="auto"/>
        <w:bottom w:val="none" w:sz="0" w:space="0" w:color="auto"/>
        <w:right w:val="none" w:sz="0" w:space="0" w:color="auto"/>
      </w:divBdr>
    </w:div>
    <w:div w:id="858271954">
      <w:bodyDiv w:val="1"/>
      <w:marLeft w:val="0"/>
      <w:marRight w:val="0"/>
      <w:marTop w:val="0"/>
      <w:marBottom w:val="0"/>
      <w:divBdr>
        <w:top w:val="none" w:sz="0" w:space="0" w:color="auto"/>
        <w:left w:val="none" w:sz="0" w:space="0" w:color="auto"/>
        <w:bottom w:val="none" w:sz="0" w:space="0" w:color="auto"/>
        <w:right w:val="none" w:sz="0" w:space="0" w:color="auto"/>
      </w:divBdr>
    </w:div>
    <w:div w:id="970599820">
      <w:bodyDiv w:val="1"/>
      <w:marLeft w:val="0"/>
      <w:marRight w:val="0"/>
      <w:marTop w:val="0"/>
      <w:marBottom w:val="0"/>
      <w:divBdr>
        <w:top w:val="none" w:sz="0" w:space="0" w:color="auto"/>
        <w:left w:val="none" w:sz="0" w:space="0" w:color="auto"/>
        <w:bottom w:val="none" w:sz="0" w:space="0" w:color="auto"/>
        <w:right w:val="none" w:sz="0" w:space="0" w:color="auto"/>
      </w:divBdr>
    </w:div>
    <w:div w:id="985821724">
      <w:bodyDiv w:val="1"/>
      <w:marLeft w:val="0"/>
      <w:marRight w:val="0"/>
      <w:marTop w:val="0"/>
      <w:marBottom w:val="0"/>
      <w:divBdr>
        <w:top w:val="none" w:sz="0" w:space="0" w:color="auto"/>
        <w:left w:val="none" w:sz="0" w:space="0" w:color="auto"/>
        <w:bottom w:val="none" w:sz="0" w:space="0" w:color="auto"/>
        <w:right w:val="none" w:sz="0" w:space="0" w:color="auto"/>
      </w:divBdr>
      <w:divsChild>
        <w:div w:id="1200554947">
          <w:marLeft w:val="0"/>
          <w:marRight w:val="0"/>
          <w:marTop w:val="0"/>
          <w:marBottom w:val="0"/>
          <w:divBdr>
            <w:top w:val="none" w:sz="0" w:space="0" w:color="auto"/>
            <w:left w:val="none" w:sz="0" w:space="0" w:color="auto"/>
            <w:bottom w:val="none" w:sz="0" w:space="0" w:color="auto"/>
            <w:right w:val="none" w:sz="0" w:space="0" w:color="auto"/>
          </w:divBdr>
        </w:div>
        <w:div w:id="1212695520">
          <w:marLeft w:val="0"/>
          <w:marRight w:val="0"/>
          <w:marTop w:val="0"/>
          <w:marBottom w:val="0"/>
          <w:divBdr>
            <w:top w:val="none" w:sz="0" w:space="0" w:color="auto"/>
            <w:left w:val="none" w:sz="0" w:space="0" w:color="auto"/>
            <w:bottom w:val="none" w:sz="0" w:space="0" w:color="auto"/>
            <w:right w:val="none" w:sz="0" w:space="0" w:color="auto"/>
          </w:divBdr>
        </w:div>
        <w:div w:id="486098066">
          <w:marLeft w:val="0"/>
          <w:marRight w:val="0"/>
          <w:marTop w:val="0"/>
          <w:marBottom w:val="0"/>
          <w:divBdr>
            <w:top w:val="none" w:sz="0" w:space="0" w:color="auto"/>
            <w:left w:val="none" w:sz="0" w:space="0" w:color="auto"/>
            <w:bottom w:val="none" w:sz="0" w:space="0" w:color="auto"/>
            <w:right w:val="none" w:sz="0" w:space="0" w:color="auto"/>
          </w:divBdr>
        </w:div>
        <w:div w:id="914389617">
          <w:marLeft w:val="0"/>
          <w:marRight w:val="0"/>
          <w:marTop w:val="0"/>
          <w:marBottom w:val="0"/>
          <w:divBdr>
            <w:top w:val="none" w:sz="0" w:space="0" w:color="auto"/>
            <w:left w:val="none" w:sz="0" w:space="0" w:color="auto"/>
            <w:bottom w:val="none" w:sz="0" w:space="0" w:color="auto"/>
            <w:right w:val="none" w:sz="0" w:space="0" w:color="auto"/>
          </w:divBdr>
        </w:div>
        <w:div w:id="1725134435">
          <w:marLeft w:val="0"/>
          <w:marRight w:val="0"/>
          <w:marTop w:val="0"/>
          <w:marBottom w:val="0"/>
          <w:divBdr>
            <w:top w:val="none" w:sz="0" w:space="0" w:color="auto"/>
            <w:left w:val="none" w:sz="0" w:space="0" w:color="auto"/>
            <w:bottom w:val="none" w:sz="0" w:space="0" w:color="auto"/>
            <w:right w:val="none" w:sz="0" w:space="0" w:color="auto"/>
          </w:divBdr>
        </w:div>
        <w:div w:id="1506436529">
          <w:marLeft w:val="0"/>
          <w:marRight w:val="0"/>
          <w:marTop w:val="0"/>
          <w:marBottom w:val="0"/>
          <w:divBdr>
            <w:top w:val="none" w:sz="0" w:space="0" w:color="auto"/>
            <w:left w:val="none" w:sz="0" w:space="0" w:color="auto"/>
            <w:bottom w:val="none" w:sz="0" w:space="0" w:color="auto"/>
            <w:right w:val="none" w:sz="0" w:space="0" w:color="auto"/>
          </w:divBdr>
        </w:div>
        <w:div w:id="1556773466">
          <w:marLeft w:val="0"/>
          <w:marRight w:val="0"/>
          <w:marTop w:val="0"/>
          <w:marBottom w:val="0"/>
          <w:divBdr>
            <w:top w:val="none" w:sz="0" w:space="0" w:color="auto"/>
            <w:left w:val="none" w:sz="0" w:space="0" w:color="auto"/>
            <w:bottom w:val="none" w:sz="0" w:space="0" w:color="auto"/>
            <w:right w:val="none" w:sz="0" w:space="0" w:color="auto"/>
          </w:divBdr>
        </w:div>
        <w:div w:id="1975140020">
          <w:marLeft w:val="0"/>
          <w:marRight w:val="0"/>
          <w:marTop w:val="0"/>
          <w:marBottom w:val="0"/>
          <w:divBdr>
            <w:top w:val="none" w:sz="0" w:space="0" w:color="auto"/>
            <w:left w:val="none" w:sz="0" w:space="0" w:color="auto"/>
            <w:bottom w:val="none" w:sz="0" w:space="0" w:color="auto"/>
            <w:right w:val="none" w:sz="0" w:space="0" w:color="auto"/>
          </w:divBdr>
        </w:div>
        <w:div w:id="663748845">
          <w:marLeft w:val="0"/>
          <w:marRight w:val="0"/>
          <w:marTop w:val="0"/>
          <w:marBottom w:val="0"/>
          <w:divBdr>
            <w:top w:val="none" w:sz="0" w:space="0" w:color="auto"/>
            <w:left w:val="none" w:sz="0" w:space="0" w:color="auto"/>
            <w:bottom w:val="none" w:sz="0" w:space="0" w:color="auto"/>
            <w:right w:val="none" w:sz="0" w:space="0" w:color="auto"/>
          </w:divBdr>
        </w:div>
        <w:div w:id="46149015">
          <w:marLeft w:val="0"/>
          <w:marRight w:val="0"/>
          <w:marTop w:val="0"/>
          <w:marBottom w:val="0"/>
          <w:divBdr>
            <w:top w:val="none" w:sz="0" w:space="0" w:color="auto"/>
            <w:left w:val="none" w:sz="0" w:space="0" w:color="auto"/>
            <w:bottom w:val="none" w:sz="0" w:space="0" w:color="auto"/>
            <w:right w:val="none" w:sz="0" w:space="0" w:color="auto"/>
          </w:divBdr>
        </w:div>
        <w:div w:id="31199402">
          <w:marLeft w:val="0"/>
          <w:marRight w:val="0"/>
          <w:marTop w:val="0"/>
          <w:marBottom w:val="0"/>
          <w:divBdr>
            <w:top w:val="none" w:sz="0" w:space="0" w:color="auto"/>
            <w:left w:val="none" w:sz="0" w:space="0" w:color="auto"/>
            <w:bottom w:val="none" w:sz="0" w:space="0" w:color="auto"/>
            <w:right w:val="none" w:sz="0" w:space="0" w:color="auto"/>
          </w:divBdr>
        </w:div>
        <w:div w:id="1574007986">
          <w:marLeft w:val="0"/>
          <w:marRight w:val="0"/>
          <w:marTop w:val="0"/>
          <w:marBottom w:val="0"/>
          <w:divBdr>
            <w:top w:val="none" w:sz="0" w:space="0" w:color="auto"/>
            <w:left w:val="none" w:sz="0" w:space="0" w:color="auto"/>
            <w:bottom w:val="none" w:sz="0" w:space="0" w:color="auto"/>
            <w:right w:val="none" w:sz="0" w:space="0" w:color="auto"/>
          </w:divBdr>
        </w:div>
        <w:div w:id="2032342611">
          <w:marLeft w:val="0"/>
          <w:marRight w:val="0"/>
          <w:marTop w:val="0"/>
          <w:marBottom w:val="0"/>
          <w:divBdr>
            <w:top w:val="none" w:sz="0" w:space="0" w:color="auto"/>
            <w:left w:val="none" w:sz="0" w:space="0" w:color="auto"/>
            <w:bottom w:val="none" w:sz="0" w:space="0" w:color="auto"/>
            <w:right w:val="none" w:sz="0" w:space="0" w:color="auto"/>
          </w:divBdr>
        </w:div>
        <w:div w:id="2139953745">
          <w:marLeft w:val="0"/>
          <w:marRight w:val="0"/>
          <w:marTop w:val="0"/>
          <w:marBottom w:val="0"/>
          <w:divBdr>
            <w:top w:val="none" w:sz="0" w:space="0" w:color="auto"/>
            <w:left w:val="none" w:sz="0" w:space="0" w:color="auto"/>
            <w:bottom w:val="none" w:sz="0" w:space="0" w:color="auto"/>
            <w:right w:val="none" w:sz="0" w:space="0" w:color="auto"/>
          </w:divBdr>
        </w:div>
        <w:div w:id="421336779">
          <w:marLeft w:val="0"/>
          <w:marRight w:val="0"/>
          <w:marTop w:val="0"/>
          <w:marBottom w:val="0"/>
          <w:divBdr>
            <w:top w:val="none" w:sz="0" w:space="0" w:color="auto"/>
            <w:left w:val="none" w:sz="0" w:space="0" w:color="auto"/>
            <w:bottom w:val="none" w:sz="0" w:space="0" w:color="auto"/>
            <w:right w:val="none" w:sz="0" w:space="0" w:color="auto"/>
          </w:divBdr>
        </w:div>
        <w:div w:id="178083958">
          <w:marLeft w:val="0"/>
          <w:marRight w:val="0"/>
          <w:marTop w:val="0"/>
          <w:marBottom w:val="0"/>
          <w:divBdr>
            <w:top w:val="none" w:sz="0" w:space="0" w:color="auto"/>
            <w:left w:val="none" w:sz="0" w:space="0" w:color="auto"/>
            <w:bottom w:val="none" w:sz="0" w:space="0" w:color="auto"/>
            <w:right w:val="none" w:sz="0" w:space="0" w:color="auto"/>
          </w:divBdr>
        </w:div>
        <w:div w:id="1388457654">
          <w:marLeft w:val="0"/>
          <w:marRight w:val="0"/>
          <w:marTop w:val="0"/>
          <w:marBottom w:val="0"/>
          <w:divBdr>
            <w:top w:val="none" w:sz="0" w:space="0" w:color="auto"/>
            <w:left w:val="none" w:sz="0" w:space="0" w:color="auto"/>
            <w:bottom w:val="none" w:sz="0" w:space="0" w:color="auto"/>
            <w:right w:val="none" w:sz="0" w:space="0" w:color="auto"/>
          </w:divBdr>
        </w:div>
        <w:div w:id="301352319">
          <w:marLeft w:val="0"/>
          <w:marRight w:val="0"/>
          <w:marTop w:val="0"/>
          <w:marBottom w:val="0"/>
          <w:divBdr>
            <w:top w:val="none" w:sz="0" w:space="0" w:color="auto"/>
            <w:left w:val="none" w:sz="0" w:space="0" w:color="auto"/>
            <w:bottom w:val="none" w:sz="0" w:space="0" w:color="auto"/>
            <w:right w:val="none" w:sz="0" w:space="0" w:color="auto"/>
          </w:divBdr>
        </w:div>
      </w:divsChild>
    </w:div>
    <w:div w:id="1007248951">
      <w:bodyDiv w:val="1"/>
      <w:marLeft w:val="0"/>
      <w:marRight w:val="0"/>
      <w:marTop w:val="0"/>
      <w:marBottom w:val="0"/>
      <w:divBdr>
        <w:top w:val="none" w:sz="0" w:space="0" w:color="auto"/>
        <w:left w:val="none" w:sz="0" w:space="0" w:color="auto"/>
        <w:bottom w:val="none" w:sz="0" w:space="0" w:color="auto"/>
        <w:right w:val="none" w:sz="0" w:space="0" w:color="auto"/>
      </w:divBdr>
    </w:div>
    <w:div w:id="1049574273">
      <w:bodyDiv w:val="1"/>
      <w:marLeft w:val="0"/>
      <w:marRight w:val="0"/>
      <w:marTop w:val="0"/>
      <w:marBottom w:val="0"/>
      <w:divBdr>
        <w:top w:val="none" w:sz="0" w:space="0" w:color="auto"/>
        <w:left w:val="none" w:sz="0" w:space="0" w:color="auto"/>
        <w:bottom w:val="none" w:sz="0" w:space="0" w:color="auto"/>
        <w:right w:val="none" w:sz="0" w:space="0" w:color="auto"/>
      </w:divBdr>
      <w:divsChild>
        <w:div w:id="1139494872">
          <w:marLeft w:val="0"/>
          <w:marRight w:val="0"/>
          <w:marTop w:val="0"/>
          <w:marBottom w:val="0"/>
          <w:divBdr>
            <w:top w:val="none" w:sz="0" w:space="0" w:color="auto"/>
            <w:left w:val="none" w:sz="0" w:space="0" w:color="auto"/>
            <w:bottom w:val="none" w:sz="0" w:space="0" w:color="auto"/>
            <w:right w:val="none" w:sz="0" w:space="0" w:color="auto"/>
          </w:divBdr>
        </w:div>
        <w:div w:id="638847583">
          <w:marLeft w:val="0"/>
          <w:marRight w:val="0"/>
          <w:marTop w:val="0"/>
          <w:marBottom w:val="0"/>
          <w:divBdr>
            <w:top w:val="none" w:sz="0" w:space="0" w:color="auto"/>
            <w:left w:val="none" w:sz="0" w:space="0" w:color="auto"/>
            <w:bottom w:val="none" w:sz="0" w:space="0" w:color="auto"/>
            <w:right w:val="none" w:sz="0" w:space="0" w:color="auto"/>
          </w:divBdr>
        </w:div>
        <w:div w:id="1554851369">
          <w:marLeft w:val="0"/>
          <w:marRight w:val="0"/>
          <w:marTop w:val="0"/>
          <w:marBottom w:val="0"/>
          <w:divBdr>
            <w:top w:val="none" w:sz="0" w:space="0" w:color="auto"/>
            <w:left w:val="none" w:sz="0" w:space="0" w:color="auto"/>
            <w:bottom w:val="none" w:sz="0" w:space="0" w:color="auto"/>
            <w:right w:val="none" w:sz="0" w:space="0" w:color="auto"/>
          </w:divBdr>
        </w:div>
        <w:div w:id="340819454">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740057574">
          <w:marLeft w:val="0"/>
          <w:marRight w:val="0"/>
          <w:marTop w:val="0"/>
          <w:marBottom w:val="0"/>
          <w:divBdr>
            <w:top w:val="none" w:sz="0" w:space="0" w:color="auto"/>
            <w:left w:val="none" w:sz="0" w:space="0" w:color="auto"/>
            <w:bottom w:val="none" w:sz="0" w:space="0" w:color="auto"/>
            <w:right w:val="none" w:sz="0" w:space="0" w:color="auto"/>
          </w:divBdr>
        </w:div>
        <w:div w:id="1597785093">
          <w:marLeft w:val="0"/>
          <w:marRight w:val="0"/>
          <w:marTop w:val="0"/>
          <w:marBottom w:val="0"/>
          <w:divBdr>
            <w:top w:val="none" w:sz="0" w:space="0" w:color="auto"/>
            <w:left w:val="none" w:sz="0" w:space="0" w:color="auto"/>
            <w:bottom w:val="none" w:sz="0" w:space="0" w:color="auto"/>
            <w:right w:val="none" w:sz="0" w:space="0" w:color="auto"/>
          </w:divBdr>
        </w:div>
        <w:div w:id="232202299">
          <w:marLeft w:val="0"/>
          <w:marRight w:val="0"/>
          <w:marTop w:val="0"/>
          <w:marBottom w:val="0"/>
          <w:divBdr>
            <w:top w:val="none" w:sz="0" w:space="0" w:color="auto"/>
            <w:left w:val="none" w:sz="0" w:space="0" w:color="auto"/>
            <w:bottom w:val="none" w:sz="0" w:space="0" w:color="auto"/>
            <w:right w:val="none" w:sz="0" w:space="0" w:color="auto"/>
          </w:divBdr>
        </w:div>
        <w:div w:id="1988707121">
          <w:marLeft w:val="0"/>
          <w:marRight w:val="0"/>
          <w:marTop w:val="0"/>
          <w:marBottom w:val="0"/>
          <w:divBdr>
            <w:top w:val="none" w:sz="0" w:space="0" w:color="auto"/>
            <w:left w:val="none" w:sz="0" w:space="0" w:color="auto"/>
            <w:bottom w:val="none" w:sz="0" w:space="0" w:color="auto"/>
            <w:right w:val="none" w:sz="0" w:space="0" w:color="auto"/>
          </w:divBdr>
        </w:div>
        <w:div w:id="1559627181">
          <w:marLeft w:val="0"/>
          <w:marRight w:val="0"/>
          <w:marTop w:val="0"/>
          <w:marBottom w:val="0"/>
          <w:divBdr>
            <w:top w:val="none" w:sz="0" w:space="0" w:color="auto"/>
            <w:left w:val="none" w:sz="0" w:space="0" w:color="auto"/>
            <w:bottom w:val="none" w:sz="0" w:space="0" w:color="auto"/>
            <w:right w:val="none" w:sz="0" w:space="0" w:color="auto"/>
          </w:divBdr>
        </w:div>
        <w:div w:id="1200240257">
          <w:marLeft w:val="0"/>
          <w:marRight w:val="0"/>
          <w:marTop w:val="0"/>
          <w:marBottom w:val="0"/>
          <w:divBdr>
            <w:top w:val="none" w:sz="0" w:space="0" w:color="auto"/>
            <w:left w:val="none" w:sz="0" w:space="0" w:color="auto"/>
            <w:bottom w:val="none" w:sz="0" w:space="0" w:color="auto"/>
            <w:right w:val="none" w:sz="0" w:space="0" w:color="auto"/>
          </w:divBdr>
        </w:div>
        <w:div w:id="324751655">
          <w:marLeft w:val="0"/>
          <w:marRight w:val="0"/>
          <w:marTop w:val="0"/>
          <w:marBottom w:val="0"/>
          <w:divBdr>
            <w:top w:val="none" w:sz="0" w:space="0" w:color="auto"/>
            <w:left w:val="none" w:sz="0" w:space="0" w:color="auto"/>
            <w:bottom w:val="none" w:sz="0" w:space="0" w:color="auto"/>
            <w:right w:val="none" w:sz="0" w:space="0" w:color="auto"/>
          </w:divBdr>
        </w:div>
        <w:div w:id="1498306578">
          <w:marLeft w:val="0"/>
          <w:marRight w:val="0"/>
          <w:marTop w:val="0"/>
          <w:marBottom w:val="0"/>
          <w:divBdr>
            <w:top w:val="none" w:sz="0" w:space="0" w:color="auto"/>
            <w:left w:val="none" w:sz="0" w:space="0" w:color="auto"/>
            <w:bottom w:val="none" w:sz="0" w:space="0" w:color="auto"/>
            <w:right w:val="none" w:sz="0" w:space="0" w:color="auto"/>
          </w:divBdr>
        </w:div>
        <w:div w:id="1405176926">
          <w:marLeft w:val="0"/>
          <w:marRight w:val="0"/>
          <w:marTop w:val="0"/>
          <w:marBottom w:val="0"/>
          <w:divBdr>
            <w:top w:val="none" w:sz="0" w:space="0" w:color="auto"/>
            <w:left w:val="none" w:sz="0" w:space="0" w:color="auto"/>
            <w:bottom w:val="none" w:sz="0" w:space="0" w:color="auto"/>
            <w:right w:val="none" w:sz="0" w:space="0" w:color="auto"/>
          </w:divBdr>
        </w:div>
        <w:div w:id="1163204303">
          <w:marLeft w:val="0"/>
          <w:marRight w:val="0"/>
          <w:marTop w:val="0"/>
          <w:marBottom w:val="0"/>
          <w:divBdr>
            <w:top w:val="none" w:sz="0" w:space="0" w:color="auto"/>
            <w:left w:val="none" w:sz="0" w:space="0" w:color="auto"/>
            <w:bottom w:val="none" w:sz="0" w:space="0" w:color="auto"/>
            <w:right w:val="none" w:sz="0" w:space="0" w:color="auto"/>
          </w:divBdr>
        </w:div>
        <w:div w:id="155725483">
          <w:marLeft w:val="0"/>
          <w:marRight w:val="0"/>
          <w:marTop w:val="0"/>
          <w:marBottom w:val="0"/>
          <w:divBdr>
            <w:top w:val="none" w:sz="0" w:space="0" w:color="auto"/>
            <w:left w:val="none" w:sz="0" w:space="0" w:color="auto"/>
            <w:bottom w:val="none" w:sz="0" w:space="0" w:color="auto"/>
            <w:right w:val="none" w:sz="0" w:space="0" w:color="auto"/>
          </w:divBdr>
        </w:div>
        <w:div w:id="1934049676">
          <w:marLeft w:val="0"/>
          <w:marRight w:val="0"/>
          <w:marTop w:val="0"/>
          <w:marBottom w:val="0"/>
          <w:divBdr>
            <w:top w:val="none" w:sz="0" w:space="0" w:color="auto"/>
            <w:left w:val="none" w:sz="0" w:space="0" w:color="auto"/>
            <w:bottom w:val="none" w:sz="0" w:space="0" w:color="auto"/>
            <w:right w:val="none" w:sz="0" w:space="0" w:color="auto"/>
          </w:divBdr>
        </w:div>
        <w:div w:id="767427686">
          <w:marLeft w:val="0"/>
          <w:marRight w:val="0"/>
          <w:marTop w:val="0"/>
          <w:marBottom w:val="0"/>
          <w:divBdr>
            <w:top w:val="none" w:sz="0" w:space="0" w:color="auto"/>
            <w:left w:val="none" w:sz="0" w:space="0" w:color="auto"/>
            <w:bottom w:val="none" w:sz="0" w:space="0" w:color="auto"/>
            <w:right w:val="none" w:sz="0" w:space="0" w:color="auto"/>
          </w:divBdr>
        </w:div>
        <w:div w:id="870189862">
          <w:marLeft w:val="0"/>
          <w:marRight w:val="0"/>
          <w:marTop w:val="0"/>
          <w:marBottom w:val="0"/>
          <w:divBdr>
            <w:top w:val="none" w:sz="0" w:space="0" w:color="auto"/>
            <w:left w:val="none" w:sz="0" w:space="0" w:color="auto"/>
            <w:bottom w:val="none" w:sz="0" w:space="0" w:color="auto"/>
            <w:right w:val="none" w:sz="0" w:space="0" w:color="auto"/>
          </w:divBdr>
        </w:div>
        <w:div w:id="1132019278">
          <w:marLeft w:val="0"/>
          <w:marRight w:val="0"/>
          <w:marTop w:val="0"/>
          <w:marBottom w:val="0"/>
          <w:divBdr>
            <w:top w:val="none" w:sz="0" w:space="0" w:color="auto"/>
            <w:left w:val="none" w:sz="0" w:space="0" w:color="auto"/>
            <w:bottom w:val="none" w:sz="0" w:space="0" w:color="auto"/>
            <w:right w:val="none" w:sz="0" w:space="0" w:color="auto"/>
          </w:divBdr>
        </w:div>
        <w:div w:id="1491408636">
          <w:marLeft w:val="0"/>
          <w:marRight w:val="0"/>
          <w:marTop w:val="0"/>
          <w:marBottom w:val="0"/>
          <w:divBdr>
            <w:top w:val="none" w:sz="0" w:space="0" w:color="auto"/>
            <w:left w:val="none" w:sz="0" w:space="0" w:color="auto"/>
            <w:bottom w:val="none" w:sz="0" w:space="0" w:color="auto"/>
            <w:right w:val="none" w:sz="0" w:space="0" w:color="auto"/>
          </w:divBdr>
        </w:div>
      </w:divsChild>
    </w:div>
    <w:div w:id="1074862597">
      <w:bodyDiv w:val="1"/>
      <w:marLeft w:val="0"/>
      <w:marRight w:val="0"/>
      <w:marTop w:val="0"/>
      <w:marBottom w:val="0"/>
      <w:divBdr>
        <w:top w:val="none" w:sz="0" w:space="0" w:color="auto"/>
        <w:left w:val="none" w:sz="0" w:space="0" w:color="auto"/>
        <w:bottom w:val="none" w:sz="0" w:space="0" w:color="auto"/>
        <w:right w:val="none" w:sz="0" w:space="0" w:color="auto"/>
      </w:divBdr>
      <w:divsChild>
        <w:div w:id="1434740933">
          <w:marLeft w:val="0"/>
          <w:marRight w:val="0"/>
          <w:marTop w:val="0"/>
          <w:marBottom w:val="0"/>
          <w:divBdr>
            <w:top w:val="none" w:sz="0" w:space="0" w:color="auto"/>
            <w:left w:val="none" w:sz="0" w:space="0" w:color="auto"/>
            <w:bottom w:val="none" w:sz="0" w:space="0" w:color="auto"/>
            <w:right w:val="none" w:sz="0" w:space="0" w:color="auto"/>
          </w:divBdr>
        </w:div>
        <w:div w:id="42297830">
          <w:marLeft w:val="0"/>
          <w:marRight w:val="0"/>
          <w:marTop w:val="0"/>
          <w:marBottom w:val="0"/>
          <w:divBdr>
            <w:top w:val="none" w:sz="0" w:space="0" w:color="auto"/>
            <w:left w:val="none" w:sz="0" w:space="0" w:color="auto"/>
            <w:bottom w:val="none" w:sz="0" w:space="0" w:color="auto"/>
            <w:right w:val="none" w:sz="0" w:space="0" w:color="auto"/>
          </w:divBdr>
        </w:div>
        <w:div w:id="1289624295">
          <w:marLeft w:val="0"/>
          <w:marRight w:val="0"/>
          <w:marTop w:val="0"/>
          <w:marBottom w:val="0"/>
          <w:divBdr>
            <w:top w:val="none" w:sz="0" w:space="0" w:color="auto"/>
            <w:left w:val="none" w:sz="0" w:space="0" w:color="auto"/>
            <w:bottom w:val="none" w:sz="0" w:space="0" w:color="auto"/>
            <w:right w:val="none" w:sz="0" w:space="0" w:color="auto"/>
          </w:divBdr>
        </w:div>
        <w:div w:id="2028286424">
          <w:marLeft w:val="0"/>
          <w:marRight w:val="0"/>
          <w:marTop w:val="0"/>
          <w:marBottom w:val="0"/>
          <w:divBdr>
            <w:top w:val="none" w:sz="0" w:space="0" w:color="auto"/>
            <w:left w:val="none" w:sz="0" w:space="0" w:color="auto"/>
            <w:bottom w:val="none" w:sz="0" w:space="0" w:color="auto"/>
            <w:right w:val="none" w:sz="0" w:space="0" w:color="auto"/>
          </w:divBdr>
        </w:div>
        <w:div w:id="1252397918">
          <w:marLeft w:val="0"/>
          <w:marRight w:val="0"/>
          <w:marTop w:val="0"/>
          <w:marBottom w:val="0"/>
          <w:divBdr>
            <w:top w:val="none" w:sz="0" w:space="0" w:color="auto"/>
            <w:left w:val="none" w:sz="0" w:space="0" w:color="auto"/>
            <w:bottom w:val="none" w:sz="0" w:space="0" w:color="auto"/>
            <w:right w:val="none" w:sz="0" w:space="0" w:color="auto"/>
          </w:divBdr>
        </w:div>
        <w:div w:id="120150771">
          <w:marLeft w:val="0"/>
          <w:marRight w:val="0"/>
          <w:marTop w:val="0"/>
          <w:marBottom w:val="0"/>
          <w:divBdr>
            <w:top w:val="none" w:sz="0" w:space="0" w:color="auto"/>
            <w:left w:val="none" w:sz="0" w:space="0" w:color="auto"/>
            <w:bottom w:val="none" w:sz="0" w:space="0" w:color="auto"/>
            <w:right w:val="none" w:sz="0" w:space="0" w:color="auto"/>
          </w:divBdr>
        </w:div>
        <w:div w:id="1046876445">
          <w:marLeft w:val="0"/>
          <w:marRight w:val="0"/>
          <w:marTop w:val="0"/>
          <w:marBottom w:val="0"/>
          <w:divBdr>
            <w:top w:val="none" w:sz="0" w:space="0" w:color="auto"/>
            <w:left w:val="none" w:sz="0" w:space="0" w:color="auto"/>
            <w:bottom w:val="none" w:sz="0" w:space="0" w:color="auto"/>
            <w:right w:val="none" w:sz="0" w:space="0" w:color="auto"/>
          </w:divBdr>
        </w:div>
        <w:div w:id="582953858">
          <w:marLeft w:val="0"/>
          <w:marRight w:val="0"/>
          <w:marTop w:val="0"/>
          <w:marBottom w:val="0"/>
          <w:divBdr>
            <w:top w:val="none" w:sz="0" w:space="0" w:color="auto"/>
            <w:left w:val="none" w:sz="0" w:space="0" w:color="auto"/>
            <w:bottom w:val="none" w:sz="0" w:space="0" w:color="auto"/>
            <w:right w:val="none" w:sz="0" w:space="0" w:color="auto"/>
          </w:divBdr>
        </w:div>
        <w:div w:id="957838778">
          <w:marLeft w:val="0"/>
          <w:marRight w:val="0"/>
          <w:marTop w:val="0"/>
          <w:marBottom w:val="0"/>
          <w:divBdr>
            <w:top w:val="none" w:sz="0" w:space="0" w:color="auto"/>
            <w:left w:val="none" w:sz="0" w:space="0" w:color="auto"/>
            <w:bottom w:val="none" w:sz="0" w:space="0" w:color="auto"/>
            <w:right w:val="none" w:sz="0" w:space="0" w:color="auto"/>
          </w:divBdr>
        </w:div>
        <w:div w:id="236987429">
          <w:marLeft w:val="0"/>
          <w:marRight w:val="0"/>
          <w:marTop w:val="0"/>
          <w:marBottom w:val="0"/>
          <w:divBdr>
            <w:top w:val="none" w:sz="0" w:space="0" w:color="auto"/>
            <w:left w:val="none" w:sz="0" w:space="0" w:color="auto"/>
            <w:bottom w:val="none" w:sz="0" w:space="0" w:color="auto"/>
            <w:right w:val="none" w:sz="0" w:space="0" w:color="auto"/>
          </w:divBdr>
        </w:div>
        <w:div w:id="529337703">
          <w:marLeft w:val="0"/>
          <w:marRight w:val="0"/>
          <w:marTop w:val="0"/>
          <w:marBottom w:val="0"/>
          <w:divBdr>
            <w:top w:val="none" w:sz="0" w:space="0" w:color="auto"/>
            <w:left w:val="none" w:sz="0" w:space="0" w:color="auto"/>
            <w:bottom w:val="none" w:sz="0" w:space="0" w:color="auto"/>
            <w:right w:val="none" w:sz="0" w:space="0" w:color="auto"/>
          </w:divBdr>
        </w:div>
        <w:div w:id="997997996">
          <w:marLeft w:val="0"/>
          <w:marRight w:val="0"/>
          <w:marTop w:val="0"/>
          <w:marBottom w:val="0"/>
          <w:divBdr>
            <w:top w:val="none" w:sz="0" w:space="0" w:color="auto"/>
            <w:left w:val="none" w:sz="0" w:space="0" w:color="auto"/>
            <w:bottom w:val="none" w:sz="0" w:space="0" w:color="auto"/>
            <w:right w:val="none" w:sz="0" w:space="0" w:color="auto"/>
          </w:divBdr>
        </w:div>
        <w:div w:id="2032490029">
          <w:marLeft w:val="0"/>
          <w:marRight w:val="0"/>
          <w:marTop w:val="0"/>
          <w:marBottom w:val="0"/>
          <w:divBdr>
            <w:top w:val="none" w:sz="0" w:space="0" w:color="auto"/>
            <w:left w:val="none" w:sz="0" w:space="0" w:color="auto"/>
            <w:bottom w:val="none" w:sz="0" w:space="0" w:color="auto"/>
            <w:right w:val="none" w:sz="0" w:space="0" w:color="auto"/>
          </w:divBdr>
        </w:div>
        <w:div w:id="539784009">
          <w:marLeft w:val="0"/>
          <w:marRight w:val="0"/>
          <w:marTop w:val="0"/>
          <w:marBottom w:val="0"/>
          <w:divBdr>
            <w:top w:val="none" w:sz="0" w:space="0" w:color="auto"/>
            <w:left w:val="none" w:sz="0" w:space="0" w:color="auto"/>
            <w:bottom w:val="none" w:sz="0" w:space="0" w:color="auto"/>
            <w:right w:val="none" w:sz="0" w:space="0" w:color="auto"/>
          </w:divBdr>
        </w:div>
        <w:div w:id="1595287475">
          <w:marLeft w:val="0"/>
          <w:marRight w:val="0"/>
          <w:marTop w:val="0"/>
          <w:marBottom w:val="0"/>
          <w:divBdr>
            <w:top w:val="none" w:sz="0" w:space="0" w:color="auto"/>
            <w:left w:val="none" w:sz="0" w:space="0" w:color="auto"/>
            <w:bottom w:val="none" w:sz="0" w:space="0" w:color="auto"/>
            <w:right w:val="none" w:sz="0" w:space="0" w:color="auto"/>
          </w:divBdr>
        </w:div>
        <w:div w:id="581723295">
          <w:marLeft w:val="0"/>
          <w:marRight w:val="0"/>
          <w:marTop w:val="0"/>
          <w:marBottom w:val="0"/>
          <w:divBdr>
            <w:top w:val="none" w:sz="0" w:space="0" w:color="auto"/>
            <w:left w:val="none" w:sz="0" w:space="0" w:color="auto"/>
            <w:bottom w:val="none" w:sz="0" w:space="0" w:color="auto"/>
            <w:right w:val="none" w:sz="0" w:space="0" w:color="auto"/>
          </w:divBdr>
        </w:div>
        <w:div w:id="1342850922">
          <w:marLeft w:val="0"/>
          <w:marRight w:val="0"/>
          <w:marTop w:val="0"/>
          <w:marBottom w:val="0"/>
          <w:divBdr>
            <w:top w:val="none" w:sz="0" w:space="0" w:color="auto"/>
            <w:left w:val="none" w:sz="0" w:space="0" w:color="auto"/>
            <w:bottom w:val="none" w:sz="0" w:space="0" w:color="auto"/>
            <w:right w:val="none" w:sz="0" w:space="0" w:color="auto"/>
          </w:divBdr>
        </w:div>
        <w:div w:id="1523014816">
          <w:marLeft w:val="0"/>
          <w:marRight w:val="0"/>
          <w:marTop w:val="0"/>
          <w:marBottom w:val="0"/>
          <w:divBdr>
            <w:top w:val="none" w:sz="0" w:space="0" w:color="auto"/>
            <w:left w:val="none" w:sz="0" w:space="0" w:color="auto"/>
            <w:bottom w:val="none" w:sz="0" w:space="0" w:color="auto"/>
            <w:right w:val="none" w:sz="0" w:space="0" w:color="auto"/>
          </w:divBdr>
        </w:div>
        <w:div w:id="2127654554">
          <w:marLeft w:val="0"/>
          <w:marRight w:val="0"/>
          <w:marTop w:val="0"/>
          <w:marBottom w:val="0"/>
          <w:divBdr>
            <w:top w:val="none" w:sz="0" w:space="0" w:color="auto"/>
            <w:left w:val="none" w:sz="0" w:space="0" w:color="auto"/>
            <w:bottom w:val="none" w:sz="0" w:space="0" w:color="auto"/>
            <w:right w:val="none" w:sz="0" w:space="0" w:color="auto"/>
          </w:divBdr>
        </w:div>
        <w:div w:id="817914794">
          <w:marLeft w:val="0"/>
          <w:marRight w:val="0"/>
          <w:marTop w:val="0"/>
          <w:marBottom w:val="0"/>
          <w:divBdr>
            <w:top w:val="none" w:sz="0" w:space="0" w:color="auto"/>
            <w:left w:val="none" w:sz="0" w:space="0" w:color="auto"/>
            <w:bottom w:val="none" w:sz="0" w:space="0" w:color="auto"/>
            <w:right w:val="none" w:sz="0" w:space="0" w:color="auto"/>
          </w:divBdr>
        </w:div>
        <w:div w:id="677268544">
          <w:marLeft w:val="0"/>
          <w:marRight w:val="0"/>
          <w:marTop w:val="0"/>
          <w:marBottom w:val="0"/>
          <w:divBdr>
            <w:top w:val="none" w:sz="0" w:space="0" w:color="auto"/>
            <w:left w:val="none" w:sz="0" w:space="0" w:color="auto"/>
            <w:bottom w:val="none" w:sz="0" w:space="0" w:color="auto"/>
            <w:right w:val="none" w:sz="0" w:space="0" w:color="auto"/>
          </w:divBdr>
        </w:div>
      </w:divsChild>
    </w:div>
    <w:div w:id="1076516351">
      <w:bodyDiv w:val="1"/>
      <w:marLeft w:val="0"/>
      <w:marRight w:val="0"/>
      <w:marTop w:val="0"/>
      <w:marBottom w:val="0"/>
      <w:divBdr>
        <w:top w:val="none" w:sz="0" w:space="0" w:color="auto"/>
        <w:left w:val="none" w:sz="0" w:space="0" w:color="auto"/>
        <w:bottom w:val="none" w:sz="0" w:space="0" w:color="auto"/>
        <w:right w:val="none" w:sz="0" w:space="0" w:color="auto"/>
      </w:divBdr>
      <w:divsChild>
        <w:div w:id="211578956">
          <w:marLeft w:val="0"/>
          <w:marRight w:val="0"/>
          <w:marTop w:val="0"/>
          <w:marBottom w:val="0"/>
          <w:divBdr>
            <w:top w:val="none" w:sz="0" w:space="0" w:color="auto"/>
            <w:left w:val="none" w:sz="0" w:space="0" w:color="auto"/>
            <w:bottom w:val="none" w:sz="0" w:space="0" w:color="auto"/>
            <w:right w:val="none" w:sz="0" w:space="0" w:color="auto"/>
          </w:divBdr>
        </w:div>
        <w:div w:id="1202859900">
          <w:marLeft w:val="0"/>
          <w:marRight w:val="0"/>
          <w:marTop w:val="0"/>
          <w:marBottom w:val="0"/>
          <w:divBdr>
            <w:top w:val="none" w:sz="0" w:space="0" w:color="auto"/>
            <w:left w:val="none" w:sz="0" w:space="0" w:color="auto"/>
            <w:bottom w:val="none" w:sz="0" w:space="0" w:color="auto"/>
            <w:right w:val="none" w:sz="0" w:space="0" w:color="auto"/>
          </w:divBdr>
        </w:div>
        <w:div w:id="1269891179">
          <w:marLeft w:val="0"/>
          <w:marRight w:val="0"/>
          <w:marTop w:val="0"/>
          <w:marBottom w:val="0"/>
          <w:divBdr>
            <w:top w:val="none" w:sz="0" w:space="0" w:color="auto"/>
            <w:left w:val="none" w:sz="0" w:space="0" w:color="auto"/>
            <w:bottom w:val="none" w:sz="0" w:space="0" w:color="auto"/>
            <w:right w:val="none" w:sz="0" w:space="0" w:color="auto"/>
          </w:divBdr>
        </w:div>
        <w:div w:id="338653794">
          <w:marLeft w:val="0"/>
          <w:marRight w:val="0"/>
          <w:marTop w:val="0"/>
          <w:marBottom w:val="0"/>
          <w:divBdr>
            <w:top w:val="none" w:sz="0" w:space="0" w:color="auto"/>
            <w:left w:val="none" w:sz="0" w:space="0" w:color="auto"/>
            <w:bottom w:val="none" w:sz="0" w:space="0" w:color="auto"/>
            <w:right w:val="none" w:sz="0" w:space="0" w:color="auto"/>
          </w:divBdr>
        </w:div>
        <w:div w:id="900334877">
          <w:marLeft w:val="0"/>
          <w:marRight w:val="0"/>
          <w:marTop w:val="0"/>
          <w:marBottom w:val="0"/>
          <w:divBdr>
            <w:top w:val="none" w:sz="0" w:space="0" w:color="auto"/>
            <w:left w:val="none" w:sz="0" w:space="0" w:color="auto"/>
            <w:bottom w:val="none" w:sz="0" w:space="0" w:color="auto"/>
            <w:right w:val="none" w:sz="0" w:space="0" w:color="auto"/>
          </w:divBdr>
        </w:div>
        <w:div w:id="677538007">
          <w:marLeft w:val="0"/>
          <w:marRight w:val="0"/>
          <w:marTop w:val="0"/>
          <w:marBottom w:val="0"/>
          <w:divBdr>
            <w:top w:val="none" w:sz="0" w:space="0" w:color="auto"/>
            <w:left w:val="none" w:sz="0" w:space="0" w:color="auto"/>
            <w:bottom w:val="none" w:sz="0" w:space="0" w:color="auto"/>
            <w:right w:val="none" w:sz="0" w:space="0" w:color="auto"/>
          </w:divBdr>
        </w:div>
        <w:div w:id="729614252">
          <w:marLeft w:val="0"/>
          <w:marRight w:val="0"/>
          <w:marTop w:val="0"/>
          <w:marBottom w:val="0"/>
          <w:divBdr>
            <w:top w:val="none" w:sz="0" w:space="0" w:color="auto"/>
            <w:left w:val="none" w:sz="0" w:space="0" w:color="auto"/>
            <w:bottom w:val="none" w:sz="0" w:space="0" w:color="auto"/>
            <w:right w:val="none" w:sz="0" w:space="0" w:color="auto"/>
          </w:divBdr>
        </w:div>
        <w:div w:id="1358893590">
          <w:marLeft w:val="0"/>
          <w:marRight w:val="0"/>
          <w:marTop w:val="0"/>
          <w:marBottom w:val="0"/>
          <w:divBdr>
            <w:top w:val="none" w:sz="0" w:space="0" w:color="auto"/>
            <w:left w:val="none" w:sz="0" w:space="0" w:color="auto"/>
            <w:bottom w:val="none" w:sz="0" w:space="0" w:color="auto"/>
            <w:right w:val="none" w:sz="0" w:space="0" w:color="auto"/>
          </w:divBdr>
        </w:div>
        <w:div w:id="1463619973">
          <w:marLeft w:val="0"/>
          <w:marRight w:val="0"/>
          <w:marTop w:val="0"/>
          <w:marBottom w:val="0"/>
          <w:divBdr>
            <w:top w:val="none" w:sz="0" w:space="0" w:color="auto"/>
            <w:left w:val="none" w:sz="0" w:space="0" w:color="auto"/>
            <w:bottom w:val="none" w:sz="0" w:space="0" w:color="auto"/>
            <w:right w:val="none" w:sz="0" w:space="0" w:color="auto"/>
          </w:divBdr>
        </w:div>
        <w:div w:id="541791390">
          <w:marLeft w:val="0"/>
          <w:marRight w:val="0"/>
          <w:marTop w:val="0"/>
          <w:marBottom w:val="0"/>
          <w:divBdr>
            <w:top w:val="none" w:sz="0" w:space="0" w:color="auto"/>
            <w:left w:val="none" w:sz="0" w:space="0" w:color="auto"/>
            <w:bottom w:val="none" w:sz="0" w:space="0" w:color="auto"/>
            <w:right w:val="none" w:sz="0" w:space="0" w:color="auto"/>
          </w:divBdr>
        </w:div>
        <w:div w:id="249580918">
          <w:marLeft w:val="0"/>
          <w:marRight w:val="0"/>
          <w:marTop w:val="0"/>
          <w:marBottom w:val="0"/>
          <w:divBdr>
            <w:top w:val="none" w:sz="0" w:space="0" w:color="auto"/>
            <w:left w:val="none" w:sz="0" w:space="0" w:color="auto"/>
            <w:bottom w:val="none" w:sz="0" w:space="0" w:color="auto"/>
            <w:right w:val="none" w:sz="0" w:space="0" w:color="auto"/>
          </w:divBdr>
        </w:div>
        <w:div w:id="1218055547">
          <w:marLeft w:val="0"/>
          <w:marRight w:val="0"/>
          <w:marTop w:val="0"/>
          <w:marBottom w:val="0"/>
          <w:divBdr>
            <w:top w:val="none" w:sz="0" w:space="0" w:color="auto"/>
            <w:left w:val="none" w:sz="0" w:space="0" w:color="auto"/>
            <w:bottom w:val="none" w:sz="0" w:space="0" w:color="auto"/>
            <w:right w:val="none" w:sz="0" w:space="0" w:color="auto"/>
          </w:divBdr>
        </w:div>
        <w:div w:id="774253899">
          <w:marLeft w:val="0"/>
          <w:marRight w:val="0"/>
          <w:marTop w:val="0"/>
          <w:marBottom w:val="0"/>
          <w:divBdr>
            <w:top w:val="none" w:sz="0" w:space="0" w:color="auto"/>
            <w:left w:val="none" w:sz="0" w:space="0" w:color="auto"/>
            <w:bottom w:val="none" w:sz="0" w:space="0" w:color="auto"/>
            <w:right w:val="none" w:sz="0" w:space="0" w:color="auto"/>
          </w:divBdr>
        </w:div>
        <w:div w:id="874581674">
          <w:marLeft w:val="0"/>
          <w:marRight w:val="0"/>
          <w:marTop w:val="0"/>
          <w:marBottom w:val="0"/>
          <w:divBdr>
            <w:top w:val="none" w:sz="0" w:space="0" w:color="auto"/>
            <w:left w:val="none" w:sz="0" w:space="0" w:color="auto"/>
            <w:bottom w:val="none" w:sz="0" w:space="0" w:color="auto"/>
            <w:right w:val="none" w:sz="0" w:space="0" w:color="auto"/>
          </w:divBdr>
        </w:div>
        <w:div w:id="755785631">
          <w:marLeft w:val="0"/>
          <w:marRight w:val="0"/>
          <w:marTop w:val="0"/>
          <w:marBottom w:val="0"/>
          <w:divBdr>
            <w:top w:val="none" w:sz="0" w:space="0" w:color="auto"/>
            <w:left w:val="none" w:sz="0" w:space="0" w:color="auto"/>
            <w:bottom w:val="none" w:sz="0" w:space="0" w:color="auto"/>
            <w:right w:val="none" w:sz="0" w:space="0" w:color="auto"/>
          </w:divBdr>
        </w:div>
        <w:div w:id="1966235046">
          <w:marLeft w:val="0"/>
          <w:marRight w:val="0"/>
          <w:marTop w:val="0"/>
          <w:marBottom w:val="0"/>
          <w:divBdr>
            <w:top w:val="none" w:sz="0" w:space="0" w:color="auto"/>
            <w:left w:val="none" w:sz="0" w:space="0" w:color="auto"/>
            <w:bottom w:val="none" w:sz="0" w:space="0" w:color="auto"/>
            <w:right w:val="none" w:sz="0" w:space="0" w:color="auto"/>
          </w:divBdr>
        </w:div>
        <w:div w:id="1463353427">
          <w:marLeft w:val="0"/>
          <w:marRight w:val="0"/>
          <w:marTop w:val="0"/>
          <w:marBottom w:val="0"/>
          <w:divBdr>
            <w:top w:val="none" w:sz="0" w:space="0" w:color="auto"/>
            <w:left w:val="none" w:sz="0" w:space="0" w:color="auto"/>
            <w:bottom w:val="none" w:sz="0" w:space="0" w:color="auto"/>
            <w:right w:val="none" w:sz="0" w:space="0" w:color="auto"/>
          </w:divBdr>
        </w:div>
        <w:div w:id="1978605472">
          <w:marLeft w:val="0"/>
          <w:marRight w:val="0"/>
          <w:marTop w:val="0"/>
          <w:marBottom w:val="0"/>
          <w:divBdr>
            <w:top w:val="none" w:sz="0" w:space="0" w:color="auto"/>
            <w:left w:val="none" w:sz="0" w:space="0" w:color="auto"/>
            <w:bottom w:val="none" w:sz="0" w:space="0" w:color="auto"/>
            <w:right w:val="none" w:sz="0" w:space="0" w:color="auto"/>
          </w:divBdr>
        </w:div>
      </w:divsChild>
    </w:div>
    <w:div w:id="1092510957">
      <w:bodyDiv w:val="1"/>
      <w:marLeft w:val="0"/>
      <w:marRight w:val="0"/>
      <w:marTop w:val="0"/>
      <w:marBottom w:val="0"/>
      <w:divBdr>
        <w:top w:val="none" w:sz="0" w:space="0" w:color="auto"/>
        <w:left w:val="none" w:sz="0" w:space="0" w:color="auto"/>
        <w:bottom w:val="none" w:sz="0" w:space="0" w:color="auto"/>
        <w:right w:val="none" w:sz="0" w:space="0" w:color="auto"/>
      </w:divBdr>
    </w:div>
    <w:div w:id="1128161723">
      <w:bodyDiv w:val="1"/>
      <w:marLeft w:val="0"/>
      <w:marRight w:val="0"/>
      <w:marTop w:val="0"/>
      <w:marBottom w:val="0"/>
      <w:divBdr>
        <w:top w:val="none" w:sz="0" w:space="0" w:color="auto"/>
        <w:left w:val="none" w:sz="0" w:space="0" w:color="auto"/>
        <w:bottom w:val="none" w:sz="0" w:space="0" w:color="auto"/>
        <w:right w:val="none" w:sz="0" w:space="0" w:color="auto"/>
      </w:divBdr>
    </w:div>
    <w:div w:id="1135678278">
      <w:bodyDiv w:val="1"/>
      <w:marLeft w:val="0"/>
      <w:marRight w:val="0"/>
      <w:marTop w:val="0"/>
      <w:marBottom w:val="0"/>
      <w:divBdr>
        <w:top w:val="none" w:sz="0" w:space="0" w:color="auto"/>
        <w:left w:val="none" w:sz="0" w:space="0" w:color="auto"/>
        <w:bottom w:val="none" w:sz="0" w:space="0" w:color="auto"/>
        <w:right w:val="none" w:sz="0" w:space="0" w:color="auto"/>
      </w:divBdr>
    </w:div>
    <w:div w:id="1148857535">
      <w:bodyDiv w:val="1"/>
      <w:marLeft w:val="0"/>
      <w:marRight w:val="0"/>
      <w:marTop w:val="0"/>
      <w:marBottom w:val="0"/>
      <w:divBdr>
        <w:top w:val="none" w:sz="0" w:space="0" w:color="auto"/>
        <w:left w:val="none" w:sz="0" w:space="0" w:color="auto"/>
        <w:bottom w:val="none" w:sz="0" w:space="0" w:color="auto"/>
        <w:right w:val="none" w:sz="0" w:space="0" w:color="auto"/>
      </w:divBdr>
      <w:divsChild>
        <w:div w:id="966544653">
          <w:marLeft w:val="0"/>
          <w:marRight w:val="0"/>
          <w:marTop w:val="0"/>
          <w:marBottom w:val="0"/>
          <w:divBdr>
            <w:top w:val="none" w:sz="0" w:space="0" w:color="auto"/>
            <w:left w:val="none" w:sz="0" w:space="0" w:color="auto"/>
            <w:bottom w:val="none" w:sz="0" w:space="0" w:color="auto"/>
            <w:right w:val="none" w:sz="0" w:space="0" w:color="auto"/>
          </w:divBdr>
        </w:div>
        <w:div w:id="199322936">
          <w:marLeft w:val="0"/>
          <w:marRight w:val="0"/>
          <w:marTop w:val="0"/>
          <w:marBottom w:val="0"/>
          <w:divBdr>
            <w:top w:val="none" w:sz="0" w:space="0" w:color="auto"/>
            <w:left w:val="none" w:sz="0" w:space="0" w:color="auto"/>
            <w:bottom w:val="none" w:sz="0" w:space="0" w:color="auto"/>
            <w:right w:val="none" w:sz="0" w:space="0" w:color="auto"/>
          </w:divBdr>
        </w:div>
        <w:div w:id="932281">
          <w:marLeft w:val="0"/>
          <w:marRight w:val="0"/>
          <w:marTop w:val="0"/>
          <w:marBottom w:val="0"/>
          <w:divBdr>
            <w:top w:val="none" w:sz="0" w:space="0" w:color="auto"/>
            <w:left w:val="none" w:sz="0" w:space="0" w:color="auto"/>
            <w:bottom w:val="none" w:sz="0" w:space="0" w:color="auto"/>
            <w:right w:val="none" w:sz="0" w:space="0" w:color="auto"/>
          </w:divBdr>
        </w:div>
        <w:div w:id="263460549">
          <w:marLeft w:val="0"/>
          <w:marRight w:val="0"/>
          <w:marTop w:val="0"/>
          <w:marBottom w:val="0"/>
          <w:divBdr>
            <w:top w:val="none" w:sz="0" w:space="0" w:color="auto"/>
            <w:left w:val="none" w:sz="0" w:space="0" w:color="auto"/>
            <w:bottom w:val="none" w:sz="0" w:space="0" w:color="auto"/>
            <w:right w:val="none" w:sz="0" w:space="0" w:color="auto"/>
          </w:divBdr>
        </w:div>
        <w:div w:id="487408136">
          <w:marLeft w:val="0"/>
          <w:marRight w:val="0"/>
          <w:marTop w:val="0"/>
          <w:marBottom w:val="0"/>
          <w:divBdr>
            <w:top w:val="none" w:sz="0" w:space="0" w:color="auto"/>
            <w:left w:val="none" w:sz="0" w:space="0" w:color="auto"/>
            <w:bottom w:val="none" w:sz="0" w:space="0" w:color="auto"/>
            <w:right w:val="none" w:sz="0" w:space="0" w:color="auto"/>
          </w:divBdr>
        </w:div>
        <w:div w:id="992173214">
          <w:marLeft w:val="0"/>
          <w:marRight w:val="0"/>
          <w:marTop w:val="0"/>
          <w:marBottom w:val="0"/>
          <w:divBdr>
            <w:top w:val="none" w:sz="0" w:space="0" w:color="auto"/>
            <w:left w:val="none" w:sz="0" w:space="0" w:color="auto"/>
            <w:bottom w:val="none" w:sz="0" w:space="0" w:color="auto"/>
            <w:right w:val="none" w:sz="0" w:space="0" w:color="auto"/>
          </w:divBdr>
        </w:div>
        <w:div w:id="919408192">
          <w:marLeft w:val="0"/>
          <w:marRight w:val="0"/>
          <w:marTop w:val="0"/>
          <w:marBottom w:val="0"/>
          <w:divBdr>
            <w:top w:val="none" w:sz="0" w:space="0" w:color="auto"/>
            <w:left w:val="none" w:sz="0" w:space="0" w:color="auto"/>
            <w:bottom w:val="none" w:sz="0" w:space="0" w:color="auto"/>
            <w:right w:val="none" w:sz="0" w:space="0" w:color="auto"/>
          </w:divBdr>
        </w:div>
        <w:div w:id="985354214">
          <w:marLeft w:val="0"/>
          <w:marRight w:val="0"/>
          <w:marTop w:val="0"/>
          <w:marBottom w:val="0"/>
          <w:divBdr>
            <w:top w:val="none" w:sz="0" w:space="0" w:color="auto"/>
            <w:left w:val="none" w:sz="0" w:space="0" w:color="auto"/>
            <w:bottom w:val="none" w:sz="0" w:space="0" w:color="auto"/>
            <w:right w:val="none" w:sz="0" w:space="0" w:color="auto"/>
          </w:divBdr>
        </w:div>
        <w:div w:id="1518305176">
          <w:marLeft w:val="0"/>
          <w:marRight w:val="0"/>
          <w:marTop w:val="0"/>
          <w:marBottom w:val="0"/>
          <w:divBdr>
            <w:top w:val="none" w:sz="0" w:space="0" w:color="auto"/>
            <w:left w:val="none" w:sz="0" w:space="0" w:color="auto"/>
            <w:bottom w:val="none" w:sz="0" w:space="0" w:color="auto"/>
            <w:right w:val="none" w:sz="0" w:space="0" w:color="auto"/>
          </w:divBdr>
        </w:div>
        <w:div w:id="704252982">
          <w:marLeft w:val="0"/>
          <w:marRight w:val="0"/>
          <w:marTop w:val="0"/>
          <w:marBottom w:val="0"/>
          <w:divBdr>
            <w:top w:val="none" w:sz="0" w:space="0" w:color="auto"/>
            <w:left w:val="none" w:sz="0" w:space="0" w:color="auto"/>
            <w:bottom w:val="none" w:sz="0" w:space="0" w:color="auto"/>
            <w:right w:val="none" w:sz="0" w:space="0" w:color="auto"/>
          </w:divBdr>
        </w:div>
        <w:div w:id="1814565161">
          <w:marLeft w:val="0"/>
          <w:marRight w:val="0"/>
          <w:marTop w:val="0"/>
          <w:marBottom w:val="0"/>
          <w:divBdr>
            <w:top w:val="none" w:sz="0" w:space="0" w:color="auto"/>
            <w:left w:val="none" w:sz="0" w:space="0" w:color="auto"/>
            <w:bottom w:val="none" w:sz="0" w:space="0" w:color="auto"/>
            <w:right w:val="none" w:sz="0" w:space="0" w:color="auto"/>
          </w:divBdr>
        </w:div>
        <w:div w:id="1329675836">
          <w:marLeft w:val="0"/>
          <w:marRight w:val="0"/>
          <w:marTop w:val="0"/>
          <w:marBottom w:val="0"/>
          <w:divBdr>
            <w:top w:val="none" w:sz="0" w:space="0" w:color="auto"/>
            <w:left w:val="none" w:sz="0" w:space="0" w:color="auto"/>
            <w:bottom w:val="none" w:sz="0" w:space="0" w:color="auto"/>
            <w:right w:val="none" w:sz="0" w:space="0" w:color="auto"/>
          </w:divBdr>
        </w:div>
        <w:div w:id="760832359">
          <w:marLeft w:val="0"/>
          <w:marRight w:val="0"/>
          <w:marTop w:val="0"/>
          <w:marBottom w:val="0"/>
          <w:divBdr>
            <w:top w:val="none" w:sz="0" w:space="0" w:color="auto"/>
            <w:left w:val="none" w:sz="0" w:space="0" w:color="auto"/>
            <w:bottom w:val="none" w:sz="0" w:space="0" w:color="auto"/>
            <w:right w:val="none" w:sz="0" w:space="0" w:color="auto"/>
          </w:divBdr>
        </w:div>
        <w:div w:id="1316493334">
          <w:marLeft w:val="0"/>
          <w:marRight w:val="0"/>
          <w:marTop w:val="0"/>
          <w:marBottom w:val="0"/>
          <w:divBdr>
            <w:top w:val="none" w:sz="0" w:space="0" w:color="auto"/>
            <w:left w:val="none" w:sz="0" w:space="0" w:color="auto"/>
            <w:bottom w:val="none" w:sz="0" w:space="0" w:color="auto"/>
            <w:right w:val="none" w:sz="0" w:space="0" w:color="auto"/>
          </w:divBdr>
        </w:div>
        <w:div w:id="472409390">
          <w:marLeft w:val="0"/>
          <w:marRight w:val="0"/>
          <w:marTop w:val="0"/>
          <w:marBottom w:val="0"/>
          <w:divBdr>
            <w:top w:val="none" w:sz="0" w:space="0" w:color="auto"/>
            <w:left w:val="none" w:sz="0" w:space="0" w:color="auto"/>
            <w:bottom w:val="none" w:sz="0" w:space="0" w:color="auto"/>
            <w:right w:val="none" w:sz="0" w:space="0" w:color="auto"/>
          </w:divBdr>
        </w:div>
        <w:div w:id="1269661324">
          <w:marLeft w:val="0"/>
          <w:marRight w:val="0"/>
          <w:marTop w:val="0"/>
          <w:marBottom w:val="0"/>
          <w:divBdr>
            <w:top w:val="none" w:sz="0" w:space="0" w:color="auto"/>
            <w:left w:val="none" w:sz="0" w:space="0" w:color="auto"/>
            <w:bottom w:val="none" w:sz="0" w:space="0" w:color="auto"/>
            <w:right w:val="none" w:sz="0" w:space="0" w:color="auto"/>
          </w:divBdr>
        </w:div>
        <w:div w:id="2025547149">
          <w:marLeft w:val="0"/>
          <w:marRight w:val="0"/>
          <w:marTop w:val="0"/>
          <w:marBottom w:val="0"/>
          <w:divBdr>
            <w:top w:val="none" w:sz="0" w:space="0" w:color="auto"/>
            <w:left w:val="none" w:sz="0" w:space="0" w:color="auto"/>
            <w:bottom w:val="none" w:sz="0" w:space="0" w:color="auto"/>
            <w:right w:val="none" w:sz="0" w:space="0" w:color="auto"/>
          </w:divBdr>
        </w:div>
        <w:div w:id="145706952">
          <w:marLeft w:val="0"/>
          <w:marRight w:val="0"/>
          <w:marTop w:val="0"/>
          <w:marBottom w:val="0"/>
          <w:divBdr>
            <w:top w:val="none" w:sz="0" w:space="0" w:color="auto"/>
            <w:left w:val="none" w:sz="0" w:space="0" w:color="auto"/>
            <w:bottom w:val="none" w:sz="0" w:space="0" w:color="auto"/>
            <w:right w:val="none" w:sz="0" w:space="0" w:color="auto"/>
          </w:divBdr>
        </w:div>
      </w:divsChild>
    </w:div>
    <w:div w:id="1154377746">
      <w:bodyDiv w:val="1"/>
      <w:marLeft w:val="0"/>
      <w:marRight w:val="0"/>
      <w:marTop w:val="0"/>
      <w:marBottom w:val="0"/>
      <w:divBdr>
        <w:top w:val="none" w:sz="0" w:space="0" w:color="auto"/>
        <w:left w:val="none" w:sz="0" w:space="0" w:color="auto"/>
        <w:bottom w:val="none" w:sz="0" w:space="0" w:color="auto"/>
        <w:right w:val="none" w:sz="0" w:space="0" w:color="auto"/>
      </w:divBdr>
    </w:div>
    <w:div w:id="1235357982">
      <w:bodyDiv w:val="1"/>
      <w:marLeft w:val="0"/>
      <w:marRight w:val="0"/>
      <w:marTop w:val="0"/>
      <w:marBottom w:val="0"/>
      <w:divBdr>
        <w:top w:val="none" w:sz="0" w:space="0" w:color="auto"/>
        <w:left w:val="none" w:sz="0" w:space="0" w:color="auto"/>
        <w:bottom w:val="none" w:sz="0" w:space="0" w:color="auto"/>
        <w:right w:val="none" w:sz="0" w:space="0" w:color="auto"/>
      </w:divBdr>
      <w:divsChild>
        <w:div w:id="910852073">
          <w:marLeft w:val="0"/>
          <w:marRight w:val="0"/>
          <w:marTop w:val="0"/>
          <w:marBottom w:val="0"/>
          <w:divBdr>
            <w:top w:val="none" w:sz="0" w:space="0" w:color="auto"/>
            <w:left w:val="none" w:sz="0" w:space="0" w:color="auto"/>
            <w:bottom w:val="none" w:sz="0" w:space="0" w:color="auto"/>
            <w:right w:val="none" w:sz="0" w:space="0" w:color="auto"/>
          </w:divBdr>
        </w:div>
        <w:div w:id="1005936172">
          <w:marLeft w:val="0"/>
          <w:marRight w:val="0"/>
          <w:marTop w:val="0"/>
          <w:marBottom w:val="0"/>
          <w:divBdr>
            <w:top w:val="none" w:sz="0" w:space="0" w:color="auto"/>
            <w:left w:val="none" w:sz="0" w:space="0" w:color="auto"/>
            <w:bottom w:val="none" w:sz="0" w:space="0" w:color="auto"/>
            <w:right w:val="none" w:sz="0" w:space="0" w:color="auto"/>
          </w:divBdr>
        </w:div>
        <w:div w:id="1750686726">
          <w:marLeft w:val="0"/>
          <w:marRight w:val="0"/>
          <w:marTop w:val="0"/>
          <w:marBottom w:val="0"/>
          <w:divBdr>
            <w:top w:val="none" w:sz="0" w:space="0" w:color="auto"/>
            <w:left w:val="none" w:sz="0" w:space="0" w:color="auto"/>
            <w:bottom w:val="none" w:sz="0" w:space="0" w:color="auto"/>
            <w:right w:val="none" w:sz="0" w:space="0" w:color="auto"/>
          </w:divBdr>
        </w:div>
        <w:div w:id="1665232574">
          <w:marLeft w:val="0"/>
          <w:marRight w:val="0"/>
          <w:marTop w:val="0"/>
          <w:marBottom w:val="0"/>
          <w:divBdr>
            <w:top w:val="none" w:sz="0" w:space="0" w:color="auto"/>
            <w:left w:val="none" w:sz="0" w:space="0" w:color="auto"/>
            <w:bottom w:val="none" w:sz="0" w:space="0" w:color="auto"/>
            <w:right w:val="none" w:sz="0" w:space="0" w:color="auto"/>
          </w:divBdr>
        </w:div>
        <w:div w:id="430705250">
          <w:marLeft w:val="0"/>
          <w:marRight w:val="0"/>
          <w:marTop w:val="0"/>
          <w:marBottom w:val="0"/>
          <w:divBdr>
            <w:top w:val="none" w:sz="0" w:space="0" w:color="auto"/>
            <w:left w:val="none" w:sz="0" w:space="0" w:color="auto"/>
            <w:bottom w:val="none" w:sz="0" w:space="0" w:color="auto"/>
            <w:right w:val="none" w:sz="0" w:space="0" w:color="auto"/>
          </w:divBdr>
        </w:div>
        <w:div w:id="1546747482">
          <w:marLeft w:val="0"/>
          <w:marRight w:val="0"/>
          <w:marTop w:val="0"/>
          <w:marBottom w:val="0"/>
          <w:divBdr>
            <w:top w:val="none" w:sz="0" w:space="0" w:color="auto"/>
            <w:left w:val="none" w:sz="0" w:space="0" w:color="auto"/>
            <w:bottom w:val="none" w:sz="0" w:space="0" w:color="auto"/>
            <w:right w:val="none" w:sz="0" w:space="0" w:color="auto"/>
          </w:divBdr>
        </w:div>
        <w:div w:id="1839733120">
          <w:marLeft w:val="0"/>
          <w:marRight w:val="0"/>
          <w:marTop w:val="0"/>
          <w:marBottom w:val="0"/>
          <w:divBdr>
            <w:top w:val="none" w:sz="0" w:space="0" w:color="auto"/>
            <w:left w:val="none" w:sz="0" w:space="0" w:color="auto"/>
            <w:bottom w:val="none" w:sz="0" w:space="0" w:color="auto"/>
            <w:right w:val="none" w:sz="0" w:space="0" w:color="auto"/>
          </w:divBdr>
        </w:div>
        <w:div w:id="1406876584">
          <w:marLeft w:val="0"/>
          <w:marRight w:val="0"/>
          <w:marTop w:val="0"/>
          <w:marBottom w:val="0"/>
          <w:divBdr>
            <w:top w:val="none" w:sz="0" w:space="0" w:color="auto"/>
            <w:left w:val="none" w:sz="0" w:space="0" w:color="auto"/>
            <w:bottom w:val="none" w:sz="0" w:space="0" w:color="auto"/>
            <w:right w:val="none" w:sz="0" w:space="0" w:color="auto"/>
          </w:divBdr>
        </w:div>
        <w:div w:id="657851870">
          <w:marLeft w:val="0"/>
          <w:marRight w:val="0"/>
          <w:marTop w:val="0"/>
          <w:marBottom w:val="0"/>
          <w:divBdr>
            <w:top w:val="none" w:sz="0" w:space="0" w:color="auto"/>
            <w:left w:val="none" w:sz="0" w:space="0" w:color="auto"/>
            <w:bottom w:val="none" w:sz="0" w:space="0" w:color="auto"/>
            <w:right w:val="none" w:sz="0" w:space="0" w:color="auto"/>
          </w:divBdr>
        </w:div>
        <w:div w:id="349339297">
          <w:marLeft w:val="0"/>
          <w:marRight w:val="0"/>
          <w:marTop w:val="0"/>
          <w:marBottom w:val="0"/>
          <w:divBdr>
            <w:top w:val="none" w:sz="0" w:space="0" w:color="auto"/>
            <w:left w:val="none" w:sz="0" w:space="0" w:color="auto"/>
            <w:bottom w:val="none" w:sz="0" w:space="0" w:color="auto"/>
            <w:right w:val="none" w:sz="0" w:space="0" w:color="auto"/>
          </w:divBdr>
        </w:div>
        <w:div w:id="523784064">
          <w:marLeft w:val="0"/>
          <w:marRight w:val="0"/>
          <w:marTop w:val="0"/>
          <w:marBottom w:val="0"/>
          <w:divBdr>
            <w:top w:val="none" w:sz="0" w:space="0" w:color="auto"/>
            <w:left w:val="none" w:sz="0" w:space="0" w:color="auto"/>
            <w:bottom w:val="none" w:sz="0" w:space="0" w:color="auto"/>
            <w:right w:val="none" w:sz="0" w:space="0" w:color="auto"/>
          </w:divBdr>
        </w:div>
        <w:div w:id="45836595">
          <w:marLeft w:val="0"/>
          <w:marRight w:val="0"/>
          <w:marTop w:val="0"/>
          <w:marBottom w:val="0"/>
          <w:divBdr>
            <w:top w:val="none" w:sz="0" w:space="0" w:color="auto"/>
            <w:left w:val="none" w:sz="0" w:space="0" w:color="auto"/>
            <w:bottom w:val="none" w:sz="0" w:space="0" w:color="auto"/>
            <w:right w:val="none" w:sz="0" w:space="0" w:color="auto"/>
          </w:divBdr>
        </w:div>
        <w:div w:id="1573931502">
          <w:marLeft w:val="0"/>
          <w:marRight w:val="0"/>
          <w:marTop w:val="0"/>
          <w:marBottom w:val="0"/>
          <w:divBdr>
            <w:top w:val="none" w:sz="0" w:space="0" w:color="auto"/>
            <w:left w:val="none" w:sz="0" w:space="0" w:color="auto"/>
            <w:bottom w:val="none" w:sz="0" w:space="0" w:color="auto"/>
            <w:right w:val="none" w:sz="0" w:space="0" w:color="auto"/>
          </w:divBdr>
        </w:div>
        <w:div w:id="1010640851">
          <w:marLeft w:val="0"/>
          <w:marRight w:val="0"/>
          <w:marTop w:val="0"/>
          <w:marBottom w:val="0"/>
          <w:divBdr>
            <w:top w:val="none" w:sz="0" w:space="0" w:color="auto"/>
            <w:left w:val="none" w:sz="0" w:space="0" w:color="auto"/>
            <w:bottom w:val="none" w:sz="0" w:space="0" w:color="auto"/>
            <w:right w:val="none" w:sz="0" w:space="0" w:color="auto"/>
          </w:divBdr>
        </w:div>
        <w:div w:id="1761828459">
          <w:marLeft w:val="0"/>
          <w:marRight w:val="0"/>
          <w:marTop w:val="0"/>
          <w:marBottom w:val="0"/>
          <w:divBdr>
            <w:top w:val="none" w:sz="0" w:space="0" w:color="auto"/>
            <w:left w:val="none" w:sz="0" w:space="0" w:color="auto"/>
            <w:bottom w:val="none" w:sz="0" w:space="0" w:color="auto"/>
            <w:right w:val="none" w:sz="0" w:space="0" w:color="auto"/>
          </w:divBdr>
        </w:div>
        <w:div w:id="1653874505">
          <w:marLeft w:val="0"/>
          <w:marRight w:val="0"/>
          <w:marTop w:val="0"/>
          <w:marBottom w:val="0"/>
          <w:divBdr>
            <w:top w:val="none" w:sz="0" w:space="0" w:color="auto"/>
            <w:left w:val="none" w:sz="0" w:space="0" w:color="auto"/>
            <w:bottom w:val="none" w:sz="0" w:space="0" w:color="auto"/>
            <w:right w:val="none" w:sz="0" w:space="0" w:color="auto"/>
          </w:divBdr>
        </w:div>
        <w:div w:id="1260143929">
          <w:marLeft w:val="0"/>
          <w:marRight w:val="0"/>
          <w:marTop w:val="0"/>
          <w:marBottom w:val="0"/>
          <w:divBdr>
            <w:top w:val="none" w:sz="0" w:space="0" w:color="auto"/>
            <w:left w:val="none" w:sz="0" w:space="0" w:color="auto"/>
            <w:bottom w:val="none" w:sz="0" w:space="0" w:color="auto"/>
            <w:right w:val="none" w:sz="0" w:space="0" w:color="auto"/>
          </w:divBdr>
        </w:div>
        <w:div w:id="1259869017">
          <w:marLeft w:val="0"/>
          <w:marRight w:val="0"/>
          <w:marTop w:val="0"/>
          <w:marBottom w:val="0"/>
          <w:divBdr>
            <w:top w:val="none" w:sz="0" w:space="0" w:color="auto"/>
            <w:left w:val="none" w:sz="0" w:space="0" w:color="auto"/>
            <w:bottom w:val="none" w:sz="0" w:space="0" w:color="auto"/>
            <w:right w:val="none" w:sz="0" w:space="0" w:color="auto"/>
          </w:divBdr>
        </w:div>
      </w:divsChild>
    </w:div>
    <w:div w:id="1264072310">
      <w:bodyDiv w:val="1"/>
      <w:marLeft w:val="0"/>
      <w:marRight w:val="0"/>
      <w:marTop w:val="0"/>
      <w:marBottom w:val="0"/>
      <w:divBdr>
        <w:top w:val="none" w:sz="0" w:space="0" w:color="auto"/>
        <w:left w:val="none" w:sz="0" w:space="0" w:color="auto"/>
        <w:bottom w:val="none" w:sz="0" w:space="0" w:color="auto"/>
        <w:right w:val="none" w:sz="0" w:space="0" w:color="auto"/>
      </w:divBdr>
    </w:div>
    <w:div w:id="1296522359">
      <w:bodyDiv w:val="1"/>
      <w:marLeft w:val="0"/>
      <w:marRight w:val="0"/>
      <w:marTop w:val="0"/>
      <w:marBottom w:val="0"/>
      <w:divBdr>
        <w:top w:val="none" w:sz="0" w:space="0" w:color="auto"/>
        <w:left w:val="none" w:sz="0" w:space="0" w:color="auto"/>
        <w:bottom w:val="none" w:sz="0" w:space="0" w:color="auto"/>
        <w:right w:val="none" w:sz="0" w:space="0" w:color="auto"/>
      </w:divBdr>
      <w:divsChild>
        <w:div w:id="1907841917">
          <w:marLeft w:val="0"/>
          <w:marRight w:val="0"/>
          <w:marTop w:val="0"/>
          <w:marBottom w:val="0"/>
          <w:divBdr>
            <w:top w:val="none" w:sz="0" w:space="0" w:color="auto"/>
            <w:left w:val="none" w:sz="0" w:space="0" w:color="auto"/>
            <w:bottom w:val="none" w:sz="0" w:space="0" w:color="auto"/>
            <w:right w:val="none" w:sz="0" w:space="0" w:color="auto"/>
          </w:divBdr>
        </w:div>
        <w:div w:id="1745757207">
          <w:marLeft w:val="0"/>
          <w:marRight w:val="0"/>
          <w:marTop w:val="0"/>
          <w:marBottom w:val="0"/>
          <w:divBdr>
            <w:top w:val="none" w:sz="0" w:space="0" w:color="auto"/>
            <w:left w:val="none" w:sz="0" w:space="0" w:color="auto"/>
            <w:bottom w:val="none" w:sz="0" w:space="0" w:color="auto"/>
            <w:right w:val="none" w:sz="0" w:space="0" w:color="auto"/>
          </w:divBdr>
        </w:div>
        <w:div w:id="241567752">
          <w:marLeft w:val="0"/>
          <w:marRight w:val="0"/>
          <w:marTop w:val="0"/>
          <w:marBottom w:val="0"/>
          <w:divBdr>
            <w:top w:val="none" w:sz="0" w:space="0" w:color="auto"/>
            <w:left w:val="none" w:sz="0" w:space="0" w:color="auto"/>
            <w:bottom w:val="none" w:sz="0" w:space="0" w:color="auto"/>
            <w:right w:val="none" w:sz="0" w:space="0" w:color="auto"/>
          </w:divBdr>
        </w:div>
        <w:div w:id="1972249977">
          <w:marLeft w:val="0"/>
          <w:marRight w:val="0"/>
          <w:marTop w:val="0"/>
          <w:marBottom w:val="0"/>
          <w:divBdr>
            <w:top w:val="none" w:sz="0" w:space="0" w:color="auto"/>
            <w:left w:val="none" w:sz="0" w:space="0" w:color="auto"/>
            <w:bottom w:val="none" w:sz="0" w:space="0" w:color="auto"/>
            <w:right w:val="none" w:sz="0" w:space="0" w:color="auto"/>
          </w:divBdr>
        </w:div>
        <w:div w:id="783773360">
          <w:marLeft w:val="0"/>
          <w:marRight w:val="0"/>
          <w:marTop w:val="0"/>
          <w:marBottom w:val="0"/>
          <w:divBdr>
            <w:top w:val="none" w:sz="0" w:space="0" w:color="auto"/>
            <w:left w:val="none" w:sz="0" w:space="0" w:color="auto"/>
            <w:bottom w:val="none" w:sz="0" w:space="0" w:color="auto"/>
            <w:right w:val="none" w:sz="0" w:space="0" w:color="auto"/>
          </w:divBdr>
        </w:div>
        <w:div w:id="67390772">
          <w:marLeft w:val="0"/>
          <w:marRight w:val="0"/>
          <w:marTop w:val="0"/>
          <w:marBottom w:val="0"/>
          <w:divBdr>
            <w:top w:val="none" w:sz="0" w:space="0" w:color="auto"/>
            <w:left w:val="none" w:sz="0" w:space="0" w:color="auto"/>
            <w:bottom w:val="none" w:sz="0" w:space="0" w:color="auto"/>
            <w:right w:val="none" w:sz="0" w:space="0" w:color="auto"/>
          </w:divBdr>
        </w:div>
        <w:div w:id="1521310128">
          <w:marLeft w:val="0"/>
          <w:marRight w:val="0"/>
          <w:marTop w:val="0"/>
          <w:marBottom w:val="0"/>
          <w:divBdr>
            <w:top w:val="none" w:sz="0" w:space="0" w:color="auto"/>
            <w:left w:val="none" w:sz="0" w:space="0" w:color="auto"/>
            <w:bottom w:val="none" w:sz="0" w:space="0" w:color="auto"/>
            <w:right w:val="none" w:sz="0" w:space="0" w:color="auto"/>
          </w:divBdr>
        </w:div>
        <w:div w:id="1563639059">
          <w:marLeft w:val="0"/>
          <w:marRight w:val="0"/>
          <w:marTop w:val="0"/>
          <w:marBottom w:val="0"/>
          <w:divBdr>
            <w:top w:val="none" w:sz="0" w:space="0" w:color="auto"/>
            <w:left w:val="none" w:sz="0" w:space="0" w:color="auto"/>
            <w:bottom w:val="none" w:sz="0" w:space="0" w:color="auto"/>
            <w:right w:val="none" w:sz="0" w:space="0" w:color="auto"/>
          </w:divBdr>
        </w:div>
        <w:div w:id="524253558">
          <w:marLeft w:val="0"/>
          <w:marRight w:val="0"/>
          <w:marTop w:val="0"/>
          <w:marBottom w:val="0"/>
          <w:divBdr>
            <w:top w:val="none" w:sz="0" w:space="0" w:color="auto"/>
            <w:left w:val="none" w:sz="0" w:space="0" w:color="auto"/>
            <w:bottom w:val="none" w:sz="0" w:space="0" w:color="auto"/>
            <w:right w:val="none" w:sz="0" w:space="0" w:color="auto"/>
          </w:divBdr>
        </w:div>
        <w:div w:id="1322923909">
          <w:marLeft w:val="0"/>
          <w:marRight w:val="0"/>
          <w:marTop w:val="0"/>
          <w:marBottom w:val="0"/>
          <w:divBdr>
            <w:top w:val="none" w:sz="0" w:space="0" w:color="auto"/>
            <w:left w:val="none" w:sz="0" w:space="0" w:color="auto"/>
            <w:bottom w:val="none" w:sz="0" w:space="0" w:color="auto"/>
            <w:right w:val="none" w:sz="0" w:space="0" w:color="auto"/>
          </w:divBdr>
        </w:div>
        <w:div w:id="2012490410">
          <w:marLeft w:val="0"/>
          <w:marRight w:val="0"/>
          <w:marTop w:val="0"/>
          <w:marBottom w:val="0"/>
          <w:divBdr>
            <w:top w:val="none" w:sz="0" w:space="0" w:color="auto"/>
            <w:left w:val="none" w:sz="0" w:space="0" w:color="auto"/>
            <w:bottom w:val="none" w:sz="0" w:space="0" w:color="auto"/>
            <w:right w:val="none" w:sz="0" w:space="0" w:color="auto"/>
          </w:divBdr>
        </w:div>
        <w:div w:id="1387411511">
          <w:marLeft w:val="0"/>
          <w:marRight w:val="0"/>
          <w:marTop w:val="0"/>
          <w:marBottom w:val="0"/>
          <w:divBdr>
            <w:top w:val="none" w:sz="0" w:space="0" w:color="auto"/>
            <w:left w:val="none" w:sz="0" w:space="0" w:color="auto"/>
            <w:bottom w:val="none" w:sz="0" w:space="0" w:color="auto"/>
            <w:right w:val="none" w:sz="0" w:space="0" w:color="auto"/>
          </w:divBdr>
        </w:div>
        <w:div w:id="889347697">
          <w:marLeft w:val="0"/>
          <w:marRight w:val="0"/>
          <w:marTop w:val="0"/>
          <w:marBottom w:val="0"/>
          <w:divBdr>
            <w:top w:val="none" w:sz="0" w:space="0" w:color="auto"/>
            <w:left w:val="none" w:sz="0" w:space="0" w:color="auto"/>
            <w:bottom w:val="none" w:sz="0" w:space="0" w:color="auto"/>
            <w:right w:val="none" w:sz="0" w:space="0" w:color="auto"/>
          </w:divBdr>
        </w:div>
        <w:div w:id="1215773567">
          <w:marLeft w:val="0"/>
          <w:marRight w:val="0"/>
          <w:marTop w:val="0"/>
          <w:marBottom w:val="0"/>
          <w:divBdr>
            <w:top w:val="none" w:sz="0" w:space="0" w:color="auto"/>
            <w:left w:val="none" w:sz="0" w:space="0" w:color="auto"/>
            <w:bottom w:val="none" w:sz="0" w:space="0" w:color="auto"/>
            <w:right w:val="none" w:sz="0" w:space="0" w:color="auto"/>
          </w:divBdr>
        </w:div>
        <w:div w:id="463305055">
          <w:marLeft w:val="0"/>
          <w:marRight w:val="0"/>
          <w:marTop w:val="0"/>
          <w:marBottom w:val="0"/>
          <w:divBdr>
            <w:top w:val="none" w:sz="0" w:space="0" w:color="auto"/>
            <w:left w:val="none" w:sz="0" w:space="0" w:color="auto"/>
            <w:bottom w:val="none" w:sz="0" w:space="0" w:color="auto"/>
            <w:right w:val="none" w:sz="0" w:space="0" w:color="auto"/>
          </w:divBdr>
        </w:div>
        <w:div w:id="1550461525">
          <w:marLeft w:val="0"/>
          <w:marRight w:val="0"/>
          <w:marTop w:val="0"/>
          <w:marBottom w:val="0"/>
          <w:divBdr>
            <w:top w:val="none" w:sz="0" w:space="0" w:color="auto"/>
            <w:left w:val="none" w:sz="0" w:space="0" w:color="auto"/>
            <w:bottom w:val="none" w:sz="0" w:space="0" w:color="auto"/>
            <w:right w:val="none" w:sz="0" w:space="0" w:color="auto"/>
          </w:divBdr>
        </w:div>
        <w:div w:id="23139577">
          <w:marLeft w:val="0"/>
          <w:marRight w:val="0"/>
          <w:marTop w:val="0"/>
          <w:marBottom w:val="0"/>
          <w:divBdr>
            <w:top w:val="none" w:sz="0" w:space="0" w:color="auto"/>
            <w:left w:val="none" w:sz="0" w:space="0" w:color="auto"/>
            <w:bottom w:val="none" w:sz="0" w:space="0" w:color="auto"/>
            <w:right w:val="none" w:sz="0" w:space="0" w:color="auto"/>
          </w:divBdr>
        </w:div>
        <w:div w:id="464206024">
          <w:marLeft w:val="0"/>
          <w:marRight w:val="0"/>
          <w:marTop w:val="0"/>
          <w:marBottom w:val="0"/>
          <w:divBdr>
            <w:top w:val="none" w:sz="0" w:space="0" w:color="auto"/>
            <w:left w:val="none" w:sz="0" w:space="0" w:color="auto"/>
            <w:bottom w:val="none" w:sz="0" w:space="0" w:color="auto"/>
            <w:right w:val="none" w:sz="0" w:space="0" w:color="auto"/>
          </w:divBdr>
        </w:div>
        <w:div w:id="1495562490">
          <w:marLeft w:val="0"/>
          <w:marRight w:val="0"/>
          <w:marTop w:val="0"/>
          <w:marBottom w:val="0"/>
          <w:divBdr>
            <w:top w:val="none" w:sz="0" w:space="0" w:color="auto"/>
            <w:left w:val="none" w:sz="0" w:space="0" w:color="auto"/>
            <w:bottom w:val="none" w:sz="0" w:space="0" w:color="auto"/>
            <w:right w:val="none" w:sz="0" w:space="0" w:color="auto"/>
          </w:divBdr>
        </w:div>
        <w:div w:id="762381416">
          <w:marLeft w:val="0"/>
          <w:marRight w:val="0"/>
          <w:marTop w:val="0"/>
          <w:marBottom w:val="0"/>
          <w:divBdr>
            <w:top w:val="none" w:sz="0" w:space="0" w:color="auto"/>
            <w:left w:val="none" w:sz="0" w:space="0" w:color="auto"/>
            <w:bottom w:val="none" w:sz="0" w:space="0" w:color="auto"/>
            <w:right w:val="none" w:sz="0" w:space="0" w:color="auto"/>
          </w:divBdr>
        </w:div>
        <w:div w:id="331571959">
          <w:marLeft w:val="0"/>
          <w:marRight w:val="0"/>
          <w:marTop w:val="0"/>
          <w:marBottom w:val="0"/>
          <w:divBdr>
            <w:top w:val="none" w:sz="0" w:space="0" w:color="auto"/>
            <w:left w:val="none" w:sz="0" w:space="0" w:color="auto"/>
            <w:bottom w:val="none" w:sz="0" w:space="0" w:color="auto"/>
            <w:right w:val="none" w:sz="0" w:space="0" w:color="auto"/>
          </w:divBdr>
        </w:div>
      </w:divsChild>
    </w:div>
    <w:div w:id="1396201261">
      <w:bodyDiv w:val="1"/>
      <w:marLeft w:val="0"/>
      <w:marRight w:val="0"/>
      <w:marTop w:val="0"/>
      <w:marBottom w:val="0"/>
      <w:divBdr>
        <w:top w:val="none" w:sz="0" w:space="0" w:color="auto"/>
        <w:left w:val="none" w:sz="0" w:space="0" w:color="auto"/>
        <w:bottom w:val="none" w:sz="0" w:space="0" w:color="auto"/>
        <w:right w:val="none" w:sz="0" w:space="0" w:color="auto"/>
      </w:divBdr>
    </w:div>
    <w:div w:id="1414889315">
      <w:bodyDiv w:val="1"/>
      <w:marLeft w:val="0"/>
      <w:marRight w:val="0"/>
      <w:marTop w:val="0"/>
      <w:marBottom w:val="0"/>
      <w:divBdr>
        <w:top w:val="none" w:sz="0" w:space="0" w:color="auto"/>
        <w:left w:val="none" w:sz="0" w:space="0" w:color="auto"/>
        <w:bottom w:val="none" w:sz="0" w:space="0" w:color="auto"/>
        <w:right w:val="none" w:sz="0" w:space="0" w:color="auto"/>
      </w:divBdr>
    </w:div>
    <w:div w:id="1428042524">
      <w:bodyDiv w:val="1"/>
      <w:marLeft w:val="0"/>
      <w:marRight w:val="0"/>
      <w:marTop w:val="0"/>
      <w:marBottom w:val="0"/>
      <w:divBdr>
        <w:top w:val="none" w:sz="0" w:space="0" w:color="auto"/>
        <w:left w:val="none" w:sz="0" w:space="0" w:color="auto"/>
        <w:bottom w:val="none" w:sz="0" w:space="0" w:color="auto"/>
        <w:right w:val="none" w:sz="0" w:space="0" w:color="auto"/>
      </w:divBdr>
      <w:divsChild>
        <w:div w:id="1868516602">
          <w:marLeft w:val="0"/>
          <w:marRight w:val="0"/>
          <w:marTop w:val="0"/>
          <w:marBottom w:val="0"/>
          <w:divBdr>
            <w:top w:val="none" w:sz="0" w:space="0" w:color="auto"/>
            <w:left w:val="none" w:sz="0" w:space="0" w:color="auto"/>
            <w:bottom w:val="none" w:sz="0" w:space="0" w:color="auto"/>
            <w:right w:val="none" w:sz="0" w:space="0" w:color="auto"/>
          </w:divBdr>
        </w:div>
        <w:div w:id="950479124">
          <w:marLeft w:val="0"/>
          <w:marRight w:val="0"/>
          <w:marTop w:val="0"/>
          <w:marBottom w:val="0"/>
          <w:divBdr>
            <w:top w:val="none" w:sz="0" w:space="0" w:color="auto"/>
            <w:left w:val="none" w:sz="0" w:space="0" w:color="auto"/>
            <w:bottom w:val="none" w:sz="0" w:space="0" w:color="auto"/>
            <w:right w:val="none" w:sz="0" w:space="0" w:color="auto"/>
          </w:divBdr>
        </w:div>
        <w:div w:id="1965428773">
          <w:marLeft w:val="0"/>
          <w:marRight w:val="0"/>
          <w:marTop w:val="0"/>
          <w:marBottom w:val="0"/>
          <w:divBdr>
            <w:top w:val="none" w:sz="0" w:space="0" w:color="auto"/>
            <w:left w:val="none" w:sz="0" w:space="0" w:color="auto"/>
            <w:bottom w:val="none" w:sz="0" w:space="0" w:color="auto"/>
            <w:right w:val="none" w:sz="0" w:space="0" w:color="auto"/>
          </w:divBdr>
        </w:div>
        <w:div w:id="143159351">
          <w:marLeft w:val="0"/>
          <w:marRight w:val="0"/>
          <w:marTop w:val="0"/>
          <w:marBottom w:val="0"/>
          <w:divBdr>
            <w:top w:val="none" w:sz="0" w:space="0" w:color="auto"/>
            <w:left w:val="none" w:sz="0" w:space="0" w:color="auto"/>
            <w:bottom w:val="none" w:sz="0" w:space="0" w:color="auto"/>
            <w:right w:val="none" w:sz="0" w:space="0" w:color="auto"/>
          </w:divBdr>
        </w:div>
        <w:div w:id="413088652">
          <w:marLeft w:val="0"/>
          <w:marRight w:val="0"/>
          <w:marTop w:val="0"/>
          <w:marBottom w:val="0"/>
          <w:divBdr>
            <w:top w:val="none" w:sz="0" w:space="0" w:color="auto"/>
            <w:left w:val="none" w:sz="0" w:space="0" w:color="auto"/>
            <w:bottom w:val="none" w:sz="0" w:space="0" w:color="auto"/>
            <w:right w:val="none" w:sz="0" w:space="0" w:color="auto"/>
          </w:divBdr>
        </w:div>
        <w:div w:id="232349127">
          <w:marLeft w:val="0"/>
          <w:marRight w:val="0"/>
          <w:marTop w:val="0"/>
          <w:marBottom w:val="0"/>
          <w:divBdr>
            <w:top w:val="none" w:sz="0" w:space="0" w:color="auto"/>
            <w:left w:val="none" w:sz="0" w:space="0" w:color="auto"/>
            <w:bottom w:val="none" w:sz="0" w:space="0" w:color="auto"/>
            <w:right w:val="none" w:sz="0" w:space="0" w:color="auto"/>
          </w:divBdr>
        </w:div>
        <w:div w:id="1195078751">
          <w:marLeft w:val="0"/>
          <w:marRight w:val="0"/>
          <w:marTop w:val="0"/>
          <w:marBottom w:val="0"/>
          <w:divBdr>
            <w:top w:val="none" w:sz="0" w:space="0" w:color="auto"/>
            <w:left w:val="none" w:sz="0" w:space="0" w:color="auto"/>
            <w:bottom w:val="none" w:sz="0" w:space="0" w:color="auto"/>
            <w:right w:val="none" w:sz="0" w:space="0" w:color="auto"/>
          </w:divBdr>
        </w:div>
        <w:div w:id="273485985">
          <w:marLeft w:val="0"/>
          <w:marRight w:val="0"/>
          <w:marTop w:val="0"/>
          <w:marBottom w:val="0"/>
          <w:divBdr>
            <w:top w:val="none" w:sz="0" w:space="0" w:color="auto"/>
            <w:left w:val="none" w:sz="0" w:space="0" w:color="auto"/>
            <w:bottom w:val="none" w:sz="0" w:space="0" w:color="auto"/>
            <w:right w:val="none" w:sz="0" w:space="0" w:color="auto"/>
          </w:divBdr>
        </w:div>
        <w:div w:id="2139830933">
          <w:marLeft w:val="0"/>
          <w:marRight w:val="0"/>
          <w:marTop w:val="0"/>
          <w:marBottom w:val="0"/>
          <w:divBdr>
            <w:top w:val="none" w:sz="0" w:space="0" w:color="auto"/>
            <w:left w:val="none" w:sz="0" w:space="0" w:color="auto"/>
            <w:bottom w:val="none" w:sz="0" w:space="0" w:color="auto"/>
            <w:right w:val="none" w:sz="0" w:space="0" w:color="auto"/>
          </w:divBdr>
        </w:div>
        <w:div w:id="1825077291">
          <w:marLeft w:val="0"/>
          <w:marRight w:val="0"/>
          <w:marTop w:val="0"/>
          <w:marBottom w:val="0"/>
          <w:divBdr>
            <w:top w:val="none" w:sz="0" w:space="0" w:color="auto"/>
            <w:left w:val="none" w:sz="0" w:space="0" w:color="auto"/>
            <w:bottom w:val="none" w:sz="0" w:space="0" w:color="auto"/>
            <w:right w:val="none" w:sz="0" w:space="0" w:color="auto"/>
          </w:divBdr>
        </w:div>
        <w:div w:id="1059283132">
          <w:marLeft w:val="0"/>
          <w:marRight w:val="0"/>
          <w:marTop w:val="0"/>
          <w:marBottom w:val="0"/>
          <w:divBdr>
            <w:top w:val="none" w:sz="0" w:space="0" w:color="auto"/>
            <w:left w:val="none" w:sz="0" w:space="0" w:color="auto"/>
            <w:bottom w:val="none" w:sz="0" w:space="0" w:color="auto"/>
            <w:right w:val="none" w:sz="0" w:space="0" w:color="auto"/>
          </w:divBdr>
        </w:div>
        <w:div w:id="580721949">
          <w:marLeft w:val="0"/>
          <w:marRight w:val="0"/>
          <w:marTop w:val="0"/>
          <w:marBottom w:val="0"/>
          <w:divBdr>
            <w:top w:val="none" w:sz="0" w:space="0" w:color="auto"/>
            <w:left w:val="none" w:sz="0" w:space="0" w:color="auto"/>
            <w:bottom w:val="none" w:sz="0" w:space="0" w:color="auto"/>
            <w:right w:val="none" w:sz="0" w:space="0" w:color="auto"/>
          </w:divBdr>
        </w:div>
        <w:div w:id="1870221254">
          <w:marLeft w:val="0"/>
          <w:marRight w:val="0"/>
          <w:marTop w:val="0"/>
          <w:marBottom w:val="0"/>
          <w:divBdr>
            <w:top w:val="none" w:sz="0" w:space="0" w:color="auto"/>
            <w:left w:val="none" w:sz="0" w:space="0" w:color="auto"/>
            <w:bottom w:val="none" w:sz="0" w:space="0" w:color="auto"/>
            <w:right w:val="none" w:sz="0" w:space="0" w:color="auto"/>
          </w:divBdr>
        </w:div>
        <w:div w:id="82607857">
          <w:marLeft w:val="0"/>
          <w:marRight w:val="0"/>
          <w:marTop w:val="0"/>
          <w:marBottom w:val="0"/>
          <w:divBdr>
            <w:top w:val="none" w:sz="0" w:space="0" w:color="auto"/>
            <w:left w:val="none" w:sz="0" w:space="0" w:color="auto"/>
            <w:bottom w:val="none" w:sz="0" w:space="0" w:color="auto"/>
            <w:right w:val="none" w:sz="0" w:space="0" w:color="auto"/>
          </w:divBdr>
        </w:div>
        <w:div w:id="158735184">
          <w:marLeft w:val="0"/>
          <w:marRight w:val="0"/>
          <w:marTop w:val="0"/>
          <w:marBottom w:val="0"/>
          <w:divBdr>
            <w:top w:val="none" w:sz="0" w:space="0" w:color="auto"/>
            <w:left w:val="none" w:sz="0" w:space="0" w:color="auto"/>
            <w:bottom w:val="none" w:sz="0" w:space="0" w:color="auto"/>
            <w:right w:val="none" w:sz="0" w:space="0" w:color="auto"/>
          </w:divBdr>
        </w:div>
        <w:div w:id="1432969594">
          <w:marLeft w:val="0"/>
          <w:marRight w:val="0"/>
          <w:marTop w:val="0"/>
          <w:marBottom w:val="0"/>
          <w:divBdr>
            <w:top w:val="none" w:sz="0" w:space="0" w:color="auto"/>
            <w:left w:val="none" w:sz="0" w:space="0" w:color="auto"/>
            <w:bottom w:val="none" w:sz="0" w:space="0" w:color="auto"/>
            <w:right w:val="none" w:sz="0" w:space="0" w:color="auto"/>
          </w:divBdr>
        </w:div>
        <w:div w:id="440996702">
          <w:marLeft w:val="0"/>
          <w:marRight w:val="0"/>
          <w:marTop w:val="0"/>
          <w:marBottom w:val="0"/>
          <w:divBdr>
            <w:top w:val="none" w:sz="0" w:space="0" w:color="auto"/>
            <w:left w:val="none" w:sz="0" w:space="0" w:color="auto"/>
            <w:bottom w:val="none" w:sz="0" w:space="0" w:color="auto"/>
            <w:right w:val="none" w:sz="0" w:space="0" w:color="auto"/>
          </w:divBdr>
        </w:div>
        <w:div w:id="2140221207">
          <w:marLeft w:val="0"/>
          <w:marRight w:val="0"/>
          <w:marTop w:val="0"/>
          <w:marBottom w:val="0"/>
          <w:divBdr>
            <w:top w:val="none" w:sz="0" w:space="0" w:color="auto"/>
            <w:left w:val="none" w:sz="0" w:space="0" w:color="auto"/>
            <w:bottom w:val="none" w:sz="0" w:space="0" w:color="auto"/>
            <w:right w:val="none" w:sz="0" w:space="0" w:color="auto"/>
          </w:divBdr>
        </w:div>
        <w:div w:id="330303661">
          <w:marLeft w:val="0"/>
          <w:marRight w:val="0"/>
          <w:marTop w:val="0"/>
          <w:marBottom w:val="0"/>
          <w:divBdr>
            <w:top w:val="none" w:sz="0" w:space="0" w:color="auto"/>
            <w:left w:val="none" w:sz="0" w:space="0" w:color="auto"/>
            <w:bottom w:val="none" w:sz="0" w:space="0" w:color="auto"/>
            <w:right w:val="none" w:sz="0" w:space="0" w:color="auto"/>
          </w:divBdr>
        </w:div>
        <w:div w:id="1692609567">
          <w:marLeft w:val="0"/>
          <w:marRight w:val="0"/>
          <w:marTop w:val="0"/>
          <w:marBottom w:val="0"/>
          <w:divBdr>
            <w:top w:val="none" w:sz="0" w:space="0" w:color="auto"/>
            <w:left w:val="none" w:sz="0" w:space="0" w:color="auto"/>
            <w:bottom w:val="none" w:sz="0" w:space="0" w:color="auto"/>
            <w:right w:val="none" w:sz="0" w:space="0" w:color="auto"/>
          </w:divBdr>
        </w:div>
        <w:div w:id="623773939">
          <w:marLeft w:val="0"/>
          <w:marRight w:val="0"/>
          <w:marTop w:val="0"/>
          <w:marBottom w:val="0"/>
          <w:divBdr>
            <w:top w:val="none" w:sz="0" w:space="0" w:color="auto"/>
            <w:left w:val="none" w:sz="0" w:space="0" w:color="auto"/>
            <w:bottom w:val="none" w:sz="0" w:space="0" w:color="auto"/>
            <w:right w:val="none" w:sz="0" w:space="0" w:color="auto"/>
          </w:divBdr>
        </w:div>
      </w:divsChild>
    </w:div>
    <w:div w:id="1446267658">
      <w:bodyDiv w:val="1"/>
      <w:marLeft w:val="0"/>
      <w:marRight w:val="0"/>
      <w:marTop w:val="0"/>
      <w:marBottom w:val="0"/>
      <w:divBdr>
        <w:top w:val="none" w:sz="0" w:space="0" w:color="auto"/>
        <w:left w:val="none" w:sz="0" w:space="0" w:color="auto"/>
        <w:bottom w:val="none" w:sz="0" w:space="0" w:color="auto"/>
        <w:right w:val="none" w:sz="0" w:space="0" w:color="auto"/>
      </w:divBdr>
    </w:div>
    <w:div w:id="1452481280">
      <w:bodyDiv w:val="1"/>
      <w:marLeft w:val="0"/>
      <w:marRight w:val="0"/>
      <w:marTop w:val="0"/>
      <w:marBottom w:val="0"/>
      <w:divBdr>
        <w:top w:val="none" w:sz="0" w:space="0" w:color="auto"/>
        <w:left w:val="none" w:sz="0" w:space="0" w:color="auto"/>
        <w:bottom w:val="none" w:sz="0" w:space="0" w:color="auto"/>
        <w:right w:val="none" w:sz="0" w:space="0" w:color="auto"/>
      </w:divBdr>
    </w:div>
    <w:div w:id="1462698024">
      <w:bodyDiv w:val="1"/>
      <w:marLeft w:val="0"/>
      <w:marRight w:val="0"/>
      <w:marTop w:val="0"/>
      <w:marBottom w:val="0"/>
      <w:divBdr>
        <w:top w:val="none" w:sz="0" w:space="0" w:color="auto"/>
        <w:left w:val="none" w:sz="0" w:space="0" w:color="auto"/>
        <w:bottom w:val="none" w:sz="0" w:space="0" w:color="auto"/>
        <w:right w:val="none" w:sz="0" w:space="0" w:color="auto"/>
      </w:divBdr>
      <w:divsChild>
        <w:div w:id="1978139626">
          <w:marLeft w:val="0"/>
          <w:marRight w:val="0"/>
          <w:marTop w:val="0"/>
          <w:marBottom w:val="0"/>
          <w:divBdr>
            <w:top w:val="none" w:sz="0" w:space="0" w:color="auto"/>
            <w:left w:val="none" w:sz="0" w:space="0" w:color="auto"/>
            <w:bottom w:val="none" w:sz="0" w:space="0" w:color="auto"/>
            <w:right w:val="none" w:sz="0" w:space="0" w:color="auto"/>
          </w:divBdr>
        </w:div>
        <w:div w:id="1138062570">
          <w:marLeft w:val="0"/>
          <w:marRight w:val="0"/>
          <w:marTop w:val="0"/>
          <w:marBottom w:val="0"/>
          <w:divBdr>
            <w:top w:val="none" w:sz="0" w:space="0" w:color="auto"/>
            <w:left w:val="none" w:sz="0" w:space="0" w:color="auto"/>
            <w:bottom w:val="none" w:sz="0" w:space="0" w:color="auto"/>
            <w:right w:val="none" w:sz="0" w:space="0" w:color="auto"/>
          </w:divBdr>
        </w:div>
        <w:div w:id="1831211755">
          <w:marLeft w:val="0"/>
          <w:marRight w:val="0"/>
          <w:marTop w:val="0"/>
          <w:marBottom w:val="0"/>
          <w:divBdr>
            <w:top w:val="none" w:sz="0" w:space="0" w:color="auto"/>
            <w:left w:val="none" w:sz="0" w:space="0" w:color="auto"/>
            <w:bottom w:val="none" w:sz="0" w:space="0" w:color="auto"/>
            <w:right w:val="none" w:sz="0" w:space="0" w:color="auto"/>
          </w:divBdr>
        </w:div>
        <w:div w:id="1348948469">
          <w:marLeft w:val="0"/>
          <w:marRight w:val="0"/>
          <w:marTop w:val="0"/>
          <w:marBottom w:val="0"/>
          <w:divBdr>
            <w:top w:val="none" w:sz="0" w:space="0" w:color="auto"/>
            <w:left w:val="none" w:sz="0" w:space="0" w:color="auto"/>
            <w:bottom w:val="none" w:sz="0" w:space="0" w:color="auto"/>
            <w:right w:val="none" w:sz="0" w:space="0" w:color="auto"/>
          </w:divBdr>
        </w:div>
        <w:div w:id="1382170376">
          <w:marLeft w:val="0"/>
          <w:marRight w:val="0"/>
          <w:marTop w:val="0"/>
          <w:marBottom w:val="0"/>
          <w:divBdr>
            <w:top w:val="none" w:sz="0" w:space="0" w:color="auto"/>
            <w:left w:val="none" w:sz="0" w:space="0" w:color="auto"/>
            <w:bottom w:val="none" w:sz="0" w:space="0" w:color="auto"/>
            <w:right w:val="none" w:sz="0" w:space="0" w:color="auto"/>
          </w:divBdr>
        </w:div>
        <w:div w:id="648480722">
          <w:marLeft w:val="0"/>
          <w:marRight w:val="0"/>
          <w:marTop w:val="0"/>
          <w:marBottom w:val="0"/>
          <w:divBdr>
            <w:top w:val="none" w:sz="0" w:space="0" w:color="auto"/>
            <w:left w:val="none" w:sz="0" w:space="0" w:color="auto"/>
            <w:bottom w:val="none" w:sz="0" w:space="0" w:color="auto"/>
            <w:right w:val="none" w:sz="0" w:space="0" w:color="auto"/>
          </w:divBdr>
        </w:div>
        <w:div w:id="318653192">
          <w:marLeft w:val="0"/>
          <w:marRight w:val="0"/>
          <w:marTop w:val="0"/>
          <w:marBottom w:val="0"/>
          <w:divBdr>
            <w:top w:val="none" w:sz="0" w:space="0" w:color="auto"/>
            <w:left w:val="none" w:sz="0" w:space="0" w:color="auto"/>
            <w:bottom w:val="none" w:sz="0" w:space="0" w:color="auto"/>
            <w:right w:val="none" w:sz="0" w:space="0" w:color="auto"/>
          </w:divBdr>
        </w:div>
        <w:div w:id="467210405">
          <w:marLeft w:val="0"/>
          <w:marRight w:val="0"/>
          <w:marTop w:val="0"/>
          <w:marBottom w:val="0"/>
          <w:divBdr>
            <w:top w:val="none" w:sz="0" w:space="0" w:color="auto"/>
            <w:left w:val="none" w:sz="0" w:space="0" w:color="auto"/>
            <w:bottom w:val="none" w:sz="0" w:space="0" w:color="auto"/>
            <w:right w:val="none" w:sz="0" w:space="0" w:color="auto"/>
          </w:divBdr>
        </w:div>
        <w:div w:id="372849594">
          <w:marLeft w:val="0"/>
          <w:marRight w:val="0"/>
          <w:marTop w:val="0"/>
          <w:marBottom w:val="0"/>
          <w:divBdr>
            <w:top w:val="none" w:sz="0" w:space="0" w:color="auto"/>
            <w:left w:val="none" w:sz="0" w:space="0" w:color="auto"/>
            <w:bottom w:val="none" w:sz="0" w:space="0" w:color="auto"/>
            <w:right w:val="none" w:sz="0" w:space="0" w:color="auto"/>
          </w:divBdr>
        </w:div>
        <w:div w:id="1625769461">
          <w:marLeft w:val="0"/>
          <w:marRight w:val="0"/>
          <w:marTop w:val="0"/>
          <w:marBottom w:val="0"/>
          <w:divBdr>
            <w:top w:val="none" w:sz="0" w:space="0" w:color="auto"/>
            <w:left w:val="none" w:sz="0" w:space="0" w:color="auto"/>
            <w:bottom w:val="none" w:sz="0" w:space="0" w:color="auto"/>
            <w:right w:val="none" w:sz="0" w:space="0" w:color="auto"/>
          </w:divBdr>
        </w:div>
        <w:div w:id="1668510100">
          <w:marLeft w:val="0"/>
          <w:marRight w:val="0"/>
          <w:marTop w:val="0"/>
          <w:marBottom w:val="0"/>
          <w:divBdr>
            <w:top w:val="none" w:sz="0" w:space="0" w:color="auto"/>
            <w:left w:val="none" w:sz="0" w:space="0" w:color="auto"/>
            <w:bottom w:val="none" w:sz="0" w:space="0" w:color="auto"/>
            <w:right w:val="none" w:sz="0" w:space="0" w:color="auto"/>
          </w:divBdr>
        </w:div>
        <w:div w:id="1715764674">
          <w:marLeft w:val="0"/>
          <w:marRight w:val="0"/>
          <w:marTop w:val="0"/>
          <w:marBottom w:val="0"/>
          <w:divBdr>
            <w:top w:val="none" w:sz="0" w:space="0" w:color="auto"/>
            <w:left w:val="none" w:sz="0" w:space="0" w:color="auto"/>
            <w:bottom w:val="none" w:sz="0" w:space="0" w:color="auto"/>
            <w:right w:val="none" w:sz="0" w:space="0" w:color="auto"/>
          </w:divBdr>
        </w:div>
        <w:div w:id="588388781">
          <w:marLeft w:val="0"/>
          <w:marRight w:val="0"/>
          <w:marTop w:val="0"/>
          <w:marBottom w:val="0"/>
          <w:divBdr>
            <w:top w:val="none" w:sz="0" w:space="0" w:color="auto"/>
            <w:left w:val="none" w:sz="0" w:space="0" w:color="auto"/>
            <w:bottom w:val="none" w:sz="0" w:space="0" w:color="auto"/>
            <w:right w:val="none" w:sz="0" w:space="0" w:color="auto"/>
          </w:divBdr>
        </w:div>
        <w:div w:id="561258492">
          <w:marLeft w:val="0"/>
          <w:marRight w:val="0"/>
          <w:marTop w:val="0"/>
          <w:marBottom w:val="0"/>
          <w:divBdr>
            <w:top w:val="none" w:sz="0" w:space="0" w:color="auto"/>
            <w:left w:val="none" w:sz="0" w:space="0" w:color="auto"/>
            <w:bottom w:val="none" w:sz="0" w:space="0" w:color="auto"/>
            <w:right w:val="none" w:sz="0" w:space="0" w:color="auto"/>
          </w:divBdr>
        </w:div>
        <w:div w:id="259262993">
          <w:marLeft w:val="0"/>
          <w:marRight w:val="0"/>
          <w:marTop w:val="0"/>
          <w:marBottom w:val="0"/>
          <w:divBdr>
            <w:top w:val="none" w:sz="0" w:space="0" w:color="auto"/>
            <w:left w:val="none" w:sz="0" w:space="0" w:color="auto"/>
            <w:bottom w:val="none" w:sz="0" w:space="0" w:color="auto"/>
            <w:right w:val="none" w:sz="0" w:space="0" w:color="auto"/>
          </w:divBdr>
        </w:div>
        <w:div w:id="953026049">
          <w:marLeft w:val="0"/>
          <w:marRight w:val="0"/>
          <w:marTop w:val="0"/>
          <w:marBottom w:val="0"/>
          <w:divBdr>
            <w:top w:val="none" w:sz="0" w:space="0" w:color="auto"/>
            <w:left w:val="none" w:sz="0" w:space="0" w:color="auto"/>
            <w:bottom w:val="none" w:sz="0" w:space="0" w:color="auto"/>
            <w:right w:val="none" w:sz="0" w:space="0" w:color="auto"/>
          </w:divBdr>
        </w:div>
        <w:div w:id="1854608006">
          <w:marLeft w:val="0"/>
          <w:marRight w:val="0"/>
          <w:marTop w:val="0"/>
          <w:marBottom w:val="0"/>
          <w:divBdr>
            <w:top w:val="none" w:sz="0" w:space="0" w:color="auto"/>
            <w:left w:val="none" w:sz="0" w:space="0" w:color="auto"/>
            <w:bottom w:val="none" w:sz="0" w:space="0" w:color="auto"/>
            <w:right w:val="none" w:sz="0" w:space="0" w:color="auto"/>
          </w:divBdr>
        </w:div>
        <w:div w:id="879248511">
          <w:marLeft w:val="0"/>
          <w:marRight w:val="0"/>
          <w:marTop w:val="0"/>
          <w:marBottom w:val="0"/>
          <w:divBdr>
            <w:top w:val="none" w:sz="0" w:space="0" w:color="auto"/>
            <w:left w:val="none" w:sz="0" w:space="0" w:color="auto"/>
            <w:bottom w:val="none" w:sz="0" w:space="0" w:color="auto"/>
            <w:right w:val="none" w:sz="0" w:space="0" w:color="auto"/>
          </w:divBdr>
        </w:div>
      </w:divsChild>
    </w:div>
    <w:div w:id="1472165725">
      <w:bodyDiv w:val="1"/>
      <w:marLeft w:val="0"/>
      <w:marRight w:val="0"/>
      <w:marTop w:val="0"/>
      <w:marBottom w:val="0"/>
      <w:divBdr>
        <w:top w:val="none" w:sz="0" w:space="0" w:color="auto"/>
        <w:left w:val="none" w:sz="0" w:space="0" w:color="auto"/>
        <w:bottom w:val="none" w:sz="0" w:space="0" w:color="auto"/>
        <w:right w:val="none" w:sz="0" w:space="0" w:color="auto"/>
      </w:divBdr>
    </w:div>
    <w:div w:id="1489444422">
      <w:bodyDiv w:val="1"/>
      <w:marLeft w:val="0"/>
      <w:marRight w:val="0"/>
      <w:marTop w:val="0"/>
      <w:marBottom w:val="0"/>
      <w:divBdr>
        <w:top w:val="none" w:sz="0" w:space="0" w:color="auto"/>
        <w:left w:val="none" w:sz="0" w:space="0" w:color="auto"/>
        <w:bottom w:val="none" w:sz="0" w:space="0" w:color="auto"/>
        <w:right w:val="none" w:sz="0" w:space="0" w:color="auto"/>
      </w:divBdr>
      <w:divsChild>
        <w:div w:id="106851083">
          <w:marLeft w:val="0"/>
          <w:marRight w:val="0"/>
          <w:marTop w:val="0"/>
          <w:marBottom w:val="0"/>
          <w:divBdr>
            <w:top w:val="none" w:sz="0" w:space="0" w:color="auto"/>
            <w:left w:val="none" w:sz="0" w:space="0" w:color="auto"/>
            <w:bottom w:val="none" w:sz="0" w:space="0" w:color="auto"/>
            <w:right w:val="none" w:sz="0" w:space="0" w:color="auto"/>
          </w:divBdr>
        </w:div>
        <w:div w:id="886601915">
          <w:marLeft w:val="0"/>
          <w:marRight w:val="0"/>
          <w:marTop w:val="0"/>
          <w:marBottom w:val="0"/>
          <w:divBdr>
            <w:top w:val="none" w:sz="0" w:space="0" w:color="auto"/>
            <w:left w:val="none" w:sz="0" w:space="0" w:color="auto"/>
            <w:bottom w:val="none" w:sz="0" w:space="0" w:color="auto"/>
            <w:right w:val="none" w:sz="0" w:space="0" w:color="auto"/>
          </w:divBdr>
        </w:div>
        <w:div w:id="411007004">
          <w:marLeft w:val="0"/>
          <w:marRight w:val="0"/>
          <w:marTop w:val="0"/>
          <w:marBottom w:val="0"/>
          <w:divBdr>
            <w:top w:val="none" w:sz="0" w:space="0" w:color="auto"/>
            <w:left w:val="none" w:sz="0" w:space="0" w:color="auto"/>
            <w:bottom w:val="none" w:sz="0" w:space="0" w:color="auto"/>
            <w:right w:val="none" w:sz="0" w:space="0" w:color="auto"/>
          </w:divBdr>
        </w:div>
        <w:div w:id="134615208">
          <w:marLeft w:val="0"/>
          <w:marRight w:val="0"/>
          <w:marTop w:val="0"/>
          <w:marBottom w:val="0"/>
          <w:divBdr>
            <w:top w:val="none" w:sz="0" w:space="0" w:color="auto"/>
            <w:left w:val="none" w:sz="0" w:space="0" w:color="auto"/>
            <w:bottom w:val="none" w:sz="0" w:space="0" w:color="auto"/>
            <w:right w:val="none" w:sz="0" w:space="0" w:color="auto"/>
          </w:divBdr>
        </w:div>
        <w:div w:id="289360432">
          <w:marLeft w:val="0"/>
          <w:marRight w:val="0"/>
          <w:marTop w:val="0"/>
          <w:marBottom w:val="0"/>
          <w:divBdr>
            <w:top w:val="none" w:sz="0" w:space="0" w:color="auto"/>
            <w:left w:val="none" w:sz="0" w:space="0" w:color="auto"/>
            <w:bottom w:val="none" w:sz="0" w:space="0" w:color="auto"/>
            <w:right w:val="none" w:sz="0" w:space="0" w:color="auto"/>
          </w:divBdr>
        </w:div>
        <w:div w:id="750077946">
          <w:marLeft w:val="0"/>
          <w:marRight w:val="0"/>
          <w:marTop w:val="0"/>
          <w:marBottom w:val="0"/>
          <w:divBdr>
            <w:top w:val="none" w:sz="0" w:space="0" w:color="auto"/>
            <w:left w:val="none" w:sz="0" w:space="0" w:color="auto"/>
            <w:bottom w:val="none" w:sz="0" w:space="0" w:color="auto"/>
            <w:right w:val="none" w:sz="0" w:space="0" w:color="auto"/>
          </w:divBdr>
        </w:div>
        <w:div w:id="1731267290">
          <w:marLeft w:val="0"/>
          <w:marRight w:val="0"/>
          <w:marTop w:val="0"/>
          <w:marBottom w:val="0"/>
          <w:divBdr>
            <w:top w:val="none" w:sz="0" w:space="0" w:color="auto"/>
            <w:left w:val="none" w:sz="0" w:space="0" w:color="auto"/>
            <w:bottom w:val="none" w:sz="0" w:space="0" w:color="auto"/>
            <w:right w:val="none" w:sz="0" w:space="0" w:color="auto"/>
          </w:divBdr>
        </w:div>
        <w:div w:id="1513180244">
          <w:marLeft w:val="0"/>
          <w:marRight w:val="0"/>
          <w:marTop w:val="0"/>
          <w:marBottom w:val="0"/>
          <w:divBdr>
            <w:top w:val="none" w:sz="0" w:space="0" w:color="auto"/>
            <w:left w:val="none" w:sz="0" w:space="0" w:color="auto"/>
            <w:bottom w:val="none" w:sz="0" w:space="0" w:color="auto"/>
            <w:right w:val="none" w:sz="0" w:space="0" w:color="auto"/>
          </w:divBdr>
        </w:div>
        <w:div w:id="1200241049">
          <w:marLeft w:val="0"/>
          <w:marRight w:val="0"/>
          <w:marTop w:val="0"/>
          <w:marBottom w:val="0"/>
          <w:divBdr>
            <w:top w:val="none" w:sz="0" w:space="0" w:color="auto"/>
            <w:left w:val="none" w:sz="0" w:space="0" w:color="auto"/>
            <w:bottom w:val="none" w:sz="0" w:space="0" w:color="auto"/>
            <w:right w:val="none" w:sz="0" w:space="0" w:color="auto"/>
          </w:divBdr>
        </w:div>
        <w:div w:id="882986236">
          <w:marLeft w:val="0"/>
          <w:marRight w:val="0"/>
          <w:marTop w:val="0"/>
          <w:marBottom w:val="0"/>
          <w:divBdr>
            <w:top w:val="none" w:sz="0" w:space="0" w:color="auto"/>
            <w:left w:val="none" w:sz="0" w:space="0" w:color="auto"/>
            <w:bottom w:val="none" w:sz="0" w:space="0" w:color="auto"/>
            <w:right w:val="none" w:sz="0" w:space="0" w:color="auto"/>
          </w:divBdr>
        </w:div>
        <w:div w:id="142621554">
          <w:marLeft w:val="0"/>
          <w:marRight w:val="0"/>
          <w:marTop w:val="0"/>
          <w:marBottom w:val="0"/>
          <w:divBdr>
            <w:top w:val="none" w:sz="0" w:space="0" w:color="auto"/>
            <w:left w:val="none" w:sz="0" w:space="0" w:color="auto"/>
            <w:bottom w:val="none" w:sz="0" w:space="0" w:color="auto"/>
            <w:right w:val="none" w:sz="0" w:space="0" w:color="auto"/>
          </w:divBdr>
        </w:div>
        <w:div w:id="190268209">
          <w:marLeft w:val="0"/>
          <w:marRight w:val="0"/>
          <w:marTop w:val="0"/>
          <w:marBottom w:val="0"/>
          <w:divBdr>
            <w:top w:val="none" w:sz="0" w:space="0" w:color="auto"/>
            <w:left w:val="none" w:sz="0" w:space="0" w:color="auto"/>
            <w:bottom w:val="none" w:sz="0" w:space="0" w:color="auto"/>
            <w:right w:val="none" w:sz="0" w:space="0" w:color="auto"/>
          </w:divBdr>
        </w:div>
        <w:div w:id="1494445587">
          <w:marLeft w:val="0"/>
          <w:marRight w:val="0"/>
          <w:marTop w:val="0"/>
          <w:marBottom w:val="0"/>
          <w:divBdr>
            <w:top w:val="none" w:sz="0" w:space="0" w:color="auto"/>
            <w:left w:val="none" w:sz="0" w:space="0" w:color="auto"/>
            <w:bottom w:val="none" w:sz="0" w:space="0" w:color="auto"/>
            <w:right w:val="none" w:sz="0" w:space="0" w:color="auto"/>
          </w:divBdr>
        </w:div>
        <w:div w:id="2011790879">
          <w:marLeft w:val="0"/>
          <w:marRight w:val="0"/>
          <w:marTop w:val="0"/>
          <w:marBottom w:val="0"/>
          <w:divBdr>
            <w:top w:val="none" w:sz="0" w:space="0" w:color="auto"/>
            <w:left w:val="none" w:sz="0" w:space="0" w:color="auto"/>
            <w:bottom w:val="none" w:sz="0" w:space="0" w:color="auto"/>
            <w:right w:val="none" w:sz="0" w:space="0" w:color="auto"/>
          </w:divBdr>
        </w:div>
        <w:div w:id="262300906">
          <w:marLeft w:val="0"/>
          <w:marRight w:val="0"/>
          <w:marTop w:val="0"/>
          <w:marBottom w:val="0"/>
          <w:divBdr>
            <w:top w:val="none" w:sz="0" w:space="0" w:color="auto"/>
            <w:left w:val="none" w:sz="0" w:space="0" w:color="auto"/>
            <w:bottom w:val="none" w:sz="0" w:space="0" w:color="auto"/>
            <w:right w:val="none" w:sz="0" w:space="0" w:color="auto"/>
          </w:divBdr>
        </w:div>
        <w:div w:id="430786382">
          <w:marLeft w:val="0"/>
          <w:marRight w:val="0"/>
          <w:marTop w:val="0"/>
          <w:marBottom w:val="0"/>
          <w:divBdr>
            <w:top w:val="none" w:sz="0" w:space="0" w:color="auto"/>
            <w:left w:val="none" w:sz="0" w:space="0" w:color="auto"/>
            <w:bottom w:val="none" w:sz="0" w:space="0" w:color="auto"/>
            <w:right w:val="none" w:sz="0" w:space="0" w:color="auto"/>
          </w:divBdr>
        </w:div>
        <w:div w:id="216404106">
          <w:marLeft w:val="0"/>
          <w:marRight w:val="0"/>
          <w:marTop w:val="0"/>
          <w:marBottom w:val="0"/>
          <w:divBdr>
            <w:top w:val="none" w:sz="0" w:space="0" w:color="auto"/>
            <w:left w:val="none" w:sz="0" w:space="0" w:color="auto"/>
            <w:bottom w:val="none" w:sz="0" w:space="0" w:color="auto"/>
            <w:right w:val="none" w:sz="0" w:space="0" w:color="auto"/>
          </w:divBdr>
        </w:div>
        <w:div w:id="38827372">
          <w:marLeft w:val="0"/>
          <w:marRight w:val="0"/>
          <w:marTop w:val="0"/>
          <w:marBottom w:val="0"/>
          <w:divBdr>
            <w:top w:val="none" w:sz="0" w:space="0" w:color="auto"/>
            <w:left w:val="none" w:sz="0" w:space="0" w:color="auto"/>
            <w:bottom w:val="none" w:sz="0" w:space="0" w:color="auto"/>
            <w:right w:val="none" w:sz="0" w:space="0" w:color="auto"/>
          </w:divBdr>
        </w:div>
      </w:divsChild>
    </w:div>
    <w:div w:id="1503660916">
      <w:bodyDiv w:val="1"/>
      <w:marLeft w:val="0"/>
      <w:marRight w:val="0"/>
      <w:marTop w:val="0"/>
      <w:marBottom w:val="0"/>
      <w:divBdr>
        <w:top w:val="none" w:sz="0" w:space="0" w:color="auto"/>
        <w:left w:val="none" w:sz="0" w:space="0" w:color="auto"/>
        <w:bottom w:val="none" w:sz="0" w:space="0" w:color="auto"/>
        <w:right w:val="none" w:sz="0" w:space="0" w:color="auto"/>
      </w:divBdr>
      <w:divsChild>
        <w:div w:id="1074159847">
          <w:marLeft w:val="0"/>
          <w:marRight w:val="0"/>
          <w:marTop w:val="0"/>
          <w:marBottom w:val="0"/>
          <w:divBdr>
            <w:top w:val="none" w:sz="0" w:space="0" w:color="auto"/>
            <w:left w:val="none" w:sz="0" w:space="0" w:color="auto"/>
            <w:bottom w:val="none" w:sz="0" w:space="0" w:color="auto"/>
            <w:right w:val="none" w:sz="0" w:space="0" w:color="auto"/>
          </w:divBdr>
        </w:div>
        <w:div w:id="437528294">
          <w:marLeft w:val="0"/>
          <w:marRight w:val="0"/>
          <w:marTop w:val="0"/>
          <w:marBottom w:val="0"/>
          <w:divBdr>
            <w:top w:val="none" w:sz="0" w:space="0" w:color="auto"/>
            <w:left w:val="none" w:sz="0" w:space="0" w:color="auto"/>
            <w:bottom w:val="none" w:sz="0" w:space="0" w:color="auto"/>
            <w:right w:val="none" w:sz="0" w:space="0" w:color="auto"/>
          </w:divBdr>
        </w:div>
        <w:div w:id="641542977">
          <w:marLeft w:val="0"/>
          <w:marRight w:val="0"/>
          <w:marTop w:val="0"/>
          <w:marBottom w:val="0"/>
          <w:divBdr>
            <w:top w:val="none" w:sz="0" w:space="0" w:color="auto"/>
            <w:left w:val="none" w:sz="0" w:space="0" w:color="auto"/>
            <w:bottom w:val="none" w:sz="0" w:space="0" w:color="auto"/>
            <w:right w:val="none" w:sz="0" w:space="0" w:color="auto"/>
          </w:divBdr>
        </w:div>
        <w:div w:id="2125729988">
          <w:marLeft w:val="0"/>
          <w:marRight w:val="0"/>
          <w:marTop w:val="0"/>
          <w:marBottom w:val="0"/>
          <w:divBdr>
            <w:top w:val="none" w:sz="0" w:space="0" w:color="auto"/>
            <w:left w:val="none" w:sz="0" w:space="0" w:color="auto"/>
            <w:bottom w:val="none" w:sz="0" w:space="0" w:color="auto"/>
            <w:right w:val="none" w:sz="0" w:space="0" w:color="auto"/>
          </w:divBdr>
        </w:div>
        <w:div w:id="795413727">
          <w:marLeft w:val="0"/>
          <w:marRight w:val="0"/>
          <w:marTop w:val="0"/>
          <w:marBottom w:val="0"/>
          <w:divBdr>
            <w:top w:val="none" w:sz="0" w:space="0" w:color="auto"/>
            <w:left w:val="none" w:sz="0" w:space="0" w:color="auto"/>
            <w:bottom w:val="none" w:sz="0" w:space="0" w:color="auto"/>
            <w:right w:val="none" w:sz="0" w:space="0" w:color="auto"/>
          </w:divBdr>
        </w:div>
        <w:div w:id="1704747803">
          <w:marLeft w:val="0"/>
          <w:marRight w:val="0"/>
          <w:marTop w:val="0"/>
          <w:marBottom w:val="0"/>
          <w:divBdr>
            <w:top w:val="none" w:sz="0" w:space="0" w:color="auto"/>
            <w:left w:val="none" w:sz="0" w:space="0" w:color="auto"/>
            <w:bottom w:val="none" w:sz="0" w:space="0" w:color="auto"/>
            <w:right w:val="none" w:sz="0" w:space="0" w:color="auto"/>
          </w:divBdr>
        </w:div>
        <w:div w:id="959409268">
          <w:marLeft w:val="0"/>
          <w:marRight w:val="0"/>
          <w:marTop w:val="0"/>
          <w:marBottom w:val="0"/>
          <w:divBdr>
            <w:top w:val="none" w:sz="0" w:space="0" w:color="auto"/>
            <w:left w:val="none" w:sz="0" w:space="0" w:color="auto"/>
            <w:bottom w:val="none" w:sz="0" w:space="0" w:color="auto"/>
            <w:right w:val="none" w:sz="0" w:space="0" w:color="auto"/>
          </w:divBdr>
        </w:div>
        <w:div w:id="956913789">
          <w:marLeft w:val="0"/>
          <w:marRight w:val="0"/>
          <w:marTop w:val="0"/>
          <w:marBottom w:val="0"/>
          <w:divBdr>
            <w:top w:val="none" w:sz="0" w:space="0" w:color="auto"/>
            <w:left w:val="none" w:sz="0" w:space="0" w:color="auto"/>
            <w:bottom w:val="none" w:sz="0" w:space="0" w:color="auto"/>
            <w:right w:val="none" w:sz="0" w:space="0" w:color="auto"/>
          </w:divBdr>
        </w:div>
        <w:div w:id="1175269241">
          <w:marLeft w:val="0"/>
          <w:marRight w:val="0"/>
          <w:marTop w:val="0"/>
          <w:marBottom w:val="0"/>
          <w:divBdr>
            <w:top w:val="none" w:sz="0" w:space="0" w:color="auto"/>
            <w:left w:val="none" w:sz="0" w:space="0" w:color="auto"/>
            <w:bottom w:val="none" w:sz="0" w:space="0" w:color="auto"/>
            <w:right w:val="none" w:sz="0" w:space="0" w:color="auto"/>
          </w:divBdr>
        </w:div>
        <w:div w:id="1168402223">
          <w:marLeft w:val="0"/>
          <w:marRight w:val="0"/>
          <w:marTop w:val="0"/>
          <w:marBottom w:val="0"/>
          <w:divBdr>
            <w:top w:val="none" w:sz="0" w:space="0" w:color="auto"/>
            <w:left w:val="none" w:sz="0" w:space="0" w:color="auto"/>
            <w:bottom w:val="none" w:sz="0" w:space="0" w:color="auto"/>
            <w:right w:val="none" w:sz="0" w:space="0" w:color="auto"/>
          </w:divBdr>
        </w:div>
        <w:div w:id="769818085">
          <w:marLeft w:val="0"/>
          <w:marRight w:val="0"/>
          <w:marTop w:val="0"/>
          <w:marBottom w:val="0"/>
          <w:divBdr>
            <w:top w:val="none" w:sz="0" w:space="0" w:color="auto"/>
            <w:left w:val="none" w:sz="0" w:space="0" w:color="auto"/>
            <w:bottom w:val="none" w:sz="0" w:space="0" w:color="auto"/>
            <w:right w:val="none" w:sz="0" w:space="0" w:color="auto"/>
          </w:divBdr>
        </w:div>
        <w:div w:id="1907764465">
          <w:marLeft w:val="0"/>
          <w:marRight w:val="0"/>
          <w:marTop w:val="0"/>
          <w:marBottom w:val="0"/>
          <w:divBdr>
            <w:top w:val="none" w:sz="0" w:space="0" w:color="auto"/>
            <w:left w:val="none" w:sz="0" w:space="0" w:color="auto"/>
            <w:bottom w:val="none" w:sz="0" w:space="0" w:color="auto"/>
            <w:right w:val="none" w:sz="0" w:space="0" w:color="auto"/>
          </w:divBdr>
        </w:div>
        <w:div w:id="470902103">
          <w:marLeft w:val="0"/>
          <w:marRight w:val="0"/>
          <w:marTop w:val="0"/>
          <w:marBottom w:val="0"/>
          <w:divBdr>
            <w:top w:val="none" w:sz="0" w:space="0" w:color="auto"/>
            <w:left w:val="none" w:sz="0" w:space="0" w:color="auto"/>
            <w:bottom w:val="none" w:sz="0" w:space="0" w:color="auto"/>
            <w:right w:val="none" w:sz="0" w:space="0" w:color="auto"/>
          </w:divBdr>
        </w:div>
        <w:div w:id="1935434629">
          <w:marLeft w:val="0"/>
          <w:marRight w:val="0"/>
          <w:marTop w:val="0"/>
          <w:marBottom w:val="0"/>
          <w:divBdr>
            <w:top w:val="none" w:sz="0" w:space="0" w:color="auto"/>
            <w:left w:val="none" w:sz="0" w:space="0" w:color="auto"/>
            <w:bottom w:val="none" w:sz="0" w:space="0" w:color="auto"/>
            <w:right w:val="none" w:sz="0" w:space="0" w:color="auto"/>
          </w:divBdr>
        </w:div>
        <w:div w:id="246115959">
          <w:marLeft w:val="0"/>
          <w:marRight w:val="0"/>
          <w:marTop w:val="0"/>
          <w:marBottom w:val="0"/>
          <w:divBdr>
            <w:top w:val="none" w:sz="0" w:space="0" w:color="auto"/>
            <w:left w:val="none" w:sz="0" w:space="0" w:color="auto"/>
            <w:bottom w:val="none" w:sz="0" w:space="0" w:color="auto"/>
            <w:right w:val="none" w:sz="0" w:space="0" w:color="auto"/>
          </w:divBdr>
        </w:div>
        <w:div w:id="1668366208">
          <w:marLeft w:val="0"/>
          <w:marRight w:val="0"/>
          <w:marTop w:val="0"/>
          <w:marBottom w:val="0"/>
          <w:divBdr>
            <w:top w:val="none" w:sz="0" w:space="0" w:color="auto"/>
            <w:left w:val="none" w:sz="0" w:space="0" w:color="auto"/>
            <w:bottom w:val="none" w:sz="0" w:space="0" w:color="auto"/>
            <w:right w:val="none" w:sz="0" w:space="0" w:color="auto"/>
          </w:divBdr>
        </w:div>
        <w:div w:id="653722229">
          <w:marLeft w:val="0"/>
          <w:marRight w:val="0"/>
          <w:marTop w:val="0"/>
          <w:marBottom w:val="0"/>
          <w:divBdr>
            <w:top w:val="none" w:sz="0" w:space="0" w:color="auto"/>
            <w:left w:val="none" w:sz="0" w:space="0" w:color="auto"/>
            <w:bottom w:val="none" w:sz="0" w:space="0" w:color="auto"/>
            <w:right w:val="none" w:sz="0" w:space="0" w:color="auto"/>
          </w:divBdr>
        </w:div>
        <w:div w:id="1045716163">
          <w:marLeft w:val="0"/>
          <w:marRight w:val="0"/>
          <w:marTop w:val="0"/>
          <w:marBottom w:val="0"/>
          <w:divBdr>
            <w:top w:val="none" w:sz="0" w:space="0" w:color="auto"/>
            <w:left w:val="none" w:sz="0" w:space="0" w:color="auto"/>
            <w:bottom w:val="none" w:sz="0" w:space="0" w:color="auto"/>
            <w:right w:val="none" w:sz="0" w:space="0" w:color="auto"/>
          </w:divBdr>
        </w:div>
      </w:divsChild>
    </w:div>
    <w:div w:id="1532761510">
      <w:bodyDiv w:val="1"/>
      <w:marLeft w:val="0"/>
      <w:marRight w:val="0"/>
      <w:marTop w:val="0"/>
      <w:marBottom w:val="0"/>
      <w:divBdr>
        <w:top w:val="none" w:sz="0" w:space="0" w:color="auto"/>
        <w:left w:val="none" w:sz="0" w:space="0" w:color="auto"/>
        <w:bottom w:val="none" w:sz="0" w:space="0" w:color="auto"/>
        <w:right w:val="none" w:sz="0" w:space="0" w:color="auto"/>
      </w:divBdr>
    </w:div>
    <w:div w:id="1542472389">
      <w:bodyDiv w:val="1"/>
      <w:marLeft w:val="0"/>
      <w:marRight w:val="0"/>
      <w:marTop w:val="0"/>
      <w:marBottom w:val="0"/>
      <w:divBdr>
        <w:top w:val="none" w:sz="0" w:space="0" w:color="auto"/>
        <w:left w:val="none" w:sz="0" w:space="0" w:color="auto"/>
        <w:bottom w:val="none" w:sz="0" w:space="0" w:color="auto"/>
        <w:right w:val="none" w:sz="0" w:space="0" w:color="auto"/>
      </w:divBdr>
    </w:div>
    <w:div w:id="1563976982">
      <w:bodyDiv w:val="1"/>
      <w:marLeft w:val="0"/>
      <w:marRight w:val="0"/>
      <w:marTop w:val="0"/>
      <w:marBottom w:val="0"/>
      <w:divBdr>
        <w:top w:val="none" w:sz="0" w:space="0" w:color="auto"/>
        <w:left w:val="none" w:sz="0" w:space="0" w:color="auto"/>
        <w:bottom w:val="none" w:sz="0" w:space="0" w:color="auto"/>
        <w:right w:val="none" w:sz="0" w:space="0" w:color="auto"/>
      </w:divBdr>
      <w:divsChild>
        <w:div w:id="1715344047">
          <w:marLeft w:val="0"/>
          <w:marRight w:val="0"/>
          <w:marTop w:val="0"/>
          <w:marBottom w:val="0"/>
          <w:divBdr>
            <w:top w:val="none" w:sz="0" w:space="0" w:color="auto"/>
            <w:left w:val="none" w:sz="0" w:space="0" w:color="auto"/>
            <w:bottom w:val="none" w:sz="0" w:space="0" w:color="auto"/>
            <w:right w:val="none" w:sz="0" w:space="0" w:color="auto"/>
          </w:divBdr>
        </w:div>
        <w:div w:id="1662734605">
          <w:marLeft w:val="0"/>
          <w:marRight w:val="0"/>
          <w:marTop w:val="0"/>
          <w:marBottom w:val="0"/>
          <w:divBdr>
            <w:top w:val="none" w:sz="0" w:space="0" w:color="auto"/>
            <w:left w:val="none" w:sz="0" w:space="0" w:color="auto"/>
            <w:bottom w:val="none" w:sz="0" w:space="0" w:color="auto"/>
            <w:right w:val="none" w:sz="0" w:space="0" w:color="auto"/>
          </w:divBdr>
        </w:div>
        <w:div w:id="2039230783">
          <w:marLeft w:val="0"/>
          <w:marRight w:val="0"/>
          <w:marTop w:val="0"/>
          <w:marBottom w:val="0"/>
          <w:divBdr>
            <w:top w:val="none" w:sz="0" w:space="0" w:color="auto"/>
            <w:left w:val="none" w:sz="0" w:space="0" w:color="auto"/>
            <w:bottom w:val="none" w:sz="0" w:space="0" w:color="auto"/>
            <w:right w:val="none" w:sz="0" w:space="0" w:color="auto"/>
          </w:divBdr>
        </w:div>
        <w:div w:id="1289622588">
          <w:marLeft w:val="0"/>
          <w:marRight w:val="0"/>
          <w:marTop w:val="0"/>
          <w:marBottom w:val="0"/>
          <w:divBdr>
            <w:top w:val="none" w:sz="0" w:space="0" w:color="auto"/>
            <w:left w:val="none" w:sz="0" w:space="0" w:color="auto"/>
            <w:bottom w:val="none" w:sz="0" w:space="0" w:color="auto"/>
            <w:right w:val="none" w:sz="0" w:space="0" w:color="auto"/>
          </w:divBdr>
        </w:div>
        <w:div w:id="1031495605">
          <w:marLeft w:val="0"/>
          <w:marRight w:val="0"/>
          <w:marTop w:val="0"/>
          <w:marBottom w:val="0"/>
          <w:divBdr>
            <w:top w:val="none" w:sz="0" w:space="0" w:color="auto"/>
            <w:left w:val="none" w:sz="0" w:space="0" w:color="auto"/>
            <w:bottom w:val="none" w:sz="0" w:space="0" w:color="auto"/>
            <w:right w:val="none" w:sz="0" w:space="0" w:color="auto"/>
          </w:divBdr>
        </w:div>
        <w:div w:id="1411346047">
          <w:marLeft w:val="0"/>
          <w:marRight w:val="0"/>
          <w:marTop w:val="0"/>
          <w:marBottom w:val="0"/>
          <w:divBdr>
            <w:top w:val="none" w:sz="0" w:space="0" w:color="auto"/>
            <w:left w:val="none" w:sz="0" w:space="0" w:color="auto"/>
            <w:bottom w:val="none" w:sz="0" w:space="0" w:color="auto"/>
            <w:right w:val="none" w:sz="0" w:space="0" w:color="auto"/>
          </w:divBdr>
        </w:div>
        <w:div w:id="489297672">
          <w:marLeft w:val="0"/>
          <w:marRight w:val="0"/>
          <w:marTop w:val="0"/>
          <w:marBottom w:val="0"/>
          <w:divBdr>
            <w:top w:val="none" w:sz="0" w:space="0" w:color="auto"/>
            <w:left w:val="none" w:sz="0" w:space="0" w:color="auto"/>
            <w:bottom w:val="none" w:sz="0" w:space="0" w:color="auto"/>
            <w:right w:val="none" w:sz="0" w:space="0" w:color="auto"/>
          </w:divBdr>
        </w:div>
        <w:div w:id="373584464">
          <w:marLeft w:val="0"/>
          <w:marRight w:val="0"/>
          <w:marTop w:val="0"/>
          <w:marBottom w:val="0"/>
          <w:divBdr>
            <w:top w:val="none" w:sz="0" w:space="0" w:color="auto"/>
            <w:left w:val="none" w:sz="0" w:space="0" w:color="auto"/>
            <w:bottom w:val="none" w:sz="0" w:space="0" w:color="auto"/>
            <w:right w:val="none" w:sz="0" w:space="0" w:color="auto"/>
          </w:divBdr>
        </w:div>
        <w:div w:id="389811432">
          <w:marLeft w:val="0"/>
          <w:marRight w:val="0"/>
          <w:marTop w:val="0"/>
          <w:marBottom w:val="0"/>
          <w:divBdr>
            <w:top w:val="none" w:sz="0" w:space="0" w:color="auto"/>
            <w:left w:val="none" w:sz="0" w:space="0" w:color="auto"/>
            <w:bottom w:val="none" w:sz="0" w:space="0" w:color="auto"/>
            <w:right w:val="none" w:sz="0" w:space="0" w:color="auto"/>
          </w:divBdr>
        </w:div>
        <w:div w:id="773012273">
          <w:marLeft w:val="0"/>
          <w:marRight w:val="0"/>
          <w:marTop w:val="0"/>
          <w:marBottom w:val="0"/>
          <w:divBdr>
            <w:top w:val="none" w:sz="0" w:space="0" w:color="auto"/>
            <w:left w:val="none" w:sz="0" w:space="0" w:color="auto"/>
            <w:bottom w:val="none" w:sz="0" w:space="0" w:color="auto"/>
            <w:right w:val="none" w:sz="0" w:space="0" w:color="auto"/>
          </w:divBdr>
        </w:div>
        <w:div w:id="1635479418">
          <w:marLeft w:val="0"/>
          <w:marRight w:val="0"/>
          <w:marTop w:val="0"/>
          <w:marBottom w:val="0"/>
          <w:divBdr>
            <w:top w:val="none" w:sz="0" w:space="0" w:color="auto"/>
            <w:left w:val="none" w:sz="0" w:space="0" w:color="auto"/>
            <w:bottom w:val="none" w:sz="0" w:space="0" w:color="auto"/>
            <w:right w:val="none" w:sz="0" w:space="0" w:color="auto"/>
          </w:divBdr>
        </w:div>
        <w:div w:id="1313950296">
          <w:marLeft w:val="0"/>
          <w:marRight w:val="0"/>
          <w:marTop w:val="0"/>
          <w:marBottom w:val="0"/>
          <w:divBdr>
            <w:top w:val="none" w:sz="0" w:space="0" w:color="auto"/>
            <w:left w:val="none" w:sz="0" w:space="0" w:color="auto"/>
            <w:bottom w:val="none" w:sz="0" w:space="0" w:color="auto"/>
            <w:right w:val="none" w:sz="0" w:space="0" w:color="auto"/>
          </w:divBdr>
        </w:div>
        <w:div w:id="1053653413">
          <w:marLeft w:val="0"/>
          <w:marRight w:val="0"/>
          <w:marTop w:val="0"/>
          <w:marBottom w:val="0"/>
          <w:divBdr>
            <w:top w:val="none" w:sz="0" w:space="0" w:color="auto"/>
            <w:left w:val="none" w:sz="0" w:space="0" w:color="auto"/>
            <w:bottom w:val="none" w:sz="0" w:space="0" w:color="auto"/>
            <w:right w:val="none" w:sz="0" w:space="0" w:color="auto"/>
          </w:divBdr>
        </w:div>
        <w:div w:id="1603027087">
          <w:marLeft w:val="0"/>
          <w:marRight w:val="0"/>
          <w:marTop w:val="0"/>
          <w:marBottom w:val="0"/>
          <w:divBdr>
            <w:top w:val="none" w:sz="0" w:space="0" w:color="auto"/>
            <w:left w:val="none" w:sz="0" w:space="0" w:color="auto"/>
            <w:bottom w:val="none" w:sz="0" w:space="0" w:color="auto"/>
            <w:right w:val="none" w:sz="0" w:space="0" w:color="auto"/>
          </w:divBdr>
        </w:div>
        <w:div w:id="1007101734">
          <w:marLeft w:val="0"/>
          <w:marRight w:val="0"/>
          <w:marTop w:val="0"/>
          <w:marBottom w:val="0"/>
          <w:divBdr>
            <w:top w:val="none" w:sz="0" w:space="0" w:color="auto"/>
            <w:left w:val="none" w:sz="0" w:space="0" w:color="auto"/>
            <w:bottom w:val="none" w:sz="0" w:space="0" w:color="auto"/>
            <w:right w:val="none" w:sz="0" w:space="0" w:color="auto"/>
          </w:divBdr>
        </w:div>
        <w:div w:id="1977836602">
          <w:marLeft w:val="0"/>
          <w:marRight w:val="0"/>
          <w:marTop w:val="0"/>
          <w:marBottom w:val="0"/>
          <w:divBdr>
            <w:top w:val="none" w:sz="0" w:space="0" w:color="auto"/>
            <w:left w:val="none" w:sz="0" w:space="0" w:color="auto"/>
            <w:bottom w:val="none" w:sz="0" w:space="0" w:color="auto"/>
            <w:right w:val="none" w:sz="0" w:space="0" w:color="auto"/>
          </w:divBdr>
        </w:div>
        <w:div w:id="437917730">
          <w:marLeft w:val="0"/>
          <w:marRight w:val="0"/>
          <w:marTop w:val="0"/>
          <w:marBottom w:val="0"/>
          <w:divBdr>
            <w:top w:val="none" w:sz="0" w:space="0" w:color="auto"/>
            <w:left w:val="none" w:sz="0" w:space="0" w:color="auto"/>
            <w:bottom w:val="none" w:sz="0" w:space="0" w:color="auto"/>
            <w:right w:val="none" w:sz="0" w:space="0" w:color="auto"/>
          </w:divBdr>
        </w:div>
        <w:div w:id="1594893218">
          <w:marLeft w:val="0"/>
          <w:marRight w:val="0"/>
          <w:marTop w:val="0"/>
          <w:marBottom w:val="0"/>
          <w:divBdr>
            <w:top w:val="none" w:sz="0" w:space="0" w:color="auto"/>
            <w:left w:val="none" w:sz="0" w:space="0" w:color="auto"/>
            <w:bottom w:val="none" w:sz="0" w:space="0" w:color="auto"/>
            <w:right w:val="none" w:sz="0" w:space="0" w:color="auto"/>
          </w:divBdr>
        </w:div>
        <w:div w:id="1247845">
          <w:marLeft w:val="0"/>
          <w:marRight w:val="0"/>
          <w:marTop w:val="0"/>
          <w:marBottom w:val="0"/>
          <w:divBdr>
            <w:top w:val="none" w:sz="0" w:space="0" w:color="auto"/>
            <w:left w:val="none" w:sz="0" w:space="0" w:color="auto"/>
            <w:bottom w:val="none" w:sz="0" w:space="0" w:color="auto"/>
            <w:right w:val="none" w:sz="0" w:space="0" w:color="auto"/>
          </w:divBdr>
        </w:div>
        <w:div w:id="1303459192">
          <w:marLeft w:val="0"/>
          <w:marRight w:val="0"/>
          <w:marTop w:val="0"/>
          <w:marBottom w:val="0"/>
          <w:divBdr>
            <w:top w:val="none" w:sz="0" w:space="0" w:color="auto"/>
            <w:left w:val="none" w:sz="0" w:space="0" w:color="auto"/>
            <w:bottom w:val="none" w:sz="0" w:space="0" w:color="auto"/>
            <w:right w:val="none" w:sz="0" w:space="0" w:color="auto"/>
          </w:divBdr>
        </w:div>
        <w:div w:id="1161853426">
          <w:marLeft w:val="0"/>
          <w:marRight w:val="0"/>
          <w:marTop w:val="0"/>
          <w:marBottom w:val="0"/>
          <w:divBdr>
            <w:top w:val="none" w:sz="0" w:space="0" w:color="auto"/>
            <w:left w:val="none" w:sz="0" w:space="0" w:color="auto"/>
            <w:bottom w:val="none" w:sz="0" w:space="0" w:color="auto"/>
            <w:right w:val="none" w:sz="0" w:space="0" w:color="auto"/>
          </w:divBdr>
        </w:div>
      </w:divsChild>
    </w:div>
    <w:div w:id="1570723441">
      <w:bodyDiv w:val="1"/>
      <w:marLeft w:val="0"/>
      <w:marRight w:val="0"/>
      <w:marTop w:val="0"/>
      <w:marBottom w:val="0"/>
      <w:divBdr>
        <w:top w:val="none" w:sz="0" w:space="0" w:color="auto"/>
        <w:left w:val="none" w:sz="0" w:space="0" w:color="auto"/>
        <w:bottom w:val="none" w:sz="0" w:space="0" w:color="auto"/>
        <w:right w:val="none" w:sz="0" w:space="0" w:color="auto"/>
      </w:divBdr>
    </w:div>
    <w:div w:id="1594433411">
      <w:bodyDiv w:val="1"/>
      <w:marLeft w:val="0"/>
      <w:marRight w:val="0"/>
      <w:marTop w:val="0"/>
      <w:marBottom w:val="0"/>
      <w:divBdr>
        <w:top w:val="none" w:sz="0" w:space="0" w:color="auto"/>
        <w:left w:val="none" w:sz="0" w:space="0" w:color="auto"/>
        <w:bottom w:val="none" w:sz="0" w:space="0" w:color="auto"/>
        <w:right w:val="none" w:sz="0" w:space="0" w:color="auto"/>
      </w:divBdr>
    </w:div>
    <w:div w:id="1604999258">
      <w:bodyDiv w:val="1"/>
      <w:marLeft w:val="0"/>
      <w:marRight w:val="0"/>
      <w:marTop w:val="0"/>
      <w:marBottom w:val="0"/>
      <w:divBdr>
        <w:top w:val="none" w:sz="0" w:space="0" w:color="auto"/>
        <w:left w:val="none" w:sz="0" w:space="0" w:color="auto"/>
        <w:bottom w:val="none" w:sz="0" w:space="0" w:color="auto"/>
        <w:right w:val="none" w:sz="0" w:space="0" w:color="auto"/>
      </w:divBdr>
      <w:divsChild>
        <w:div w:id="59865738">
          <w:marLeft w:val="0"/>
          <w:marRight w:val="0"/>
          <w:marTop w:val="0"/>
          <w:marBottom w:val="0"/>
          <w:divBdr>
            <w:top w:val="none" w:sz="0" w:space="0" w:color="auto"/>
            <w:left w:val="none" w:sz="0" w:space="0" w:color="auto"/>
            <w:bottom w:val="none" w:sz="0" w:space="0" w:color="auto"/>
            <w:right w:val="none" w:sz="0" w:space="0" w:color="auto"/>
          </w:divBdr>
        </w:div>
        <w:div w:id="556207111">
          <w:marLeft w:val="0"/>
          <w:marRight w:val="0"/>
          <w:marTop w:val="0"/>
          <w:marBottom w:val="0"/>
          <w:divBdr>
            <w:top w:val="none" w:sz="0" w:space="0" w:color="auto"/>
            <w:left w:val="none" w:sz="0" w:space="0" w:color="auto"/>
            <w:bottom w:val="none" w:sz="0" w:space="0" w:color="auto"/>
            <w:right w:val="none" w:sz="0" w:space="0" w:color="auto"/>
          </w:divBdr>
        </w:div>
        <w:div w:id="1469127548">
          <w:marLeft w:val="0"/>
          <w:marRight w:val="0"/>
          <w:marTop w:val="0"/>
          <w:marBottom w:val="0"/>
          <w:divBdr>
            <w:top w:val="none" w:sz="0" w:space="0" w:color="auto"/>
            <w:left w:val="none" w:sz="0" w:space="0" w:color="auto"/>
            <w:bottom w:val="none" w:sz="0" w:space="0" w:color="auto"/>
            <w:right w:val="none" w:sz="0" w:space="0" w:color="auto"/>
          </w:divBdr>
        </w:div>
        <w:div w:id="1753119772">
          <w:marLeft w:val="0"/>
          <w:marRight w:val="0"/>
          <w:marTop w:val="0"/>
          <w:marBottom w:val="0"/>
          <w:divBdr>
            <w:top w:val="none" w:sz="0" w:space="0" w:color="auto"/>
            <w:left w:val="none" w:sz="0" w:space="0" w:color="auto"/>
            <w:bottom w:val="none" w:sz="0" w:space="0" w:color="auto"/>
            <w:right w:val="none" w:sz="0" w:space="0" w:color="auto"/>
          </w:divBdr>
        </w:div>
        <w:div w:id="1873574696">
          <w:marLeft w:val="0"/>
          <w:marRight w:val="0"/>
          <w:marTop w:val="0"/>
          <w:marBottom w:val="0"/>
          <w:divBdr>
            <w:top w:val="none" w:sz="0" w:space="0" w:color="auto"/>
            <w:left w:val="none" w:sz="0" w:space="0" w:color="auto"/>
            <w:bottom w:val="none" w:sz="0" w:space="0" w:color="auto"/>
            <w:right w:val="none" w:sz="0" w:space="0" w:color="auto"/>
          </w:divBdr>
        </w:div>
        <w:div w:id="1227647632">
          <w:marLeft w:val="0"/>
          <w:marRight w:val="0"/>
          <w:marTop w:val="0"/>
          <w:marBottom w:val="0"/>
          <w:divBdr>
            <w:top w:val="none" w:sz="0" w:space="0" w:color="auto"/>
            <w:left w:val="none" w:sz="0" w:space="0" w:color="auto"/>
            <w:bottom w:val="none" w:sz="0" w:space="0" w:color="auto"/>
            <w:right w:val="none" w:sz="0" w:space="0" w:color="auto"/>
          </w:divBdr>
        </w:div>
        <w:div w:id="966273584">
          <w:marLeft w:val="0"/>
          <w:marRight w:val="0"/>
          <w:marTop w:val="0"/>
          <w:marBottom w:val="0"/>
          <w:divBdr>
            <w:top w:val="none" w:sz="0" w:space="0" w:color="auto"/>
            <w:left w:val="none" w:sz="0" w:space="0" w:color="auto"/>
            <w:bottom w:val="none" w:sz="0" w:space="0" w:color="auto"/>
            <w:right w:val="none" w:sz="0" w:space="0" w:color="auto"/>
          </w:divBdr>
        </w:div>
        <w:div w:id="59375918">
          <w:marLeft w:val="0"/>
          <w:marRight w:val="0"/>
          <w:marTop w:val="0"/>
          <w:marBottom w:val="0"/>
          <w:divBdr>
            <w:top w:val="none" w:sz="0" w:space="0" w:color="auto"/>
            <w:left w:val="none" w:sz="0" w:space="0" w:color="auto"/>
            <w:bottom w:val="none" w:sz="0" w:space="0" w:color="auto"/>
            <w:right w:val="none" w:sz="0" w:space="0" w:color="auto"/>
          </w:divBdr>
        </w:div>
        <w:div w:id="1214007261">
          <w:marLeft w:val="0"/>
          <w:marRight w:val="0"/>
          <w:marTop w:val="0"/>
          <w:marBottom w:val="0"/>
          <w:divBdr>
            <w:top w:val="none" w:sz="0" w:space="0" w:color="auto"/>
            <w:left w:val="none" w:sz="0" w:space="0" w:color="auto"/>
            <w:bottom w:val="none" w:sz="0" w:space="0" w:color="auto"/>
            <w:right w:val="none" w:sz="0" w:space="0" w:color="auto"/>
          </w:divBdr>
        </w:div>
        <w:div w:id="33703770">
          <w:marLeft w:val="0"/>
          <w:marRight w:val="0"/>
          <w:marTop w:val="0"/>
          <w:marBottom w:val="0"/>
          <w:divBdr>
            <w:top w:val="none" w:sz="0" w:space="0" w:color="auto"/>
            <w:left w:val="none" w:sz="0" w:space="0" w:color="auto"/>
            <w:bottom w:val="none" w:sz="0" w:space="0" w:color="auto"/>
            <w:right w:val="none" w:sz="0" w:space="0" w:color="auto"/>
          </w:divBdr>
        </w:div>
        <w:div w:id="1891913965">
          <w:marLeft w:val="0"/>
          <w:marRight w:val="0"/>
          <w:marTop w:val="0"/>
          <w:marBottom w:val="0"/>
          <w:divBdr>
            <w:top w:val="none" w:sz="0" w:space="0" w:color="auto"/>
            <w:left w:val="none" w:sz="0" w:space="0" w:color="auto"/>
            <w:bottom w:val="none" w:sz="0" w:space="0" w:color="auto"/>
            <w:right w:val="none" w:sz="0" w:space="0" w:color="auto"/>
          </w:divBdr>
        </w:div>
        <w:div w:id="704528370">
          <w:marLeft w:val="0"/>
          <w:marRight w:val="0"/>
          <w:marTop w:val="0"/>
          <w:marBottom w:val="0"/>
          <w:divBdr>
            <w:top w:val="none" w:sz="0" w:space="0" w:color="auto"/>
            <w:left w:val="none" w:sz="0" w:space="0" w:color="auto"/>
            <w:bottom w:val="none" w:sz="0" w:space="0" w:color="auto"/>
            <w:right w:val="none" w:sz="0" w:space="0" w:color="auto"/>
          </w:divBdr>
        </w:div>
        <w:div w:id="1128664816">
          <w:marLeft w:val="0"/>
          <w:marRight w:val="0"/>
          <w:marTop w:val="0"/>
          <w:marBottom w:val="0"/>
          <w:divBdr>
            <w:top w:val="none" w:sz="0" w:space="0" w:color="auto"/>
            <w:left w:val="none" w:sz="0" w:space="0" w:color="auto"/>
            <w:bottom w:val="none" w:sz="0" w:space="0" w:color="auto"/>
            <w:right w:val="none" w:sz="0" w:space="0" w:color="auto"/>
          </w:divBdr>
        </w:div>
        <w:div w:id="668097959">
          <w:marLeft w:val="0"/>
          <w:marRight w:val="0"/>
          <w:marTop w:val="0"/>
          <w:marBottom w:val="0"/>
          <w:divBdr>
            <w:top w:val="none" w:sz="0" w:space="0" w:color="auto"/>
            <w:left w:val="none" w:sz="0" w:space="0" w:color="auto"/>
            <w:bottom w:val="none" w:sz="0" w:space="0" w:color="auto"/>
            <w:right w:val="none" w:sz="0" w:space="0" w:color="auto"/>
          </w:divBdr>
        </w:div>
        <w:div w:id="52002079">
          <w:marLeft w:val="0"/>
          <w:marRight w:val="0"/>
          <w:marTop w:val="0"/>
          <w:marBottom w:val="0"/>
          <w:divBdr>
            <w:top w:val="none" w:sz="0" w:space="0" w:color="auto"/>
            <w:left w:val="none" w:sz="0" w:space="0" w:color="auto"/>
            <w:bottom w:val="none" w:sz="0" w:space="0" w:color="auto"/>
            <w:right w:val="none" w:sz="0" w:space="0" w:color="auto"/>
          </w:divBdr>
        </w:div>
        <w:div w:id="1102870991">
          <w:marLeft w:val="0"/>
          <w:marRight w:val="0"/>
          <w:marTop w:val="0"/>
          <w:marBottom w:val="0"/>
          <w:divBdr>
            <w:top w:val="none" w:sz="0" w:space="0" w:color="auto"/>
            <w:left w:val="none" w:sz="0" w:space="0" w:color="auto"/>
            <w:bottom w:val="none" w:sz="0" w:space="0" w:color="auto"/>
            <w:right w:val="none" w:sz="0" w:space="0" w:color="auto"/>
          </w:divBdr>
        </w:div>
        <w:div w:id="398015991">
          <w:marLeft w:val="0"/>
          <w:marRight w:val="0"/>
          <w:marTop w:val="0"/>
          <w:marBottom w:val="0"/>
          <w:divBdr>
            <w:top w:val="none" w:sz="0" w:space="0" w:color="auto"/>
            <w:left w:val="none" w:sz="0" w:space="0" w:color="auto"/>
            <w:bottom w:val="none" w:sz="0" w:space="0" w:color="auto"/>
            <w:right w:val="none" w:sz="0" w:space="0" w:color="auto"/>
          </w:divBdr>
        </w:div>
        <w:div w:id="896476996">
          <w:marLeft w:val="0"/>
          <w:marRight w:val="0"/>
          <w:marTop w:val="0"/>
          <w:marBottom w:val="0"/>
          <w:divBdr>
            <w:top w:val="none" w:sz="0" w:space="0" w:color="auto"/>
            <w:left w:val="none" w:sz="0" w:space="0" w:color="auto"/>
            <w:bottom w:val="none" w:sz="0" w:space="0" w:color="auto"/>
            <w:right w:val="none" w:sz="0" w:space="0" w:color="auto"/>
          </w:divBdr>
        </w:div>
      </w:divsChild>
    </w:div>
    <w:div w:id="1626154134">
      <w:bodyDiv w:val="1"/>
      <w:marLeft w:val="0"/>
      <w:marRight w:val="0"/>
      <w:marTop w:val="0"/>
      <w:marBottom w:val="0"/>
      <w:divBdr>
        <w:top w:val="none" w:sz="0" w:space="0" w:color="auto"/>
        <w:left w:val="none" w:sz="0" w:space="0" w:color="auto"/>
        <w:bottom w:val="none" w:sz="0" w:space="0" w:color="auto"/>
        <w:right w:val="none" w:sz="0" w:space="0" w:color="auto"/>
      </w:divBdr>
    </w:div>
    <w:div w:id="1630478119">
      <w:bodyDiv w:val="1"/>
      <w:marLeft w:val="0"/>
      <w:marRight w:val="0"/>
      <w:marTop w:val="0"/>
      <w:marBottom w:val="0"/>
      <w:divBdr>
        <w:top w:val="none" w:sz="0" w:space="0" w:color="auto"/>
        <w:left w:val="none" w:sz="0" w:space="0" w:color="auto"/>
        <w:bottom w:val="none" w:sz="0" w:space="0" w:color="auto"/>
        <w:right w:val="none" w:sz="0" w:space="0" w:color="auto"/>
      </w:divBdr>
      <w:divsChild>
        <w:div w:id="2135323890">
          <w:marLeft w:val="0"/>
          <w:marRight w:val="0"/>
          <w:marTop w:val="0"/>
          <w:marBottom w:val="0"/>
          <w:divBdr>
            <w:top w:val="none" w:sz="0" w:space="0" w:color="auto"/>
            <w:left w:val="none" w:sz="0" w:space="0" w:color="auto"/>
            <w:bottom w:val="none" w:sz="0" w:space="0" w:color="auto"/>
            <w:right w:val="none" w:sz="0" w:space="0" w:color="auto"/>
          </w:divBdr>
        </w:div>
        <w:div w:id="589779562">
          <w:marLeft w:val="0"/>
          <w:marRight w:val="0"/>
          <w:marTop w:val="0"/>
          <w:marBottom w:val="0"/>
          <w:divBdr>
            <w:top w:val="none" w:sz="0" w:space="0" w:color="auto"/>
            <w:left w:val="none" w:sz="0" w:space="0" w:color="auto"/>
            <w:bottom w:val="none" w:sz="0" w:space="0" w:color="auto"/>
            <w:right w:val="none" w:sz="0" w:space="0" w:color="auto"/>
          </w:divBdr>
        </w:div>
        <w:div w:id="1237745300">
          <w:marLeft w:val="0"/>
          <w:marRight w:val="0"/>
          <w:marTop w:val="0"/>
          <w:marBottom w:val="0"/>
          <w:divBdr>
            <w:top w:val="none" w:sz="0" w:space="0" w:color="auto"/>
            <w:left w:val="none" w:sz="0" w:space="0" w:color="auto"/>
            <w:bottom w:val="none" w:sz="0" w:space="0" w:color="auto"/>
            <w:right w:val="none" w:sz="0" w:space="0" w:color="auto"/>
          </w:divBdr>
        </w:div>
        <w:div w:id="489369241">
          <w:marLeft w:val="0"/>
          <w:marRight w:val="0"/>
          <w:marTop w:val="0"/>
          <w:marBottom w:val="0"/>
          <w:divBdr>
            <w:top w:val="none" w:sz="0" w:space="0" w:color="auto"/>
            <w:left w:val="none" w:sz="0" w:space="0" w:color="auto"/>
            <w:bottom w:val="none" w:sz="0" w:space="0" w:color="auto"/>
            <w:right w:val="none" w:sz="0" w:space="0" w:color="auto"/>
          </w:divBdr>
        </w:div>
        <w:div w:id="1250390449">
          <w:marLeft w:val="0"/>
          <w:marRight w:val="0"/>
          <w:marTop w:val="0"/>
          <w:marBottom w:val="0"/>
          <w:divBdr>
            <w:top w:val="none" w:sz="0" w:space="0" w:color="auto"/>
            <w:left w:val="none" w:sz="0" w:space="0" w:color="auto"/>
            <w:bottom w:val="none" w:sz="0" w:space="0" w:color="auto"/>
            <w:right w:val="none" w:sz="0" w:space="0" w:color="auto"/>
          </w:divBdr>
        </w:div>
        <w:div w:id="771703003">
          <w:marLeft w:val="0"/>
          <w:marRight w:val="0"/>
          <w:marTop w:val="0"/>
          <w:marBottom w:val="0"/>
          <w:divBdr>
            <w:top w:val="none" w:sz="0" w:space="0" w:color="auto"/>
            <w:left w:val="none" w:sz="0" w:space="0" w:color="auto"/>
            <w:bottom w:val="none" w:sz="0" w:space="0" w:color="auto"/>
            <w:right w:val="none" w:sz="0" w:space="0" w:color="auto"/>
          </w:divBdr>
        </w:div>
        <w:div w:id="784468380">
          <w:marLeft w:val="0"/>
          <w:marRight w:val="0"/>
          <w:marTop w:val="0"/>
          <w:marBottom w:val="0"/>
          <w:divBdr>
            <w:top w:val="none" w:sz="0" w:space="0" w:color="auto"/>
            <w:left w:val="none" w:sz="0" w:space="0" w:color="auto"/>
            <w:bottom w:val="none" w:sz="0" w:space="0" w:color="auto"/>
            <w:right w:val="none" w:sz="0" w:space="0" w:color="auto"/>
          </w:divBdr>
        </w:div>
        <w:div w:id="910233061">
          <w:marLeft w:val="0"/>
          <w:marRight w:val="0"/>
          <w:marTop w:val="0"/>
          <w:marBottom w:val="0"/>
          <w:divBdr>
            <w:top w:val="none" w:sz="0" w:space="0" w:color="auto"/>
            <w:left w:val="none" w:sz="0" w:space="0" w:color="auto"/>
            <w:bottom w:val="none" w:sz="0" w:space="0" w:color="auto"/>
            <w:right w:val="none" w:sz="0" w:space="0" w:color="auto"/>
          </w:divBdr>
        </w:div>
        <w:div w:id="52198738">
          <w:marLeft w:val="0"/>
          <w:marRight w:val="0"/>
          <w:marTop w:val="0"/>
          <w:marBottom w:val="0"/>
          <w:divBdr>
            <w:top w:val="none" w:sz="0" w:space="0" w:color="auto"/>
            <w:left w:val="none" w:sz="0" w:space="0" w:color="auto"/>
            <w:bottom w:val="none" w:sz="0" w:space="0" w:color="auto"/>
            <w:right w:val="none" w:sz="0" w:space="0" w:color="auto"/>
          </w:divBdr>
        </w:div>
        <w:div w:id="1856575707">
          <w:marLeft w:val="0"/>
          <w:marRight w:val="0"/>
          <w:marTop w:val="0"/>
          <w:marBottom w:val="0"/>
          <w:divBdr>
            <w:top w:val="none" w:sz="0" w:space="0" w:color="auto"/>
            <w:left w:val="none" w:sz="0" w:space="0" w:color="auto"/>
            <w:bottom w:val="none" w:sz="0" w:space="0" w:color="auto"/>
            <w:right w:val="none" w:sz="0" w:space="0" w:color="auto"/>
          </w:divBdr>
        </w:div>
        <w:div w:id="554588953">
          <w:marLeft w:val="0"/>
          <w:marRight w:val="0"/>
          <w:marTop w:val="0"/>
          <w:marBottom w:val="0"/>
          <w:divBdr>
            <w:top w:val="none" w:sz="0" w:space="0" w:color="auto"/>
            <w:left w:val="none" w:sz="0" w:space="0" w:color="auto"/>
            <w:bottom w:val="none" w:sz="0" w:space="0" w:color="auto"/>
            <w:right w:val="none" w:sz="0" w:space="0" w:color="auto"/>
          </w:divBdr>
        </w:div>
        <w:div w:id="1687054485">
          <w:marLeft w:val="0"/>
          <w:marRight w:val="0"/>
          <w:marTop w:val="0"/>
          <w:marBottom w:val="0"/>
          <w:divBdr>
            <w:top w:val="none" w:sz="0" w:space="0" w:color="auto"/>
            <w:left w:val="none" w:sz="0" w:space="0" w:color="auto"/>
            <w:bottom w:val="none" w:sz="0" w:space="0" w:color="auto"/>
            <w:right w:val="none" w:sz="0" w:space="0" w:color="auto"/>
          </w:divBdr>
        </w:div>
        <w:div w:id="1236088399">
          <w:marLeft w:val="0"/>
          <w:marRight w:val="0"/>
          <w:marTop w:val="0"/>
          <w:marBottom w:val="0"/>
          <w:divBdr>
            <w:top w:val="none" w:sz="0" w:space="0" w:color="auto"/>
            <w:left w:val="none" w:sz="0" w:space="0" w:color="auto"/>
            <w:bottom w:val="none" w:sz="0" w:space="0" w:color="auto"/>
            <w:right w:val="none" w:sz="0" w:space="0" w:color="auto"/>
          </w:divBdr>
        </w:div>
        <w:div w:id="368456597">
          <w:marLeft w:val="0"/>
          <w:marRight w:val="0"/>
          <w:marTop w:val="0"/>
          <w:marBottom w:val="0"/>
          <w:divBdr>
            <w:top w:val="none" w:sz="0" w:space="0" w:color="auto"/>
            <w:left w:val="none" w:sz="0" w:space="0" w:color="auto"/>
            <w:bottom w:val="none" w:sz="0" w:space="0" w:color="auto"/>
            <w:right w:val="none" w:sz="0" w:space="0" w:color="auto"/>
          </w:divBdr>
        </w:div>
        <w:div w:id="1888180745">
          <w:marLeft w:val="0"/>
          <w:marRight w:val="0"/>
          <w:marTop w:val="0"/>
          <w:marBottom w:val="0"/>
          <w:divBdr>
            <w:top w:val="none" w:sz="0" w:space="0" w:color="auto"/>
            <w:left w:val="none" w:sz="0" w:space="0" w:color="auto"/>
            <w:bottom w:val="none" w:sz="0" w:space="0" w:color="auto"/>
            <w:right w:val="none" w:sz="0" w:space="0" w:color="auto"/>
          </w:divBdr>
        </w:div>
        <w:div w:id="702487307">
          <w:marLeft w:val="0"/>
          <w:marRight w:val="0"/>
          <w:marTop w:val="0"/>
          <w:marBottom w:val="0"/>
          <w:divBdr>
            <w:top w:val="none" w:sz="0" w:space="0" w:color="auto"/>
            <w:left w:val="none" w:sz="0" w:space="0" w:color="auto"/>
            <w:bottom w:val="none" w:sz="0" w:space="0" w:color="auto"/>
            <w:right w:val="none" w:sz="0" w:space="0" w:color="auto"/>
          </w:divBdr>
        </w:div>
        <w:div w:id="2110618657">
          <w:marLeft w:val="0"/>
          <w:marRight w:val="0"/>
          <w:marTop w:val="0"/>
          <w:marBottom w:val="0"/>
          <w:divBdr>
            <w:top w:val="none" w:sz="0" w:space="0" w:color="auto"/>
            <w:left w:val="none" w:sz="0" w:space="0" w:color="auto"/>
            <w:bottom w:val="none" w:sz="0" w:space="0" w:color="auto"/>
            <w:right w:val="none" w:sz="0" w:space="0" w:color="auto"/>
          </w:divBdr>
        </w:div>
        <w:div w:id="822502002">
          <w:marLeft w:val="0"/>
          <w:marRight w:val="0"/>
          <w:marTop w:val="0"/>
          <w:marBottom w:val="0"/>
          <w:divBdr>
            <w:top w:val="none" w:sz="0" w:space="0" w:color="auto"/>
            <w:left w:val="none" w:sz="0" w:space="0" w:color="auto"/>
            <w:bottom w:val="none" w:sz="0" w:space="0" w:color="auto"/>
            <w:right w:val="none" w:sz="0" w:space="0" w:color="auto"/>
          </w:divBdr>
        </w:div>
      </w:divsChild>
    </w:div>
    <w:div w:id="1659261336">
      <w:bodyDiv w:val="1"/>
      <w:marLeft w:val="0"/>
      <w:marRight w:val="0"/>
      <w:marTop w:val="0"/>
      <w:marBottom w:val="0"/>
      <w:divBdr>
        <w:top w:val="none" w:sz="0" w:space="0" w:color="auto"/>
        <w:left w:val="none" w:sz="0" w:space="0" w:color="auto"/>
        <w:bottom w:val="none" w:sz="0" w:space="0" w:color="auto"/>
        <w:right w:val="none" w:sz="0" w:space="0" w:color="auto"/>
      </w:divBdr>
    </w:div>
    <w:div w:id="1682395732">
      <w:bodyDiv w:val="1"/>
      <w:marLeft w:val="0"/>
      <w:marRight w:val="0"/>
      <w:marTop w:val="0"/>
      <w:marBottom w:val="0"/>
      <w:divBdr>
        <w:top w:val="none" w:sz="0" w:space="0" w:color="auto"/>
        <w:left w:val="none" w:sz="0" w:space="0" w:color="auto"/>
        <w:bottom w:val="none" w:sz="0" w:space="0" w:color="auto"/>
        <w:right w:val="none" w:sz="0" w:space="0" w:color="auto"/>
      </w:divBdr>
      <w:divsChild>
        <w:div w:id="1276597303">
          <w:marLeft w:val="0"/>
          <w:marRight w:val="0"/>
          <w:marTop w:val="0"/>
          <w:marBottom w:val="0"/>
          <w:divBdr>
            <w:top w:val="none" w:sz="0" w:space="0" w:color="auto"/>
            <w:left w:val="none" w:sz="0" w:space="0" w:color="auto"/>
            <w:bottom w:val="none" w:sz="0" w:space="0" w:color="auto"/>
            <w:right w:val="none" w:sz="0" w:space="0" w:color="auto"/>
          </w:divBdr>
        </w:div>
        <w:div w:id="1766726568">
          <w:marLeft w:val="0"/>
          <w:marRight w:val="0"/>
          <w:marTop w:val="0"/>
          <w:marBottom w:val="0"/>
          <w:divBdr>
            <w:top w:val="none" w:sz="0" w:space="0" w:color="auto"/>
            <w:left w:val="none" w:sz="0" w:space="0" w:color="auto"/>
            <w:bottom w:val="none" w:sz="0" w:space="0" w:color="auto"/>
            <w:right w:val="none" w:sz="0" w:space="0" w:color="auto"/>
          </w:divBdr>
        </w:div>
        <w:div w:id="42219365">
          <w:marLeft w:val="0"/>
          <w:marRight w:val="0"/>
          <w:marTop w:val="0"/>
          <w:marBottom w:val="0"/>
          <w:divBdr>
            <w:top w:val="none" w:sz="0" w:space="0" w:color="auto"/>
            <w:left w:val="none" w:sz="0" w:space="0" w:color="auto"/>
            <w:bottom w:val="none" w:sz="0" w:space="0" w:color="auto"/>
            <w:right w:val="none" w:sz="0" w:space="0" w:color="auto"/>
          </w:divBdr>
        </w:div>
        <w:div w:id="727264660">
          <w:marLeft w:val="0"/>
          <w:marRight w:val="0"/>
          <w:marTop w:val="0"/>
          <w:marBottom w:val="0"/>
          <w:divBdr>
            <w:top w:val="none" w:sz="0" w:space="0" w:color="auto"/>
            <w:left w:val="none" w:sz="0" w:space="0" w:color="auto"/>
            <w:bottom w:val="none" w:sz="0" w:space="0" w:color="auto"/>
            <w:right w:val="none" w:sz="0" w:space="0" w:color="auto"/>
          </w:divBdr>
        </w:div>
        <w:div w:id="759567198">
          <w:marLeft w:val="0"/>
          <w:marRight w:val="0"/>
          <w:marTop w:val="0"/>
          <w:marBottom w:val="0"/>
          <w:divBdr>
            <w:top w:val="none" w:sz="0" w:space="0" w:color="auto"/>
            <w:left w:val="none" w:sz="0" w:space="0" w:color="auto"/>
            <w:bottom w:val="none" w:sz="0" w:space="0" w:color="auto"/>
            <w:right w:val="none" w:sz="0" w:space="0" w:color="auto"/>
          </w:divBdr>
        </w:div>
        <w:div w:id="241259520">
          <w:marLeft w:val="0"/>
          <w:marRight w:val="0"/>
          <w:marTop w:val="0"/>
          <w:marBottom w:val="0"/>
          <w:divBdr>
            <w:top w:val="none" w:sz="0" w:space="0" w:color="auto"/>
            <w:left w:val="none" w:sz="0" w:space="0" w:color="auto"/>
            <w:bottom w:val="none" w:sz="0" w:space="0" w:color="auto"/>
            <w:right w:val="none" w:sz="0" w:space="0" w:color="auto"/>
          </w:divBdr>
        </w:div>
        <w:div w:id="751510556">
          <w:marLeft w:val="0"/>
          <w:marRight w:val="0"/>
          <w:marTop w:val="0"/>
          <w:marBottom w:val="0"/>
          <w:divBdr>
            <w:top w:val="none" w:sz="0" w:space="0" w:color="auto"/>
            <w:left w:val="none" w:sz="0" w:space="0" w:color="auto"/>
            <w:bottom w:val="none" w:sz="0" w:space="0" w:color="auto"/>
            <w:right w:val="none" w:sz="0" w:space="0" w:color="auto"/>
          </w:divBdr>
        </w:div>
        <w:div w:id="1349601361">
          <w:marLeft w:val="0"/>
          <w:marRight w:val="0"/>
          <w:marTop w:val="0"/>
          <w:marBottom w:val="0"/>
          <w:divBdr>
            <w:top w:val="none" w:sz="0" w:space="0" w:color="auto"/>
            <w:left w:val="none" w:sz="0" w:space="0" w:color="auto"/>
            <w:bottom w:val="none" w:sz="0" w:space="0" w:color="auto"/>
            <w:right w:val="none" w:sz="0" w:space="0" w:color="auto"/>
          </w:divBdr>
        </w:div>
        <w:div w:id="1500148276">
          <w:marLeft w:val="0"/>
          <w:marRight w:val="0"/>
          <w:marTop w:val="0"/>
          <w:marBottom w:val="0"/>
          <w:divBdr>
            <w:top w:val="none" w:sz="0" w:space="0" w:color="auto"/>
            <w:left w:val="none" w:sz="0" w:space="0" w:color="auto"/>
            <w:bottom w:val="none" w:sz="0" w:space="0" w:color="auto"/>
            <w:right w:val="none" w:sz="0" w:space="0" w:color="auto"/>
          </w:divBdr>
        </w:div>
        <w:div w:id="1288047842">
          <w:marLeft w:val="0"/>
          <w:marRight w:val="0"/>
          <w:marTop w:val="0"/>
          <w:marBottom w:val="0"/>
          <w:divBdr>
            <w:top w:val="none" w:sz="0" w:space="0" w:color="auto"/>
            <w:left w:val="none" w:sz="0" w:space="0" w:color="auto"/>
            <w:bottom w:val="none" w:sz="0" w:space="0" w:color="auto"/>
            <w:right w:val="none" w:sz="0" w:space="0" w:color="auto"/>
          </w:divBdr>
        </w:div>
        <w:div w:id="952446428">
          <w:marLeft w:val="0"/>
          <w:marRight w:val="0"/>
          <w:marTop w:val="0"/>
          <w:marBottom w:val="0"/>
          <w:divBdr>
            <w:top w:val="none" w:sz="0" w:space="0" w:color="auto"/>
            <w:left w:val="none" w:sz="0" w:space="0" w:color="auto"/>
            <w:bottom w:val="none" w:sz="0" w:space="0" w:color="auto"/>
            <w:right w:val="none" w:sz="0" w:space="0" w:color="auto"/>
          </w:divBdr>
        </w:div>
        <w:div w:id="1923710628">
          <w:marLeft w:val="0"/>
          <w:marRight w:val="0"/>
          <w:marTop w:val="0"/>
          <w:marBottom w:val="0"/>
          <w:divBdr>
            <w:top w:val="none" w:sz="0" w:space="0" w:color="auto"/>
            <w:left w:val="none" w:sz="0" w:space="0" w:color="auto"/>
            <w:bottom w:val="none" w:sz="0" w:space="0" w:color="auto"/>
            <w:right w:val="none" w:sz="0" w:space="0" w:color="auto"/>
          </w:divBdr>
        </w:div>
        <w:div w:id="205260993">
          <w:marLeft w:val="0"/>
          <w:marRight w:val="0"/>
          <w:marTop w:val="0"/>
          <w:marBottom w:val="0"/>
          <w:divBdr>
            <w:top w:val="none" w:sz="0" w:space="0" w:color="auto"/>
            <w:left w:val="none" w:sz="0" w:space="0" w:color="auto"/>
            <w:bottom w:val="none" w:sz="0" w:space="0" w:color="auto"/>
            <w:right w:val="none" w:sz="0" w:space="0" w:color="auto"/>
          </w:divBdr>
        </w:div>
        <w:div w:id="1722050005">
          <w:marLeft w:val="0"/>
          <w:marRight w:val="0"/>
          <w:marTop w:val="0"/>
          <w:marBottom w:val="0"/>
          <w:divBdr>
            <w:top w:val="none" w:sz="0" w:space="0" w:color="auto"/>
            <w:left w:val="none" w:sz="0" w:space="0" w:color="auto"/>
            <w:bottom w:val="none" w:sz="0" w:space="0" w:color="auto"/>
            <w:right w:val="none" w:sz="0" w:space="0" w:color="auto"/>
          </w:divBdr>
        </w:div>
        <w:div w:id="1094591502">
          <w:marLeft w:val="0"/>
          <w:marRight w:val="0"/>
          <w:marTop w:val="0"/>
          <w:marBottom w:val="0"/>
          <w:divBdr>
            <w:top w:val="none" w:sz="0" w:space="0" w:color="auto"/>
            <w:left w:val="none" w:sz="0" w:space="0" w:color="auto"/>
            <w:bottom w:val="none" w:sz="0" w:space="0" w:color="auto"/>
            <w:right w:val="none" w:sz="0" w:space="0" w:color="auto"/>
          </w:divBdr>
        </w:div>
        <w:div w:id="908616782">
          <w:marLeft w:val="0"/>
          <w:marRight w:val="0"/>
          <w:marTop w:val="0"/>
          <w:marBottom w:val="0"/>
          <w:divBdr>
            <w:top w:val="none" w:sz="0" w:space="0" w:color="auto"/>
            <w:left w:val="none" w:sz="0" w:space="0" w:color="auto"/>
            <w:bottom w:val="none" w:sz="0" w:space="0" w:color="auto"/>
            <w:right w:val="none" w:sz="0" w:space="0" w:color="auto"/>
          </w:divBdr>
        </w:div>
        <w:div w:id="675965821">
          <w:marLeft w:val="0"/>
          <w:marRight w:val="0"/>
          <w:marTop w:val="0"/>
          <w:marBottom w:val="0"/>
          <w:divBdr>
            <w:top w:val="none" w:sz="0" w:space="0" w:color="auto"/>
            <w:left w:val="none" w:sz="0" w:space="0" w:color="auto"/>
            <w:bottom w:val="none" w:sz="0" w:space="0" w:color="auto"/>
            <w:right w:val="none" w:sz="0" w:space="0" w:color="auto"/>
          </w:divBdr>
        </w:div>
        <w:div w:id="1196187662">
          <w:marLeft w:val="0"/>
          <w:marRight w:val="0"/>
          <w:marTop w:val="0"/>
          <w:marBottom w:val="0"/>
          <w:divBdr>
            <w:top w:val="none" w:sz="0" w:space="0" w:color="auto"/>
            <w:left w:val="none" w:sz="0" w:space="0" w:color="auto"/>
            <w:bottom w:val="none" w:sz="0" w:space="0" w:color="auto"/>
            <w:right w:val="none" w:sz="0" w:space="0" w:color="auto"/>
          </w:divBdr>
        </w:div>
        <w:div w:id="392971590">
          <w:marLeft w:val="0"/>
          <w:marRight w:val="0"/>
          <w:marTop w:val="0"/>
          <w:marBottom w:val="0"/>
          <w:divBdr>
            <w:top w:val="none" w:sz="0" w:space="0" w:color="auto"/>
            <w:left w:val="none" w:sz="0" w:space="0" w:color="auto"/>
            <w:bottom w:val="none" w:sz="0" w:space="0" w:color="auto"/>
            <w:right w:val="none" w:sz="0" w:space="0" w:color="auto"/>
          </w:divBdr>
        </w:div>
        <w:div w:id="526412985">
          <w:marLeft w:val="0"/>
          <w:marRight w:val="0"/>
          <w:marTop w:val="0"/>
          <w:marBottom w:val="0"/>
          <w:divBdr>
            <w:top w:val="none" w:sz="0" w:space="0" w:color="auto"/>
            <w:left w:val="none" w:sz="0" w:space="0" w:color="auto"/>
            <w:bottom w:val="none" w:sz="0" w:space="0" w:color="auto"/>
            <w:right w:val="none" w:sz="0" w:space="0" w:color="auto"/>
          </w:divBdr>
        </w:div>
        <w:div w:id="702169685">
          <w:marLeft w:val="0"/>
          <w:marRight w:val="0"/>
          <w:marTop w:val="0"/>
          <w:marBottom w:val="0"/>
          <w:divBdr>
            <w:top w:val="none" w:sz="0" w:space="0" w:color="auto"/>
            <w:left w:val="none" w:sz="0" w:space="0" w:color="auto"/>
            <w:bottom w:val="none" w:sz="0" w:space="0" w:color="auto"/>
            <w:right w:val="none" w:sz="0" w:space="0" w:color="auto"/>
          </w:divBdr>
        </w:div>
      </w:divsChild>
    </w:div>
    <w:div w:id="1708873411">
      <w:bodyDiv w:val="1"/>
      <w:marLeft w:val="0"/>
      <w:marRight w:val="0"/>
      <w:marTop w:val="0"/>
      <w:marBottom w:val="0"/>
      <w:divBdr>
        <w:top w:val="none" w:sz="0" w:space="0" w:color="auto"/>
        <w:left w:val="none" w:sz="0" w:space="0" w:color="auto"/>
        <w:bottom w:val="none" w:sz="0" w:space="0" w:color="auto"/>
        <w:right w:val="none" w:sz="0" w:space="0" w:color="auto"/>
      </w:divBdr>
    </w:div>
    <w:div w:id="1708992308">
      <w:bodyDiv w:val="1"/>
      <w:marLeft w:val="0"/>
      <w:marRight w:val="0"/>
      <w:marTop w:val="0"/>
      <w:marBottom w:val="0"/>
      <w:divBdr>
        <w:top w:val="none" w:sz="0" w:space="0" w:color="auto"/>
        <w:left w:val="none" w:sz="0" w:space="0" w:color="auto"/>
        <w:bottom w:val="none" w:sz="0" w:space="0" w:color="auto"/>
        <w:right w:val="none" w:sz="0" w:space="0" w:color="auto"/>
      </w:divBdr>
    </w:div>
    <w:div w:id="1730566239">
      <w:bodyDiv w:val="1"/>
      <w:marLeft w:val="0"/>
      <w:marRight w:val="0"/>
      <w:marTop w:val="0"/>
      <w:marBottom w:val="0"/>
      <w:divBdr>
        <w:top w:val="none" w:sz="0" w:space="0" w:color="auto"/>
        <w:left w:val="none" w:sz="0" w:space="0" w:color="auto"/>
        <w:bottom w:val="none" w:sz="0" w:space="0" w:color="auto"/>
        <w:right w:val="none" w:sz="0" w:space="0" w:color="auto"/>
      </w:divBdr>
      <w:divsChild>
        <w:div w:id="655493920">
          <w:marLeft w:val="0"/>
          <w:marRight w:val="0"/>
          <w:marTop w:val="0"/>
          <w:marBottom w:val="0"/>
          <w:divBdr>
            <w:top w:val="none" w:sz="0" w:space="0" w:color="auto"/>
            <w:left w:val="none" w:sz="0" w:space="0" w:color="auto"/>
            <w:bottom w:val="none" w:sz="0" w:space="0" w:color="auto"/>
            <w:right w:val="none" w:sz="0" w:space="0" w:color="auto"/>
          </w:divBdr>
        </w:div>
        <w:div w:id="1505898406">
          <w:marLeft w:val="0"/>
          <w:marRight w:val="0"/>
          <w:marTop w:val="0"/>
          <w:marBottom w:val="0"/>
          <w:divBdr>
            <w:top w:val="none" w:sz="0" w:space="0" w:color="auto"/>
            <w:left w:val="none" w:sz="0" w:space="0" w:color="auto"/>
            <w:bottom w:val="none" w:sz="0" w:space="0" w:color="auto"/>
            <w:right w:val="none" w:sz="0" w:space="0" w:color="auto"/>
          </w:divBdr>
        </w:div>
        <w:div w:id="2127314578">
          <w:marLeft w:val="0"/>
          <w:marRight w:val="0"/>
          <w:marTop w:val="0"/>
          <w:marBottom w:val="0"/>
          <w:divBdr>
            <w:top w:val="none" w:sz="0" w:space="0" w:color="auto"/>
            <w:left w:val="none" w:sz="0" w:space="0" w:color="auto"/>
            <w:bottom w:val="none" w:sz="0" w:space="0" w:color="auto"/>
            <w:right w:val="none" w:sz="0" w:space="0" w:color="auto"/>
          </w:divBdr>
        </w:div>
        <w:div w:id="736585522">
          <w:marLeft w:val="0"/>
          <w:marRight w:val="0"/>
          <w:marTop w:val="0"/>
          <w:marBottom w:val="0"/>
          <w:divBdr>
            <w:top w:val="none" w:sz="0" w:space="0" w:color="auto"/>
            <w:left w:val="none" w:sz="0" w:space="0" w:color="auto"/>
            <w:bottom w:val="none" w:sz="0" w:space="0" w:color="auto"/>
            <w:right w:val="none" w:sz="0" w:space="0" w:color="auto"/>
          </w:divBdr>
        </w:div>
        <w:div w:id="510997709">
          <w:marLeft w:val="0"/>
          <w:marRight w:val="0"/>
          <w:marTop w:val="0"/>
          <w:marBottom w:val="0"/>
          <w:divBdr>
            <w:top w:val="none" w:sz="0" w:space="0" w:color="auto"/>
            <w:left w:val="none" w:sz="0" w:space="0" w:color="auto"/>
            <w:bottom w:val="none" w:sz="0" w:space="0" w:color="auto"/>
            <w:right w:val="none" w:sz="0" w:space="0" w:color="auto"/>
          </w:divBdr>
        </w:div>
        <w:div w:id="1047726636">
          <w:marLeft w:val="0"/>
          <w:marRight w:val="0"/>
          <w:marTop w:val="0"/>
          <w:marBottom w:val="0"/>
          <w:divBdr>
            <w:top w:val="none" w:sz="0" w:space="0" w:color="auto"/>
            <w:left w:val="none" w:sz="0" w:space="0" w:color="auto"/>
            <w:bottom w:val="none" w:sz="0" w:space="0" w:color="auto"/>
            <w:right w:val="none" w:sz="0" w:space="0" w:color="auto"/>
          </w:divBdr>
        </w:div>
        <w:div w:id="1351377600">
          <w:marLeft w:val="0"/>
          <w:marRight w:val="0"/>
          <w:marTop w:val="0"/>
          <w:marBottom w:val="0"/>
          <w:divBdr>
            <w:top w:val="none" w:sz="0" w:space="0" w:color="auto"/>
            <w:left w:val="none" w:sz="0" w:space="0" w:color="auto"/>
            <w:bottom w:val="none" w:sz="0" w:space="0" w:color="auto"/>
            <w:right w:val="none" w:sz="0" w:space="0" w:color="auto"/>
          </w:divBdr>
        </w:div>
        <w:div w:id="102116397">
          <w:marLeft w:val="0"/>
          <w:marRight w:val="0"/>
          <w:marTop w:val="0"/>
          <w:marBottom w:val="0"/>
          <w:divBdr>
            <w:top w:val="none" w:sz="0" w:space="0" w:color="auto"/>
            <w:left w:val="none" w:sz="0" w:space="0" w:color="auto"/>
            <w:bottom w:val="none" w:sz="0" w:space="0" w:color="auto"/>
            <w:right w:val="none" w:sz="0" w:space="0" w:color="auto"/>
          </w:divBdr>
        </w:div>
        <w:div w:id="1543134759">
          <w:marLeft w:val="0"/>
          <w:marRight w:val="0"/>
          <w:marTop w:val="0"/>
          <w:marBottom w:val="0"/>
          <w:divBdr>
            <w:top w:val="none" w:sz="0" w:space="0" w:color="auto"/>
            <w:left w:val="none" w:sz="0" w:space="0" w:color="auto"/>
            <w:bottom w:val="none" w:sz="0" w:space="0" w:color="auto"/>
            <w:right w:val="none" w:sz="0" w:space="0" w:color="auto"/>
          </w:divBdr>
        </w:div>
        <w:div w:id="442188836">
          <w:marLeft w:val="0"/>
          <w:marRight w:val="0"/>
          <w:marTop w:val="0"/>
          <w:marBottom w:val="0"/>
          <w:divBdr>
            <w:top w:val="none" w:sz="0" w:space="0" w:color="auto"/>
            <w:left w:val="none" w:sz="0" w:space="0" w:color="auto"/>
            <w:bottom w:val="none" w:sz="0" w:space="0" w:color="auto"/>
            <w:right w:val="none" w:sz="0" w:space="0" w:color="auto"/>
          </w:divBdr>
        </w:div>
        <w:div w:id="840433989">
          <w:marLeft w:val="0"/>
          <w:marRight w:val="0"/>
          <w:marTop w:val="0"/>
          <w:marBottom w:val="0"/>
          <w:divBdr>
            <w:top w:val="none" w:sz="0" w:space="0" w:color="auto"/>
            <w:left w:val="none" w:sz="0" w:space="0" w:color="auto"/>
            <w:bottom w:val="none" w:sz="0" w:space="0" w:color="auto"/>
            <w:right w:val="none" w:sz="0" w:space="0" w:color="auto"/>
          </w:divBdr>
        </w:div>
        <w:div w:id="1011562257">
          <w:marLeft w:val="0"/>
          <w:marRight w:val="0"/>
          <w:marTop w:val="0"/>
          <w:marBottom w:val="0"/>
          <w:divBdr>
            <w:top w:val="none" w:sz="0" w:space="0" w:color="auto"/>
            <w:left w:val="none" w:sz="0" w:space="0" w:color="auto"/>
            <w:bottom w:val="none" w:sz="0" w:space="0" w:color="auto"/>
            <w:right w:val="none" w:sz="0" w:space="0" w:color="auto"/>
          </w:divBdr>
        </w:div>
        <w:div w:id="792871799">
          <w:marLeft w:val="0"/>
          <w:marRight w:val="0"/>
          <w:marTop w:val="0"/>
          <w:marBottom w:val="0"/>
          <w:divBdr>
            <w:top w:val="none" w:sz="0" w:space="0" w:color="auto"/>
            <w:left w:val="none" w:sz="0" w:space="0" w:color="auto"/>
            <w:bottom w:val="none" w:sz="0" w:space="0" w:color="auto"/>
            <w:right w:val="none" w:sz="0" w:space="0" w:color="auto"/>
          </w:divBdr>
        </w:div>
        <w:div w:id="1255896364">
          <w:marLeft w:val="0"/>
          <w:marRight w:val="0"/>
          <w:marTop w:val="0"/>
          <w:marBottom w:val="0"/>
          <w:divBdr>
            <w:top w:val="none" w:sz="0" w:space="0" w:color="auto"/>
            <w:left w:val="none" w:sz="0" w:space="0" w:color="auto"/>
            <w:bottom w:val="none" w:sz="0" w:space="0" w:color="auto"/>
            <w:right w:val="none" w:sz="0" w:space="0" w:color="auto"/>
          </w:divBdr>
        </w:div>
        <w:div w:id="851844316">
          <w:marLeft w:val="0"/>
          <w:marRight w:val="0"/>
          <w:marTop w:val="0"/>
          <w:marBottom w:val="0"/>
          <w:divBdr>
            <w:top w:val="none" w:sz="0" w:space="0" w:color="auto"/>
            <w:left w:val="none" w:sz="0" w:space="0" w:color="auto"/>
            <w:bottom w:val="none" w:sz="0" w:space="0" w:color="auto"/>
            <w:right w:val="none" w:sz="0" w:space="0" w:color="auto"/>
          </w:divBdr>
        </w:div>
        <w:div w:id="580796542">
          <w:marLeft w:val="0"/>
          <w:marRight w:val="0"/>
          <w:marTop w:val="0"/>
          <w:marBottom w:val="0"/>
          <w:divBdr>
            <w:top w:val="none" w:sz="0" w:space="0" w:color="auto"/>
            <w:left w:val="none" w:sz="0" w:space="0" w:color="auto"/>
            <w:bottom w:val="none" w:sz="0" w:space="0" w:color="auto"/>
            <w:right w:val="none" w:sz="0" w:space="0" w:color="auto"/>
          </w:divBdr>
        </w:div>
        <w:div w:id="947199796">
          <w:marLeft w:val="0"/>
          <w:marRight w:val="0"/>
          <w:marTop w:val="0"/>
          <w:marBottom w:val="0"/>
          <w:divBdr>
            <w:top w:val="none" w:sz="0" w:space="0" w:color="auto"/>
            <w:left w:val="none" w:sz="0" w:space="0" w:color="auto"/>
            <w:bottom w:val="none" w:sz="0" w:space="0" w:color="auto"/>
            <w:right w:val="none" w:sz="0" w:space="0" w:color="auto"/>
          </w:divBdr>
        </w:div>
        <w:div w:id="716972115">
          <w:marLeft w:val="0"/>
          <w:marRight w:val="0"/>
          <w:marTop w:val="0"/>
          <w:marBottom w:val="0"/>
          <w:divBdr>
            <w:top w:val="none" w:sz="0" w:space="0" w:color="auto"/>
            <w:left w:val="none" w:sz="0" w:space="0" w:color="auto"/>
            <w:bottom w:val="none" w:sz="0" w:space="0" w:color="auto"/>
            <w:right w:val="none" w:sz="0" w:space="0" w:color="auto"/>
          </w:divBdr>
        </w:div>
        <w:div w:id="385222762">
          <w:marLeft w:val="0"/>
          <w:marRight w:val="0"/>
          <w:marTop w:val="0"/>
          <w:marBottom w:val="0"/>
          <w:divBdr>
            <w:top w:val="none" w:sz="0" w:space="0" w:color="auto"/>
            <w:left w:val="none" w:sz="0" w:space="0" w:color="auto"/>
            <w:bottom w:val="none" w:sz="0" w:space="0" w:color="auto"/>
            <w:right w:val="none" w:sz="0" w:space="0" w:color="auto"/>
          </w:divBdr>
        </w:div>
        <w:div w:id="1566066363">
          <w:marLeft w:val="0"/>
          <w:marRight w:val="0"/>
          <w:marTop w:val="0"/>
          <w:marBottom w:val="0"/>
          <w:divBdr>
            <w:top w:val="none" w:sz="0" w:space="0" w:color="auto"/>
            <w:left w:val="none" w:sz="0" w:space="0" w:color="auto"/>
            <w:bottom w:val="none" w:sz="0" w:space="0" w:color="auto"/>
            <w:right w:val="none" w:sz="0" w:space="0" w:color="auto"/>
          </w:divBdr>
        </w:div>
        <w:div w:id="74061481">
          <w:marLeft w:val="0"/>
          <w:marRight w:val="0"/>
          <w:marTop w:val="0"/>
          <w:marBottom w:val="0"/>
          <w:divBdr>
            <w:top w:val="none" w:sz="0" w:space="0" w:color="auto"/>
            <w:left w:val="none" w:sz="0" w:space="0" w:color="auto"/>
            <w:bottom w:val="none" w:sz="0" w:space="0" w:color="auto"/>
            <w:right w:val="none" w:sz="0" w:space="0" w:color="auto"/>
          </w:divBdr>
        </w:div>
      </w:divsChild>
    </w:div>
    <w:div w:id="1758165574">
      <w:bodyDiv w:val="1"/>
      <w:marLeft w:val="0"/>
      <w:marRight w:val="0"/>
      <w:marTop w:val="0"/>
      <w:marBottom w:val="0"/>
      <w:divBdr>
        <w:top w:val="none" w:sz="0" w:space="0" w:color="auto"/>
        <w:left w:val="none" w:sz="0" w:space="0" w:color="auto"/>
        <w:bottom w:val="none" w:sz="0" w:space="0" w:color="auto"/>
        <w:right w:val="none" w:sz="0" w:space="0" w:color="auto"/>
      </w:divBdr>
    </w:div>
    <w:div w:id="1814787391">
      <w:bodyDiv w:val="1"/>
      <w:marLeft w:val="0"/>
      <w:marRight w:val="0"/>
      <w:marTop w:val="0"/>
      <w:marBottom w:val="0"/>
      <w:divBdr>
        <w:top w:val="none" w:sz="0" w:space="0" w:color="auto"/>
        <w:left w:val="none" w:sz="0" w:space="0" w:color="auto"/>
        <w:bottom w:val="none" w:sz="0" w:space="0" w:color="auto"/>
        <w:right w:val="none" w:sz="0" w:space="0" w:color="auto"/>
      </w:divBdr>
    </w:div>
    <w:div w:id="1845053173">
      <w:bodyDiv w:val="1"/>
      <w:marLeft w:val="0"/>
      <w:marRight w:val="0"/>
      <w:marTop w:val="0"/>
      <w:marBottom w:val="0"/>
      <w:divBdr>
        <w:top w:val="none" w:sz="0" w:space="0" w:color="auto"/>
        <w:left w:val="none" w:sz="0" w:space="0" w:color="auto"/>
        <w:bottom w:val="none" w:sz="0" w:space="0" w:color="auto"/>
        <w:right w:val="none" w:sz="0" w:space="0" w:color="auto"/>
      </w:divBdr>
    </w:div>
    <w:div w:id="1920822112">
      <w:bodyDiv w:val="1"/>
      <w:marLeft w:val="0"/>
      <w:marRight w:val="0"/>
      <w:marTop w:val="0"/>
      <w:marBottom w:val="0"/>
      <w:divBdr>
        <w:top w:val="none" w:sz="0" w:space="0" w:color="auto"/>
        <w:left w:val="none" w:sz="0" w:space="0" w:color="auto"/>
        <w:bottom w:val="none" w:sz="0" w:space="0" w:color="auto"/>
        <w:right w:val="none" w:sz="0" w:space="0" w:color="auto"/>
      </w:divBdr>
      <w:divsChild>
        <w:div w:id="1670793091">
          <w:marLeft w:val="0"/>
          <w:marRight w:val="0"/>
          <w:marTop w:val="0"/>
          <w:marBottom w:val="0"/>
          <w:divBdr>
            <w:top w:val="none" w:sz="0" w:space="0" w:color="auto"/>
            <w:left w:val="none" w:sz="0" w:space="0" w:color="auto"/>
            <w:bottom w:val="none" w:sz="0" w:space="0" w:color="auto"/>
            <w:right w:val="none" w:sz="0" w:space="0" w:color="auto"/>
          </w:divBdr>
        </w:div>
        <w:div w:id="88040803">
          <w:marLeft w:val="0"/>
          <w:marRight w:val="0"/>
          <w:marTop w:val="0"/>
          <w:marBottom w:val="0"/>
          <w:divBdr>
            <w:top w:val="none" w:sz="0" w:space="0" w:color="auto"/>
            <w:left w:val="none" w:sz="0" w:space="0" w:color="auto"/>
            <w:bottom w:val="none" w:sz="0" w:space="0" w:color="auto"/>
            <w:right w:val="none" w:sz="0" w:space="0" w:color="auto"/>
          </w:divBdr>
        </w:div>
        <w:div w:id="903880194">
          <w:marLeft w:val="0"/>
          <w:marRight w:val="0"/>
          <w:marTop w:val="0"/>
          <w:marBottom w:val="0"/>
          <w:divBdr>
            <w:top w:val="none" w:sz="0" w:space="0" w:color="auto"/>
            <w:left w:val="none" w:sz="0" w:space="0" w:color="auto"/>
            <w:bottom w:val="none" w:sz="0" w:space="0" w:color="auto"/>
            <w:right w:val="none" w:sz="0" w:space="0" w:color="auto"/>
          </w:divBdr>
        </w:div>
        <w:div w:id="1893810386">
          <w:marLeft w:val="0"/>
          <w:marRight w:val="0"/>
          <w:marTop w:val="0"/>
          <w:marBottom w:val="0"/>
          <w:divBdr>
            <w:top w:val="none" w:sz="0" w:space="0" w:color="auto"/>
            <w:left w:val="none" w:sz="0" w:space="0" w:color="auto"/>
            <w:bottom w:val="none" w:sz="0" w:space="0" w:color="auto"/>
            <w:right w:val="none" w:sz="0" w:space="0" w:color="auto"/>
          </w:divBdr>
        </w:div>
        <w:div w:id="1349213375">
          <w:marLeft w:val="0"/>
          <w:marRight w:val="0"/>
          <w:marTop w:val="0"/>
          <w:marBottom w:val="0"/>
          <w:divBdr>
            <w:top w:val="none" w:sz="0" w:space="0" w:color="auto"/>
            <w:left w:val="none" w:sz="0" w:space="0" w:color="auto"/>
            <w:bottom w:val="none" w:sz="0" w:space="0" w:color="auto"/>
            <w:right w:val="none" w:sz="0" w:space="0" w:color="auto"/>
          </w:divBdr>
        </w:div>
        <w:div w:id="529420936">
          <w:marLeft w:val="0"/>
          <w:marRight w:val="0"/>
          <w:marTop w:val="0"/>
          <w:marBottom w:val="0"/>
          <w:divBdr>
            <w:top w:val="none" w:sz="0" w:space="0" w:color="auto"/>
            <w:left w:val="none" w:sz="0" w:space="0" w:color="auto"/>
            <w:bottom w:val="none" w:sz="0" w:space="0" w:color="auto"/>
            <w:right w:val="none" w:sz="0" w:space="0" w:color="auto"/>
          </w:divBdr>
        </w:div>
        <w:div w:id="1533881580">
          <w:marLeft w:val="0"/>
          <w:marRight w:val="0"/>
          <w:marTop w:val="0"/>
          <w:marBottom w:val="0"/>
          <w:divBdr>
            <w:top w:val="none" w:sz="0" w:space="0" w:color="auto"/>
            <w:left w:val="none" w:sz="0" w:space="0" w:color="auto"/>
            <w:bottom w:val="none" w:sz="0" w:space="0" w:color="auto"/>
            <w:right w:val="none" w:sz="0" w:space="0" w:color="auto"/>
          </w:divBdr>
        </w:div>
        <w:div w:id="1916239658">
          <w:marLeft w:val="0"/>
          <w:marRight w:val="0"/>
          <w:marTop w:val="0"/>
          <w:marBottom w:val="0"/>
          <w:divBdr>
            <w:top w:val="none" w:sz="0" w:space="0" w:color="auto"/>
            <w:left w:val="none" w:sz="0" w:space="0" w:color="auto"/>
            <w:bottom w:val="none" w:sz="0" w:space="0" w:color="auto"/>
            <w:right w:val="none" w:sz="0" w:space="0" w:color="auto"/>
          </w:divBdr>
        </w:div>
        <w:div w:id="711078933">
          <w:marLeft w:val="0"/>
          <w:marRight w:val="0"/>
          <w:marTop w:val="0"/>
          <w:marBottom w:val="0"/>
          <w:divBdr>
            <w:top w:val="none" w:sz="0" w:space="0" w:color="auto"/>
            <w:left w:val="none" w:sz="0" w:space="0" w:color="auto"/>
            <w:bottom w:val="none" w:sz="0" w:space="0" w:color="auto"/>
            <w:right w:val="none" w:sz="0" w:space="0" w:color="auto"/>
          </w:divBdr>
        </w:div>
        <w:div w:id="510343135">
          <w:marLeft w:val="0"/>
          <w:marRight w:val="0"/>
          <w:marTop w:val="0"/>
          <w:marBottom w:val="0"/>
          <w:divBdr>
            <w:top w:val="none" w:sz="0" w:space="0" w:color="auto"/>
            <w:left w:val="none" w:sz="0" w:space="0" w:color="auto"/>
            <w:bottom w:val="none" w:sz="0" w:space="0" w:color="auto"/>
            <w:right w:val="none" w:sz="0" w:space="0" w:color="auto"/>
          </w:divBdr>
        </w:div>
        <w:div w:id="1805611531">
          <w:marLeft w:val="0"/>
          <w:marRight w:val="0"/>
          <w:marTop w:val="0"/>
          <w:marBottom w:val="0"/>
          <w:divBdr>
            <w:top w:val="none" w:sz="0" w:space="0" w:color="auto"/>
            <w:left w:val="none" w:sz="0" w:space="0" w:color="auto"/>
            <w:bottom w:val="none" w:sz="0" w:space="0" w:color="auto"/>
            <w:right w:val="none" w:sz="0" w:space="0" w:color="auto"/>
          </w:divBdr>
        </w:div>
        <w:div w:id="1266621828">
          <w:marLeft w:val="0"/>
          <w:marRight w:val="0"/>
          <w:marTop w:val="0"/>
          <w:marBottom w:val="0"/>
          <w:divBdr>
            <w:top w:val="none" w:sz="0" w:space="0" w:color="auto"/>
            <w:left w:val="none" w:sz="0" w:space="0" w:color="auto"/>
            <w:bottom w:val="none" w:sz="0" w:space="0" w:color="auto"/>
            <w:right w:val="none" w:sz="0" w:space="0" w:color="auto"/>
          </w:divBdr>
        </w:div>
        <w:div w:id="1555115852">
          <w:marLeft w:val="0"/>
          <w:marRight w:val="0"/>
          <w:marTop w:val="0"/>
          <w:marBottom w:val="0"/>
          <w:divBdr>
            <w:top w:val="none" w:sz="0" w:space="0" w:color="auto"/>
            <w:left w:val="none" w:sz="0" w:space="0" w:color="auto"/>
            <w:bottom w:val="none" w:sz="0" w:space="0" w:color="auto"/>
            <w:right w:val="none" w:sz="0" w:space="0" w:color="auto"/>
          </w:divBdr>
        </w:div>
        <w:div w:id="46800774">
          <w:marLeft w:val="0"/>
          <w:marRight w:val="0"/>
          <w:marTop w:val="0"/>
          <w:marBottom w:val="0"/>
          <w:divBdr>
            <w:top w:val="none" w:sz="0" w:space="0" w:color="auto"/>
            <w:left w:val="none" w:sz="0" w:space="0" w:color="auto"/>
            <w:bottom w:val="none" w:sz="0" w:space="0" w:color="auto"/>
            <w:right w:val="none" w:sz="0" w:space="0" w:color="auto"/>
          </w:divBdr>
        </w:div>
        <w:div w:id="1682269307">
          <w:marLeft w:val="0"/>
          <w:marRight w:val="0"/>
          <w:marTop w:val="0"/>
          <w:marBottom w:val="0"/>
          <w:divBdr>
            <w:top w:val="none" w:sz="0" w:space="0" w:color="auto"/>
            <w:left w:val="none" w:sz="0" w:space="0" w:color="auto"/>
            <w:bottom w:val="none" w:sz="0" w:space="0" w:color="auto"/>
            <w:right w:val="none" w:sz="0" w:space="0" w:color="auto"/>
          </w:divBdr>
        </w:div>
        <w:div w:id="1634556454">
          <w:marLeft w:val="0"/>
          <w:marRight w:val="0"/>
          <w:marTop w:val="0"/>
          <w:marBottom w:val="0"/>
          <w:divBdr>
            <w:top w:val="none" w:sz="0" w:space="0" w:color="auto"/>
            <w:left w:val="none" w:sz="0" w:space="0" w:color="auto"/>
            <w:bottom w:val="none" w:sz="0" w:space="0" w:color="auto"/>
            <w:right w:val="none" w:sz="0" w:space="0" w:color="auto"/>
          </w:divBdr>
        </w:div>
        <w:div w:id="331644504">
          <w:marLeft w:val="0"/>
          <w:marRight w:val="0"/>
          <w:marTop w:val="0"/>
          <w:marBottom w:val="0"/>
          <w:divBdr>
            <w:top w:val="none" w:sz="0" w:space="0" w:color="auto"/>
            <w:left w:val="none" w:sz="0" w:space="0" w:color="auto"/>
            <w:bottom w:val="none" w:sz="0" w:space="0" w:color="auto"/>
            <w:right w:val="none" w:sz="0" w:space="0" w:color="auto"/>
          </w:divBdr>
        </w:div>
        <w:div w:id="801077333">
          <w:marLeft w:val="0"/>
          <w:marRight w:val="0"/>
          <w:marTop w:val="0"/>
          <w:marBottom w:val="0"/>
          <w:divBdr>
            <w:top w:val="none" w:sz="0" w:space="0" w:color="auto"/>
            <w:left w:val="none" w:sz="0" w:space="0" w:color="auto"/>
            <w:bottom w:val="none" w:sz="0" w:space="0" w:color="auto"/>
            <w:right w:val="none" w:sz="0" w:space="0" w:color="auto"/>
          </w:divBdr>
        </w:div>
        <w:div w:id="54819154">
          <w:marLeft w:val="0"/>
          <w:marRight w:val="0"/>
          <w:marTop w:val="0"/>
          <w:marBottom w:val="0"/>
          <w:divBdr>
            <w:top w:val="none" w:sz="0" w:space="0" w:color="auto"/>
            <w:left w:val="none" w:sz="0" w:space="0" w:color="auto"/>
            <w:bottom w:val="none" w:sz="0" w:space="0" w:color="auto"/>
            <w:right w:val="none" w:sz="0" w:space="0" w:color="auto"/>
          </w:divBdr>
        </w:div>
        <w:div w:id="1858807503">
          <w:marLeft w:val="0"/>
          <w:marRight w:val="0"/>
          <w:marTop w:val="0"/>
          <w:marBottom w:val="0"/>
          <w:divBdr>
            <w:top w:val="none" w:sz="0" w:space="0" w:color="auto"/>
            <w:left w:val="none" w:sz="0" w:space="0" w:color="auto"/>
            <w:bottom w:val="none" w:sz="0" w:space="0" w:color="auto"/>
            <w:right w:val="none" w:sz="0" w:space="0" w:color="auto"/>
          </w:divBdr>
        </w:div>
        <w:div w:id="1655983422">
          <w:marLeft w:val="0"/>
          <w:marRight w:val="0"/>
          <w:marTop w:val="0"/>
          <w:marBottom w:val="0"/>
          <w:divBdr>
            <w:top w:val="none" w:sz="0" w:space="0" w:color="auto"/>
            <w:left w:val="none" w:sz="0" w:space="0" w:color="auto"/>
            <w:bottom w:val="none" w:sz="0" w:space="0" w:color="auto"/>
            <w:right w:val="none" w:sz="0" w:space="0" w:color="auto"/>
          </w:divBdr>
        </w:div>
      </w:divsChild>
    </w:div>
    <w:div w:id="1927688715">
      <w:bodyDiv w:val="1"/>
      <w:marLeft w:val="0"/>
      <w:marRight w:val="0"/>
      <w:marTop w:val="0"/>
      <w:marBottom w:val="0"/>
      <w:divBdr>
        <w:top w:val="none" w:sz="0" w:space="0" w:color="auto"/>
        <w:left w:val="none" w:sz="0" w:space="0" w:color="auto"/>
        <w:bottom w:val="none" w:sz="0" w:space="0" w:color="auto"/>
        <w:right w:val="none" w:sz="0" w:space="0" w:color="auto"/>
      </w:divBdr>
    </w:div>
    <w:div w:id="1958218501">
      <w:bodyDiv w:val="1"/>
      <w:marLeft w:val="0"/>
      <w:marRight w:val="0"/>
      <w:marTop w:val="0"/>
      <w:marBottom w:val="0"/>
      <w:divBdr>
        <w:top w:val="none" w:sz="0" w:space="0" w:color="auto"/>
        <w:left w:val="none" w:sz="0" w:space="0" w:color="auto"/>
        <w:bottom w:val="none" w:sz="0" w:space="0" w:color="auto"/>
        <w:right w:val="none" w:sz="0" w:space="0" w:color="auto"/>
      </w:divBdr>
      <w:divsChild>
        <w:div w:id="546183213">
          <w:marLeft w:val="0"/>
          <w:marRight w:val="0"/>
          <w:marTop w:val="0"/>
          <w:marBottom w:val="0"/>
          <w:divBdr>
            <w:top w:val="none" w:sz="0" w:space="0" w:color="auto"/>
            <w:left w:val="none" w:sz="0" w:space="0" w:color="auto"/>
            <w:bottom w:val="none" w:sz="0" w:space="0" w:color="auto"/>
            <w:right w:val="none" w:sz="0" w:space="0" w:color="auto"/>
          </w:divBdr>
        </w:div>
        <w:div w:id="218127020">
          <w:marLeft w:val="0"/>
          <w:marRight w:val="0"/>
          <w:marTop w:val="0"/>
          <w:marBottom w:val="0"/>
          <w:divBdr>
            <w:top w:val="none" w:sz="0" w:space="0" w:color="auto"/>
            <w:left w:val="none" w:sz="0" w:space="0" w:color="auto"/>
            <w:bottom w:val="none" w:sz="0" w:space="0" w:color="auto"/>
            <w:right w:val="none" w:sz="0" w:space="0" w:color="auto"/>
          </w:divBdr>
        </w:div>
        <w:div w:id="652683650">
          <w:marLeft w:val="0"/>
          <w:marRight w:val="0"/>
          <w:marTop w:val="0"/>
          <w:marBottom w:val="0"/>
          <w:divBdr>
            <w:top w:val="none" w:sz="0" w:space="0" w:color="auto"/>
            <w:left w:val="none" w:sz="0" w:space="0" w:color="auto"/>
            <w:bottom w:val="none" w:sz="0" w:space="0" w:color="auto"/>
            <w:right w:val="none" w:sz="0" w:space="0" w:color="auto"/>
          </w:divBdr>
        </w:div>
        <w:div w:id="1822581206">
          <w:marLeft w:val="0"/>
          <w:marRight w:val="0"/>
          <w:marTop w:val="0"/>
          <w:marBottom w:val="0"/>
          <w:divBdr>
            <w:top w:val="none" w:sz="0" w:space="0" w:color="auto"/>
            <w:left w:val="none" w:sz="0" w:space="0" w:color="auto"/>
            <w:bottom w:val="none" w:sz="0" w:space="0" w:color="auto"/>
            <w:right w:val="none" w:sz="0" w:space="0" w:color="auto"/>
          </w:divBdr>
        </w:div>
        <w:div w:id="70154544">
          <w:marLeft w:val="0"/>
          <w:marRight w:val="0"/>
          <w:marTop w:val="0"/>
          <w:marBottom w:val="0"/>
          <w:divBdr>
            <w:top w:val="none" w:sz="0" w:space="0" w:color="auto"/>
            <w:left w:val="none" w:sz="0" w:space="0" w:color="auto"/>
            <w:bottom w:val="none" w:sz="0" w:space="0" w:color="auto"/>
            <w:right w:val="none" w:sz="0" w:space="0" w:color="auto"/>
          </w:divBdr>
        </w:div>
        <w:div w:id="1272668141">
          <w:marLeft w:val="0"/>
          <w:marRight w:val="0"/>
          <w:marTop w:val="0"/>
          <w:marBottom w:val="0"/>
          <w:divBdr>
            <w:top w:val="none" w:sz="0" w:space="0" w:color="auto"/>
            <w:left w:val="none" w:sz="0" w:space="0" w:color="auto"/>
            <w:bottom w:val="none" w:sz="0" w:space="0" w:color="auto"/>
            <w:right w:val="none" w:sz="0" w:space="0" w:color="auto"/>
          </w:divBdr>
        </w:div>
        <w:div w:id="713046733">
          <w:marLeft w:val="0"/>
          <w:marRight w:val="0"/>
          <w:marTop w:val="0"/>
          <w:marBottom w:val="0"/>
          <w:divBdr>
            <w:top w:val="none" w:sz="0" w:space="0" w:color="auto"/>
            <w:left w:val="none" w:sz="0" w:space="0" w:color="auto"/>
            <w:bottom w:val="none" w:sz="0" w:space="0" w:color="auto"/>
            <w:right w:val="none" w:sz="0" w:space="0" w:color="auto"/>
          </w:divBdr>
        </w:div>
        <w:div w:id="1821656151">
          <w:marLeft w:val="0"/>
          <w:marRight w:val="0"/>
          <w:marTop w:val="0"/>
          <w:marBottom w:val="0"/>
          <w:divBdr>
            <w:top w:val="none" w:sz="0" w:space="0" w:color="auto"/>
            <w:left w:val="none" w:sz="0" w:space="0" w:color="auto"/>
            <w:bottom w:val="none" w:sz="0" w:space="0" w:color="auto"/>
            <w:right w:val="none" w:sz="0" w:space="0" w:color="auto"/>
          </w:divBdr>
        </w:div>
        <w:div w:id="1636905582">
          <w:marLeft w:val="0"/>
          <w:marRight w:val="0"/>
          <w:marTop w:val="0"/>
          <w:marBottom w:val="0"/>
          <w:divBdr>
            <w:top w:val="none" w:sz="0" w:space="0" w:color="auto"/>
            <w:left w:val="none" w:sz="0" w:space="0" w:color="auto"/>
            <w:bottom w:val="none" w:sz="0" w:space="0" w:color="auto"/>
            <w:right w:val="none" w:sz="0" w:space="0" w:color="auto"/>
          </w:divBdr>
        </w:div>
        <w:div w:id="731083349">
          <w:marLeft w:val="0"/>
          <w:marRight w:val="0"/>
          <w:marTop w:val="0"/>
          <w:marBottom w:val="0"/>
          <w:divBdr>
            <w:top w:val="none" w:sz="0" w:space="0" w:color="auto"/>
            <w:left w:val="none" w:sz="0" w:space="0" w:color="auto"/>
            <w:bottom w:val="none" w:sz="0" w:space="0" w:color="auto"/>
            <w:right w:val="none" w:sz="0" w:space="0" w:color="auto"/>
          </w:divBdr>
        </w:div>
        <w:div w:id="1541094531">
          <w:marLeft w:val="0"/>
          <w:marRight w:val="0"/>
          <w:marTop w:val="0"/>
          <w:marBottom w:val="0"/>
          <w:divBdr>
            <w:top w:val="none" w:sz="0" w:space="0" w:color="auto"/>
            <w:left w:val="none" w:sz="0" w:space="0" w:color="auto"/>
            <w:bottom w:val="none" w:sz="0" w:space="0" w:color="auto"/>
            <w:right w:val="none" w:sz="0" w:space="0" w:color="auto"/>
          </w:divBdr>
        </w:div>
        <w:div w:id="152838836">
          <w:marLeft w:val="0"/>
          <w:marRight w:val="0"/>
          <w:marTop w:val="0"/>
          <w:marBottom w:val="0"/>
          <w:divBdr>
            <w:top w:val="none" w:sz="0" w:space="0" w:color="auto"/>
            <w:left w:val="none" w:sz="0" w:space="0" w:color="auto"/>
            <w:bottom w:val="none" w:sz="0" w:space="0" w:color="auto"/>
            <w:right w:val="none" w:sz="0" w:space="0" w:color="auto"/>
          </w:divBdr>
        </w:div>
        <w:div w:id="1612783164">
          <w:marLeft w:val="0"/>
          <w:marRight w:val="0"/>
          <w:marTop w:val="0"/>
          <w:marBottom w:val="0"/>
          <w:divBdr>
            <w:top w:val="none" w:sz="0" w:space="0" w:color="auto"/>
            <w:left w:val="none" w:sz="0" w:space="0" w:color="auto"/>
            <w:bottom w:val="none" w:sz="0" w:space="0" w:color="auto"/>
            <w:right w:val="none" w:sz="0" w:space="0" w:color="auto"/>
          </w:divBdr>
        </w:div>
        <w:div w:id="26637476">
          <w:marLeft w:val="0"/>
          <w:marRight w:val="0"/>
          <w:marTop w:val="0"/>
          <w:marBottom w:val="0"/>
          <w:divBdr>
            <w:top w:val="none" w:sz="0" w:space="0" w:color="auto"/>
            <w:left w:val="none" w:sz="0" w:space="0" w:color="auto"/>
            <w:bottom w:val="none" w:sz="0" w:space="0" w:color="auto"/>
            <w:right w:val="none" w:sz="0" w:space="0" w:color="auto"/>
          </w:divBdr>
        </w:div>
        <w:div w:id="1367412463">
          <w:marLeft w:val="0"/>
          <w:marRight w:val="0"/>
          <w:marTop w:val="0"/>
          <w:marBottom w:val="0"/>
          <w:divBdr>
            <w:top w:val="none" w:sz="0" w:space="0" w:color="auto"/>
            <w:left w:val="none" w:sz="0" w:space="0" w:color="auto"/>
            <w:bottom w:val="none" w:sz="0" w:space="0" w:color="auto"/>
            <w:right w:val="none" w:sz="0" w:space="0" w:color="auto"/>
          </w:divBdr>
        </w:div>
        <w:div w:id="1933784392">
          <w:marLeft w:val="0"/>
          <w:marRight w:val="0"/>
          <w:marTop w:val="0"/>
          <w:marBottom w:val="0"/>
          <w:divBdr>
            <w:top w:val="none" w:sz="0" w:space="0" w:color="auto"/>
            <w:left w:val="none" w:sz="0" w:space="0" w:color="auto"/>
            <w:bottom w:val="none" w:sz="0" w:space="0" w:color="auto"/>
            <w:right w:val="none" w:sz="0" w:space="0" w:color="auto"/>
          </w:divBdr>
        </w:div>
        <w:div w:id="581137298">
          <w:marLeft w:val="0"/>
          <w:marRight w:val="0"/>
          <w:marTop w:val="0"/>
          <w:marBottom w:val="0"/>
          <w:divBdr>
            <w:top w:val="none" w:sz="0" w:space="0" w:color="auto"/>
            <w:left w:val="none" w:sz="0" w:space="0" w:color="auto"/>
            <w:bottom w:val="none" w:sz="0" w:space="0" w:color="auto"/>
            <w:right w:val="none" w:sz="0" w:space="0" w:color="auto"/>
          </w:divBdr>
        </w:div>
        <w:div w:id="1539972641">
          <w:marLeft w:val="0"/>
          <w:marRight w:val="0"/>
          <w:marTop w:val="0"/>
          <w:marBottom w:val="0"/>
          <w:divBdr>
            <w:top w:val="none" w:sz="0" w:space="0" w:color="auto"/>
            <w:left w:val="none" w:sz="0" w:space="0" w:color="auto"/>
            <w:bottom w:val="none" w:sz="0" w:space="0" w:color="auto"/>
            <w:right w:val="none" w:sz="0" w:space="0" w:color="auto"/>
          </w:divBdr>
        </w:div>
      </w:divsChild>
    </w:div>
    <w:div w:id="2057267334">
      <w:bodyDiv w:val="1"/>
      <w:marLeft w:val="0"/>
      <w:marRight w:val="0"/>
      <w:marTop w:val="0"/>
      <w:marBottom w:val="0"/>
      <w:divBdr>
        <w:top w:val="none" w:sz="0" w:space="0" w:color="auto"/>
        <w:left w:val="none" w:sz="0" w:space="0" w:color="auto"/>
        <w:bottom w:val="none" w:sz="0" w:space="0" w:color="auto"/>
        <w:right w:val="none" w:sz="0" w:space="0" w:color="auto"/>
      </w:divBdr>
    </w:div>
    <w:div w:id="2090613145">
      <w:bodyDiv w:val="1"/>
      <w:marLeft w:val="0"/>
      <w:marRight w:val="0"/>
      <w:marTop w:val="0"/>
      <w:marBottom w:val="0"/>
      <w:divBdr>
        <w:top w:val="none" w:sz="0" w:space="0" w:color="auto"/>
        <w:left w:val="none" w:sz="0" w:space="0" w:color="auto"/>
        <w:bottom w:val="none" w:sz="0" w:space="0" w:color="auto"/>
        <w:right w:val="none" w:sz="0" w:space="0" w:color="auto"/>
      </w:divBdr>
      <w:divsChild>
        <w:div w:id="1530334278">
          <w:marLeft w:val="0"/>
          <w:marRight w:val="0"/>
          <w:marTop w:val="0"/>
          <w:marBottom w:val="0"/>
          <w:divBdr>
            <w:top w:val="none" w:sz="0" w:space="0" w:color="auto"/>
            <w:left w:val="none" w:sz="0" w:space="0" w:color="auto"/>
            <w:bottom w:val="none" w:sz="0" w:space="0" w:color="auto"/>
            <w:right w:val="none" w:sz="0" w:space="0" w:color="auto"/>
          </w:divBdr>
        </w:div>
        <w:div w:id="1846480521">
          <w:marLeft w:val="0"/>
          <w:marRight w:val="0"/>
          <w:marTop w:val="0"/>
          <w:marBottom w:val="0"/>
          <w:divBdr>
            <w:top w:val="none" w:sz="0" w:space="0" w:color="auto"/>
            <w:left w:val="none" w:sz="0" w:space="0" w:color="auto"/>
            <w:bottom w:val="none" w:sz="0" w:space="0" w:color="auto"/>
            <w:right w:val="none" w:sz="0" w:space="0" w:color="auto"/>
          </w:divBdr>
        </w:div>
        <w:div w:id="75593082">
          <w:marLeft w:val="0"/>
          <w:marRight w:val="0"/>
          <w:marTop w:val="0"/>
          <w:marBottom w:val="0"/>
          <w:divBdr>
            <w:top w:val="none" w:sz="0" w:space="0" w:color="auto"/>
            <w:left w:val="none" w:sz="0" w:space="0" w:color="auto"/>
            <w:bottom w:val="none" w:sz="0" w:space="0" w:color="auto"/>
            <w:right w:val="none" w:sz="0" w:space="0" w:color="auto"/>
          </w:divBdr>
        </w:div>
        <w:div w:id="1638535545">
          <w:marLeft w:val="0"/>
          <w:marRight w:val="0"/>
          <w:marTop w:val="0"/>
          <w:marBottom w:val="0"/>
          <w:divBdr>
            <w:top w:val="none" w:sz="0" w:space="0" w:color="auto"/>
            <w:left w:val="none" w:sz="0" w:space="0" w:color="auto"/>
            <w:bottom w:val="none" w:sz="0" w:space="0" w:color="auto"/>
            <w:right w:val="none" w:sz="0" w:space="0" w:color="auto"/>
          </w:divBdr>
        </w:div>
        <w:div w:id="1449616438">
          <w:marLeft w:val="0"/>
          <w:marRight w:val="0"/>
          <w:marTop w:val="0"/>
          <w:marBottom w:val="0"/>
          <w:divBdr>
            <w:top w:val="none" w:sz="0" w:space="0" w:color="auto"/>
            <w:left w:val="none" w:sz="0" w:space="0" w:color="auto"/>
            <w:bottom w:val="none" w:sz="0" w:space="0" w:color="auto"/>
            <w:right w:val="none" w:sz="0" w:space="0" w:color="auto"/>
          </w:divBdr>
        </w:div>
        <w:div w:id="279337603">
          <w:marLeft w:val="0"/>
          <w:marRight w:val="0"/>
          <w:marTop w:val="0"/>
          <w:marBottom w:val="0"/>
          <w:divBdr>
            <w:top w:val="none" w:sz="0" w:space="0" w:color="auto"/>
            <w:left w:val="none" w:sz="0" w:space="0" w:color="auto"/>
            <w:bottom w:val="none" w:sz="0" w:space="0" w:color="auto"/>
            <w:right w:val="none" w:sz="0" w:space="0" w:color="auto"/>
          </w:divBdr>
        </w:div>
        <w:div w:id="1784105699">
          <w:marLeft w:val="0"/>
          <w:marRight w:val="0"/>
          <w:marTop w:val="0"/>
          <w:marBottom w:val="0"/>
          <w:divBdr>
            <w:top w:val="none" w:sz="0" w:space="0" w:color="auto"/>
            <w:left w:val="none" w:sz="0" w:space="0" w:color="auto"/>
            <w:bottom w:val="none" w:sz="0" w:space="0" w:color="auto"/>
            <w:right w:val="none" w:sz="0" w:space="0" w:color="auto"/>
          </w:divBdr>
        </w:div>
        <w:div w:id="2126927124">
          <w:marLeft w:val="0"/>
          <w:marRight w:val="0"/>
          <w:marTop w:val="0"/>
          <w:marBottom w:val="0"/>
          <w:divBdr>
            <w:top w:val="none" w:sz="0" w:space="0" w:color="auto"/>
            <w:left w:val="none" w:sz="0" w:space="0" w:color="auto"/>
            <w:bottom w:val="none" w:sz="0" w:space="0" w:color="auto"/>
            <w:right w:val="none" w:sz="0" w:space="0" w:color="auto"/>
          </w:divBdr>
        </w:div>
        <w:div w:id="174197000">
          <w:marLeft w:val="0"/>
          <w:marRight w:val="0"/>
          <w:marTop w:val="0"/>
          <w:marBottom w:val="0"/>
          <w:divBdr>
            <w:top w:val="none" w:sz="0" w:space="0" w:color="auto"/>
            <w:left w:val="none" w:sz="0" w:space="0" w:color="auto"/>
            <w:bottom w:val="none" w:sz="0" w:space="0" w:color="auto"/>
            <w:right w:val="none" w:sz="0" w:space="0" w:color="auto"/>
          </w:divBdr>
        </w:div>
        <w:div w:id="1932736730">
          <w:marLeft w:val="0"/>
          <w:marRight w:val="0"/>
          <w:marTop w:val="0"/>
          <w:marBottom w:val="0"/>
          <w:divBdr>
            <w:top w:val="none" w:sz="0" w:space="0" w:color="auto"/>
            <w:left w:val="none" w:sz="0" w:space="0" w:color="auto"/>
            <w:bottom w:val="none" w:sz="0" w:space="0" w:color="auto"/>
            <w:right w:val="none" w:sz="0" w:space="0" w:color="auto"/>
          </w:divBdr>
        </w:div>
        <w:div w:id="792479056">
          <w:marLeft w:val="0"/>
          <w:marRight w:val="0"/>
          <w:marTop w:val="0"/>
          <w:marBottom w:val="0"/>
          <w:divBdr>
            <w:top w:val="none" w:sz="0" w:space="0" w:color="auto"/>
            <w:left w:val="none" w:sz="0" w:space="0" w:color="auto"/>
            <w:bottom w:val="none" w:sz="0" w:space="0" w:color="auto"/>
            <w:right w:val="none" w:sz="0" w:space="0" w:color="auto"/>
          </w:divBdr>
        </w:div>
        <w:div w:id="441072777">
          <w:marLeft w:val="0"/>
          <w:marRight w:val="0"/>
          <w:marTop w:val="0"/>
          <w:marBottom w:val="0"/>
          <w:divBdr>
            <w:top w:val="none" w:sz="0" w:space="0" w:color="auto"/>
            <w:left w:val="none" w:sz="0" w:space="0" w:color="auto"/>
            <w:bottom w:val="none" w:sz="0" w:space="0" w:color="auto"/>
            <w:right w:val="none" w:sz="0" w:space="0" w:color="auto"/>
          </w:divBdr>
        </w:div>
        <w:div w:id="1800147097">
          <w:marLeft w:val="0"/>
          <w:marRight w:val="0"/>
          <w:marTop w:val="0"/>
          <w:marBottom w:val="0"/>
          <w:divBdr>
            <w:top w:val="none" w:sz="0" w:space="0" w:color="auto"/>
            <w:left w:val="none" w:sz="0" w:space="0" w:color="auto"/>
            <w:bottom w:val="none" w:sz="0" w:space="0" w:color="auto"/>
            <w:right w:val="none" w:sz="0" w:space="0" w:color="auto"/>
          </w:divBdr>
        </w:div>
        <w:div w:id="952203718">
          <w:marLeft w:val="0"/>
          <w:marRight w:val="0"/>
          <w:marTop w:val="0"/>
          <w:marBottom w:val="0"/>
          <w:divBdr>
            <w:top w:val="none" w:sz="0" w:space="0" w:color="auto"/>
            <w:left w:val="none" w:sz="0" w:space="0" w:color="auto"/>
            <w:bottom w:val="none" w:sz="0" w:space="0" w:color="auto"/>
            <w:right w:val="none" w:sz="0" w:space="0" w:color="auto"/>
          </w:divBdr>
        </w:div>
        <w:div w:id="1497570934">
          <w:marLeft w:val="0"/>
          <w:marRight w:val="0"/>
          <w:marTop w:val="0"/>
          <w:marBottom w:val="0"/>
          <w:divBdr>
            <w:top w:val="none" w:sz="0" w:space="0" w:color="auto"/>
            <w:left w:val="none" w:sz="0" w:space="0" w:color="auto"/>
            <w:bottom w:val="none" w:sz="0" w:space="0" w:color="auto"/>
            <w:right w:val="none" w:sz="0" w:space="0" w:color="auto"/>
          </w:divBdr>
        </w:div>
        <w:div w:id="919370156">
          <w:marLeft w:val="0"/>
          <w:marRight w:val="0"/>
          <w:marTop w:val="0"/>
          <w:marBottom w:val="0"/>
          <w:divBdr>
            <w:top w:val="none" w:sz="0" w:space="0" w:color="auto"/>
            <w:left w:val="none" w:sz="0" w:space="0" w:color="auto"/>
            <w:bottom w:val="none" w:sz="0" w:space="0" w:color="auto"/>
            <w:right w:val="none" w:sz="0" w:space="0" w:color="auto"/>
          </w:divBdr>
        </w:div>
        <w:div w:id="1720469753">
          <w:marLeft w:val="0"/>
          <w:marRight w:val="0"/>
          <w:marTop w:val="0"/>
          <w:marBottom w:val="0"/>
          <w:divBdr>
            <w:top w:val="none" w:sz="0" w:space="0" w:color="auto"/>
            <w:left w:val="none" w:sz="0" w:space="0" w:color="auto"/>
            <w:bottom w:val="none" w:sz="0" w:space="0" w:color="auto"/>
            <w:right w:val="none" w:sz="0" w:space="0" w:color="auto"/>
          </w:divBdr>
        </w:div>
        <w:div w:id="466362977">
          <w:marLeft w:val="0"/>
          <w:marRight w:val="0"/>
          <w:marTop w:val="0"/>
          <w:marBottom w:val="0"/>
          <w:divBdr>
            <w:top w:val="none" w:sz="0" w:space="0" w:color="auto"/>
            <w:left w:val="none" w:sz="0" w:space="0" w:color="auto"/>
            <w:bottom w:val="none" w:sz="0" w:space="0" w:color="auto"/>
            <w:right w:val="none" w:sz="0" w:space="0" w:color="auto"/>
          </w:divBdr>
        </w:div>
      </w:divsChild>
    </w:div>
    <w:div w:id="2135369198">
      <w:bodyDiv w:val="1"/>
      <w:marLeft w:val="0"/>
      <w:marRight w:val="0"/>
      <w:marTop w:val="0"/>
      <w:marBottom w:val="0"/>
      <w:divBdr>
        <w:top w:val="none" w:sz="0" w:space="0" w:color="auto"/>
        <w:left w:val="none" w:sz="0" w:space="0" w:color="auto"/>
        <w:bottom w:val="none" w:sz="0" w:space="0" w:color="auto"/>
        <w:right w:val="none" w:sz="0" w:space="0" w:color="auto"/>
      </w:divBdr>
      <w:divsChild>
        <w:div w:id="220796360">
          <w:marLeft w:val="0"/>
          <w:marRight w:val="0"/>
          <w:marTop w:val="0"/>
          <w:marBottom w:val="0"/>
          <w:divBdr>
            <w:top w:val="none" w:sz="0" w:space="0" w:color="auto"/>
            <w:left w:val="none" w:sz="0" w:space="0" w:color="auto"/>
            <w:bottom w:val="none" w:sz="0" w:space="0" w:color="auto"/>
            <w:right w:val="none" w:sz="0" w:space="0" w:color="auto"/>
          </w:divBdr>
        </w:div>
        <w:div w:id="588081804">
          <w:marLeft w:val="0"/>
          <w:marRight w:val="0"/>
          <w:marTop w:val="0"/>
          <w:marBottom w:val="0"/>
          <w:divBdr>
            <w:top w:val="none" w:sz="0" w:space="0" w:color="auto"/>
            <w:left w:val="none" w:sz="0" w:space="0" w:color="auto"/>
            <w:bottom w:val="none" w:sz="0" w:space="0" w:color="auto"/>
            <w:right w:val="none" w:sz="0" w:space="0" w:color="auto"/>
          </w:divBdr>
        </w:div>
        <w:div w:id="1975409042">
          <w:marLeft w:val="0"/>
          <w:marRight w:val="0"/>
          <w:marTop w:val="0"/>
          <w:marBottom w:val="0"/>
          <w:divBdr>
            <w:top w:val="none" w:sz="0" w:space="0" w:color="auto"/>
            <w:left w:val="none" w:sz="0" w:space="0" w:color="auto"/>
            <w:bottom w:val="none" w:sz="0" w:space="0" w:color="auto"/>
            <w:right w:val="none" w:sz="0" w:space="0" w:color="auto"/>
          </w:divBdr>
        </w:div>
        <w:div w:id="1585450628">
          <w:marLeft w:val="0"/>
          <w:marRight w:val="0"/>
          <w:marTop w:val="0"/>
          <w:marBottom w:val="0"/>
          <w:divBdr>
            <w:top w:val="none" w:sz="0" w:space="0" w:color="auto"/>
            <w:left w:val="none" w:sz="0" w:space="0" w:color="auto"/>
            <w:bottom w:val="none" w:sz="0" w:space="0" w:color="auto"/>
            <w:right w:val="none" w:sz="0" w:space="0" w:color="auto"/>
          </w:divBdr>
        </w:div>
        <w:div w:id="1951429897">
          <w:marLeft w:val="0"/>
          <w:marRight w:val="0"/>
          <w:marTop w:val="0"/>
          <w:marBottom w:val="0"/>
          <w:divBdr>
            <w:top w:val="none" w:sz="0" w:space="0" w:color="auto"/>
            <w:left w:val="none" w:sz="0" w:space="0" w:color="auto"/>
            <w:bottom w:val="none" w:sz="0" w:space="0" w:color="auto"/>
            <w:right w:val="none" w:sz="0" w:space="0" w:color="auto"/>
          </w:divBdr>
        </w:div>
        <w:div w:id="285623003">
          <w:marLeft w:val="0"/>
          <w:marRight w:val="0"/>
          <w:marTop w:val="0"/>
          <w:marBottom w:val="0"/>
          <w:divBdr>
            <w:top w:val="none" w:sz="0" w:space="0" w:color="auto"/>
            <w:left w:val="none" w:sz="0" w:space="0" w:color="auto"/>
            <w:bottom w:val="none" w:sz="0" w:space="0" w:color="auto"/>
            <w:right w:val="none" w:sz="0" w:space="0" w:color="auto"/>
          </w:divBdr>
        </w:div>
        <w:div w:id="1995838626">
          <w:marLeft w:val="0"/>
          <w:marRight w:val="0"/>
          <w:marTop w:val="0"/>
          <w:marBottom w:val="0"/>
          <w:divBdr>
            <w:top w:val="none" w:sz="0" w:space="0" w:color="auto"/>
            <w:left w:val="none" w:sz="0" w:space="0" w:color="auto"/>
            <w:bottom w:val="none" w:sz="0" w:space="0" w:color="auto"/>
            <w:right w:val="none" w:sz="0" w:space="0" w:color="auto"/>
          </w:divBdr>
        </w:div>
        <w:div w:id="264191496">
          <w:marLeft w:val="0"/>
          <w:marRight w:val="0"/>
          <w:marTop w:val="0"/>
          <w:marBottom w:val="0"/>
          <w:divBdr>
            <w:top w:val="none" w:sz="0" w:space="0" w:color="auto"/>
            <w:left w:val="none" w:sz="0" w:space="0" w:color="auto"/>
            <w:bottom w:val="none" w:sz="0" w:space="0" w:color="auto"/>
            <w:right w:val="none" w:sz="0" w:space="0" w:color="auto"/>
          </w:divBdr>
        </w:div>
        <w:div w:id="1383871650">
          <w:marLeft w:val="0"/>
          <w:marRight w:val="0"/>
          <w:marTop w:val="0"/>
          <w:marBottom w:val="0"/>
          <w:divBdr>
            <w:top w:val="none" w:sz="0" w:space="0" w:color="auto"/>
            <w:left w:val="none" w:sz="0" w:space="0" w:color="auto"/>
            <w:bottom w:val="none" w:sz="0" w:space="0" w:color="auto"/>
            <w:right w:val="none" w:sz="0" w:space="0" w:color="auto"/>
          </w:divBdr>
        </w:div>
        <w:div w:id="966544777">
          <w:marLeft w:val="0"/>
          <w:marRight w:val="0"/>
          <w:marTop w:val="0"/>
          <w:marBottom w:val="0"/>
          <w:divBdr>
            <w:top w:val="none" w:sz="0" w:space="0" w:color="auto"/>
            <w:left w:val="none" w:sz="0" w:space="0" w:color="auto"/>
            <w:bottom w:val="none" w:sz="0" w:space="0" w:color="auto"/>
            <w:right w:val="none" w:sz="0" w:space="0" w:color="auto"/>
          </w:divBdr>
        </w:div>
        <w:div w:id="321199679">
          <w:marLeft w:val="0"/>
          <w:marRight w:val="0"/>
          <w:marTop w:val="0"/>
          <w:marBottom w:val="0"/>
          <w:divBdr>
            <w:top w:val="none" w:sz="0" w:space="0" w:color="auto"/>
            <w:left w:val="none" w:sz="0" w:space="0" w:color="auto"/>
            <w:bottom w:val="none" w:sz="0" w:space="0" w:color="auto"/>
            <w:right w:val="none" w:sz="0" w:space="0" w:color="auto"/>
          </w:divBdr>
        </w:div>
        <w:div w:id="1779371598">
          <w:marLeft w:val="0"/>
          <w:marRight w:val="0"/>
          <w:marTop w:val="0"/>
          <w:marBottom w:val="0"/>
          <w:divBdr>
            <w:top w:val="none" w:sz="0" w:space="0" w:color="auto"/>
            <w:left w:val="none" w:sz="0" w:space="0" w:color="auto"/>
            <w:bottom w:val="none" w:sz="0" w:space="0" w:color="auto"/>
            <w:right w:val="none" w:sz="0" w:space="0" w:color="auto"/>
          </w:divBdr>
        </w:div>
        <w:div w:id="1604649775">
          <w:marLeft w:val="0"/>
          <w:marRight w:val="0"/>
          <w:marTop w:val="0"/>
          <w:marBottom w:val="0"/>
          <w:divBdr>
            <w:top w:val="none" w:sz="0" w:space="0" w:color="auto"/>
            <w:left w:val="none" w:sz="0" w:space="0" w:color="auto"/>
            <w:bottom w:val="none" w:sz="0" w:space="0" w:color="auto"/>
            <w:right w:val="none" w:sz="0" w:space="0" w:color="auto"/>
          </w:divBdr>
        </w:div>
        <w:div w:id="680279521">
          <w:marLeft w:val="0"/>
          <w:marRight w:val="0"/>
          <w:marTop w:val="0"/>
          <w:marBottom w:val="0"/>
          <w:divBdr>
            <w:top w:val="none" w:sz="0" w:space="0" w:color="auto"/>
            <w:left w:val="none" w:sz="0" w:space="0" w:color="auto"/>
            <w:bottom w:val="none" w:sz="0" w:space="0" w:color="auto"/>
            <w:right w:val="none" w:sz="0" w:space="0" w:color="auto"/>
          </w:divBdr>
        </w:div>
        <w:div w:id="230431782">
          <w:marLeft w:val="0"/>
          <w:marRight w:val="0"/>
          <w:marTop w:val="0"/>
          <w:marBottom w:val="0"/>
          <w:divBdr>
            <w:top w:val="none" w:sz="0" w:space="0" w:color="auto"/>
            <w:left w:val="none" w:sz="0" w:space="0" w:color="auto"/>
            <w:bottom w:val="none" w:sz="0" w:space="0" w:color="auto"/>
            <w:right w:val="none" w:sz="0" w:space="0" w:color="auto"/>
          </w:divBdr>
        </w:div>
        <w:div w:id="1554345963">
          <w:marLeft w:val="0"/>
          <w:marRight w:val="0"/>
          <w:marTop w:val="0"/>
          <w:marBottom w:val="0"/>
          <w:divBdr>
            <w:top w:val="none" w:sz="0" w:space="0" w:color="auto"/>
            <w:left w:val="none" w:sz="0" w:space="0" w:color="auto"/>
            <w:bottom w:val="none" w:sz="0" w:space="0" w:color="auto"/>
            <w:right w:val="none" w:sz="0" w:space="0" w:color="auto"/>
          </w:divBdr>
        </w:div>
        <w:div w:id="959074002">
          <w:marLeft w:val="0"/>
          <w:marRight w:val="0"/>
          <w:marTop w:val="0"/>
          <w:marBottom w:val="0"/>
          <w:divBdr>
            <w:top w:val="none" w:sz="0" w:space="0" w:color="auto"/>
            <w:left w:val="none" w:sz="0" w:space="0" w:color="auto"/>
            <w:bottom w:val="none" w:sz="0" w:space="0" w:color="auto"/>
            <w:right w:val="none" w:sz="0" w:space="0" w:color="auto"/>
          </w:divBdr>
        </w:div>
        <w:div w:id="160032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wmf" Id="rId13" /><Relationship Type="http://schemas.openxmlformats.org/officeDocument/2006/relationships/hyperlink" Target="http://emaillink.jpmorgan.com/t/AQ/AATBeQ/AAmBGw/TrLNAg/Iw/AD5VFQ/AQ/lja6" TargetMode="External" Id="rId18" /><Relationship Type="http://schemas.openxmlformats.org/officeDocument/2006/relationships/hyperlink" Target="https://jpmm.com/research/content/GPS-1300436-0" TargetMode="External" Id="rId26" /><Relationship Type="http://schemas.openxmlformats.org/officeDocument/2006/relationships/image" Target="media/image7.wmf" Id="rId39" /><Relationship Type="http://schemas.openxmlformats.org/officeDocument/2006/relationships/customXml" Target="../customXml/item3.xml" Id="rId3" /><Relationship Type="http://schemas.openxmlformats.org/officeDocument/2006/relationships/hyperlink" Target="http://emaillink.jpmorgan.com/t/AQ/AASrIw/AAlUbg/ThSRfA/Ig/AD0nrg/AQ/b9b1" TargetMode="External" Id="rId21" /><Relationship Type="http://schemas.openxmlformats.org/officeDocument/2006/relationships/header" Target="header4.xml" Id="rId34" /><Relationship Type="http://schemas.openxmlformats.org/officeDocument/2006/relationships/hyperlink" Target="mailto:research.disclosure.inquiries@jpmorgan.com" TargetMode="External" Id="rId42" /><Relationship Type="http://schemas.openxmlformats.org/officeDocument/2006/relationships/fontTable" Target="fontTable.xml" Id="rId47"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yperlink" Target="http://emaillink.jpmorgan.com/t/AQ/AATjVw/AAnE1w/T5Wpig/Ag/AD-7Vw/AQ/H9u3" TargetMode="External" Id="rId17" /><Relationship Type="http://schemas.openxmlformats.org/officeDocument/2006/relationships/hyperlink" Target="http://emaillink.jpmorgan.com/t/AQ/AARQCg/AAiePQ/S31juQ/AQ/ADhwyQ/AQ/ya-H" TargetMode="External" Id="rId25" /><Relationship Type="http://schemas.openxmlformats.org/officeDocument/2006/relationships/footer" Target="footer3.xml" Id="rId33" /><Relationship Type="http://schemas.openxmlformats.org/officeDocument/2006/relationships/hyperlink" Target="mailto:research.disclosure.inquiries@jpmorgan.com" TargetMode="External" Id="rId38" /><Relationship Type="http://schemas.openxmlformats.org/officeDocument/2006/relationships/footer" Target="footer5.xml" Id="rId46" /><Relationship Type="http://schemas.openxmlformats.org/officeDocument/2006/relationships/hyperlink" Target="http://emaillink.jpmorgan.com/t/AQ/AAUdOg/AAo4nQ/UTTBNQ/AQ/AELAdA/AQ/OJ7K" TargetMode="External" Id="rId16" /><Relationship Type="http://schemas.openxmlformats.org/officeDocument/2006/relationships/hyperlink" Target="https://jpmm.com/research/content/GPS-1378779-0" TargetMode="External" Id="rId20" /><Relationship Type="http://schemas.openxmlformats.org/officeDocument/2006/relationships/header" Target="header2.xml" Id="rId29" /><Relationship Type="http://schemas.openxmlformats.org/officeDocument/2006/relationships/hyperlink" Target="http://www.jpmorganmarkets.com" TargetMode="External" Id="rId4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yperlink" Target="http://emaillink.jpmorgan.com/t/AQ/AARSTQ/AAiiwQ/S4uDQA/AQ/ADiPbg/AQ/W6V-" TargetMode="External" Id="rId24" /><Relationship Type="http://schemas.openxmlformats.org/officeDocument/2006/relationships/header" Target="header3.xml" Id="rId32" /><Relationship Type="http://schemas.openxmlformats.org/officeDocument/2006/relationships/hyperlink" Target="mailto:research.disclosure.inquiries@jpmorgan.com" TargetMode="External" Id="rId37" /><Relationship Type="http://schemas.openxmlformats.org/officeDocument/2006/relationships/image" Target="media/image8.wmf" Id="rId40" /><Relationship Type="http://schemas.openxmlformats.org/officeDocument/2006/relationships/header" Target="header5.xml" Id="rId45" /><Relationship Type="http://schemas.openxmlformats.org/officeDocument/2006/relationships/hyperlink" Target="https://markets.jpmorgan.com/research/email/7vun3udu/GPS-1429283-0.pdf" TargetMode="External" Id="rId15" /><Relationship Type="http://schemas.openxmlformats.org/officeDocument/2006/relationships/hyperlink" Target="http://emaillink.jpmorgan.com/t/AQ/AARd4g/AAi57g/S+J4+A/AQ/ADksgQ/AQ/87jJ" TargetMode="External" Id="rId23" /><Relationship Type="http://schemas.openxmlformats.org/officeDocument/2006/relationships/header" Target="header1.xml" Id="rId28" /><Relationship Type="http://schemas.openxmlformats.org/officeDocument/2006/relationships/hyperlink" Target="https://jpmm.com/research/disclosures" TargetMode="External" Id="rId36" /><Relationship Type="http://schemas.openxmlformats.org/officeDocument/2006/relationships/theme" Target="theme/theme1.xml" Id="rId49" /><Relationship Type="http://schemas.openxmlformats.org/officeDocument/2006/relationships/webSettings" Target="webSettings.xml" Id="rId10" /><Relationship Type="http://schemas.openxmlformats.org/officeDocument/2006/relationships/hyperlink" Target="http://emaillink.jpmorgan.com/t/AQ/AAS4kw/AAlvTg/TnEcmg/Iw/AD3eJA/AQ/CQbZ" TargetMode="External" Id="rId19" /><Relationship Type="http://schemas.openxmlformats.org/officeDocument/2006/relationships/footer" Target="footer2.xml" Id="rId31" /><Relationship Type="http://schemas.openxmlformats.org/officeDocument/2006/relationships/hyperlink" Target="http://www.jpmipl.com" TargetMode="External" Id="rId44" /><Relationship Type="http://schemas.openxmlformats.org/officeDocument/2006/relationships/settings" Target="settings.xml" Id="rId9" /><Relationship Type="http://schemas.openxmlformats.org/officeDocument/2006/relationships/hyperlink" Target="http://emaillink.jpmorgan.com/t/AQ/AAUnIw/AApMbg/UXwHDw/Dg/AELIhA/AQ/MF8h" TargetMode="External" Id="rId14" /><Relationship Type="http://schemas.openxmlformats.org/officeDocument/2006/relationships/hyperlink" Target="http://emaillink.jpmorgan.com/t/AQ/AASX-w/AAkuJw/TY5X1Q/AQ/ADwvzg/AQ/adpe" TargetMode="External" Id="rId22" /><Relationship Type="http://schemas.openxmlformats.org/officeDocument/2006/relationships/hyperlink" Target="http://jpmorgan-eu.adobeconnect.com/thegreatrotation/" TargetMode="External" Id="rId27" /><Relationship Type="http://schemas.openxmlformats.org/officeDocument/2006/relationships/footer" Target="footer1.xml" Id="rId30" /><Relationship Type="http://schemas.openxmlformats.org/officeDocument/2006/relationships/footer" Target="footer4.xml" Id="rId35" /><Relationship Type="http://schemas.openxmlformats.org/officeDocument/2006/relationships/hyperlink" Target="http://www.optionsclearing.com/publications/risks/riskstoc.pdf" TargetMode="External" Id="rId43" /><Relationship Type="http://schemas.openxmlformats.org/officeDocument/2006/relationships/glossaryDocument" Target="glossary/document.xml" Id="rId48" /><Relationship Type="http://schemas.openxmlformats.org/officeDocument/2006/relationships/styles" Target="styles.xml" Id="rId8" /><Relationship Type="http://schemas.openxmlformats.org/officeDocument/2006/relationships/customXml" Target="/customXML/item7.xml" Id="R9db8dc1042f8425f" /><Relationship Type="http://schemas.openxmlformats.org/officeDocument/2006/relationships/customXml" Target="/customXML/item8.xml" Id="R6d803a2d3d8847af" /><Relationship Type="http://schemas.openxmlformats.org/officeDocument/2006/relationships/customXml" Target="/customXML/item9.xml" Id="R36e86ddee7204b05" /><Relationship Type="http://schemas.openxmlformats.org/officeDocument/2006/relationships/customXml" Target="/customXML/itema.xml" Id="R47de26aa016d4c9f"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261554\AppData\Local\Temp\Non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E9CE9C616140899B8D1108CC54FCDE"/>
        <w:category>
          <w:name w:val="General"/>
          <w:gallery w:val="placeholder"/>
        </w:category>
        <w:types>
          <w:type w:val="bbPlcHdr"/>
        </w:types>
        <w:behaviors>
          <w:behavior w:val="content"/>
        </w:behaviors>
        <w:guid w:val="{FC821F6D-81CB-40CC-8AC0-8B624BCC124F}"/>
      </w:docPartPr>
      <w:docPartBody>
        <w:p w:rsidR="00293296" w:rsidRDefault="00293296"/>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formatting="0" w:inkAnnotations="0"/>
  <w:defaultTabStop w:val="720"/>
  <w:characterSpacingControl w:val="doNotCompress"/>
  <w:compat>
    <w:useFELayout/>
  </w:compat>
  <w:rsids>
    <w:rsidRoot w:val="00E33B49"/>
    <w:rsid w:val="00055A0E"/>
    <w:rsid w:val="00293296"/>
    <w:rsid w:val="002C0662"/>
    <w:rsid w:val="00357F5F"/>
    <w:rsid w:val="00435742"/>
    <w:rsid w:val="00445D6A"/>
    <w:rsid w:val="00506104"/>
    <w:rsid w:val="00516E65"/>
    <w:rsid w:val="00522D8F"/>
    <w:rsid w:val="00640978"/>
    <w:rsid w:val="00661FAC"/>
    <w:rsid w:val="006F7D3B"/>
    <w:rsid w:val="0078735E"/>
    <w:rsid w:val="007B72D8"/>
    <w:rsid w:val="00813188"/>
    <w:rsid w:val="00D53743"/>
    <w:rsid w:val="00DB7EE6"/>
    <w:rsid w:val="00E33B49"/>
    <w:rsid w:val="00E3569A"/>
    <w:rsid w:val="00E75B84"/>
    <w:rsid w:val="00EC3493"/>
    <w:rsid w:val="00F9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AFF6063D545FBA0FA9C59E9F16B5F">
    <w:name w:val="43EAFF6063D545FBA0FA9C59E9F16B5F"/>
    <w:rsid w:val="00293296"/>
  </w:style>
  <w:style w:type="paragraph" w:customStyle="1" w:styleId="55965EA2EED1473A87BE00CC65EAA64A">
    <w:name w:val="55965EA2EED1473A87BE00CC65EAA64A"/>
    <w:rsid w:val="00293296"/>
  </w:style>
  <w:style w:type="character" w:styleId="PlaceholderText">
    <w:name w:val="Placeholder Text"/>
    <w:basedOn w:val="DefaultParagraphFont"/>
    <w:uiPriority w:val="99"/>
    <w:semiHidden/>
    <w:rsid w:val="00F977A4"/>
    <w:rPr>
      <w:color w:val="808080"/>
    </w:rPr>
  </w:style>
  <w:style w:type="paragraph" w:customStyle="1" w:styleId="30AB07441D25479E89435BB2B90B2ED4">
    <w:name w:val="30AB07441D25479E89435BB2B90B2ED4"/>
    <w:rsid w:val="00293296"/>
  </w:style>
  <w:style w:type="paragraph" w:customStyle="1" w:styleId="AF1C5C68200D4687822EE49830D1A7B8">
    <w:name w:val="AF1C5C68200D4687822EE49830D1A7B8"/>
    <w:rsid w:val="00293296"/>
  </w:style>
  <w:style w:type="paragraph" w:customStyle="1" w:styleId="C0DF12DD8198446AB46C651E1CBA1805">
    <w:name w:val="C0DF12DD8198446AB46C651E1CBA1805"/>
    <w:rsid w:val="00293296"/>
  </w:style>
  <w:style w:type="paragraph" w:customStyle="1" w:styleId="B7518DCD32BB4628B97858D05E391C0A">
    <w:name w:val="B7518DCD32BB4628B97858D05E391C0A"/>
    <w:rsid w:val="00293296"/>
  </w:style>
  <w:style w:type="paragraph" w:customStyle="1" w:styleId="05F89EA6D9164191B43FA7C131FE6ACD">
    <w:name w:val="05F89EA6D9164191B43FA7C131FE6ACD"/>
    <w:rsid w:val="00293296"/>
  </w:style>
  <w:style w:type="paragraph" w:customStyle="1" w:styleId="B7ECBE58446049D0878CDDA6E4869361">
    <w:name w:val="B7ECBE58446049D0878CDDA6E4869361"/>
    <w:rsid w:val="00293296"/>
  </w:style>
  <w:style w:type="paragraph" w:customStyle="1" w:styleId="728A6A44E2DA49F38FAFE71A60606125">
    <w:name w:val="728A6A44E2DA49F38FAFE71A60606125"/>
    <w:rsid w:val="00293296"/>
  </w:style>
  <w:style w:type="paragraph" w:customStyle="1" w:styleId="462A9CA2E85A4DE38674FE937F831E8A">
    <w:name w:val="462A9CA2E85A4DE38674FE937F831E8A"/>
    <w:rsid w:val="00293296"/>
  </w:style>
  <w:style w:type="paragraph" w:customStyle="1" w:styleId="FCC79C9F7FA9430F8774ABAE507EC92A">
    <w:name w:val="FCC79C9F7FA9430F8774ABAE507EC92A"/>
    <w:rsid w:val="00293296"/>
  </w:style>
  <w:style w:type="paragraph" w:customStyle="1" w:styleId="E5A7C0D86CA84973B1328320D82CDEB2">
    <w:name w:val="E5A7C0D86CA84973B1328320D82CDEB2"/>
    <w:rsid w:val="00293296"/>
  </w:style>
  <w:style w:type="paragraph" w:customStyle="1" w:styleId="F85EC9CA376C4464B5D90B27B6F73B83">
    <w:name w:val="F85EC9CA376C4464B5D90B27B6F73B83"/>
    <w:rsid w:val="00293296"/>
  </w:style>
  <w:style w:type="paragraph" w:customStyle="1" w:styleId="D0DFA3735BB4432CA024C1EADB43F382">
    <w:name w:val="D0DFA3735BB4432CA024C1EADB43F382"/>
    <w:rsid w:val="00293296"/>
  </w:style>
  <w:style w:type="paragraph" w:customStyle="1" w:styleId="EAE68AFBA90B4B6982D9E5DA926E5E4A">
    <w:name w:val="EAE68AFBA90B4B6982D9E5DA926E5E4A"/>
    <w:rsid w:val="00293296"/>
  </w:style>
  <w:style w:type="paragraph" w:customStyle="1" w:styleId="D2C5913B3BA64A89BBDE27A8303E5CC7">
    <w:name w:val="D2C5913B3BA64A89BBDE27A8303E5CC7"/>
    <w:rsid w:val="00293296"/>
  </w:style>
  <w:style w:type="paragraph" w:customStyle="1" w:styleId="3766906784654AF68BBC80EF165B11AB">
    <w:name w:val="3766906784654AF68BBC80EF165B11AB"/>
    <w:rsid w:val="00293296"/>
  </w:style>
  <w:style w:type="paragraph" w:customStyle="1" w:styleId="EC1650A0F53449299A0CBF363026B6EC">
    <w:name w:val="EC1650A0F53449299A0CBF363026B6EC"/>
    <w:rsid w:val="00293296"/>
  </w:style>
  <w:style w:type="paragraph" w:customStyle="1" w:styleId="29CADC8CCCB1442BAC56221CBADC5F08">
    <w:name w:val="29CADC8CCCB1442BAC56221CBADC5F08"/>
    <w:rsid w:val="00293296"/>
  </w:style>
  <w:style w:type="paragraph" w:customStyle="1" w:styleId="69B6E6028A7B47FD96E99750DE9DC426">
    <w:name w:val="69B6E6028A7B47FD96E99750DE9DC426"/>
    <w:rsid w:val="00293296"/>
  </w:style>
  <w:style w:type="paragraph" w:customStyle="1" w:styleId="29AE5F6E1EA4437D8EB3B82B488ED931">
    <w:name w:val="29AE5F6E1EA4437D8EB3B82B488ED931"/>
    <w:rsid w:val="00293296"/>
  </w:style>
  <w:style w:type="paragraph" w:customStyle="1" w:styleId="5C0DCD136415474990C2DB44EA786B89">
    <w:name w:val="5C0DCD136415474990C2DB44EA786B89"/>
    <w:rsid w:val="00293296"/>
  </w:style>
  <w:style w:type="paragraph" w:customStyle="1" w:styleId="1503936DC5084B3DB798AB7A21E2ACC9">
    <w:name w:val="1503936DC5084B3DB798AB7A21E2ACC9"/>
    <w:rsid w:val="00293296"/>
  </w:style>
  <w:style w:type="paragraph" w:customStyle="1" w:styleId="1ACCD6C9F22043C984E82AC03E5AC2F8">
    <w:name w:val="1ACCD6C9F22043C984E82AC03E5AC2F8"/>
    <w:rsid w:val="00293296"/>
  </w:style>
  <w:style w:type="paragraph" w:customStyle="1" w:styleId="CE29EB5580264A51A8C9A43DA4E8CAAA">
    <w:name w:val="CE29EB5580264A51A8C9A43DA4E8CAAA"/>
    <w:rsid w:val="00293296"/>
  </w:style>
  <w:style w:type="paragraph" w:customStyle="1" w:styleId="4EDF95E77E3B4A58B3A5718D6D80BE35">
    <w:name w:val="4EDF95E77E3B4A58B3A5718D6D80BE35"/>
    <w:rsid w:val="00293296"/>
  </w:style>
  <w:style w:type="paragraph" w:customStyle="1" w:styleId="BF0BACDD18354A478D2B44383F11BA63">
    <w:name w:val="BF0BACDD18354A478D2B44383F11BA63"/>
    <w:rsid w:val="00293296"/>
  </w:style>
  <w:style w:type="paragraph" w:customStyle="1" w:styleId="CFA658BAA7E74CB99013C107D610102F">
    <w:name w:val="CFA658BAA7E74CB99013C107D610102F"/>
    <w:rsid w:val="00293296"/>
  </w:style>
  <w:style w:type="paragraph" w:customStyle="1" w:styleId="19754F82CCFC4FE1BCE86D62CBA5B799">
    <w:name w:val="19754F82CCFC4FE1BCE86D62CBA5B799"/>
    <w:rsid w:val="00293296"/>
  </w:style>
  <w:style w:type="paragraph" w:customStyle="1" w:styleId="7BEBDC04ADFF4BC8AE0D1951F8FCE3C1">
    <w:name w:val="7BEBDC04ADFF4BC8AE0D1951F8FCE3C1"/>
    <w:rsid w:val="00293296"/>
  </w:style>
  <w:style w:type="paragraph" w:customStyle="1" w:styleId="2D7081046ED6490289FFAE55C2048BF1">
    <w:name w:val="2D7081046ED6490289FFAE55C2048BF1"/>
    <w:rsid w:val="002932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EquityIndustryNote</TemplateType>
  <PublicNote>False</PublicNote>
  <InsertAllFinancialsFired>False</InsertAllFinancialsFired>
  <DocumentId>1429840</DocumentId>
  <DocumentVersion>2</DocumentVersion>
  <SendEmail>True</SendEmail>
  <EmailRequiresApproval>True</EmailRequiresApproval>
  <EmailDistributionOnly>False</EmailDistributionOnly>
  <GPSDistributable>True</GPSDistributable>
  <InternalOnly>False</InternalOnly>
  <Language>1-0</Language>
  <NumberOfPages>15</NumberOfPages>
  <ReleaseDate>2014-06-30T23:15:00+00:00</ReleaseDate>
  <OriginalCreateDatetime>2014-06-19T06:12:37+00:00</OriginalCreateDatetime>
  <OriginalAuthor>1001817-1</OriginalAuthor>
  <RetractionDate/>
  <ApproveRelease>false</ApproveRelease>
  <SendToCompliance>false</SendToCompliance>
  <WorkflowState>0</WorkflowState>
  <SAApprove>false</SAApprove>
  <SAReviewed>false</SAReviewed>
  <SubmissionTool>GPS Author</SubmissionTool>
  <SubmittingUser>1002519-1</SubmittingUser>
  <FirstSubmittingUser>1004148-1</FirstSubmittingUser>
  <Title>The Property Ticker </Title>
  <SubTitle>St Modwen 1H14 results; Luxury brands need upgrading discount stores; More Great Rotation; Dutch offices...and more! </SubTitle>
  <Abstract>In today's ticker: St Modwen 1H14 results (+6% NAV growth - we believe there is more to go). Luxury brands need to upgrade discount stores, and Scottish Independence referendum is weighing on market activity. The Great Rotation continues with Benson Elliot and Stanhope to develop 210,000 sq ft office tower in Reading, Cordea Savills redevelops in Bracknell, and LaSalle to acquire a mall in Warrington for £141m. Also, M&amp;G buys a £47m business park in Maidenhead. SEGRO completes the €472m SELP acquisition, and Hibernia buys the Observatory Building in Dublin. Furthermore, Lone Star reportedly has bid for a €250-300m Dutch office portfolio from CBRE GI at ~12% yield, and Hansteen acquires a €106m Dutch logistics portfolio. Furthermore, don’t miss comments on Dutch Q2 office take-up, Paris, RICS, and much more! 
Thought for the day: (1) St Modwen is gearing further into the regional recovery with 1m sq ft of projects underway. (2) The Dutch housing market bouncing up; all 41 newly developed studios (24-49sqm) in the “The Waldo” apartment block in the Hague sold off in just two hours last Saturday. 
St Modwen – 1H-14 Results – Stepping On The Gas – More to Go: St Modwen reported strong 1H-14 results: EPRA NAV grew (+6% to 314p) and profit before all tax was up 32% to £51.3m (JPMe FY: £102m). However, we believe there is more to go. The group is gearing (further) into the regional commercial development recovery with 1m sq ft of projects underway while progressing their flagship scheme – New Covent Garden Market (on-site in 1H-15), seeing “excellent sales rates” in their residential projects, selling land ahead of book value, and taking (some) yield compression on the income producing portfolio. In our recent note, We buy the dips…and this is a dip, we stress tested St Modwen to the downside and see these results as (very) supportive of our OW stance. Please click here to read on.
Luxury Brands Need to Upgrade Discount Stores says Scott Malkin: According to Bloomberg, the Chairman of Value Retail Plc – Scott Malkin believes luxury goods companies are wrong to treat discount outlets as “dumping grounds” for surplus stock and the practice risks alienating shoppers. Mr Malkin added that luxury brands should provide a shopping experience in outlets that is comparable to their full-price stores… “the notion of what’s acceptable as an experience is shifting…we’ve reached a tipping point.” The shift comes as brands like Kering SA –owned Gucci prioritize refurbishing their full price stores amid slowing sales whereas sales in discounted (aka off-price sales) have surged 26% over the last year. Mr Malkin went further saying “The brands don’t treat the outlet stores with respect…many of them say just sell it and charge us as little as possible and send us the money.” Customers that are attracted to the likes of Bicester Village – Value Retail’s outlet near Oxford are price insensitive (as exemplified by the number of expensive chauffer driven cars that can be seen at the centre)…“you want the right relationship with those people.” Mr Malkin added that Value Retail will be able to keep growing “in a meaningful way” in Europe. (Source: Bloomberg)
Scottish Independence raises red flag for real estate investors: According to Bloomberg, Scotland’s lagging commercial property market (behind London) has developed another obstacle for investors – a potential breakup from the UK. Brokers and Investment managers are seeing the scheduled referendum weighing on the market… “clients are holding off on key decisions,” said Simon Light of EC Harris… “the element of uncertainty exists quite strongly and so people are just waiting.” Independence has “definitely come up on the radar screen of institutional investors…the consequence of it would be quite negative potentially for pricing in the Scottish market,” said Ben Stirling – Managing Director at Aviva. The best office buildings in Glasgow and Edinburgh are yielding c. 5.75%, unchanged over the last 5 years whereas in London yields have compressed to 3.75% in prime West End. According to Bloomberg, Derwent London and British Land both cited Scottish independence as risks for the market in recent Annual reports, whereas ICG-Longbow said UK commercial property funds are mostly limited to investing in their home country, independence may lead to them having to sell Scottish property holdings.(Source: Bloomberg).
Pushing Button – 210,000sq ft Speculative Reading Office Tower: In a sign supporting St Modwen’s increasingly positive view on more regional UK, Benson Elliot and Stanhope are to speculative develop a 210,000sq ft Reading office tower at its £500m Station Hill scheme in Reading. Construction has been committed to in Jun-15 should a pre-let have not emerged. Strutt &amp; Parker and Savills will be advising on the offices and will be seeking rents in the mid £30’s/sq ft. The building will be made up of 16 upper floors with typical floorplates of 14,000sq ft whereas the site also has consent for a further three major office buildings between 82,000sq ft and 300,000sq ft. Commenting, Savills said “occupier wise there is already a great and diverse tenant base in Reading, but we will also be targeting fringe London and West End tenants looking for scale and quality with great connectivity and benefit from cost savings. Reading’s position as a major hub with great connectively will also appeal to tenants from Birmingham through to Bristol and Cardiff as well as the South Coast.” (Source: CoStar).  
Bracknell office refurbishment sale in another sign of growing confidence: According to CoStar, Cordea Savills has acquired Greenwood House in Bracknell for a major office refurbishment. The vacant 70,451sq ft building was sold for £6.2m after being brought to the market earlier this yield with a price tag of &gt;£4m. The asset will now undergo major refurbishment to Grade A quality and will be ready for occupation in 1Q-15. Interestingly, there had been expectations for the asset to be sold and converted to residential. (Source: CoStar).   
Hibernia to buy Dublin’s Observatory Building: The Irish REIT Hibernia has exchanged contracts to acquire the Observatory Building in Dublin for €52.25m. The property is on the riverfront at Sir John Rogerson’s Quay in the South Docks area of Dublin and is immediately in front of the Hanover Building and Windmill Lane site, which Hibernia also recently bought. 
The Observatory Building was built in 2006 and comprises 86,213 sq ft of office space arranged over six floors. There are also eight partially-completed two bedroom apartment units of around 1,400 sq ft each and two vacant retail units totalling 2,059 sq ft.
The office space is more than 95% let to a range of tenants, including Riot Games and Publicis, at low average rents of €26/sq ft, with a weighted average period to break of four years and an average unexpired lease term of 11 years. More than 44% of the current rent roll has rent reviews during or before 2018 with 56% subject to review in 2019. 
Once the rent free periods expire, the building will generate a net yield of 4.1%. The purchase price reflects a capital value of €586/sq ft for the office space. 
Following the completion of this transaction, Hibernia will have concluded eight acquisitions since listing, committing €307m, over 82% of the net proceeds raised in December 2013. (Source: PropertyWeek) 
SEGRO completes €472m SELP acquisition: This morning, SEGRO confirmed it had completed the remaining €185m of the €472m portfolio acquisition within SEGRO SELP further to announcements dated 11-Feb and 30-May. As a result, the current contracted annualized net rental income associated with the assets completed is €11.6m taking the total to €31.6m. (Source: Company Press Release).
Brooke-Smith to be named first female RICS president: According to PropertyEU, Louise Brooke-Smith has been named as the first female president of RICS – the Royal Institution of Chartered Surveryors – its first in its 146 year history. (Source: PropertyEU).
Warrington Mall sells for £141m reflecting a 6.75% yield: According to CoStar, LaSalle has acquired Golden Square Shopping Centre in Warrington for £141m in a deal reflecting a yield of 6.75%. The 712,500sq ft scheme has 133 units and is anchored by the likes of Debenhams, Primark, Bhd and Boots. The centre benefits from footfall in excess of 12m p.a. and boasts a 1,700 space car park. (Source: CoStar). 
M&amp;G makes leap for £46.7m Quantum business park: M&amp;G Real Estate has bought Quantum Business Park in Maidenhead from Urban &amp; Civic for £46.7m. The off-market deal, which completed for a net initial yield of 6.7%, was made on behalf of the M&amp;G Property Portfolio.
Quantum Business Park comprises two grade A office buildings totalling 123,217 sq ft, multi-let to six tenants at a rent of £3.3m per annum. Occupiers include Biogen, Abbott Laboratories, Compuware and Seagate Technology. The scheme on Norden Road was completed by Terrace Hill in 2009.
This deal is the first since the completion of the Urban &amp; Civic’s reverse takeover of Terrace Hill, which developed Quantum in 2008. Terrace Hill own a 26% share of the JV, and will receive net cash of £3.7m after repayment of bank debt in the JV. The remaining 74% is owned by a Middle Eastern fund management by Marick Real Estate. Terrace Hill had previously fully marked down its investment in the JV. The deal should be seen in light of a significant increase in business activity in the South East, as well as the completion of Crossrail in 2018/2019. 
Rob Lane, Development Director of Terrace Hill, said: “The proceeds will allow further opportunity for our recently enlarged business to focus on new development-led opportunities in clearly identified sectors. The transaction is in line with our twin focus on commercial development and trading opportunities across Central London and the UK’s regions, combined with creating large-scale residential-led sites that benefit from strong transport links as well as robust local economies, and we look forward to announcing further transactions in due course.” (Source: CoStar). 
Dutch office take-up stable in Q2, but vacancy also up: Take-up in the Dutch office market has reached 243,249 sq m in Q2, which constitutes an increase of 16% (33,000 sq m) yoy. The increase can mainly be attributed to ING Bank using up half of its recently acquired 46,500 Cisco office in Amsterdam South-East.  The current available stock (excluding grey space) currently stands at 7.2m sq m. The available stock has increased 2% versus 3 months ago. (Source: Dynamis Real Estate Consultants and Agents, Vastgoedmarkt).
Lone Star reported to bid for €250-300m Dutch office portfolio: US private equity firm Lone Star reportedly is in talks with CBRE Gobal Investors on the acquisition of a sizeable Dutch office portfolio. 
The portfolio would consist of 29 office assets, valued at around €250-300m. Lone Star would have put in a bid reflecting 8x annual rent (gross yield 12.5%). The Dutch Office Fund of CBRE GI has €2bn of offices for sale. Last year, the fund sold €165m worth of offices to Blackstone. In September 2013, a €120m portfolio was sold to a JV consisting of OVG and Goldman Sachs. (Source: Vastgoedmarkt). 
Hansteen acquires €106m Dutch logistics portfolio: The Dutch logistics market continues to do well. Internos Global Investors has sold the HBI-portfolio to Hansteen Holdings. The transaction amount was €106m. The portfolio consists of 41 logistic assets with a combined surface of 370,000 sq m.  The portfolio will be managed from Hansteen’s existing office and Amsterdam and a newly opened office at Smart Business Park in Utrecht, one of the properties in the portfolio. The assets generate gross rental income of €15.4m, and the current vacancy rate is around 20%, which “provides a significant opportunity to add value”. Ian Watson, joint Chief Executive, said that the board is “confident we will see a large uplift at the next valuation”. (Source: Vastgoedmarkt, Company press release). 
Pramerica acquired 49/51 avenue George V in Paris:  Pramerica Real Estate Investors has acquired a mixed used building consisting of 5,265 sqm of office and retail space situated on 49/51 avenue George V. The building has 8 storeys, was fully renovated in 2007, and offers flexible spaces.
Jocelyn Verdelon, head of France, Spain and Portugal at Pramerica, said: “The 49/51 avenue George V combines quality commercial premises and spaces of modern and efficient office overlooking the Champs-Elysées. We believe that prime assets benefiting from prime locations have a high potential for reversion and provide, therefore, an attractive risk-return profile” (Source: Business Immo). 
Recent note: Property: We buy the dips... and this is a dip. Pick up Land Secs, British Land, St Modwen &amp; Quintain. The recent sell-off in the EPRA UK index presents an opportunity in our view and we would pick up Land Securities (19% upside), British Land (17% upside), St Modwen (25% upside) and Quintain (51% upside) at current levels. We flex our models and find we have to factor in very bearish assumptions to see downside from here (British Land: c.0% capital growth for ’14 and ‘15) while underlying property fundamentals remain strong (IPD since Mar-14: +1.9%) and our DCFs point to more capital growth (up to 19% over the next 12 months). We recommended buying the dips...this is a dip. To continue reading, please click here. 
Recent note: German Residential: Still our preferred play on the Continent: We buy ANN &amp; LEG ahead of probable ECB rate cut on 5-June. We continue to prefer German residential on the Continent and following a strong results period we upgrade PTs by 7-13% and reiterate our preference for Deutsche Annington and LEG. We would buy ahead of a probable ECB rate cut on 5-June (JPMe: 15bps) as we find German residential outperformed property peers (8.0%) and MSCI Europe (6.2%) around the time of the last 14 ECB rate cuts. We also point to the strong correlation between German residential outperformance and the 10-YR bund (-82%), which our strategists now expect to be 1.85% in Mar-15 (2.25%). To continue reading, please click here. 
Recent note: Intu Properties: Deep dive intu the issues: Downgrade to UW. Intu has a good shopping centre portfolio, an ambitious £1.2bn development pipeline, and the potential to boost further/create real destinations (e.g. branding and increasing F&amp;B exposure, though this is yet to be proven). However, given (1) the uncertainty around funding and timing of the pipeline, (2) expected negative LFL rental growth in 2014/15 (increased vacancy &amp; lease expiries), and (3) limited near term catalysts to drive a turnaround, we downgrade to UW (from N). We also cut our May-15 EVM-based PT to 305p (from 340p, -10%), having updated our model for FY13 results and the £500m rights issue. To continue reading, please click here. 
Recent note: Good things come in SMid packages... Following an active few months in the UK SMid property space, we update numbers and reiterate our preference for Quintain and St Modwen. In addition, we think there is more to come from Songbird (upgrade to OW) following strong FY results and we increase LondonMetric’s PT to 155p staying OW. We also update Derwent’s development pipeline and Great Portland NAVs due to higher capital growth but stay Neutral. Workspace continues to be our preferred London play and we upgrade our PT to 630p. We find it increasingly difficult to find value in the West End, with mild yield expansion in 16 &amp; 17 negating front loading in 14 &amp; 15. To continue reading, please click here. 
Recent initiation: Grand City: Take me down to the Paradise City where the upside is high as the units are empty: We initiated coverage of Grand City Properties, with an OW rating and 20% potential upside to our €9.75 price target. Grand City focuses on the acquisition and turning around of distressed portfolios with high vacancy (c30%) and poor cost control. The resulting rental income created drives FFO ps 4-yr CAGR of 12.8% and NAV ps 4-yr CAGR of 14.6%, while the stock currently trades on a 2015e P/FFO of 13x and P/NAV of 0.87x. Valuation looks compelling on these metrics and we see five reasons to buy. For more please click here.
Recent note: British Land: Upgrading to OW... but care needed... property yields move out before rents peak. We think the strong IPD capital growth since end-Sept (All Property +5.4% to Mar-14) raises the prospect of full-year NAV surprises in the UK. We increase capital growth for British Land to 5.7% (2.9%) taking our PT to 740p (680p, +9%) offering 13% total return and upgrade to OW. Our new Mar-14E NAV is 668p (638p, +5%) although we see potential for up to 692p. We think the UK sector will remain supported given an improving rental outlook and capital flows although care is needed: in the 90’s and 00’s property yields moved out 15 &amp; 11 months before rents peaked and rental growth didn’t save the sector. To continue reading, please click here. 
Recent note: Wereldhave: Investor day takeaways, active asset management continues. Wereldhave hosted an investor day in Amsterdam, which included management presentations and visits to three shopping centres. Our takeaways: (1) Management has active plans across all the Dutch centres (€80m capex at 5.9% yield), including re-tenanting, re-routing/unit amalgamation, upgrading, and adding Food &amp; Leisure, (2) the Dutch retail environment remains tough, but there are some small signs of improvement (we remain cautious), (3) Recent acquisition Vier Meren in Hoofdorp (from Unibail) is a good asset in our view, (4) It will be tricky to find further attractive acquisition opportunities. Overall, we see the company as being one to watch, but we remain Neutral for now, relative upside and limited near-term catalysts. To continue reading, please click here.
Recent note: Property: Dining out on European Retail. European retail property companies are responding to demand for an enhanced Leisure experience in shopping centres. Compared to the newest malls being opened, where c. 20-25% of space is Food &amp; Leisure, listed portfolios are generally undersupplied (average: 10%), but this is being addressed in the development pipelines. The current leaders are Land Secs (14% of portfolio) and Unibail (15-20%), while Intu and Hammerson are adding the most F&amp;L space (+80% increase in F&amp;L space). We find adding F&amp;L space can boost footfall, dwell times and retail spend, and we expect this trend to continue. To continue reading, please click here.
Recent note: UK Property: Feeling Gilty... but fall in bond yields not enough to upgrade outlook. In our view, the trend for UK rates is upwards, despite the YTD move. We flex our models, pricing in the current Gilt (270bps) and find the UK offers ‘just’ 11% upside to valuations in this scenario. The risk-return profile for the UK appears to be deteriorating given: 1) expectations for the 10-yr Gilt to reach 370bps by Dec-14 (+100bps over 9 months); 2) lacklustre share price reactions to stellar results; and 3) the correlation of the current recovery with that in the 90’s, which points to a correction. Although momentum is to the upside, we wouldn’t be aggressively buying the sector here, waiting for a pull back while we continue to prefer SMIDs – Quintain &amp; St Modwen – which we note offer more upside &amp; outperform large caps in a rising yield environment. To continue reading, please click here. 
Recent note: Quintain Estates &amp; Development: Last chance to get your ticket to Wembley. We revisit our original analysis on the potential selling price of Wembley based on 1) local borough average flat prices; and 2) the average premium of new build over existing flats around London. We find that the average asking price in Wembley’s surrounding postcodes has increased by 12.2% since January 2013; however, the premium of new over existing stock has increased from 28% to 44%. Conservatively taking the previous premium for new builds with the new postcode average, we come to a selling price today of £535 psf. We also see an opportunity for Private Rented Sector development that could be worth 5p ps by 2015. We upgrade our NAV profile and January 2015 price target from 110p to 130, giving 25% potential upside. To continue reading, please click here. 
Recent note: European Property: 2014 Conference takeaways: Running with the bulls. We hosted two property tours in London and our (biggest ever) annual conference. We noted that optimism is no longer confined to core markets, and across Europe both occupational and investor sentiment is the most bullish for years. This note summarises our conference highlights including: 1) total return expectations from CEOs and investors seem optimistic to us; 2) however, a wave of capital is bearing down on European property in 2014; and 3) London offices are in delivery phase, next comes de-risking. A sense of bullishness was in the air; however, so was caution. Our favourite quote? “Who is going to buy from you so you can realise your 15% IRR?” To continue reading, please click here. 
Recent note: Total returns to slow in 2014 but still plenty to go for. We continue the Great Rotation theme in 2014, with UK prime property facing rising bond yields while UK secondary and the continent appear set to benefit from improving GDP growth. We upgrade price targets by an average of 8%, largely due to increased rental growth forecasts, for 7% sector upside potential and note a deteriorating risk/return profile in 2014. We remain constructive, however, and see reasons to be positive including: 1) Top Picks offer 13% upside potential, 2) good secondary UK entering the sweet spot, 3) the yield spread remains supportive, 4) UK GDP growth being revised upwards, 5) we would buy the dips to improve IRR, and 6) the sector we see poised for greatest improvement in 2014 – UK retail. 
Recent note: Property: 2014: The Great Rotation gathers pace, clear winners in the sector. The UK has been the star performer in the European property sector year-to-date with a total return of +22% versus the continent +1%. However, we find the listed sector well bid with an expected better entry point over the next 18 months, and see 2014 annual returns for the sector lower vs. 2013. In November, when we had c.5% upside for the sector, we saw the sector as increasingly unattractive, and we welcome the pull back into the year end. Our sector upside is c. 10% today, and, while this could rise further if bond yields remain at current levels, we are starting to push boundaries. However, there will still be clear winners: in the UK, we remain Overweight higher yielding good secondary retail and industrial property, and peripheral London over prime West End, and focus on specialists, like LondonMetric, Big Yellow, St. Modwen, Workspace, etc. So, what will 2014 look like? Below we look back on 2013 in a light-hearted way and give you our current thoughts. We hope you enjoy our year-end note. 
Recent note: Property: Survey indicates Rotation theme gaining traction – More to come. The Rotation theme is gaining traction, as our survey of 149 property players shows that the majority (65%) see secondary outperforming prime in the UK (a major shift from this time last year), 50% expect the West End to perform in-line at best, and participants see UK industrial &amp; secondary UK retail outperforming. In addition, UK capital growth expectations have significantly improved vs. last year, the Netherlands now have the worst prospects (prev. Spain), the current (UK) results should be positive (so far so good), appetite for risk has increased (we also move slightly up the risk curve), and IPOs/M&amp;A remain on the cards (we agree). 
Recent note: Out-of-the-box research: 3D Printing – A trend to watch. Since our futuristic Beam me up, Property! note in March, several other reports on this topic have been written (e.g. JLL). We investigated 3D printing (3DP) further: we visited an exhibition “The Future is Here”, met with 3DP entrepreneur Sylvain Preumont and went to his 3DP shop iMakr, and conclude: 3DP is a trend to watch. Near term, the impact is limited (maybe even over-hyped), but mall operators should lure 3DP store tenants and focus even more on leisure/experience, as 3DP may lead to a high street revival. It will also be positive for London office take-up (TMT), but challenging for logistics (LT). 
2013 PROPERTY HANDBOOK! The Great Rotation. We are pleased to present our 7th handbook. Since Mar-09, the EPRA Europe has returned 163% (UK 187%). We see 15% potential upside after the recent retreat, but expect underlying momentum to slow. Investment themes have been: prime vs. secondary, sell Spain and continental retail vs. UK. It is time to rotate to the other side of the trade. We like exposure to infrastructure projects, industrial and Spanish and Dublin offices, but expect the West End magic to fade in 12m. Over-renting remains an issue and corporate governance matters. 
Don’t have time to read all 460 pages of our European Property Handbook? Sit back and listen to our 5 minute audio-visual presentation: http://jpmorgan-eu.adobeconnect.com/thegreatrotation/
Quote of the day: “And that’s the way it is.” (Walter Cronkite) 
View our Bloomberg pages. Type JPMA &lt;GO&gt; to find and download J.P. Morgan research from Bloomberg
</Abstract>
  <Filename>The_Property_Ticker_010714[1].docx</Filename>
  <Branding>Cazenove</Branding>
  <Focus>5-0</Focus>
  <Periodicity/>
  <Publication/>
  <BusinessGroupDocument>8-0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Company>
      <Key>1000596-1</Key>
      <Cover>nonsubject</Cover>
      <Tagging>Dynamic</Tagging>
      <Tpr>1000596-1</Tpr>
      <StockPrice>0.65</StockPrice>
      <PriceDate>2014-06-26 00:00</PriceDate>
      <EquityRating>38-0</EquityRating>
      <TprPriceFormat>#,###,##0.00</TprPriceFormat>
      <TprPriceSymbol>€</TprPriceSymbol>
      <TprPriceTarget>0.60</TprPriceTarget>
      <TprPriorRating>38-0</TprPriorRating>
      <TprPricePrefix>True</TprPricePrefix>
      <TprPriceTargetAction/>
      <TprRatingChangeAction/>
      <TprPriorPriceTarget>0.60</TprPriorPriceTarget>
      <TprMarketCap>1.25</TprMarketCap>
      <TprPriceTargetEndDate>2015-01-31 00:00</TprPriceTargetEndDate>
      <TprPriorPriceTargetEndDate>2015-01-31 00:00</TprPriorPriceTargetEndDate>
      <TprFlag>True</TprFlag>
      <Important>Equity</Important>
      <Chart>True</Chart>
      <Disclosure>False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1001089-1</Key>
      <Cover>nonsubject</Cover>
      <Tagging>Dynamic</Tagging>
      <Tpr>1001089-1</Tpr>
      <StockPrice>359</StockPrice>
      <PriceDate>2014-06-30 00:00</PriceDate>
      <EquityRating>38-0</EquityRating>
      <TprPriceFormat>#,###,##0</TprPriceFormat>
      <TprPriceSymbol>p</TprPriceSymbol>
      <TprPriceTarget>425</TprPriceTarget>
      <TprPriorRating>38-0</TprPriorRating>
      <TprPricePrefix>False</TprPricePrefix>
      <TprPriceTargetAction/>
      <TprRatingChangeAction/>
      <TprPriorPriceTarget>425</TprPriorPriceTarget>
      <TprMarketCap>0.79</TprMarketCap>
      <TprPriceTargetEndDate>2015-04-30 00:00</TprPriceTargetEndDate>
      <TprPriorPriceTargetEndDate>2015-04-30 00:00</TprPriorPriceTargetEndDate>
      <TprFlag>True</TprFlag>
      <Important>Equity</Important>
      <Chart>True</Chart>
      <Disclosure>True</Disclosure>
      <IsSubject>False</IsSubject>
      <AVRSelected>False</AVRSelected>
      <Restricted>False</Restricted>
      <RestrictedLite>False</RestrictedLite>
      <Intraday>False</Intraday>
      <AflList>True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424-1</Key>
      <Cover>nonsubject</Cover>
      <Tagging>Dynamic</Tagging>
      <Tpr>424-1</Tpr>
      <StockPrice>345</StockPrice>
      <PriceDate>2014-06-30 00:00</PriceDate>
      <EquityRating>38-0</EquityRating>
      <TprPriceFormat>#,###,##0</TprPriceFormat>
      <TprPriceSymbol>p</TprPriceSymbol>
      <TprPriceTarget>370</TprPriceTarget>
      <TprPriorRating>38-0</TprPriorRating>
      <TprPricePrefix>False</TprPricePrefix>
      <TprPriceTargetAction/>
      <TprRatingChangeAction/>
      <TprPriorPriceTarget>370</TprPriorPriceTarget>
      <TprMarketCap>2.56</TprMarketCap>
      <TprPriceTargetEndDate>2015-01-31 00:00</TprPriceTargetEndDate>
      <TprPriorPriceTargetEndDate>2015-01-31 00:00</TprPriorPriceTargetEndDate>
      <TprFlag>True</TprFlag>
      <Important>Equity</Important>
      <Chart>True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ies>
  <Analysts>
    <Analyst>
      <Key>1001358-1</Key>
      <Lead>lead</Lead>
      <Tagging>Static</Tagging>
      <BusinessGroup>8-0</BusinessGroup>
      <AC>CoverAutomatic</AC>
      <BBGPageCode>
        <Status>AutomaticON</Status>
        <IsRendered>True</IsRendered>
        <Value>JPMA LECKIE &lt;GO&gt;</Value>
      </BBGPageCode>
      <EquityCoverage>True</EquityCoverage>
      <LegalEntity>JPMSL</LegalEntity>
      <AnalystGroupKey>576229727-1001817</AnalystGroupKey>
      <AnalystGroupName>European Property</AnalystGroupName>
    </Analyst>
    <Analyst>
      <Key>1002723-1</Key>
      <Lead>secondary</Lead>
      <Tagging>Static</Tagging>
      <BusinessGroup>8-0</BusinessGroup>
      <AC>None</AC>
      <BBGPageCode>
        <Status>AutomaticOFF</Status>
        <IsRendered>False</IsRendered>
        <Value>JPMA GREEN &lt;GO&gt;</Value>
      </BBGPageCode>
      <EquityCoverage>False</EquityCoverage>
      <LegalEntity>JPMSL</LegalEntity>
      <AnalystGroupKey>576229727-1001817</AnalystGroupKey>
      <AnalystGroupName>European Property</AnalystGroupName>
    </Analyst>
    <Analyst>
      <Key>1004148-1</Key>
      <Lead>secondary</Lead>
      <Tagging>Static</Tagging>
      <BusinessGroup>8-0</BusinessGroup>
      <AC>None</AC>
      <BBGPageCode>
        <Status>AutomaticOFF</Status>
        <IsRendered>False</IsRendered>
        <Value> </Value>
      </BBGPageCode>
      <EquityCoverage>False</EquityCoverage>
      <LegalEntity>JPMSL</LegalEntity>
      <AnalystGroupKey>576229727-1001817</AnalystGroupKey>
      <AnalystGroupName>European Property</AnalystGroupName>
    </Analyst>
    <Analyst>
      <Key>1001817-1</Key>
      <Lead>secondary</Lead>
      <Tagging>Static</Tagging>
      <BusinessGroup>8-0</BusinessGroup>
      <AC>None</AC>
      <BBGPageCode>
        <Status>AutomaticOFF</Status>
        <IsRendered>False</IsRendered>
        <Value>JPMA VERMEULEN &lt;GO&gt;</Value>
      </BBGPageCode>
      <EquityCoverage>False</EquityCoverage>
      <LegalEntity>JPMSL</LegalEntity>
      <AnalystGroupKey>576229727-1001817</AnalystGroupKey>
      <AnalystGroupName>European Property</AnalystGroupName>
    </Analyst>
    <Analyst>
      <Key>1002784-1</Key>
      <Lead>secondary</Lead>
      <Tagging>Static</Tagging>
      <BusinessGroup>6-0</BusinessGroup>
      <AC>None</AC>
      <BBGPageCode>
        <Status>AutomaticOFF</Status>
        <IsRendered>False</IsRendered>
        <Value/>
      </BBGPageCode>
      <EquityCoverage>False</EquityCoverage>
      <LegalEntity>JPMSL</LegalEntity>
      <AnalystGroupKey>1-1</AnalystGroupKey>
      <AnalystGroupName>For Specialist Sales advice, please contact:</AnalystGroupName>
    </Analyst>
  </Analysts>
  <TaggedAnalysts/>
  <Regions>
    <Region>
      <Key>1-0</Key>
      <Tagging>Static</Tagging>
    </Region>
  </Regions>
  <Countries>
    <Country>
      <Key>31-0</Key>
      <Tagging>Dynamic</Tagging>
      <IsSubject>False</IsSubject>
    </Country>
    <Country>
      <Key>30-0</Key>
      <Tagging>Dynamic</Tagging>
      <IsSubject>False</IsSubject>
    </Country>
    <Country>
      <Key>22-0</Key>
      <Tagging>Dynamic</Tagging>
      <IsSubject>False</IsSubject>
    </Country>
    <Country>
      <Key>52-0</Key>
      <Tagging>Dynamic</Tagging>
      <IsSubject>False</IsSubject>
    </Country>
    <Country>
      <Key>62-0</Key>
      <Tagging>Dynamic</Tagging>
      <IsSubject>False</IsSubject>
    </Country>
    <Country>
      <Key>27-0</Key>
      <Tagging>Dynamic</Tagging>
      <IsSubject>False</IsSubject>
    </Country>
    <Country>
      <Key>42-0</Key>
      <Tagging>Dynamic</Tagging>
      <IsSubject>False</IsSubject>
    </Country>
  </Countries>
  <AssetClasses>
    <AssetClass>
      <Key>1-0</Key>
      <Tagging>Dynamic</Tagging>
    </AssetClass>
  </AssetClasses>
  <AssetTypes>
    <AssetType>
      <Key>1-0</Key>
      <Tagging>Dynamic</Tagging>
    </AssetType>
  </AssetTypes>
  <DistributionTargets>
    <DistributionTarget>
      <Key>7-0</Key>
    </DistributionTarget>
    <DistributionTarget>
      <Key>27-0</Key>
    </DistributionTarget>
    <DistributionTarget>
      <Key>25-0</Key>
    </DistributionTarget>
    <DistributionTarget>
      <Key>18-0</Key>
    </DistributionTarget>
    <DistributionTarget>
      <Key>42-0</Key>
    </DistributionTarget>
    <DistributionTarget>
      <Key>16-0</Key>
    </DistributionTarget>
    <DistributionTarget>
      <Key>28-0</Key>
    </DistributionTarget>
    <DistributionTarget>
      <Key>15-0</Key>
    </DistributionTarget>
    <DistributionTarget>
      <Key>39-0</Key>
    </DistributionTarget>
    <DistributionTarget>
      <Key>43-0</Key>
    </DistributionTarget>
    <DistributionTarget>
      <Key>50-0</Key>
    </DistributionTarget>
    <DistributionTarget>
      <Key>46-0</Key>
    </DistributionTarget>
    <DistributionTarget>
      <Key>41-0</Key>
    </DistributionTarget>
  </DistributionTargets>
  <AudienceEntitlements>
    <AudienceEntitlement>
      <Key>3-0</Key>
    </AudienceEntitlement>
    <AudienceEntitlement>
      <Key>2-0</Key>
    </AudienceEntitlement>
    <AudienceEntitlement>
      <Key>4-0</Key>
    </AudienceEntitlement>
    <AudienceEntitlement>
      <Key>5-0</Key>
    </AudienceEntitlement>
    <AudienceEntitlement>
      <Key>1-0</Key>
    </AudienceEntitlement>
  </AudienceEntitlements>
  <Contains144ASecurityContent>False</Contains144ASecurityContent>
  <Industries>
    <Industry>
      <Key>30-0</Key>
      <Tagging>Static</Tagging>
      <IsSubject>True</IsSubject>
    </Industry>
    <Industry>
      <Key>261-0</Key>
      <Tagging>Static</Tagging>
      <IsSubject>True</IsSubject>
    </Industry>
  </Industries>
  <Keywords>
    <Keyword>
      <Key>6-0</Key>
      <Tagging>Dynamic</Tagging>
    </Keyword>
  </Keywords>
  <MarketStrategies/>
  <Subjects/>
  <Email>
    <EmailSubject>The Property Ticker  : St Modwen 1H14 results; Luxury brands need upgrading discount stores; More Great Rotation; Dutch offices...and more! </EmailSubject>
    <ReplyAddress>timothy.leckie@jpmorgan.com</ReplyAddress>
    <ReplyAddressDisplay>Tim Leckie &lt;timothy.leckie@jpmorgan.com&gt;</ReplyAddressDisplay>
    <FromAddress>timothy.leckie@jpmorgan.com</FromAddress>
    <FromAddressDisplay>Tim Leckie - JPMorgan Property &lt;timothy.leckie@jpmorgan.com&gt;</FromAddressDisplay>
    <IntroductionText/>
    <Personalization>None</Personalization>
    <EmailStyle>Cazenove</EmailStyle>
    <DeliveryDate>2014-07-01T07:58:10+00:00</DeliveryDate>
    <PasswordProtect>False</PasswordProtect>
    <HasSubjectChanged>False</HasSubjectChanged>
    <HasFromAddressDisplayChanged>True</HasFromAddressDisplayChanged>
    <EmailLists>
      <EmailList name="Leckie, Timothy - Daily Only" short="Daily_Only">4391-0</EmailList>
      <EmailList name="Leckie, Timothy - EQU EURO Property - EXTERNAL CLIENTS" short="EQU_EURO_Property__EXTER">227-0</EmailList>
      <EmailList name="Leckie, Timothy - EQU EURO Property - INDUSTRY CONTACTS" short="EQU_EURO_Property__INDUS">3169-0</EmailList>
      <EmailList name="Leckie, Timothy - EQU EURO Property - INTERNAL" short="EQU_EURO_Property__INTER">3171-0</EmailList>
      <EmailList name="Leckie, Timothy - Property - UK Only" short="Property__UK_Only">4191-0</EmailList>
      <EmailList name="Leckie, Timothy - REAL ESTATE (Cazenove list previously under Miranda Cockburn)" short="REAL_ESTATE_Cazenove_lis">3744-0</EmailList>
      <EmailList name="Leckie, Timothy - SA:  Property - Local" short="SA__Property__Local">4383-0</EmailList>
    </EmailLists>
  </Email>
  <Comments>
    <Public/>
    <Private/>
    <LockedDisclosures>False</LockedDisclosures>
    <LockedDisclosureDate>2014-07-01T09:06:02+01:00</LockedDisclosureDate>
    <LockedDisclosureSA/>
    <UpdateDisclosures>True</UpdateDisclosures>
    <EmailContact>False</EmailContact>
    <PhoneContact>True</PhoneContact>
    <EmailFreetext>john.burke@jpmorgan.com</EmailFreetext>
    <PhoneFreetext>(44-20) 7134-5928</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Banner>
      <DisclosureClause>
        <Id>1</Id>
        <Name>None</Name>
        <Text/>
      </DisclosureClause>
    </Page1Banner>
    <Page1Banner>
      <DisclosureClause>
        <Id>1</Id>
        <Name>None</Name>
        <Text/>
      </DisclosureClause>
    </Page1Banner>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In today's ticker: St Modwen 1H14 results (+6% NAV growth - we believe there is more to go). Luxury brands need to upgrade discount stores, and Scottish Independence referendum is weighing on market activity. The Great Rotation continues with Benson Elliot and Stanhope to develop 210,000 sq ft office tower in Reading, Cordea Savills redevelops in Bracknell, and LaSalle to acquire a mall in Warrington for £141m. Also, M&amp;G buys a £47m business park in Maidenhead. SEGRO completes the €472m SELP acquisition, and Hibernia buys the Observatory Building in Dublin. Furthermore, Lone Star reportedly has bid for a €250-300m Dutch office portfolio from CBRE GI at ~12% yield, and Hansteen acquires a €106m Dutch logistics portfolio. Furthermore, don’t miss comments on Dutch Q2 office take-up, Paris, RICS, and much more! </PlainText>
      <HtmlText><![CDATA[In today's ticker: St Modwen 1H14 results (+6% NAV growth - we believe there is more to go). Luxury brands need to upgrade discount stores, and Scottish Independence referendum is weighing on market activity. <i>The Great Rotation </i>continues with Benson Elliot and Stanhope to develop 210,000 sq ft office tower in Reading, Cordea Savills redevelops in Bracknell, and LaSalle to acquire a mall in Warrington for £141m. Also, M&G buys a £47m business park in Maidenhead. SEGRO completes the €472m SELP acquisition, and Hibernia buys the Observatory Building in Dublin. Furthermore, Lone Star reportedly has bid for a €250-300m Dutch office portfolio from CBRE GI at ~12% yield, and Hansteen acquires a €106m Dutch logistics portfolio. Furthermore, don’t miss comments on Dutch Q2 office take-up, Paris, RICS, and much more! ]]></HtmlText>
      <BulletVisual>False</BulletVisual>
    </Bullet>
    <Bullet>
      <TagName>FRONT_PAGE_BULLET_P2</TagName>
      <PlainText>Thought for the day: (1) St Modwen is gearing further into the regional recovery with 1m sq ft of projects underway. (2) The Dutch housing market bouncing up; all 41 newly developed studios (24-49sqm) in the “The Waldo” apartment block in the Hague sold off in just two hours last Saturday. </PlainText>
      <HtmlText><![CDATA[<b>Thought for the day:</b> <b>(</b><b>1)</b> St Modwen is gearing further into the regional recovery with 1m sq ft of projects underway. <b>(2)</b> The Dutch housing market bouncing up; all 41 newly developed studios (24-49sqm) in the “The Waldo” apartment block in the Hague sold off in just two hours last Saturday. ]]></HtmlText>
      <BulletVisual>True</BulletVisual>
    </Bullet>
    <Bullet>
      <TagName>FRONT_PAGE_BULLET_P3</TagName>
      <PlainText>St Modwen – 1H-14 Results – Stepping On The Gas – More to Go: St Modwen reported strong 1H-14 results: EPRA NAV grew (+6% to 314p) and profit before all tax was up 32% to £51.3m (JPMe FY: £102m). However, we believe there is more to go. The group is gearing (further) into the regional commercial development recovery with 1m sq ft of projects underway while progressing their flagship scheme – New Covent Garden Market (on-site in 1H-15), seeing “excellent sales rates” in their residential projects, selling land ahead of book value, and taking (some) yield compression on the income producing portfolio. In our recent note, We buy the dips…and this is a dip, we stress tested St Modwen to the downside and see these results as (very) supportive of our OW stance. Please click here to read on.</PlainText>
      <HtmlText><![CDATA[<b>St Modwen – 1H-14 Results – Stepping On The Gas – More to Go:</b> St Modwen reported strong 1H-14 results: EPRA NAV grew (+6% to 314p) and profit before all tax was up 32% to £51.3m (JPMe FY: £102m). <u>However, we believe there is more to go</u>. The group is gearing (further) into the regional commercial development recovery with 1m sq ft of projects underway while progressing their flagship scheme – New Covent Garden Market (on-site in 1H-15), seeing <i>“excellent sales rates”</i> in their residential projects, selling land ahead of book value, and taking (some) yield compression on the income producing portfolio. In our recent note, <a href='http://emaillink.jpmorgan.com/t/AQ/AAUnIw/AApMbg/UXwHDw/Dg/AELIhA/AQ/MF8h' target='\_blank\'>We buy the dips…and this is a dip</a>, we stress tested St Modwen to the downside and see these results as (very) supportive of our OW stance. Please <a href='https://markets.jpmorgan.com/research/email/7vun3udu/GPS-1429283-0.pdf' target='\_blank\'>click here</a> to read on.]]></HtmlText>
      <BulletVisual>True</BulletVisual>
    </Bullet>
    <Bullet>
      <TagName>FRONT_PAGE_BULLET_P4</TagName>
      <PlainText>Luxury Brands Need to Upgrade Discount Stores says Scott Malkin: According to Bloomberg, the Chairman of Value Retail Plc – Scott Malkin believes luxury goods companies are wrong to treat discount outlets as “dumping grounds” for surplus stock and the practice risks alienating shoppers. Mr Malkin added that luxury brands should provide a shopping experience in outlets that is comparable to their full-price stores… “the notion of what’s acceptable as an experience is shifting…we’ve reached a tipping point.” The shift comes as brands like Kering SA –owned Gucci prioritize refurbishing their full price stores amid slowing sales whereas sales in discounted (aka off-price sales) have surged 26% over the last year. Mr Malkin went further saying “The brands don’t treat the outlet stores with respect…many of them say just sell it and charge us as little as possible and send us the money.” Customers that are attracted to the likes of Bicester Village – Value Retail’s outlet near Oxford are price insensitive (as exemplified by the number of expensive chauffer driven cars that can be seen at the centre)…“you want the right relationship with those people.” Mr Malkin added that Value Retail will be able to keep growing “in a meaningful way” in Europe. (Source: Bloomberg)</PlainText>
      <HtmlText><![CDATA[<b>Luxury Brands Need to Upgrade Discount Stores says Scott Malkin: </b>According to Bloomberg, the Chairman of Value Retail Plc – Scott Malkin believes luxury goods companies are wrong to treat discount outlets as <i>“dumping grounds”</i> for surplus stock and the practice risks alienating shoppers. Mr Malkin added that luxury brands should provide a shopping experience in outlets that is comparable to their full-price stores… <i>“the notion of what’s acceptable as an experience is shifting…we’ve reached a tipping point.” </i>The shift comes as brands like Kering SA –owned Gucci prioritize refurbishing their full price stores amid slowing sales whereas sales in discounted (aka off-price sales) have surged 26% over the last year. Mr Malkin went further saying <i>“The brands don’t treat the outlet stores with respect…many of them say just sell it and charge us as little as possible and send us the money.” </i>Customers that are attracted to the likes of Bicester Village – Value Retail’s outlet near Oxford are price insensitive (as exemplified by the number of expensive chauffer driven cars that can be seen at the centre)…<i>“you want the right relationship with those people.” </i>Mr Malkin added that Value Retail will be able to keep growing <i>“in a meaningful way” </i>in Europe. (Source: Bloomberg)]]></HtmlText>
      <BulletVisual>True</BulletVisual>
    </Bullet>
    <Bullet>
      <TagName>FRONT_PAGE_BULLET_P5</TagName>
      <PlainText>Scottish Independence raises red flag for real estate investors: According to Bloomberg, Scotland’s lagging commercial property market (behind London) has developed another obstacle for investors – a potential breakup from the UK. Brokers and Investment managers are seeing the scheduled referendum weighing on the market… “clients are holding off on key decisions,” said Simon Light of EC Harris… “the element of uncertainty exists quite strongly and so people are just waiting.” Independence has “definitely come up on the radar screen of institutional investors…the consequence of it would be quite negative potentially for pricing in the Scottish market,” said Ben Stirling – Managing Director at Aviva. The best office buildings in Glasgow and Edinburgh are yielding c. 5.75%, unchanged over the last 5 years whereas in London yields have compressed to 3.75% in prime West End. According to Bloomberg, Derwent London and British Land both cited Scottish independence as risks for the market in recent Annual reports, whereas ICG-Longbow said UK commercial property funds are mostly limited to investing in their home country, independence may lead to them having to sell Scottish property holdings.(Source: Bloomberg).</PlainText>
      <HtmlText><![CDATA[<b>Scottish Independence raises red flag for real estate investors: </b>According to Bloomberg, Scotland’s lagging commercial property market (behind London) has developed another obstacle for investors – a potential breakup from the UK. Brokers and Investment managers are seeing the scheduled referendum weighing on the market… <i>“clients are holding off on key decisions,” </i>said Simon Light of EC Harris… <i>“the element of uncertainty exists quite strongly and so people are just waiting.” </i>Independence has <i>“definitely come up on the radar screen of institutional investors…the consequence of it would be quite negative potentially for pricing in the Scottish market,” </i>said Ben Stirling – Managing Director at Aviva. The best office buildings in Glasgow and Edinburgh are yielding c. 5.75%, unchanged over the last 5 years whereas in London yields have compressed to 3.75% in prime West End. According to Bloomberg, Derwent London and British Land both cited Scottish independence as risks for the market in recent Annual reports, whereas ICG-Longbow said UK commercial property funds are mostly limited to investing in their home country, independence may lead to them having to sell Scottish property holdings.(Source: Bloomberg).]]></HtmlText>
      <BulletVisual>True</BulletVisual>
    </Bullet>
    <Bullet>
      <TagName>FRONT_PAGE_BULLET_P6</TagName>
      <PlainText>Pushing Button – 210,000sq ft Speculative Reading Office Tower: In a sign supporting St Modwen’s increasingly positive view on more regional UK, Benson Elliot and Stanhope are to speculative develop a 210,000sq ft Reading office tower at its £500m Station Hill scheme in Reading. Construction has been committed to in Jun-15 should a pre-let have not emerged. Strutt &amp; Parker and Savills will be advising on the offices and will be seeking rents in the mid £30’s/sq ft. The building will be made up of 16 upper floors with typical floorplates of 14,000sq ft whereas the site also has consent for a further three major office buildings between 82,000sq ft and 300,000sq ft. Commenting, Savills said “occupier wise there is already a great and diverse tenant base in Reading, but we will also be targeting fringe London and West End tenants looking for scale and quality with great connectivity and benefit from cost savings. Reading’s position as a major hub with great connectively will also appeal to tenants from Birmingham through to Bristol and Cardiff as well as the South Coast.” (Source: CoStar).  </PlainText>
      <HtmlText><![CDATA[<b>Pushing Button – 210,000sq ft Speculative Reading Office Tower: </b>In a sign supporting St Modwen’s increasingly positive view on more regional UK, Benson Elliot and Stanhope are to speculative develop a 210,000sq ft Reading office tower at its £500m Station Hill scheme in Reading. Construction has been committed to in Jun-15 should a pre-let have not emerged. Strutt & Parker and Savills will be advising on the offices and will be seeking rents in the mid £30’s/sq ft. The building will be made up of 16 upper floors with typical floorplates of 14,000sq ft whereas the site also has consent for a further three major office buildings between 82,000sq ft and 300,000sq ft. Commenting, Savills said <i>“occupier wise there is already a great and diverse tenant base in Reading, but we will also be targeting fringe London and West End tenants looking for scale and quality with great connectivity and benefit from cost savings. Reading’s position as a major hub with great connectively will also appeal to tenants from Birmingham through to Bristol and Cardiff as well as the South Coast.”</i> (Source: CoStar).  ]]></HtmlText>
      <BulletVisual>True</BulletVisual>
    </Bullet>
    <Bullet>
      <TagName>FRONT_PAGE_BULLET_P7</TagName>
      <PlainText>Bracknell office refurbishment sale in another sign of growing confidence: According to CoStar, Cordea Savills has acquired Greenwood House in Bracknell for a major office refurbishment. The vacant 70,451sq ft building was sold for £6.2m after being brought to the market earlier this yield with a price tag of &gt;£4m. The asset will now undergo major refurbishment to Grade A quality and will be ready for occupation in 1Q-15. Interestingly, there had been expectations for the asset to be sold and converted to residential. (Source: CoStar).   </PlainText>
      <HtmlText><![CDATA[<b>Bracknell office refurbishment sale in another sign of growing confidence:</b> According to CoStar, Cordea Savills has acquired Greenwood House in Bracknell for a major office refurbishment. The vacant 70,451sq ft building was sold for £6.2m after being brought to the market earlier this yield with a price tag of &gt;£4m. The asset will now undergo major refurbishment to Grade A quality and will be ready for occupation in 1Q-15. Interestingly, there had been expectations for the asset to be sold and converted to residential. (Source: CoStar). <b>  </b>]]></HtmlText>
      <BulletVisual>True</BulletVisual>
    </Bullet>
    <Bullet>
      <TagName>FRONT_PAGE_BULLET_P8</TagName>
      <PlainText>Hibernia to buy Dublin’s Observatory Building: The Irish REIT Hibernia has exchanged contracts to acquire the Observatory Building in Dublin for €52.25m. The property is on the riverfront at Sir John Rogerson’s Quay in the South Docks area of Dublin and is immediately in front of the Hanover Building and Windmill Lane site, which Hibernia also recently bought. </PlainText>
      <HtmlText><![CDATA[<b>Hibernia to buy Dublin’s Observatory Building: </b>The Irish REIT Hibernia has exchanged contracts to acquire the Observatory Building in Dublin for €52.25m. The property is on the riverfront at Sir John Rogerson’s Quay in the South Docks area of Dublin and is immediately in front of the Hanover Building and Windmill Lane site, which Hibernia also recently bought. ]]></HtmlText>
      <BulletVisual>True</BulletVisual>
    </Bullet>
    <Bullet>
      <TagName>FRONT_PAGE_BULLET_P9</TagName>
      <PlainText>The Observatory Building was built in 2006 and comprises 86,213 sq ft of office space arranged over six floors. There are also eight partially-completed two bedroom apartment units of around 1,400 sq ft each and two vacant retail units totalling 2,059 sq ft.</PlainText>
      <HtmlText><![CDATA[<i>The Observatory Building was built in 2006</i> and comprises 86,213 sq ft of office space arranged over six floors. There are also eight partially-completed two bedroom apartment units of around 1,400 sq ft each and two vacant retail units totalling 2,059 sq ft.]]></HtmlText>
      <BulletVisual>True</BulletVisual>
    </Bullet>
    <Bullet>
      <TagName>FRONT_PAGE_BULLET_P10</TagName>
      <PlainText>The office space is more than 95% let to a range of tenants, including Riot Games and Publicis, at low average rents of €26/sq ft, with a weighted average period to break of four years and an average unexpired lease term of 11 years. More than 44% of the current rent roll has rent reviews during or before 2018 with 56% subject to review in 2019. </PlainText>
      <HtmlText><![CDATA[<i>The office space is more than 95% let to a range of tenants</i>, including <u>Riot Games</u> and <u>Publicis</u>, at low average rents of €26/sq ft, with a weighted average period to break of four years and an average unexpired lease term of 11 years. More than 44% of the current rent roll has rent reviews during or before 2018 with 56% subject to review in 2019. ]]></HtmlText>
      <BulletVisual>True</BulletVisual>
    </Bullet>
    <Bullet>
      <TagName>FRONT_PAGE_BULLET_P11</TagName>
      <PlainText>Once the rent free periods expire, the building will generate a net yield of 4.1%. The purchase price reflects a capital value of €586/sq ft for the office space. </PlainText>
      <HtmlText><![CDATA[Once the rent free periods expire, the building will generate a net yield of 4.1%. The purchase price reflects a capital value of €586/sq ft for the office space. ]]></HtmlText>
      <BulletVisual>True</BulletVisual>
    </Bullet>
    <Bullet>
      <TagName>FRONT_PAGE_BULLET_P12</TagName>
      <PlainText>Following the completion of this transaction, Hibernia will have concluded eight acquisitions since listing, committing €307m, over 82% of the net proceeds raised in December 2013. (Source: PropertyWeek) </PlainText>
      <HtmlText><![CDATA[<i>Following the completion of this transaction</i>, Hibernia will have concluded eight acquisitions since listing, committing €307m, over 82% of the net proceeds raised in December 2013. (Source: PropertyWeek) ]]></HtmlText>
      <BulletVisual>True</BulletVisual>
    </Bullet>
    <Bullet>
      <TagName>FRONT_PAGE_BULLET_P13</TagName>
      <PlainText>SEGRO completes €472m SELP acquisition: This morning, SEGRO confirmed it had completed the remaining €185m of the €472m portfolio acquisition within SEGRO SELP further to announcements dated 11-Feb and 30-May. As a result, the current contracted annualized net rental income associated with the assets completed is €11.6m taking the total to €31.6m. (Source: Company Press Release).</PlainText>
      <HtmlText><![CDATA[<b>SEGRO completes €472m SELP acquisition: </b>This morning, SEGRO confirmed it had completed the remaining €185m of the €472m portfolio acquisition within SEGRO SELP further to announcements dated 11-Feb and 30-May. As a result, the current contracted annualized net rental income associated with the assets completed is €11.6m taking the total to €31.6m. (Source: Company Press Release).]]></HtmlText>
      <BulletVisual>True</BulletVisual>
    </Bullet>
    <Bullet>
      <TagName>FRONT_PAGE_BULLET_P14</TagName>
      <PlainText>Brooke-Smith to be named first female RICS president: According to PropertyEU, Louise Brooke-Smith has been named as the first female president of RICS – the Royal Institution of Chartered Surveryors – its first in its 146 year history. (Source: PropertyEU).</PlainText>
      <HtmlText><![CDATA[<b>Brooke-Smith to be named first female RICS president: </b>According to PropertyEU, Louise Brooke-Smith has been named as the first female president of RICS – the Royal Institution of Chartered Surveryors – its first in its 146 year history. (Source: PropertyEU).]]></HtmlText>
      <BulletVisual>True</BulletVisual>
    </Bullet>
    <Bullet>
      <TagName>FRONT_PAGE_BULLET_P15</TagName>
      <PlainText>Warrington Mall sells for £141m reflecting a 6.75% yield: According to CoStar, LaSalle has acquired Golden Square Shopping Centre in Warrington for £141m in a deal reflecting a yield of 6.75%. The 712,500sq ft scheme has 133 units and is anchored by the likes of Debenhams, Primark, Bhd and Boots. The centre benefits from footfall in excess of 12m p.a. and boasts a 1,700 space car park. (Source: CoStar). </PlainText>
      <HtmlText><![CDATA[<b>Warrington Mall sells for £141m reflecting a 6.75% yield: </b>According to CoStar, LaSalle has acquired Golden Square Shopping Centre in Warrington for £141m in a deal reflecting a yield of 6.75%. The 712,500sq ft scheme has 133 units and is anchored by the likes of Debenhams, Primark, Bhd and Boots. The centre benefits from footfall in excess of 12m p.a. and boasts a 1,700 space car park. (Source: CoStar). ]]></HtmlText>
      <BulletVisual>True</BulletVisual>
    </Bullet>
    <Bullet>
      <TagName>FRONT_PAGE_BULLET_P16</TagName>
      <PlainText>M&amp;G makes leap for £46.7m Quantum business park: M&amp;G Real Estate has bought Quantum Business Park in Maidenhead from Urban &amp; Civic for £46.7m. The off-market deal, which completed for a net initial yield of 6.7%, was made on behalf of the M&amp;G Property Portfolio.</PlainText>
      <HtmlText><![CDATA[<b>M&G makes leap for £46.7m Quantum business park:</b> M&G Real Estate has bought Quantum Business Park in Maidenhead from Urban & Civic for £46.7m. The off-market deal, which completed for a net initial yield of 6.7%, was made on behalf of the M&G Property Portfolio.]]></HtmlText>
      <BulletVisual>True</BulletVisual>
    </Bullet>
    <Bullet>
      <TagName>FRONT_PAGE_BULLET_P17</TagName>
      <PlainText>Quantum Business Park comprises two grade A office buildings totalling 123,217 sq ft, multi-let to six tenants at a rent of £3.3m per annum. Occupiers include Biogen, Abbott Laboratories, Compuware and Seagate Technology. The scheme on Norden Road was completed by Terrace Hill in 2009.</PlainText>
      <HtmlText><![CDATA[<i>Quantum Business Park comprises two grade A office buildings</i> totalling 123,217 sq ft, multi-let to six tenants at a rent of £3.3m per annum. Occupiers include <u>Biogen</u>, <u>Abbott Laboratories</u>, Compuware and <u>Seagate Technology</u>. The scheme on Norden Road was completed by Terrace Hill in 2009.]]></HtmlText>
      <BulletVisual>True</BulletVisual>
    </Bullet>
    <Bullet>
      <TagName>FRONT_PAGE_BULLET_P18</TagName>
      <PlainText>This deal is the first since the completion of the Urban &amp; Civic’s reverse takeover of Terrace Hill, which developed Quantum in 2008. Terrace Hill own a 26% share of the JV, and will receive net cash of £3.7m after repayment of bank debt in the JV. The remaining 74% is owned by a Middle Eastern fund management by Marick Real Estate. Terrace Hill had previously fully marked down its investment in the JV. The deal should be seen in light of a significant increase in business activity in the South East, as well as the completion of Crossrail in 2018/2019. </PlainText>
      <HtmlText><![CDATA[<i>This deal is the first since the completion of the Urban & Civic’s reverse takeover of Terrace Hill</i>, which developed Quantum in 2008. Terrace Hill own a 26% share of the JV, and will receive net cash of £3.7m after repayment of bank debt in the JV. The remaining 74% is owned by a Middle Eastern fund management by Marick Real Estate. Terrace Hill had previously fully marked down its investment in the JV. The deal should be seen in light of a significant increase in business activity in the South East, as well as the completion of Crossrail in 2018/2019. ]]></HtmlText>
      <BulletVisual>True</BulletVisual>
    </Bullet>
    <Bullet>
      <TagName>FRONT_PAGE_BULLET_P19</TagName>
      <PlainText>Rob Lane, Development Director of Terrace Hill, said: “The proceeds will allow further opportunity for our recently enlarged business to focus on new development-led opportunities in clearly identified sectors. The transaction is in line with our twin focus on commercial development and trading opportunities across Central London and the UK’s regions, combined with creating large-scale residential-led sites that benefit from strong transport links as well as robust local economies, and we look forward to announcing further transactions in due course.” (Source: CoStar). </PlainText>
      <HtmlText><![CDATA[Rob Lane, Development Director of Terrace Hill, said: <i>“The proceeds will allow further opportunity for our recently enlarged business to focus on new development-led opportunities in clearly identified sectors. The transaction is in line with our twin focus on commercial development and trading opportunities across Central London and the UK’s regions, combined with creating large-scale residential-led sites that benefit from strong transport links as well as robust local economies, and we look forward to announcing further transactions in due course.”</i><i> </i>(Source: CoStar). ]]></HtmlText>
      <BulletVisual>True</BulletVisual>
    </Bullet>
    <Bullet>
      <TagName>FRONT_PAGE_BULLET_P20</TagName>
      <PlainText>Dutch office take-up stable in Q2, but vacancy also up: Take-up in the Dutch office market has reached 243,249 sq m in Q2, which constitutes an increase of 16% (33,000 sq m) yoy. The increase can mainly be attributed to ING Bank using up half of its recently acquired 46,500 Cisco office in Amsterdam South-East.  The current available stock (excluding grey space) currently stands at 7.2m sq m. The available stock has increased 2% versus 3 months ago. (Source: Dynamis Real Estate Consultants and Agents, Vastgoedmarkt).</PlainText>
      <HtmlText><![CDATA[<b>Dutch office take-up stable in Q2, but vacancy also up:</b> Take-up in the Dutch office market has reached 243,249 sq m in Q2, which constitutes an increase of 16% (33,000 sq m) yoy. The increase can mainly be attributed to ING Bank using up half of its recently acquired 46,500 Cisco office in Amsterdam South-East.  The current available stock (excluding grey space) currently stands at 7.2m sq m. The available stock has increased 2% versus 3 months ago. (Source: Dynamis Real Estate Consultants and Agents, Vastgoedmarkt).]]></HtmlText>
      <BulletVisual>True</BulletVisual>
    </Bullet>
    <Bullet>
      <TagName>FRONT_PAGE_BULLET_P21</TagName>
      <PlainText>Lone Star reported to bid for €250-300m Dutch office portfolio: US private equity firm Lone Star reportedly is in talks with CBRE Gobal Investors on the acquisition of a sizeable Dutch office portfolio. </PlainText>
      <HtmlText><![CDATA[<b>Lone Star reported to bid for €250</b><b>-300m Dutch office portfolio:</b> US private equity firm Lone Star reportedly is in talks with CBRE Gobal Investors on the acquisition of a sizeable Dutch office portfolio. ]]></HtmlText>
      <BulletVisual>True</BulletVisual>
    </Bullet>
    <Bullet>
      <TagName>FRONT_PAGE_BULLET_P22</TagName>
      <PlainText>The portfolio would consist of 29 office assets, valued at around €250-300m. Lone Star would have put in a bid reflecting 8x annual rent (gross yield 12.5%). The Dutch Office Fund of CBRE GI has €2bn of offices for sale. Last year, the fund sold €165m worth of offices to Blackstone. In September 2013, a €120m portfolio was sold to a JV consisting of OVG and Goldman Sachs. (Source: Vastgoedmarkt). </PlainText>
      <HtmlText><![CDATA[<i>The</i><i> portfolio would consist of 29 office assets</i>, valued at around €250-300m. Lone Star would have put in a bid reflecting 8x annual rent (gross yield 12.5%). The Dutch Office Fund of CBRE GI has €2bn of offices for sale. Last year, the fund sold €165m worth of offices to Blackstone. In September 2013, a €120m portfolio was sold to a JV consisting of OVG and Goldman Sachs. (Source: Vastgoedmarkt). ]]></HtmlText>
      <BulletVisual>True</BulletVisual>
    </Bullet>
    <Bullet>
      <TagName>FRONT_PAGE_BULLET_P23</TagName>
      <PlainText>Hansteen acquires €106m Dutch logistics portfolio: The Dutch logistics market continues to do well. Internos Global Investors has sold the HBI-portfolio to Hansteen Holdings. The transaction amount was €106m. The portfolio consists of 41 logistic assets with a combined surface of 370,000 sq m.  The portfolio will be managed from Hansteen’s existing office and Amsterdam and a newly opened office at Smart Business Park in Utrecht, one of the properties in the portfolio. The assets generate gross rental income of €15.4m, and the current vacancy rate is around 20%, which “provides a significant opportunity to add value”. Ian Watson, joint Chief Executive, said that the board is “confident we will see a large uplift at the next valuation”. (Source: Vastgoedmarkt, Company press release). </PlainText>
      <HtmlText><![CDATA[<b>Hansteen acquires €106m Dutch logistics portfolio: </b>The Dutch logistics market continues to do well. Internos Global Investors has sold the HBI-portfolio to Hansteen Holdings. The transaction amount was €106m. The portfolio consists of 41 logistic assets with a combined surface of 370,000 sq m.  The portfolio will be managed from Hansteen’s existing office and Amsterdam and a newly opened office at Smart Business Park in Utrecht, one of the properties in the portfolio. The assets generate gross rental income of €15.4m, and the current vacancy rate is around 20%, which <i>“provides a significant opportunity to add value”</i>. Ian Watson, joint Chief Executive, said that the board is <i>“confident we will see a large uplift at the next valuation”</i>. (Source: Vastgoedmarkt, Company press release). ]]></HtmlText>
      <BulletVisual>True</BulletVisual>
    </Bullet>
    <Bullet>
      <TagName>FRONT_PAGE_BULLET_P24</TagName>
      <PlainText>Pramerica acquired 49/51 avenue George V in Paris:  Pramerica Real Estate Investors has acquired a mixed used building consisting of 5,265 sqm of office and retail space situated on 49/51 avenue George V. The building has 8 storeys, was fully renovated in 2007, and offers flexible spaces.</PlainText>
      <HtmlText><![CDATA[<b>Pramerica acquired 49/51 avenue George V in Paris:  </b>Pramerica Real Estate Investors has acquired a mixed used building consisting of 5,265 sqm of office and retail space situated on 49/51 avenue George V. The building has 8 storeys, was fully renovated in 2007, and offers flexible spaces.]]></HtmlText>
      <BulletVisual>True</BulletVisual>
    </Bullet>
    <Bullet>
      <TagName>FRONT_PAGE_BULLET_P25</TagName>
      <PlainText>Jocelyn Verdelon, head of France, Spain and Portugal at Pramerica, said: “The 49/51 avenue George V combines quality commercial premises and spaces of modern and efficient office overlooking the Champs-Elysées. We believe that prime assets benefiting from prime locations have a high potential for reversion and provide, therefore, an attractive risk-return profile” (Source: Business Immo). </PlainText>
      <HtmlText><![CDATA[Jocelyn Verdelon, head of France, Spain and Portugal at Pramerica, said: <i>“The 49/51 avenue George V combines quality commercial premises and spaces of modern and efficient office overlooking the Champs-Elysées. We believe that prime assets benefiting from prime locations have a high potential for reversion and provide, therefore, an attractive risk-return profile”</i><i> </i>(Source: Business Immo). ]]></HtmlText>
      <BulletVisual>True</BulletVisual>
    </Bullet>
    <Bullet>
      <TagName>FRONT_PAGE_BULLET_P26</TagName>
      <PlainText>Recent note: Property: We buy the dips... and this is a dip. Pick up Land Secs, British Land, St Modwen &amp; Quintain. The recent sell-off in the EPRA UK index presents an opportunity in our view and we would pick up Land Securities (19% upside), British Land (17% upside), St Modwen (25% upside) and Quintain (51% upside) at current levels. We flex our models and find we have to factor in very bearish assumptions to see downside from here (British Land: c.0% capital growth for ’14 and ‘15) while underlying property fundamentals remain strong (IPD since Mar-14: +1.9%) and our DCFs point to more capital growth (up to 19% over the next 12 months). We recommended buying the dips...this is a dip. To continue reading, please click here. </PlainText>
      <HtmlText><![CDATA[<b>Recent note: </b><b>Property: We buy the dips... and this is a dip. Pick up Land Secs, British Land, St Modwen & Quintain</b>. The recent sell-off in the EPRA UK index presents an opportunity in our view and we would pick up Land Securities (19% upside), British Land (17% upside), St Modwen (25% upside) and Quintain (51% upside) at current levels. We flex our models and find we have to factor in very bearish assumptions to see downside from here (British Land: c.0% capital growth for ’14 and ‘15) while underlying property fundamentals remain strong (IPD since Mar-14: +1.9%) and our DCFs point to more capital growth (up to 19% over the next 12 months). We recommended buying the dips...this is a dip. To continue reading, please <a href='http://emaillink.jpmorgan.com/t/AQ/AAUdOg/AAo4nQ/UTTBNQ/AQ/AELAdA/AQ/OJ7K' target='\_blank\'>click here</a>. ]]></HtmlText>
      <BulletVisual>True</BulletVisual>
    </Bullet>
    <Bullet>
      <TagName>FRONT_PAGE_BULLET_P27</TagName>
      <PlainText>Recent note: German Residential: Still our preferred play on the Continent: We buy ANN &amp; LEG ahead of probable ECB rate cut on 5-June. We continue to prefer German residential on the Continent and following a strong results period we upgrade PTs by 7-13% and reiterate our preference for Deutsche Annington and LEG. We would buy ahead of a probable ECB rate cut on 5-June (JPMe: 15bps) as we find German residential outperformed property peers (8.0%) and MSCI Europe (6.2%) around the time of the last 14 ECB rate cuts. We also point to the strong correlation between German residential outperformance and the 10-YR bund (-82%), which our strategists now expect to be 1.85% in Mar-15 (2.25%). To continue reading, please click here. </PlainText>
      <HtmlText><![CDATA[<b>Recent</b><b> </b><b>note:</b><b> </b><b>German</b><b> </b><b>Residential:</b><b> </b><b>Still</b><b> </b><b>our</b><b> </b><b>preferred</b><b> </b><b>play</b><b> </b><b>on</b><b> </b><b>the</b><b> </b><b>Continent:</b><b> </b><b>We</b><b> </b><b>buy</b><b> </b><b>ANN</b><b> </b><b>&</b><b> </b><b>LEG</b><b> </b><b>ahead</b><b> </b><b>of</b><b> </b><b>probable</b><b> </b><b>ECB</b><b> </b><b>rate</b><b> </b><b>cut</b><b> </b><b>on</b><b> </b><b>5-June</b>. We continue to prefer German residential on the Continent and following a strong results period we upgrade PTs by 7-13% and reiterate our preference for Deutsche Annington and LEG. We would buy ahead of a probable ECB rate cut on 5-June (JPMe: 15bps) as we find German residential outperformed property peers (8.0%) and MSCI Europe (6.2%) around the time of the last 14 ECB rate cuts. We also point to the strong correlation between German residential outperformance and the 10-YR bund (-82%), which our strategists now expect to be 1.85% in Mar-15 (2.25%). To continue reading, please <a href='http://emaillink.jpmorgan.com/t/AQ/AATjVw/AAnE1w/T5Wpig/Ag/AD-7Vw/AQ/H9u3' target='\_blank\'>click here</a>. ]]></HtmlText>
      <BulletVisual>True</BulletVisual>
    </Bullet>
    <Bullet>
      <TagName>FRONT_PAGE_BULLET_P28</TagName>
      <PlainText>Recent note: Intu Properties: Deep dive intu the issues: Downgrade to UW. Intu has a good shopping centre portfolio, an ambitious £1.2bn development pipeline, and the potential to boost further/create real destinations (e.g. branding and increasing F&amp;B exposure, though this is yet to be proven). However, given (1) the uncertainty around funding and timing of the pipeline, (2) expected negative LFL rental growth in 2014/15 (increased vacancy &amp; lease expiries), and (3) limited near term catalysts to drive a turnaround, we downgrade to UW (from N). We also cut our May-15 EVM-based PT to 305p (from 340p, -10%), having updated our model for FY13 results and the £500m rights issue. To continue reading, please click here. </PlainText>
      <HtmlText><![CDATA[<b>Recent</b><b> </b><b>note:</b><b> </b><b>Intu</b><b> </b><b>Properties:</b><b> </b><b>Deep</b><b> </b><b>dive</b><b> </b><b>intu</b><b> </b><b>the</b><b> </b><b>issues:</b><b> </b><b>Downgrade</b><b> </b><b>to</b><b> </b><b>UW.</b> Intu has a good shopping centre portfolio, an ambitious £1.2bn development pipeline, and the potential to boost further/create real destinations (e.g. branding and increasing F&B exposure, though this is yet to be proven). However, given (1) the uncertainty around funding and timing of the pipeline, (2) expected negative LFL rental growth in 2014/15 (increased vacancy & lease expiries), and (3) limited near term catalysts to drive a turnaround, we downgrade to UW (from N). We also cut our May-15 EVM-based PT to 305p (from 340p, -10%), having updated our model for FY13 results and the £500m rights issue. To continue reading, please <a href='http://emaillink.jpmorgan.com/t/AQ/AATBeQ/AAmBGw/TrLNAg/Iw/AD5VFQ/AQ/lja6' target='\_blank\'>click here</a>. ]]></HtmlText>
      <BulletVisual>True</BulletVisual>
    </Bullet>
    <Bullet>
      <TagName>FRONT_PAGE_BULLET_P29</TagName>
      <PlainText>Recent note: Good things come in SMid packages... Following an active few months in the UK SMid property space, we update numbers and reiterate our preference for Quintain and St Modwen. In addition, we think there is more to come from Songbird (upgrade to OW) following strong FY results and we increase LondonMetric’s PT to 155p staying OW. We also update Derwent’s development pipeline and Great Portland NAVs due to higher capital growth but stay Neutral. Workspace continues to be our preferred London play and we upgrade our PT to 630p. We find it increasingly difficult to find value in the West End, with mild yield expansion in 16 &amp; 17 negating front loading in 14 &amp; 15. To continue reading, please click here. </PlainText>
      <HtmlText><![CDATA[<b>Recent</b><b> </b><b>note:</b><b> </b><b>Good</b><b> </b><b>things</b><b> </b><b>come</b><b> </b><b>in</b><b> </b><b>SMid</b><b> </b><b>packages...</b> Following an active few months in the UK SMid property space, we update numbers and reiterate our preference for Quintain and St Modwen. In addition, we think there is more to come from Songbird (upgrade to OW) following strong FY results and we increase LondonMetric’s PT to 155p staying OW. We also update Derwent’s development pipeline and Great Portland NAVs due to higher capital growth but stay Neutral. Workspace continues to be our preferred London play and we upgrade our PT to 630p. We find it increasingly difficult to find value in the West End, with mild yield expansion in 16 & 17 negating front loading in 14 & 15. To continue reading, please <a href='http://emaillink.jpmorgan.com/t/AQ/AAS4kw/AAlvTg/TnEcmg/Iw/AD3eJA/AQ/CQbZ' target='\_blank\'>click here</a>. ]]></HtmlText>
      <BulletVisual>True</BulletVisual>
    </Bullet>
    <Bullet>
      <TagName>FRONT_PAGE_BULLET_P30</TagName>
      <PlainText>Recent initiation: Grand City: Take me down to the Paradise City where the upside is high as the units are empty: We initiated coverage of Grand City Properties, with an OW rating and 20% potential upside to our €9.75 price target. Grand City focuses on the acquisition and turning around of distressed portfolios with high vacancy (c30%) and poor cost control. The resulting rental income created drives FFO ps 4-yr CAGR of 12.8% and NAV ps 4-yr CAGR of 14.6%, while the stock currently trades on a 2015e P/FFO of 13x and P/NAV of 0.87x. Valuation looks compelling on these metrics and we see five reasons to buy. For more please click here.</PlainText>
      <HtmlText><![CDATA[<b>Recent</b><b> </b><b>initiation:</b><b> </b><b>Grand</b><b> </b><b>City:</b><b> </b><b>Take</b><b> </b><b>me</b><b> </b><b>down</b><b> </b><b>to</b><b> </b><b>the</b><b> </b><b>Paradise</b><b> </b><b>City</b><b> </b><b>where</b><b> </b><b>the</b><b> </b><b>upside</b><b> </b><b>is</b><b> </b><b>high</b><b> </b><b>as</b><b> </b><b>the</b><b> </b><b>units</b><b> </b><b>are</b><b> </b><b>empty:</b><b> </b>We initiated coverage of Grand City Properties, with an OW rating and 20% potential upside to our €9.75 price target. Grand City focuses on the acquisition and turning around of distressed portfolios with high vacancy (c30%) and poor cost control. The resulting rental income created drives FFO ps 4-yr CAGR of 12.8% and NAV ps 4-yr CAGR of 14.6%, while the stock currently trades on a 2015e P/FFO of 13x and P/NAV of 0.87x. Valuation looks compelling on these metrics and we see five reasons to buy. For more please <a href='https://jpmm.com/research/content/GPS-1378779-0' target='\_blank\'>click here</a>.]]></HtmlText>
      <BulletVisual>True</BulletVisual>
    </Bullet>
    <Bullet>
      <TagName>FRONT_PAGE_BULLET_P31</TagName>
      <PlainText>Recent note: British Land: Upgrading to OW... but care needed... property yields move out before rents peak. We think the strong IPD capital growth since end-Sept (All Property +5.4% to Mar-14) raises the prospect of full-year NAV surprises in the UK. We increase capital growth for British Land to 5.7% (2.9%) taking our PT to 740p (680p, +9%) offering 13% total return and upgrade to OW. Our new Mar-14E NAV is 668p (638p, +5%) although we see potential for up to 692p. We think the UK sector will remain supported given an improving rental outlook and capital flows although care is needed: in the 90’s and 00’s property yields moved out 15 &amp; 11 months before rents peaked and rental growth didn’t save the sector. To continue reading, please click here. </PlainText>
      <HtmlText><![CDATA[<b>Recent</b><b> </b><b>note:</b><b> </b><b>British</b><b> </b><b>Land:</b><b> </b><b>Upgrading</b><b> </b><b>to</b><b> </b><b>OW...</b><b> </b><b>but</b><b> </b><b>care</b><b> </b><b>needed...</b><b> </b><b>property</b><b> </b><b>yields</b><b> </b><b>move</b><b> </b><b>out</b><b> </b><b>before</b><b> </b><b>rents</b><b> </b><b>peak.</b> We think the strong IPD capital growth since end-Sept (All Property +5.4% to Mar-14) raises the prospect of full-year NAV surprises in the UK. We increase capital growth for British Land to 5.7% (2.9%) taking our PT to 740p (680p, +9%) offering 13% total return and upgrade to OW. Our new Mar-14E NAV is 668p (638p, +5%) although we see potential for up to 692p. We think the UK sector will remain supported given an improving rental outlook and capital flows although care is needed: in the 90’s and 00’s property yields moved out 15 & 11 months before rents peaked and rental growth didn’t save the sector. To continue reading, please <a href='http://emaillink.jpmorgan.com/t/AQ/AASrIw/AAlUbg/ThSRfA/Ig/AD0nrg/AQ/b9b1' target='\_blank\'>click here</a>. ]]></HtmlText>
      <BulletVisual>True</BulletVisual>
    </Bullet>
    <Bullet>
      <TagName>FRONT_PAGE_BULLET_P32</TagName>
      <PlainText>Recent note: Wereldhave: Investor day takeaways, active asset management continues. Wereldhave hosted an investor day in Amsterdam, which included management presentations and visits to three shopping centres. Our takeaways: (1) Management has active plans across all the Dutch centres (€80m capex at 5.9% yield), including re-tenanting, re-routing/unit amalgamation, upgrading, and adding Food &amp; Leisure, (2) the Dutch retail environment remains tough, but there are some small signs of improvement (we remain cautious), (3) Recent acquisition Vier Meren in Hoofdorp (from Unibail) is a good asset in our view, (4) It will be tricky to find further attractive acquisition opportunities. Overall, we see the company as being one to watch, but we remain Neutral for now, relative upside and limited near-term catalysts. To continue reading, please click here.</PlainText>
      <HtmlText><![CDATA[<b>Recent</b><b> </b><b>note:</b><b> </b><b>Wereldhave:</b><b> </b><b>Investor</b><b> </b><b>day</b><b> </b><b>takeaways,</b><b> </b><b>active</b><b> </b><b>asset</b><b> </b><b>management</b><b> </b><b>continues</b>. Wereldhave hosted an investor day in Amsterdam, which included management presentations and visits to three shopping centres. Our takeaways: (1) Management has active plans across all the Dutch centres (€80m capex at 5.9% yield), including re-tenanting, re-routing/unit amalgamation, upgrading, and adding Food & Leisure, (2) the Dutch retail environment remains tough, but there are some small signs of improvement (we remain cautious), (3) Recent acquisition Vier Meren in Hoofdorp (from Unibail) is a good asset in our view, (4) It will be tricky to find further attractive acquisition opportunities. Overall, we see the company as being one to watch, but we remain Neutral for now, relative upside and limited near-term catalysts. To continue reading, please <a href='http://emaillink.jpmorgan.com/t/AQ/AASX-w/AAkuJw/TY5X1Q/AQ/ADwvzg/AQ/adpe' target='\_blank\'>click here</a>.]]></HtmlText>
      <BulletVisual>True</BulletVisual>
    </Bullet>
    <Bullet>
      <TagName>FRONT_PAGE_BULLET_P33</TagName>
      <PlainText>Recent note: Property: Dining out on European Retail. European retail property companies are responding to demand for an enhanced Leisure experience in shopping centres. Compared to the newest malls being opened, where c. 20-25% of space is Food &amp; Leisure, listed portfolios are generally undersupplied (average: 10%), but this is being addressed in the development pipelines. The current leaders are Land Secs (14% of portfolio) and Unibail (15-20%), while Intu and Hammerson are adding the most F&amp;L space (+80% increase in F&amp;L space). We find adding F&amp;L space can boost footfall, dwell times and retail spend, and we expect this trend to continue. To continue reading, please click here.</PlainText>
      <HtmlText><![CDATA[<b>Recent</b><b> </b><b>note:</b><b> </b><b>Property:</b><b> </b><b>Dining</b><b> </b><b>out</b><b> </b><b>on</b><b> </b><b>European</b><b> </b><b>Retail.</b> European retail property companies are responding to demand for an enhanced Leisure experience in shopping centres. Compared to the newest malls being opened, where c. 20-25% of space is Food & Leisure, listed portfolios are generally undersupplied (average: 10%), but this is being addressed in the development pipelines. The current leaders are Land Secs (14% of portfolio) and Unibail (15-20%), while Intu and Hammerson are adding the most F&L space (+80% increase in F&L space). We find adding F&L space can boost footfall, dwell times and retail spend, and we expect this trend to continue. To continue reading, please <a href='http://emaillink.jpmorgan.com/t/AQ/AARd4g/AAi57g/S+J4+A/AQ/ADksgQ/AQ/87jJ' target='\_blank\'>click here</a>.]]></HtmlText>
      <BulletVisual>True</BulletVisual>
    </Bullet>
    <Bullet>
      <TagName>FRONT_PAGE_BULLET_P34</TagName>
      <PlainText>Recent note: UK Property: Feeling Gilty... but fall in bond yields not enough to upgrade outlook. In our view, the trend for UK rates is upwards, despite the YTD move. We flex our models, pricing in the current Gilt (270bps) and find the UK offers ‘just’ 11% upside to valuations in this scenario. The risk-return profile for the UK appears to be deteriorating given: 1) expectations for the 10-yr Gilt to reach 370bps by Dec-14 (+100bps over 9 months); 2) lacklustre share price reactions to stellar results; and 3) the correlation of the current recovery with that in the 90’s, which points to a correction. Although momentum is to the upside, we wouldn’t be aggressively buying the sector here, waiting for a pull back while we continue to prefer SMIDs – Quintain &amp; St Modwen – which we note offer more upside &amp; outperform large caps in a rising yield environment. To continue reading, please click here. </PlainText>
      <HtmlText><![CDATA[<b>Recent</b><b> </b><b>note:</b><b> </b><b>UK</b><b> </b><b>Property:</b><b> </b><b>Feeling</b><b> </b><b>Gilty...</b><b> </b><b>but</b><b> </b><b>fall</b><b> </b><b>in</b><b> </b><b>bond</b><b> </b><b>yields</b><b> </b><b>not</b><b> </b><b>enough</b><b> </b><b>to</b><b> </b><b>upgrade</b><b> </b><b>outlook</b>. In our view, the trend for UK rates is upwards, despite the YTD move. We flex our models, pricing in the current Gilt (270bps) and find the UK offers ‘just’ 11% upside to valuations in this scenario. The risk-return profile for the UK appears to be deteriorating given: 1) expectations for the 10-yr Gilt to reach 370bps by Dec-14 (+100bps over 9 months); 2) lacklustre share price reactions to stellar results; and 3) the correlation of the current recovery with that in the 90’s, which points to a correction. Although momentum is to the upside, <u>we</u><u> </u><u>wouldn</u><u>’</u><u>t</u><u> </u><u>be</u><u> </u><u>aggressively</u><u> </u><u>buying</u><u> </u><u>the</u><u> </u><u>sector</u><u> </u><u>here,</u><u> </u><u>waiting</u><u> </u><u>for</u><u> </u><u>a</u><u> </u><u>pull</u><u> </u><u>back</u><u> </u><u>while</u><u> </u><u>we</u><u> </u><u>continue</u><u> </u><u>to</u><u> </u><u>prefer</u><u> </u><u>SMIDs</u><u> </u><u>–</u><u> </u><u>Quintain</u><u> </u><u>&</u><u> </u><u>St</u><u> </u><u>Modwen</u> – which we note offer more upside & outperform large caps in a rising yield environment. To continue reading, please <a href='http://emaillink.jpmorgan.com/t/AQ/AARSTQ/AAiiwQ/S4uDQA/AQ/ADiPbg/AQ/W6V-' target='\_blank\'>click here</a>. ]]></HtmlText>
      <BulletVisual>True</BulletVisual>
    </Bullet>
    <Bullet>
      <TagName>FRONT_PAGE_BULLET_P35</TagName>
      <PlainText>Recent note: Quintain Estates &amp; Development: Last chance to get your ticket to Wembley. We revisit our original analysis on the potential selling price of Wembley based on 1) local borough average flat prices; and 2) the average premium of new build over existing flats around London. We find that the average asking price in Wembley’s surrounding postcodes has increased by 12.2% since January 2013; however, the premium of new over existing stock has increased from 28% to 44%. Conservatively taking the previous premium for new builds with the new postcode average, we come to a selling price today of £535 psf. We also see an opportunity for Private Rented Sector development that could be worth 5p ps by 2015. We upgrade our NAV profile and January 2015 price target from 110p to 130, giving 25% potential upside. To continue reading, please click here. </PlainText>
      <HtmlText><![CDATA[<b>Recent</b><b> </b><b>note:</b><b> </b><b>Quintain</b><b> </b><b>Estates</b><b> </b><b>&</b><b> </b><b>Development:</b><b> </b><b>Last</b><b> </b><b>chance</b><b> </b><b>to</b><b> </b><b>get</b><b> </b><b>your</b><b> </b><b>ticket</b><b> </b><b>to</b><b> </b><b>Wembley.</b> We revisit our original analysis on the potential selling price of Wembley based on 1) local borough average flat prices; and 2) the average premium of new build over existing flats around London. We find that the average asking price in Wembley’s surrounding postcodes has increased by 12.2% since January 2013; however, the <i>premium</i><i> </i><i>of</i><i> </i><i>new</i><i> </i><i>over</i><i> </i><i>existing</i><i> </i><i>stock</i><i> </i>has increased from 28% to 44%. Conservatively taking the previous premium for new builds with the new postcode average, we come to a selling price today of £535 psf. We also see an opportunity for Private Rented Sector development that could be worth 5p ps by 2015. We upgrade our NAV profile and January 2015 price target from 110p to 130, giving 25% potential upside. To continue reading, please <a href='http://emaillink.jpmorgan.com/t/AQ/AARQCg/AAiePQ/S31juQ/AQ/ADhwyQ/AQ/ya-H' target='\_blank\'>click here</a>. ]]></HtmlText>
      <BulletVisual>True</BulletVisual>
    </Bullet>
    <Bullet>
      <TagName>FRONT_PAGE_BULLET_P36</TagName>
      <PlainText>Recent note: European Property: 2014 Conference takeaways: Running with the bulls. We hosted two property tours in London and our (biggest ever) annual conference. We noted that optimism is no longer confined to core markets, and across Europe both occupational and investor sentiment is the most bullish for years. This note summarises our conference highlights including: 1) total return expectations from CEOs and investors seem optimistic to us; 2) however, a wave of capital is bearing down on European property in 2014; and 3) London offices are in delivery phase, next comes de-risking. A sense of bullishness was in the air; however, so was caution. Our favourite quote? “Who is going to buy from you so you can realise your 15% IRR?” To continue reading, please click here. </PlainText>
      <HtmlText><![CDATA[<b>Recent</b><b> </b><b>note:</b><b> </b><b>European</b><b> </b><b>Property:</b><b> </b><b>2014</b><b> </b><b>Conference</b><b> </b><b>takeaways:</b><b> </b><b>Running</b><b> </b><b>with</b><b> </b><b>the</b><b> </b><b>bulls.</b><b> </b>We hosted two property tours in London and our (biggest ever) annual conference. We noted that optimism is no longer confined to core markets, and across Europe both occupational and investor sentiment is the most bullish for years. This note summarises our conference highlights including: 1) total return expectations from CEOs and investors seem optimistic to us; 2) however, a wave of capital is bearing down on European property in 2014; and 3) London offices are in delivery phase, next comes de-risking. A sense of bullishness was in the air; however, so was caution. Our favourite quote? “Who is going to buy from you so you can realise your 15% IRR?”<i> </i>To continue reading, please <a href='https://jpmm.com/research/content/GPS-1300436-0' target='\_blank\'>click here</a>. ]]></HtmlText>
      <BulletVisual>True</BulletVisual>
    </Bullet>
    <Bullet>
      <TagName>FRONT_PAGE_BULLET_P37</TagName>
      <PlainText>Recent note: Total returns to slow in 2014 but still plenty to go for. We continue the Great Rotation theme in 2014, with UK prime property facing rising bond yields while UK secondary and the continent appear set to benefit from improving GDP growth. We upgrade price targets by an average of 8%, largely due to increased rental growth forecasts, for 7% sector upside potential and note a deteriorating risk/return profile in 2014. We remain constructive, however, and see reasons to be positive including: 1) Top Picks offer 13% upside potential, 2) good secondary UK entering the sweet spot, 3) the yield spread remains supportive, 4) UK GDP growth being revised upwards, 5) we would buy the dips to improve IRR, and 6) the sector we see poised for greatest improvement in 2014 – UK retail. </PlainText>
      <HtmlText><![CDATA[<b>Recent</b><b> </b><b>note:</b><b> </b><b>Total</b><b> </b><b>returns</b><b> </b><b>to</b><b> </b><b>slow</b><b> </b><b>in</b><b> </b><b>2014</b><b> </b><b>but</b><b> </b><b>still</b><b> </b><b>plenty</b><b> </b><b>to</b><b> </b><b>go</b><b> </b><b>for.</b> We continue the Great Rotation theme in 2014, with UK prime property facing rising bond yields while UK secondary and the continent appear set to benefit from improving GDP growth. We upgrade price targets by an average of 8%, largely due to increased rental growth forecasts, for 7% sector upside potential and note a deteriorating risk/return profile in 2014. We remain constructive, however, and see reasons to be positive including: 1) Top Picks offer 13% upside potential, 2) good secondary UK entering the sweet spot, 3) the yield spread remains supportive, 4) UK GDP growth being revised upwards, 5) we would buy the dips to improve IRR, and 6) the sector we see poised for greatest improvement in 2014 – UK retail. ]]></HtmlText>
      <BulletVisual>True</BulletVisual>
    </Bullet>
    <Bullet>
      <TagName>FRONT_PAGE_BULLET_P38</TagName>
      <PlainText>Recent note: Property: 2014: The Great Rotation gathers pace, clear winners in the sector. The UK has been the star performer in the European property sector year-to-date with a total return of +22% versus the continent +1%. However, we find the listed sector well bid with an expected better entry point over the next 18 months, and see 2014 annual returns for the sector lower vs. 2013. In November, when we had c.5% upside for the sector, we saw the sector as increasingly unattractive, and we welcome the pull back into the year end. Our sector upside is c. 10% today, and, while this could rise further if bond yields remain at current levels, we are starting to push boundaries. However, there will still be clear winners: in the UK, we remain Overweight higher yielding good secondary retail and industrial property, and peripheral London over prime West End, and focus on specialists, like LondonMetric, Big Yellow, St. Modwen, Workspace, etc. So, what will 2014 look like? Below we look back on 2013 in a light-hearted way and give you our current thoughts. We hope you enjoy our year-end note. </PlainText>
      <HtmlText><![CDATA[<b>Recent</b><b> </b><b>note:</b><b> </b><b>Property:</b><b> </b><b>2014:</b><b> </b><b>The</b><b> </b><b>Great</b><b> </b><b>Rotation</b><b> </b><b>gathers</b><b> </b><b>pace,</b><b> </b><b>clear</b><b> </b><b>winners</b><b> </b><b>in</b><b> </b><b>the</b><b> </b><b>sector.</b> The UK has been the star performer in the European property sector year-to-date with a total return of +22% versus the continent +1%. However, we find the listed sector well bid with an expected better entry point over the next 18 months, and see 2014 annual returns for the sector lower vs. 2013. In November, when we had c.5% upside for the sector, we saw the sector as increasingly unattractive, and we welcome the pull back into the year end. Our sector upside is c. 10% today, and, while this could rise further if bond yields remain at current levels, we are starting to push boundaries. However, there will still be clear winners: in the UK, we remain Overweight higher yielding good secondary retail and industrial property, and peripheral London over prime West End, and focus on specialists, like LondonMetric, Big Yellow, St. Modwen, Workspace, etc. So, what will 2014 look like? Below we look back on 2013 in a light-hearted way and give you our current thoughts. We hope you enjoy our year-end note. ]]></HtmlText>
      <BulletVisual>True</BulletVisual>
    </Bullet>
    <Bullet>
      <TagName>FRONT_PAGE_BULLET_P39</TagName>
      <PlainText>Recent note: Property: Survey indicates Rotation theme gaining traction – More to come. The Rotation theme is gaining traction, as our survey of 149 property players shows that the majority (65%) see secondary outperforming prime in the UK (a major shift from this time last year), 50% expect the West End to perform in-line at best, and participants see UK industrial &amp; secondary UK retail outperforming. In addition, UK capital growth expectations have significantly improved vs. last year, the Netherlands now have the worst prospects (prev. Spain), the current (UK) results should be positive (so far so good), appetite for risk has increased (we also move slightly up the risk curve), and IPOs/M&amp;A remain on the cards (we agree). </PlainText>
      <HtmlText><![CDATA[<b>Recent</b><b> </b><b>note:</b><b> </b><b>Property:</b><b> </b><b>Survey</b><b> </b><b>indicates</b><b> </b><b>Rotation</b><b> </b><b>theme</b><b> </b><b>gaining</b><b> </b><b>traction</b><b> </b><b>–</b><b> </b><b>More</b><b> </b><b>to</b><b> </b><b>come.</b> The Rotation theme is gaining traction, as our survey of 149 property players shows that the majority (65%) see secondary outperforming prime in the UK (a major shift from this time last year), 50% expect the West End to perform in-line at best, and participants see UK industrial & secondary UK retail outperforming. In addition, UK capital growth expectations have significantly improved vs. last year, the Netherlands now have the worst prospects (prev. Spain), the current (UK) results should be positive (so far so good), appetite for risk has increased (we also move slightly up the risk curve), and IPOs/M&A remain on the cards (we agree). ]]></HtmlText>
      <BulletVisual>True</BulletVisual>
    </Bullet>
    <Bullet>
      <TagName>FRONT_PAGE_BULLET_P40</TagName>
      <PlainText>Recent note: Out-of-the-box research: 3D Printing – A trend to watch. Since our futuristic Beam me up, Property! note in March, several other reports on this topic have been written (e.g. JLL). We investigated 3D printing (3DP) further: we visited an exhibition “The Future is Here”, met with 3DP entrepreneur Sylvain Preumont and went to his 3DP shop iMakr, and conclude: 3DP is a trend to watch. Near term, the impact is limited (maybe even over-hyped), but mall operators should lure 3DP store tenants and focus even more on leisure/experience, as 3DP may lead to a high street revival. It will also be positive for London office take-up (TMT), but challenging for logistics (LT). </PlainText>
      <HtmlText><![CDATA[<b>Recent</b><b> </b><b>note:</b><b> </b><b>Out-of-the-box</b><b> </b><b>research:</b><b> </b><b>3D</b><b> </b><b>Printing</b><b> </b><b>–</b><b> </b><b>A</b><b> </b><b>trend</b><b> </b><b>to</b><b> </b><b>watch.</b> Since our futuristic Beam me up, Property! note in March, several other reports on this topic have been written (e.g. JLL). We investigated 3D printing (3DP) further: we visited an exhibition “The Future is Here”, met with 3DP entrepreneur Sylvain Preumont and went to his 3DP shop iMakr, and conclude: 3DP is a trend to watch. Near term, the impact is limited (maybe even over-hyped), but mall operators should lure 3DP store tenants and focus even more on leisure/experience, as 3DP may lead to a high street revival. It will also be positive for London office take-up (TMT), but challenging for logistics (LT). ]]></HtmlText>
      <BulletVisual>True</BulletVisual>
    </Bullet>
    <Bullet>
      <TagName>FRONT_PAGE_BULLET_P41</TagName>
      <PlainText>2013 PROPERTY HANDBOOK! The Great Rotation. We are pleased to present our 7th handbook. Since Mar-09, the EPRA Europe has returned 163% (UK 187%). We see 15% potential upside after the recent retreat, but expect underlying momentum to slow. Investment themes have been: prime vs. secondary, sell Spain and continental retail vs. UK. It is time to rotate to the other side of the trade. We like exposure to infrastructure projects, industrial and Spanish and Dublin offices, but expect the West End magic to fade in 12m. Over-renting remains an issue and corporate governance matters. </PlainText>
      <HtmlText><![CDATA[<b>2013</b><b> </b><b>PROPERTY</b><b> </b><b>HANDBOOK!</b><b> </b><b>The</b><b> </b><b>Great</b><b> </b><b>Rotation</b>. We are pleased to present our 7th handbook. Since Mar-09, the EPRA Europe has returned 163% (UK 187%). We see 15% potential upside after the recent retreat, but expect underlying momentum to slow. Investment themes have been: prime vs. secondary, sell Spain and continental retail vs. UK. It is time to rotate to the other side of the trade. We like exposure to infrastructure projects, industrial and Spanish and Dublin offices, but expect the West End magic to fade in 12m. Over-renting remains an issue and corporate governance matters. ]]></HtmlText>
      <BulletVisual>True</BulletVisual>
    </Bullet>
    <Bullet>
      <TagName>FRONT_PAGE_BULLET_P42</TagName>
      <PlainText>Don’t have time to read all 460 pages of our European Property Handbook? Sit back and listen to our 5 minute audio-visual presentation: http://jpmorgan-eu.adobeconnect.com/thegreatrotation/</PlainText>
      <HtmlText><![CDATA[<b>Don</b><b>’</b><b>t</b><b> </b><b>have</b><b> </b><b>time</b><b> </b><b>to</b><b> </b><b>read</b><b> </b><b>all</b><b> </b><b>460</b><b> </b><b>pages</b><b> </b><b>of</b><b> </b><b>our</b><b> </b><b>European</b><b> </b><b>Property</b><b> </b><b>Handbook?</b><b> </b>Sit back and listen to our 5 minute audio-visual presentation: <a href='http://jpmorgan-eu.adobeconnect.com/thegreatrotation/' target='\_blank\'><b>http://jpmorgan-eu.adobeconnect.com/thegreatrotation/</a></b>]]></HtmlText>
      <BulletVisual>True</BulletVisual>
    </Bullet>
    <Bullet>
      <TagName>FRONT_PAGE_BULLET_P43</TagName>
      <PlainText>Quote of the day: “And that’s the way it is.” (Walter Cronkite) </PlainText>
      <HtmlText><![CDATA[<b>Quote of the day:</b> “And that’s the way it is.”<i> </i>(Walter Cronkite) ]]></HtmlText>
      <BulletVisual>True</BulletVisual>
    </Bullet>
    <Bullet>
      <TagName>FRONT_PAGE_BULLET_P44</TagName>
      <PlainText>View our Bloomberg pages. Type JPMA &lt;GO&gt; to find and download J.P. Morgan research from Bloomberg</PlainText>
      <HtmlText><![CDATA[View our Bloomberg pages. Type JPMA &lt;GO&gt; to find and download J.P. Morgan research from Bloomberg]]></HtmlText>
      <BulletVisual>True</BulletVisual>
    </Bullet>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STPadobepdf.gif</STPImage>
  </STPImages>
  <CompanyDisclosureType>Equity</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1T09:06:04+01:00" researchID="GPS-1429840-0" xsi:schemaLocation="http://www.rixml.org/2010/1/RIXML http://www.rixml.org/newsite/specifications/v231/RIXML-2_3_1.xsd">
  <Product productID="GPS-1429840-0">
    <StatusInfo currentStatusIndicator="Yes" statusDateTime="2014-07-01T09:06:04+01:00" statusType="Published">
      <Version>2</Version>
    </StatusInfo>
    <Source>
      <Organization primaryIndicator="Yes" type="SellSideFirm">
        <OrganizationID idType="VendorCode">JPM</OrganizationID>
        <OrganizationName nameType="Display">JPMorgan</OrganizationName>
        <PersonGroup>
          <PersonGroupMember primaryIndicator="Yes" sequence="1">
            <Person personID="U306958">
              <FamilyName>Leckie</FamilyName>
              <GivenName>Timothy</GivenName>
              <DisplayName>Tim Leckie, CFA</DisplayName>
              <JobTitle>Analyst</JobTitle>
              <Division>EQUITY RESEARCH</Division>
            </Person>
          </PersonGroupMember>
          <ContactInfo nature="Business">
            <Email>timothy.leckie@jpmorgan.com</Email>
            <Phone type="Voice">
              <CountryCode/>
              <Number>(44-20) 7134-4477</Number>
            </Phone>
          </ContactInfo>
        </PersonGroup>
        <PersonGroup>
          <PersonGroupMember primaryIndicator="No" sequence="2">
            <Person personID="W297701">
              <FamilyName>Green</FamilyName>
              <GivenName>Neil</GivenName>
              <DisplayName>Neil Green, CFA</DisplayName>
              <JobTitle>Analyst</JobTitle>
              <Division>EQUITY RESEARCH</Division>
            </Person>
          </PersonGroupMember>
          <ContactInfo nature="Business">
            <Email>neil.d.green@jpmorgan.com</Email>
            <Phone type="Voice">
              <CountryCode/>
              <Number>(44-20) 7134-4478</Number>
            </Phone>
          </ContactInfo>
        </PersonGroup>
        <PersonGroup>
          <PersonGroupMember primaryIndicator="No" sequence="3">
            <Person personID="O602358">
              <FamilyName>Van Kranenburg</FamilyName>
              <GivenName>Jan</GivenName>
              <DisplayName>Jan Willem Van Kranenburg</DisplayName>
              <JobTitle>Analyst</JobTitle>
              <Division>EQUITY RESEARCH</Division>
            </Person>
          </PersonGroupMember>
          <ContactInfo nature="Business">
            <Email>jan.w.vankranenburg@jpmorgan.com</Email>
            <Phone type="Voice">
              <CountryCode/>
              <Number>(44-20) 7742-1114</Number>
            </Phone>
          </ContactInfo>
        </PersonGroup>
        <PersonGroup>
          <PersonGroupMember primaryIndicator="No" sequence="4">
            <Person personID="N052483">
              <FamilyName>Vermeulen</FamilyName>
              <GivenName>Annelies</GivenName>
              <DisplayName>Annelies Vermeulen</DisplayName>
              <JobTitle>Analyst</JobTitle>
              <Division>EQUITY RESEARCH</Division>
            </Person>
          </PersonGroupMember>
          <ContactInfo nature="Business">
            <Email>annelies.j.vermeulen@jpmorgan.com</Email>
            <Phone type="Voice">
              <CountryCode/>
              <Number>(44-20) 7134-4554</Number>
            </Phone>
          </ContactInfo>
        </PersonGroup>
      </Organization>
    </Source>
    <Content>
      <Title>The Property Ticker </Title>
      <SubTitle>St Modwen 1H14 results; Luxury brands need upgrading discount stores; More Great Rotation; Dutch offices...and more! </SubTitle>
      <Abstract>In today's ticker: St Modwen 1H14 results (+6% NAV growth - we believe there is more to go). Luxury brands need to upgrade discount stores, and Scottish Independence referendum is weighing on market activity. The Great Rotation continues with Benson Elliot and Stanhope to develop 210,000 sq ft office tower in Reading, Cordea Savills redevelops in Bracknell, and LaSalle to acquire a mall in Warrington for £141m. Also, M&amp;G buys a £47m business park in Maidenhead. SEGRO completes the €472m SELP acquisition, and Hibernia buys the Observatory Building in Dublin. Furthermore, Lone Star reportedly has bid for a €250-300m Dutch office portfolio from CBRE GI at ~12% yield, and Hansteen acquires a €106m Dutch logistics portfolio. Furthermore, don’t miss comments on Dutch Q2 office take-up, Paris, RICS, and much more! 
Thought for the day: (1) St Modwen is gearing further into the regional recovery with 1m sq ft of projects underway. (2) The Dutch housing market bouncing up; all 41 newly developed studios (24-49sqm) in the “The Waldo” apartment block in the Hague sold off in just two hours last Saturday. 
St Modwen – 1H-14 Results – Stepping On The Gas – More to Go: St Modwen reported strong 1H-14 results: EPRA NAV grew (+6% to 314p) and profit before all tax was up 32% to £51.3m (JPMe FY: £102m). However, we believe there is more to go. The group is gearing (further) into the regional commercial development recovery with 1m sq ft of projects underway while progressing their flagship scheme – New Covent Garden Market (on-site in 1H-15), seeing “excellent sales rates” in their residential projects, selling land ahead of book value, and taking (some) yield compression on the income producing portfolio. In our recent note, We buy the dips…and this is a dip, we stress tested St Modwen to the downside and see these results as (very) supportive of our OW stance. Please click here to read on.
Luxury Brands Need to Upgrade Discount Stores says Scott Malkin: According to Bloomberg, the Chairman of Value Retail Plc – Scott Malkin believes luxury goods companies are wrong to treat discount outlets as “dumping grounds” for surplus stock and the practice risks alienating shoppers. Mr Malkin added that luxury brands should provide a shopping experience in outlets that is comparable to their full-price stores… “the notion of what’s acceptable as an experience is shifting…we’ve reached a tipping point.” The shift comes as brands like Kering SA –owned Gucci prioritize refurbishing their full price stores amid slowing sales whereas sales in discounted (aka off-price sales) have surged 26% over the last year. Mr Malkin went further saying “The brands don’t treat the outlet stores with respect…many of them say just sell it and charge us as little as possible and send us the money.” Customers that are attracted to the likes of Bicester Village – Value Retail’s outlet near Oxford are price insensitive (as exemplified by the number of expensive chauffer driven cars that can be seen at the centre)…“you want the right relationship with those people.” Mr Malkin added that Value Retail will be able to keep growing “in a meaningful way” in Europe. (Source: Bloomberg)
Scottish Independence raises red flag for real estate investors: According to Bloomberg, Scotland’s lagging commercial property market (behind London) has developed another obstacle for investors – a potential breakup from the UK. Brokers and Investment managers are seeing the scheduled referendum weighing on the market… “clients are holding off on key decisions,” said Simon Light of EC Harris… “the element of uncertainty exists quite strongly and so people are just waiting.” Independence has “definitely come up on the radar screen of institutional investors…the consequence of it would be quite negative potentially for pricing in the Scottish market,” said Ben Stirling – Managing Director at Aviva. The best office buildings in Glasgow and Edinburgh are yielding c. 5.75%, unchanged over the last 5 years whereas in London yields have compressed to 3.75% in prime West End. According to Bloomberg, Derwent London and British Land both cited Scottish independence as risks for the market in recent Annual reports, whereas ICG-Longbow said UK commercial property funds are mostly limited to investing in their home country, independence may lead to them having to sell Scottish property holdings.(Source: Bloomberg).
Pushing Button – 210,000sq ft Speculative Reading Office Tower: In a sign supporting St Modwen’s increasingly positive view on more regional UK, Benson Elliot and Stanhope are to speculative develop a 210,000sq ft Reading office tower at its £500m Station Hill scheme in Reading. Construction has been committed to in Jun-15 should a pre-let have not emerged. Strutt &amp; Parker and Savills will be advising on the offices and will be seeking rents in the mid £30’s/sq ft. The building will be made up of 16 upper floors with typical floorplates of 14,000sq ft whereas the site also has consent for a further three major office buildings between 82,000sq ft and 300,000sq ft. Commenting, Savills said “occupier wise there is already a great and diverse tenant base in Reading, but we will also be targeting fringe London and West End tenants looking for scale and quality with great connectivity and benefit from cost savings. Reading’s position as a major hub with great connectively will also appeal to tenants from Birmingham through to Bristol and Cardiff as well as the South Coast.” (Source: CoStar).  
Bracknell office refurbishment sale in another sign of growing confidence: According to CoStar, Cordea Savills has acquired Greenwood House in Bracknell for a major office refurbishment. The vacant 70,451sq ft building was sold for £6.2m after being brought to the market earlier this yield with a price tag of &gt;£4m. The asset will now undergo major refurbishment to Grade A quality and will be ready for occupation in 1Q-15. Interestingly, there had been expectations for the asset to be sold and converted to residential. (Source: CoStar).   
Hibernia to buy Dublin’s Observatory Building: The Irish REIT Hibernia has exchanged contracts to acquire the Observatory Building in Dublin for €52.25m. The property is on the riverfront at Sir John Rogerson’s Quay in the South Docks area of Dublin and is immediately in front of the Hanover Building and Windmill Lane site, which Hibernia also recently bought. 
The Observatory Building was built in 2006 and comprises 86,213 sq ft of office space arranged over six floors. There are also eight partially-completed two bedroom apartment units of around 1,400 sq ft each and two vacant retail units totalling 2,059 sq ft.
The office space is more than 95% let to a range of tenants, including Riot Games and Publicis, at low average rents of €26/sq ft, with a weighted average period to break of four years and an average unexpired lease term of 11 years. More than 44% of the current rent roll has rent reviews during or before 2018 with 56% subject to review in 2019. 
Once the rent free periods expire, the building will generate a net yield of 4.1%. The purchase price reflects a capital value of €586/sq ft for the office space. 
Following the completion of this transaction, Hibernia will have concluded eight acquisitions since listing, committing €307m, over 82% of the net proceeds raised in December 2013. (Source: PropertyWeek) 
SEGRO completes €472m SELP acquisition: This morning, SEGRO confirmed it had completed the remaining €185m of the €472m portfolio acquisition within SEGRO SELP further to announcements dated 11-Feb and 30-May. As a result, the current contracted annualized net rental income associated with the assets completed is €11.6m taking the total to €31.6m. (Source: Company Press Release).
Brooke-Smith to be named first female RICS president: According to PropertyEU, Louise Brooke-Smith has been named as the first female president of RICS – the Royal Institution of Chartered Surveryors – its first in its 146 year history. (Source: PropertyEU).
Warrington Mall sells for £141m reflecting a 6.75% yield: According to CoStar, LaSalle has acquired Golden Square Shopping Centre in Warrington for £141m in a deal reflecting a yield of 6.75%. The 712,500sq ft scheme has 133 units and is anchored by the likes of Debenhams, Primark, Bhd and Boots. The centre benefits from footfall in excess of 12m p.a. and boasts a 1,700 space car park. (Source: CoStar). 
M&amp;G makes leap for £46.7m Quantum business park: M&amp;G Real Estate has bought Quantum Business Park in Maidenhead from Urban &amp; Civic for £46.7m. The off-market deal, which completed for a net initial yield of 6.7%, was made on behalf of the M&amp;G Property Portfolio.
Quantum Business Park comprises two grade A office buildings totalling 123,217 sq ft, multi-let to six tenants at a rent of £3.3m per annum. Occupiers include Biogen, Abbott Laboratories, Compuware and Seagate Technology. The scheme on Norden Road was completed by Terrace Hill in 2009.
This deal is the first since the completion of the Urban &amp; Civic’s reverse takeover of Terrace Hill, which developed Quantum in 2008. Terrace Hill own a 26% share of the JV, and will receive net cash of £3.7m after repayment of bank debt in the JV. The remaining 74% is owned by a Middle Eastern fund management by Marick Real Estate. Terrace Hill had previously fully marked down its investment in the JV. The deal should be seen in light of a significant increase in business activity in the South East, as well as the completion of Crossrail in 2018/2019. 
Rob Lane, Development Director of Terrace Hill, said: “The proceeds will allow further opportunity for our recently enlarged business to focus on new development-led opportunities in clearly identified sectors. The transaction is in line with our twin focus on commercial development and trading opportunities across Central London and the UK’s regions, combined with creating large-scale residential-led sites that benefit from strong transport links as well as robust local economies, and we look forward to announcing further transactions in due course.” (Source: CoStar). 
Dutch office take-up stable in Q2, but vacancy also up: Take-up in the Dutch office market has reached 243,249 sq m in Q2, which constitutes an increase of 16% (33,000 sq m) yoy. The increase can mainly be attributed to ING Bank using up half of its recently acquired 46,500 Cisco office in Amsterdam South-East.  The current available stock (excluding grey space) currently stands at 7.2m sq m. The available stock has increased 2% versus 3 months ago. (Source: Dynamis Real Estate Consultants and Agents, Vastgoedmarkt).
Lone Star reported to bid for €250-300m Dutch office portfolio: US private equity firm Lone Star reportedly is in talks with CBRE Gobal Investors on the acquisition of a sizeable Dutch office portfolio. 
The portfolio would consist of 29 office assets, valued at around €250-300m. Lone Star would have put in a bid reflecting 8x annual rent (gross yield 12.5%). The Dutch Office Fund of CBRE GI has €2bn of offices for sale. Last year, the fund sold €165m worth of offices to Blackstone. In September 2013, a €120m portfolio was sold to a JV consisting of OVG and Goldman Sachs. (Source: Vastgoedmarkt). 
Hansteen acquires €106m Dutch logistics portfolio: The Dutch logistics market continues to do well. Internos Global Investors has sold the HBI-portfolio to Hansteen Holdings. The transaction amount was €106m. The portfolio consists of 41 logistic assets with a combined surface of 370,000 sq m.  The portfolio will be managed from Hansteen’s existing office and Amsterdam and a newly opened office at Smart Business Park in Utrecht, one of the properties in the portfolio. The assets generate gross rental income of €15.4m, and the current vacancy rate is around 20%, which “provides a significant opportunity to add value”. Ian Watson, joint Chief Executive, said that the board is “confident we will see a large uplift at the next valuation”. (Source: Vastgoedmarkt, Company press release). 
Pramerica acquired 49/51 avenue George V in Paris:  Pramerica Real Estate Investors has acquired a mixed used building consisting of 5,265 sqm of office and retail space situated on 49/51 avenue George V. The building has 8 storeys, was fully renovated in 2007, and offers flexible spaces.
Jocelyn Verdelon, head of France, Spain and Portugal at Pramerica, said: “The 49/51 avenue George V combines quality commercial premises and spaces of modern and efficient office overlooking the Champs-Elysées. We believe that prime assets benefiting from prime locations have a high potential for reversion and provide, therefore, an attractive risk-return profile” (Source: Business Immo). 
Recent note: Property: We buy the dips... and this is a dip. Pick up Land Secs, British Land, St Modwen &amp; Quintain. The recent sell-off in the EPRA UK index presents an opportunity in our view and we would pick up Land Securities (19% upside), British Land (17% upside), St Modwen (25% upside) and Quintain (51% upside) at current levels. We flex our models and find we have to factor in very bearish assumptions to see downside from here (British Land: c.0% capital growth for ’14 and ‘15) while underlying property fundamentals remain strong (IPD since Mar-14: +1.9%) and our DCFs point to more capital growth (up to 19% over the next 12 months). We recommended buying the dips...this is a dip. To continue reading, please click here. 
Recent note: German Residential: Still our preferred play on the Continent: We buy ANN &amp; LEG ahead of probable ECB rate cut on 5-June. We continue to prefer German residential on the Continent and following a strong results period we upgrade PTs by 7-13% and reiterate our preference for Deutsche Annington and LEG. We would buy ahead of a probable ECB rate cut on 5-June (JPMe: 15bps) as we find German residential outperformed property peers (8.0%) and MSCI Europe (6.2%) around the time of the last 14 ECB rate cuts. We also point to the strong correlation between German residential outperformance and the 10-YR bund (-82%), which our strategists now expect to be 1.85% in Mar-15 (2.25%). To continue reading, please click here. 
Recent note: Intu Properties: Deep dive intu the issues: Downgrade to UW. Intu has a good shopping centre portfolio, an ambitious £1.2bn development pipeline, and the potential to boost further/create real destinations (e.g. branding and increasing F&amp;B exposure, though this is yet to be proven). However, given (1) the uncertainty around funding and timing of the pipeline, (2) expected negative LFL rental growth in 2014/15 (increased vacancy &amp; lease expiries), and (3) limited near term catalysts to drive a turnaround, we downgrade to UW (from N). We also cut our May-15 EVM-based PT to 305p (from 340p, -10%), having updated our model for FY13 results and the £500m rights issue. To continue reading, please click here. 
Recent note: Good things come in SMid packages... Following an active few months in the UK SMid property space, we update numbers and reiterate our preference for Quintain and St Modwen. In addition, we think there is more to come from Songbird (upgrade to OW) following strong FY results and we increase LondonMetric’s PT to 155p staying OW. We also update Derwent’s development pipeline and Great Portland NAVs due to higher capital growth but stay Neutral. Workspace continues to be our preferred London play and we upgrade our PT to 630p. We find it increasingly difficult to find value in the West End, with mild yield expansion in 16 &amp; 17 negating front loading in 14 &amp; 15. To continue reading, please click here. 
Recent initiation: Grand City: Take me down to the Paradise City where the upside is high as the units are empty: We initiated coverage of Grand City Properties, with an OW rating and 20% potential upside to our €9.75 price target. Grand City focuses on the acquisition and turning around of distressed portfolios with high vacancy (c30%) and poor cost control. The resulting rental income created drives FFO ps 4-yr CAGR of 12.8% and NAV ps 4-yr CAGR of 14.6%, while the stock currently trades on a 2015e P/FFO of 13x and P/NAV of 0.87x. Valuation looks compelling on these metrics and we see five reasons to buy. For more please click here.
Recent note: British Land: Upgrading to OW... but care needed... property yields move out before rents peak. We think the strong IPD capital growth since end-Sept (All Property +5.4% to Mar-14) raises the prospect of full-year NAV surprises in the UK. We increase capital growth for British Land to 5.7% (2.9%) taking our PT to 740p (680p, +9%) offering 13% total return and upgrade to OW. Our new Mar-14E NAV is 668p (638p, +5%) although we see potential for up to 692p. We think the UK sector will remain supported given an improving rental outlook and capital flows although care is needed: in the 90’s and 00’s property yields moved out 15 &amp; 11 months before rents peaked and rental growth didn’t save the sector. To continue reading, please click here. 
Recent note: Wereldhave: Investor day takeaways, active asset management continues. Wereldhave hosted an investor day in Amsterdam, which included management presentations and visits to three shopping centres. Our takeaways: (1) Management has active plans across all the Dutch centres (€80m capex at 5.9% yield), including re-tenanting, re-routing/unit amalgamation, upgrading, and adding Food &amp; Leisure, (2) the Dutch retail environment remains tough, but there are some small signs of improvement (we remain cautious), (3) Recent acquisition Vier Meren in Hoofdorp (from Unibail) is a good asset in our view, (4) It will be tricky to find further attractive acquisition opportunities. Overall, we see the company as being one to watch, but we remain Neutral for now, relative upside and limited near-term catalysts. To continue reading, please click here.
Recent note: Property: Dining out on European Retail. European retail property companies are responding to demand for an enhanced Leisure experience in shopping centres. Compared to the newest malls being opened, where c. 20-25% of space is Food &amp; Leisure, listed portfolios are generally undersupplied (average: 10%), but this is being addressed in the development pipelines. The current leaders are Land Secs (14% of portfolio) and Unibail (15-20%), while Intu and Hammerson are adding the most F&amp;L space (+80% increase in F&amp;L space). We find adding F&amp;L space can boost footfall, dwell times and retail spend, and we expect this trend to continue. To continue reading, please click here.
Recent note: UK Property: Feeling Gilty... but fall in bond yields not enough to upgrade outlook. In our view, the trend for UK rates is upwards, despite the YTD move. We flex our models, pricing in the current Gilt (270bps) and find the UK offers ‘just’ 11% upside to valuations in this scenario. The risk-return profile for the UK appears to be deteriorating given: 1) expectations for the 10-yr Gilt to reach 370bps by Dec-14 (+100bps over 9 months); 2) lacklustre share price reactions to stellar results; and 3) the correlation of the current recovery with that in the 90’s, which points to a correction. Although momentum is to the upside, we wouldn’t be aggressively buying the sector here, waiting for a pull back while we continue to prefer SMIDs – Quintain &amp; St Modwen – which we note offer more upside &amp; outperform large caps in a rising yield environment. To continue reading, please click here. 
Recent note: Quintain Estates &amp; Development: Last chance to get your ticket to Wembley. We revisit our original analysis on the potential selling price of Wembley based on 1) local borough average flat prices; and 2) the average premium of new build over existing flats around London. We find that the average asking price in Wembley’s surrounding postcodes has increased by 12.2% since January 2013; however, the premium of new over existing stock has increased from 28% to 44%. Conservatively taking the previous premium for new builds with the new postcode average, we come to a selling price today of £535 psf. We also see an opportunity for Private Rented Sector development that could be worth 5p ps by 2015. We upgrade our NAV profile and January 2015 price target from 110p to 130, giving 25% potential upside. To continue reading, please click here. 
Recent note: European Property: 2014 Conference takeaways: Running with the bulls. We hosted two property tours in London and our (biggest ever) annual conference. We noted that optimism is no longer confined to core markets, and across Europe both occupational and investor sentiment is the most bullish for years. This note summarises our conference highlights including: 1) total return expectations from CEOs and investors seem optimistic to us; 2) however, a wave of capital is bearing down on European property in 2014; and 3) London offices are in delivery phase, next comes de-risking. A sense of bullishness was in the air; however, so was caution. Our favourite quote? “Who is going to buy from you so you can realise your 15% IRR?” To continue reading, please click here. 
Recent note: Total returns to slow in 2014 but still plenty to go for. We continue the Great Rotation theme in 2014, with UK prime property facing rising bond yields while UK secondary and the continent appear set to benefit from improving GDP growth. We upgrade price targets by an average of 8%, largely due to increased rental growth forecasts, for 7% sector upside potential and note a deteriorating risk/return profile in 2014. We remain constructive, however, and see reasons to be positive including: 1) Top Picks offer 13% upside potential, 2) good secondary UK entering the sweet spot, 3) the yield spread remains supportive, 4) UK GDP growth being revised upwards, 5) we would buy the dips to improve IRR, and 6) the sector we see poised for greatest improvement in 2014 – UK retail. 
Recent note: Property: 2014: The Great Rotation gathers pace, clear winners in the sector. The UK has been the star performer in the European property sector year-to-date with a total return of +22% versus the continent +1%. However, we find the listed sector well bid with an expected better entry point over the next 18 months, and see 2014 annual returns for the sector lower vs. 2013. In November, when we had c.5% upside for the sector, we saw the sector as increasingly unattractive, and we welcome the pull back into the year end. Our sector upside is c. 10% today, and, while this could rise further if bond yields remain at current levels, we are starting to push boundaries. However, there will still be clear winners: in the UK, we remain Overweight higher yielding good secondary retail and industrial property, and peripheral London over prime West End, and focus on specialists, like LondonMetric, Big Yellow, St. Modwen, Workspace, etc. So, what will 2014 look like? Below we look back on 2013 in a light-hearted way and give you our current thoughts. We hope you enjoy our year-end note. 
Recent note: Property: Survey indicates Rotation theme gaining traction – More to come. The Rotation theme is gaining traction, as our survey of 149 property players shows that the majority (65%) see secondary outperforming prime in the UK (a major shift from this time last year), 50% expect the West End to perform in-line at best, and participants see UK industrial &amp; secondary UK retail outperforming. In addition, UK capital growth expectations have significantly improved vs. last year, the Netherlands now have the worst prospects (prev. Spain), the current (UK) results should be positive (so far so good), appetite for risk has increased (we also move slightly up the risk curve), and IPOs/M&amp;A remain on the cards (we agree). 
Recent note: Out-of-the-box research: 3D Printing – A trend to watch. Since our futuristic Beam me up, Property! note in March, several other reports on this topic have been written (e.g. JLL). We investigated 3D printing (3DP) further: we visited an exhibition “The Future is Here”, met with 3DP entrepreneur Sylvain Preumont and went to his 3DP shop iMakr, and conclude: 3DP is a trend to watch. Near term, the impact is limited (maybe even over-hyped), but mall operators should lure 3DP store tenants and focus even more on leisure/experience, as 3DP may lead to a high street revival. It will also be positive for London office take-up (TMT), but challenging for logistics (LT). 
2013 PROPERTY HANDBOOK! The Great Rotation. We are pleased to present our 7th handbook. Since Mar-09, the EPRA Europe has returned 163% (UK 187%). We see 15% potential upside after the recent retreat, but expect underlying momentum to slow. Investment themes have been: prime vs. secondary, sell Spain and continental retail vs. UK. It is time to rotate to the other side of the trade. We like exposure to infrastructure projects, industrial and Spanish and Dublin offices, but expect the West End magic to fade in 12m. Over-renting remains an issue and corporate governance matters. 
Don’t have time to read all 460 pages of our European Property Handbook? Sit back and listen to our 5 minute audio-visual presentation: http://jpmorgan-eu.adobeconnect.com/thegreatrotation/
Quote of the day: “And that’s the way it is.” (Walter Cronkite) 
View our Bloomberg pages. Type JPMA &lt;GO&gt; to find and download J.P. Morgan research from Bloomberg
</Abstract>
      <Synopsis>In today's ticker: St Modwen 1H14 results (+6% NAV growth - we believe there is more to go). Luxury brands need to upgrade discount stores, and Scottish Independence referendum is weighing on market activity. The Great Rotation continues with Benson Elliot and Stanhope to develop 210,000 sq ft of...</Synopsis>
    </Content>
    <Context external="Yes">
      <IssuerDetails>
        <Issuer domicileCountryCode="IT" fiscalYearEnd="--12-31" issuerType="Corporate" primaryIndicator="No">
          <SecurityDetails>
            <Security primaryIndicator="No">
              <SecurityID idType="CUSIP" idValue=" "/>
              <SecurityID idType="SEDOL" idValue="5808135"/>
              <SecurityID idType="Bloomberg" idValue="BNS IM"/>
              <SecurityID idType="RIC" idValue="BNSI.MI"/>
              <SecurityID idType="ISIN" idValue="IT0001389631"/>
              <AssetClass assetClass="Equity"/>
              <AssetType assetType="Stock"/>
              <Rating priorCurrent="Prior" rating="PositiveSentiment" timeFrame="ShortTerm">
                <RatingEntity ratingEntity="Publisher"/>
              </Rating>
              <Rating priorCurrent="Current" rating="PositiveSentiment" timeFrame="ShortTerm">
                <RatingEntity ratingEntity="Publisher"/>
              </Rating>
            </Security>
          </SecurityDetails>
          <IssuerName nameType="Display">
            <NameValue>Beni Stabili</NameValue>
          </IssuerName>
        </Issuer>
        <Issuer domicileCountryCode="GB" fiscalYearEnd="--12-31" issuerType="Corporate" primaryIndicator="No">
          <SecurityDetails>
            <Security primaryIndicator="No">
              <SecurityID idType="CUSIP" idValue=" "/>
              <SecurityID idType="SEDOL" idValue="0729101"/>
              <SecurityID idType="Bloomberg" idValue="SMP LN"/>
              <SecurityID idType="RIC" idValue="SMP.L"/>
              <SecurityID idType="ISIN" idValue="GB0007291015"/>
              <AssetClass assetClass="Equity"/>
              <AssetType assetType="Stock"/>
              <Rating priorCurrent="Prior" rating="PositiveSentiment" timeFrame="ShortTerm">
                <RatingEntity ratingEntity="Publisher"/>
              </Rating>
              <Rating priorCurrent="Current" rating="PositiveSentiment" timeFrame="ShortTerm">
                <RatingEntity ratingEntity="Publisher"/>
              </Rating>
            </Security>
          </SecurityDetails>
          <IssuerName nameType="Display">
            <NameValue>St. Modwen Pr</NameValue>
          </IssuerName>
        </Issuer>
        <Issuer domicileCountryCode="GB" fiscalYearEnd="--12-31" issuerType="Corporate" primaryIndicator="No">
          <SecurityDetails>
            <Security primaryIndicator="No">
              <SecurityID idType="CUSIP" idValue=" "/>
              <SecurityID idType="SEDOL" idValue="B5ZN1N8"/>
              <SecurityID idType="Bloomberg" idValue="SGRO LN"/>
              <SecurityID idType="RIC" idValue="SGRO.L"/>
              <SecurityID idType="ISIN" idValue="GB00B5ZN1N88"/>
              <AssetClass assetClass="Equity"/>
              <AssetType assetType="Stock"/>
              <Rating priorCurrent="Prior" rating="PositiveSentiment" timeFrame="ShortTerm">
                <RatingEntity ratingEntity="Publisher"/>
              </Rating>
              <Rating priorCurrent="Current" rating="PositiveSentiment" timeFrame="ShortTerm">
                <RatingEntity ratingEntity="Publisher"/>
              </Rating>
            </Security>
          </SecurityDetails>
          <IssuerName nameType="Display">
            <NameValue>SEGRO</NameValue>
          </IssuerName>
        </Issuer>
      </IssuerDetails>
      <ProductDetails periodicalIndicator="No" publicationDateTime="2014-07-01T09:06:04+01:00">
        <ProductCategory productCategory="Report"/>
        <ProductFocus focus="SectorIndustry"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EntitlementGroup>
          <Entitlement includeExcludeIndicator="Include" primaryIndicator="No">
            <AudienceTypeEntitlement audienceType="QualifiedInstitutionalBuyer" external="Yes"/>
          </Entitlement>
        </EntitlementGroup>
      </ProductDetails>
      <ProductClassifications>
        <KeywordClassifications>
          <Keyword>JPMORGANCAZENOVE</Keyword>
        </KeywordClassifications>
        <Discipline disciplineType="Investment"/>
        <Country code="GB" primaryIndicator="No" emergingIndicator="No"/>
        <Country code="FR" primaryIndicator="No" emergingIndicator="No"/>
        <Country code="DE" primaryIndicator="No" emergingIndicator="No"/>
        <Country code="LU" primaryIndicator="No" emergingIndicator="No"/>
        <Country code="NL" primaryIndicator="No" emergingIndicator="No"/>
        <Country code="ES" primaryIndicator="No" emergingIndicator="No"/>
        <Country code="IT" primaryIndicator="No" emergingIndicator="No"/>
        <Region primaryIndicator="No" regionType="Europe" emergingIndicator="No"/>
        <AssetClass assetClass="Equity"/>
        <AssetType assetType="Stock"/>
        <SectorIndustry classificationType="GICS" code="40" focusLevel="Yes" level="1" primaryIndicator="No">
          <Name>Financials</Name>
        </SectorIndustry>
        <SectorIndustry classificationType="GICS" code="4040" focusLevel="Yes" level="2" primaryIndicator="No">
          <Name>Real Estate</Name>
        </SectorIndustry>
        <SectorIndustry classificationType="GICS" code="404030" focusLevel="Yes" level="3" primaryIndicator="No">
          <Name>Real Estate Management &amp; Development</Name>
        </SectorIndustry>
        <SectorIndustry classificationType="GICS" code="40403010" focusLevel="Yes" level="4" primaryIndicator="Yes">
          <Name>Diversified Real Estate Activities</Name>
        </SectorIndustry>
        <SectorIndustry classificationType="GICS" code="404020" focusLevel="Yes" level="3" primaryIndicator="Yes">
          <Name>Real Estate Investment Trusts (REITs)</Name>
        </SectorIndustry>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In today's ticker: St Modwen 1H14 results (+6% NAV growth - we believe there is more to go). Luxury brands need to upgrade discount stores, and Scottish Independence referendum is weighing on market activity. The Great Rotation continues with Benson Elliot and Stanhope to develop 210,000 sq ft office tower in Reading, Cordea Savills redevelops in Bracknell, and LaSalle to acquire a mall in Warrington for £141m. Also, M&amp;G buys a £47m business park in Maidenhead. SEGRO completes the €472m SELP acquisition, and Hibernia buys the Observatory Building in Dublin. Furthermore, Lone Star reportedly has bid for a €250-300m Dutch office portfolio from CBRE GI at ~12% yield, and Hansteen acquires a €106m Dutch logistics portfolio. Furthermore, don’t miss comments on Dutch Q2 office take-up, Paris, RICS, and much more! </component>
    <component id="SUMMARY.ASCII.FORMATTEDBULLET" isBullet="Yes" order="2">Thought for the day: (1) St Modwen is gearing further into the regional recovery with 1m sq ft of projects underway. (2) The Dutch housing market bouncing up; all 41 newly developed studios (24-49sqm) in the “The Waldo” apartment block in the Hague sold off in just two hours last Saturday. </component>
    <component id="SUMMARY.ASCII.FORMATTEDBULLET" isBullet="Yes" order="3">St Modwen – 1H-14 Results – Stepping On The Gas – More to Go: St Modwen reported strong 1H-14 results: EPRA NAV grew (+6% to 314p) and profit before all tax was up 32% to £51.3m (JPMe FY: £102m). However, we believe there is more to go. The group is gearing (further) into the regional commercial development recovery with 1m sq ft of projects underway while progressing their flagship scheme – New Covent Garden Market (on-site in 1H-15), seeing “excellent sales rates” in their residential projects, selling land ahead of book value, and taking (some) yield compression on the income producing portfolio. In our recent note, We buy the dips…and this is a dip, we stress tested St Modwen to the downside and see these results as (very) supportive of our OW stance. Please click here to read on.</component>
    <component id="SUMMARY.ASCII.FORMATTEDBULLET" isBullet="Yes" order="4">Luxury Brands Need to Upgrade Discount Stores says Scott Malkin: According to Bloomberg, the Chairman of Value Retail Plc – Scott Malkin believes luxury goods companies are wrong to treat discount outlets as “dumping grounds” for surplus stock and the practice risks alienating shoppers. Mr Malkin added that luxury brands should provide a shopping experience in outlets that is comparable to their full-price stores… “the notion of what’s acceptable as an experience is shifting…we’ve reached a tipping point.” The shift comes as brands like Kering SA –owned Gucci prioritize refurbishing their full price stores amid slowing sales whereas sales in discounted (aka off-price sales) have surged 26% over the last year. Mr Malkin went further saying “The brands don’t treat the outlet stores with respect…many of them say just sell it and charge us as little as possible and send us the money.” Customers that are attracted to the likes of Bicester Village – Value Retail’s outlet near Oxford are price insensitive (as exemplified by the number of expensive chauffer driven cars that can be seen at the centre)…“you want the right relationship with those people.” Mr Malkin added that Value Retail will be able to keep growing “in a meaningful way” in Europe. (Source: Bloomberg)</component>
    <component id="SUMMARY.ASCII.FORMATTEDBULLET" isBullet="Yes" order="5">Scottish Independence raises red flag for real estate investors: According to Bloomberg, Scotland’s lagging commercial property market (behind London) has developed another obstacle for investors – a potential breakup from the UK. Brokers and Investment managers are seeing the scheduled referendum weighing on the market… “clients are holding off on key decisions,” said Simon Light of EC Harris… “the element of uncertainty exists quite strongly and so people are just waiting.” Independence has “definitely come up on the radar screen of institutional investors…the consequence of it would be quite negative potentially for pricing in the Scottish market,” said Ben Stirling – Managing Director at Aviva. The best office buildings in Glasgow and Edinburgh are yielding c. 5.75%, unchanged over the last 5 years whereas in London yields have compressed to 3.75% in prime West End. According to Bloomberg, Derwent London and British Land both cited Scottish independence as risks for the market in recent Annual reports, whereas ICG-Longbow said UK commercial property funds are mostly limited to investing in their home country, independence may lead to them having to sell Scottish property holdings.(Source: Bloomberg).</component>
    <component id="SUMMARY.ASCII.FORMATTEDBULLET" isBullet="Yes" order="6">Pushing Button – 210,000sq ft Speculative Reading Office Tower: In a sign supporting St Modwen’s increasingly positive view on more regional UK, Benson Elliot and Stanhope are to speculative develop a 210,000sq ft Reading office tower at its £500m Station Hill scheme in Reading. Construction has been committed to in Jun-15 should a pre-let have not emerged. Strutt &amp; Parker and Savills will be advising on the offices and will be seeking rents in the mid £30’s/sq ft. The building will be made up of 16 upper floors with typical floorplates of 14,000sq ft whereas the site also has consent for a further three major office buildings between 82,000sq ft and 300,000sq ft. Commenting, Savills said “occupier wise there is already a great and diverse tenant base in Reading, but we will also be targeting fringe London and West End tenants looking for scale and quality with great connectivity and benefit from cost savings. Reading’s position as a major hub with great connectively will also appeal to tenants from Birmingham through to Bristol and Cardiff as well as the South Coast.” (Source: CoStar).  </component>
    <component id="SUMMARY.ASCII.FORMATTEDBULLET" isBullet="Yes" order="7">Bracknell office refurbishment sale in another sign of growing confidence: According to CoStar, Cordea Savills has acquired Greenwood House in Bracknell for a major office refurbishment. The vacant 70,451sq ft building was sold for £6.2m after being brought to the market earlier this yield with a price tag of &gt;£4m. The asset will now undergo major refurbishment to Grade A quality and will be ready for occupation in 1Q-15. Interestingly, there had been expectations for the asset to be sold and converted to residential. (Source: CoStar).   </component>
    <component id="SUMMARY.ASCII.FORMATTEDBULLET" isBullet="Yes" order="8">Hibernia to buy Dublin’s Observatory Building: The Irish REIT Hibernia has exchanged contracts to acquire the Observatory Building in Dublin for €52.25m. The property is on the riverfront at Sir John Rogerson’s Quay in the South Docks area of Dublin and is immediately in front of the Hanover Building and Windmill Lane site, which Hibernia also recently bought. </component>
    <component id="SUMMARY.ASCII.FORMATTEDBULLET" isBullet="Yes" order="9">The Observatory Building was built in 2006 and comprises 86,213 sq ft of office space arranged over six floors. There are also eight partially-completed two bedroom apartment units of around 1,400 sq ft each and two vacant retail units totalling 2,059 sq ft.</component>
    <component id="SUMMARY.ASCII.FORMATTEDBULLET" isBullet="Yes" order="10">The office space is more than 95% let to a range of tenants, including Riot Games and Publicis, at low average rents of €26/sq ft, with a weighted average period to break of four years and an average unexpired lease term of 11 years. More than 44% of the current rent roll has rent reviews during or before 2018 with 56% subject to review in 2019. </component>
    <component id="SUMMARY.ASCII.FORMATTEDBULLET" isBullet="Yes" order="11">Once the rent free periods expire, the building will generate a net yield of 4.1%. The purchase price reflects a capital value of €586/sq ft for the office space. </component>
    <component id="SUMMARY.ASCII.FORMATTEDBULLET" isBullet="Yes" order="12">Following the completion of this transaction, Hibernia will have concluded eight acquisitions since listing, committing €307m, over 82% of the net proceeds raised in December 2013. (Source: PropertyWeek) </component>
    <component id="SUMMARY.ASCII.FORMATTEDBULLET" isBullet="Yes" order="13">SEGRO completes €472m SELP acquisition: This morning, SEGRO confirmed it had completed the remaining €185m of the €472m portfolio acquisition within SEGRO SELP further to announcements dated 11-Feb and 30-May. As a result, the current contracted annualized net rental income associated with the assets completed is €11.6m taking the total to €31.6m. (Source: Company Press Release).</component>
    <component id="SUMMARY.ASCII.FORMATTEDBULLET" isBullet="Yes" order="14">Brooke-Smith to be named first female RICS president: According to PropertyEU, Louise Brooke-Smith has been named as the first female president of RICS – the Royal Institution of Chartered Surveryors – its first in its 146 year history. (Source: PropertyEU).</component>
    <component id="SUMMARY.ASCII.FORMATTEDBULLET" isBullet="Yes" order="15">Warrington Mall sells for £141m reflecting a 6.75% yield: According to CoStar, LaSalle has acquired Golden Square Shopping Centre in Warrington for £141m in a deal reflecting a yield of 6.75%. The 712,500sq ft scheme has 133 units and is anchored by the likes of Debenhams, Primark, Bhd and Boots. The centre benefits from footfall in excess of 12m p.a. and boasts a 1,700 space car park. (Source: CoStar). </component>
    <component id="SUMMARY.ASCII.FORMATTEDBULLET" isBullet="Yes" order="16">M&amp;G makes leap for £46.7m Quantum business park: M&amp;G Real Estate has bought Quantum Business Park in Maidenhead from Urban &amp; Civic for £46.7m. The off-market deal, which completed for a net initial yield of 6.7%, was made on behalf of the M&amp;G Property Portfolio.</component>
    <component id="SUMMARY.ASCII.FORMATTEDBULLET" isBullet="Yes" order="17">Quantum Business Park comprises two grade A office buildings totalling 123,217 sq ft, multi-let to six tenants at a rent of £3.3m per annum. Occupiers include Biogen, Abbott Laboratories, Compuware and Seagate Technology. The scheme on Norden Road was completed by Terrace Hill in 2009.</component>
    <component id="SUMMARY.ASCII.FORMATTEDBULLET" isBullet="Yes" order="18">This deal is the first since the completion of the Urban &amp; Civic’s reverse takeover of Terrace Hill, which developed Quantum in 2008. Terrace Hill own a 26% share of the JV, and will receive net cash of £3.7m after repayment of bank debt in the JV. The remaining 74% is owned by a Middle Eastern fund management by Marick Real Estate. Terrace Hill had previously fully marked down its investment in the JV. The deal should be seen in light of a significant increase in business activity in the South East, as well as the completion of Crossrail in 2018/2019. </component>
    <component id="SUMMARY.ASCII.FORMATTEDBULLET" isBullet="Yes" order="19">Rob Lane, Development Director of Terrace Hill, said: “The proceeds will allow further opportunity for our recently enlarged business to focus on new development-led opportunities in clearly identified sectors. The transaction is in line with our twin focus on commercial development and trading opportunities across Central London and the UK’s regions, combined with creating large-scale residential-led sites that benefit from strong transport links as well as robust local economies, and we look forward to announcing further transactions in due course.” (Source: CoStar). </component>
    <component id="SUMMARY.ASCII.FORMATTEDBULLET" isBullet="Yes" order="20">Dutch office take-up stable in Q2, but vacancy also up: Take-up in the Dutch office market has reached 243,249 sq m in Q2, which constitutes an increase of 16% (33,000 sq m) yoy. The increase can mainly be attributed to ING Bank using up half of its recently acquired 46,500 Cisco office in Amsterdam South-East.  The current available stock (excluding grey space) currently stands at 7.2m sq m. The available stock has increased 2% versus 3 months ago. (Source: Dynamis Real Estate Consultants and Agents, Vastgoedmarkt).</component>
    <component id="SUMMARY.ASCII.FORMATTEDBULLET" isBullet="Yes" order="21">Lone Star reported to bid for €250-300m Dutch office portfolio: US private equity firm Lone Star reportedly is in talks with CBRE Gobal Investors on the acquisition of a sizeable Dutch office portfolio. </component>
    <component id="SUMMARY.ASCII.FORMATTEDBULLET" isBullet="Yes" order="22">The portfolio would consist of 29 office assets, valued at around €250-300m. Lone Star would have put in a bid reflecting 8x annual rent (gross yield 12.5%). The Dutch Office Fund of CBRE GI has €2bn of offices for sale. Last year, the fund sold €165m worth of offices to Blackstone. In September 2013, a €120m portfolio was sold to a JV consisting of OVG and Goldman Sachs. (Source: Vastgoedmarkt). </component>
    <component id="SUMMARY.ASCII.FORMATTEDBULLET" isBullet="Yes" order="23">Hansteen acquires €106m Dutch logistics portfolio: The Dutch logistics market continues to do well. Internos Global Investors has sold the HBI-portfolio to Hansteen Holdings. The transaction amount was €106m. The portfolio consists of 41 logistic assets with a combined surface of 370,000 sq m.  The portfolio will be managed from Hansteen’s existing office and Amsterdam and a newly opened office at Smart Business Park in Utrecht, one of the properties in the portfolio. The assets generate gross rental income of €15.4m, and the current vacancy rate is around 20%, which “provides a significant opportunity to add value”. Ian Watson, joint Chief Executive, said that the board is “confident we will see a large uplift at the next valuation”. (Source: Vastgoedmarkt, Company press release). </component>
    <component id="SUMMARY.ASCII.FORMATTEDBULLET" isBullet="Yes" order="24">Pramerica acquired 49/51 avenue George V in Paris:  Pramerica Real Estate Investors has acquired a mixed used building consisting of 5,265 sqm of office and retail space situated on 49/51 avenue George V. The building has 8 storeys, was fully renovated in 2007, and offers flexible spaces.</component>
    <component id="SUMMARY.ASCII.FORMATTEDBULLET" isBullet="Yes" order="25">Jocelyn Verdelon, head of France, Spain and Portugal at Pramerica, said: “The 49/51 avenue George V combines quality commercial premises and spaces of modern and efficient office overlooking the Champs-Elysées. We believe that prime assets benefiting from prime locations have a high potential for reversion and provide, therefore, an attractive risk-return profile” (Source: Business Immo). </component>
    <component id="SUMMARY.ASCII.FORMATTEDBULLET" isBullet="Yes" order="26">Recent note: Property: We buy the dips... and this is a dip. Pick up Land Secs, British Land, St Modwen &amp; Quintain. The recent sell-off in the EPRA UK index presents an opportunity in our view and we would pick up Land Securities (19% upside), British Land (17% upside), St Modwen (25% upside) and Quintain (51% upside) at current levels. We flex our models and find we have to factor in very bearish assumptions to see downside from here (British Land: c.0% capital growth for ’14 and ‘15) while underlying property fundamentals remain strong (IPD since Mar-14: +1.9%) and our DCFs point to more capital growth (up to 19% over the next 12 months). We recommended buying the dips...this is a dip. To continue reading, please click here. </component>
    <component id="SUMMARY.ASCII.FORMATTEDBULLET" isBullet="Yes" order="27">Recent note: German Residential: Still our preferred play on the Continent: We buy ANN &amp; LEG ahead of probable ECB rate cut on 5-June. We continue to prefer German residential on the Continent and following a strong results period we upgrade PTs by 7-13% and reiterate our preference for Deutsche Annington and LEG. We would buy ahead of a probable ECB rate cut on 5-June (JPMe: 15bps) as we find German residential outperformed property peers (8.0%) and MSCI Europe (6.2%) around the time of the last 14 ECB rate cuts. We also point to the strong correlation between German residential outperformance and the 10-YR bund (-82%), which our strategists now expect to be 1.85% in Mar-15 (2.25%). To continue reading, please click here. </component>
    <component id="SUMMARY.ASCII.FORMATTEDBULLET" isBullet="Yes" order="28">Recent note: Intu Properties: Deep dive intu the issues: Downgrade to UW. Intu has a good shopping centre portfolio, an ambitious £1.2bn development pipeline, and the potential to boost further/create real destinations (e.g. branding and increasing F&amp;B exposure, though this is yet to be proven). However, given (1) the uncertainty around funding and timing of the pipeline, (2) expected negative LFL rental growth in 2014/15 (increased vacancy &amp; lease expiries), and (3) limited near term catalysts to drive a turnaround, we downgrade to UW (from N). We also cut our May-15 EVM-based PT to 305p (from 340p, -10%), having updated our model for FY13 results and the £500m rights issue. To continue reading, please click here. </component>
    <component id="SUMMARY.ASCII.FORMATTEDBULLET" isBullet="Yes" order="29">Recent note: Good things come in SMid packages... Following an active few months in the UK SMid property space, we update numbers and reiterate our preference for Quintain and St Modwen. In addition, we think there is more to come from Songbird (upgrade to OW) following strong FY results and we increase LondonMetric’s PT to 155p staying OW. We also update Derwent’s development pipeline and Great Portland NAVs due to higher capital growth but stay Neutral. Workspace continues to be our preferred London play and we upgrade our PT to 630p. We find it increasingly difficult to find value in the West End, with mild yield expansion in 16 &amp; 17 negating front loading in 14 &amp; 15. To continue reading, please click here. </component>
    <component id="SUMMARY.ASCII.FORMATTEDBULLET" isBullet="Yes" order="30">Recent initiation: Grand City: Take me down to the Paradise City where the upside is high as the units are empty: We initiated coverage of Grand City Properties, with an OW rating and 20% potential upside to our €9.75 price target. Grand City focuses on the acquisition and turning around of distressed portfolios with high vacancy (c30%) and poor cost control. The resulting rental income created drives FFO ps 4-yr CAGR of 12.8% and NAV ps 4-yr CAGR of 14.6%, while the stock currently trades on a 2015e P/FFO of 13x and P/NAV of 0.87x. Valuation looks compelling on these metrics and we see five reasons to buy. For more please click here.</component>
    <component id="SUMMARY.ASCII.FORMATTEDBULLET" isBullet="Yes" order="31">Recent note: British Land: Upgrading to OW... but care needed... property yields move out before rents peak. We think the strong IPD capital growth since end-Sept (All Property +5.4% to Mar-14) raises the prospect of full-year NAV surprises in the UK. We increase capital growth for British Land to 5.7% (2.9%) taking our PT to 740p (680p, +9%) offering 13% total return and upgrade to OW. Our new Mar-14E NAV is 668p (638p, +5%) although we see potential for up to 692p. We think the UK sector will remain supported given an improving rental outlook and capital flows although care is needed: in the 90’s and 00’s property yields moved out 15 &amp; 11 months before rents peaked and rental growth didn’t save the sector. To continue reading, please click here. </component>
    <component id="SUMMARY.ASCII.FORMATTEDBULLET" isBullet="Yes" order="32">Recent note: Wereldhave: Investor day takeaways, active asset management continues. Wereldhave hosted an investor day in Amsterdam, which included management presentations and visits to three shopping centres. Our takeaways: (1) Management has active plans across all the Dutch centres (€80m capex at 5.9% yield), including re-tenanting, re-routing/unit amalgamation, upgrading, and adding Food &amp; Leisure, (2) the Dutch retail environment remains tough, but there are some small signs of improvement (we remain cautious), (3) Recent acquisition Vier Meren in Hoofdorp (from Unibail) is a good asset in our view, (4) It will be tricky to find further attractive acquisition opportunities. Overall, we see the company as being one to watch, but we remain Neutral for now, relative upside and limited near-term catalysts. To continue reading, please click here.</component>
    <component id="SUMMARY.ASCII.FORMATTEDBULLET" isBullet="Yes" order="33">Recent note: Property: Dining out on European Retail. European retail property companies are responding to demand for an enhanced Leisure experience in shopping centres. Compared to the newest malls being opened, where c. 20-25% of space is Food &amp; Leisure, listed portfolios are generally undersupplied (average: 10%), but this is being addressed in the development pipelines. The current leaders are Land Secs (14% of portfolio) and Unibail (15-20%), while Intu and Hammerson are adding the most F&amp;L space (+80% increase in F&amp;L space). We find adding F&amp;L space can boost footfall, dwell times and retail spend, and we expect this trend to continue. To continue reading, please click here.</component>
    <component id="SUMMARY.ASCII.FORMATTEDBULLET" isBullet="Yes" order="34">Recent note: UK Property: Feeling Gilty... but fall in bond yields not enough to upgrade outlook. In our view, the trend for UK rates is upwards, despite the YTD move. We flex our models, pricing in the current Gilt (270bps) and find the UK offers ‘just’ 11% upside to valuations in this scenario. The risk-return profile for the UK appears to be deteriorating given: 1) expectations for the 10-yr Gilt to reach 370bps by Dec-14 (+100bps over 9 months); 2) lacklustre share price reactions to stellar results; and 3) the correlation of the current recovery with that in the 90’s, which points to a correction. Although momentum is to the upside, we wouldn’t be aggressively buying the sector here, waiting for a pull back while we continue to prefer SMIDs – Quintain &amp; St Modwen – which we note offer more upside &amp; outperform large caps in a rising yield environment. To continue reading, please click here. </component>
    <component id="SUMMARY.ASCII.FORMATTEDBULLET" isBullet="Yes" order="35">Recent note: Quintain Estates &amp; Development: Last chance to get your ticket to Wembley. We revisit our original analysis on the potential selling price of Wembley based on 1) local borough average flat prices; and 2) the average premium of new build over existing flats around London. We find that the average asking price in Wembley’s surrounding postcodes has increased by 12.2% since January 2013; however, the premium of new over existing stock has increased from 28% to 44%. Conservatively taking the previous premium for new builds with the new postcode average, we come to a selling price today of £535 psf. We also see an opportunity for Private Rented Sector development that could be worth 5p ps by 2015. We upgrade our NAV profile and January 2015 price target from 110p to 130, giving 25% potential upside. To continue reading, please click here. </component>
    <component id="SUMMARY.ASCII.FORMATTEDBULLET" isBullet="Yes" order="36">Recent note: European Property: 2014 Conference takeaways: Running with the bulls. We hosted two property tours in London and our (biggest ever) annual conference. We noted that optimism is no longer confined to core markets, and across Europe both occupational and investor sentiment is the most bullish for years. This note summarises our conference highlights including: 1) total return expectations from CEOs and investors seem optimistic to us; 2) however, a wave of capital is bearing down on European property in 2014; and 3) London offices are in delivery phase, next comes de-risking. A sense of bullishness was in the air; however, so was caution. Our favourite quote? “Who is going to buy from you so you can realise your 15% IRR?” To continue reading, please click here. </component>
    <component id="SUMMARY.ASCII.FORMATTEDBULLET" isBullet="Yes" order="37">Recent note: Total returns to slow in 2014 but still plenty to go for. We continue the Great Rotation theme in 2014, with UK prime property facing rising bond yields while UK secondary and the continent appear set to benefit from improving GDP growth. We upgrade price targets by an average of 8%, largely due to increased rental growth forecasts, for 7% sector upside potential and note a deteriorating risk/return profile in 2014. We remain constructive, however, and see reasons to be positive including: 1) Top Picks offer 13% upside potential, 2) good secondary UK entering the sweet spot, 3) the yield spread remains supportive, 4) UK GDP growth being revised upwards, 5) we would buy the dips to improve IRR, and 6) the sector we see poised for greatest improvement in 2014 – UK retail. </component>
    <component id="SUMMARY.ASCII.FORMATTEDBULLET" isBullet="Yes" order="38">Recent note: Property: 2014: The Great Rotation gathers pace, clear winners in the sector. The UK has been the star performer in the European property sector year-to-date with a total return of +22% versus the continent +1%. However, we find the listed sector well bid with an expected better entry point over the next 18 months, and see 2014 annual returns for the sector lower vs. 2013. In November, when we had c.5% upside for the sector, we saw the sector as increasingly unattractive, and we welcome the pull back into the year end. Our sector upside is c. 10% today, and, while this could rise further if bond yields remain at current levels, we are starting to push boundaries. However, there will still be clear winners: in the UK, we remain Overweight higher yielding good secondary retail and industrial property, and peripheral London over prime West End, and focus on specialists, like LondonMetric, Big Yellow, St. Modwen, Workspace, etc. So, what will 2014 look like? Below we look back on 2013 in a light-hearted way and give you our current thoughts. We hope you enjoy our year-end note. </component>
    <component id="SUMMARY.ASCII.FORMATTEDBULLET" isBullet="Yes" order="39">Recent note: Property: Survey indicates Rotation theme gaining traction – More to come. The Rotation theme is gaining traction, as our survey of 149 property players shows that the majority (65%) see secondary outperforming prime in the UK (a major shift from this time last year), 50% expect the West End to perform in-line at best, and participants see UK industrial &amp; secondary UK retail outperforming. In addition, UK capital growth expectations have significantly improved vs. last year, the Netherlands now have the worst prospects (prev. Spain), the current (UK) results should be positive (so far so good), appetite for risk has increased (we also move slightly up the risk curve), and IPOs/M&amp;A remain on the cards (we agree). </component>
    <component id="SUMMARY.ASCII.FORMATTEDBULLET" isBullet="Yes" order="40">Recent note: Out-of-the-box research: 3D Printing – A trend to watch. Since our futuristic Beam me up, Property! note in March, several other reports on this topic have been written (e.g. JLL). We investigated 3D printing (3DP) further: we visited an exhibition “The Future is Here”, met with 3DP entrepreneur Sylvain Preumont and went to his 3DP shop iMakr, and conclude: 3DP is a trend to watch. Near term, the impact is limited (maybe even over-hyped), but mall operators should lure 3DP store tenants and focus even more on leisure/experience, as 3DP may lead to a high street revival. It will also be positive for London office take-up (TMT), but challenging for logistics (LT). </component>
    <component id="SUMMARY.ASCII.FORMATTEDBULLET" isBullet="Yes" order="41">2013 PROPERTY HANDBOOK! The Great Rotation. We are pleased to present our 7th handbook. Since Mar-09, the EPRA Europe has returned 163% (UK 187%). We see 15% potential upside after the recent retreat, but expect underlying momentum to slow. Investment themes have been: prime vs. secondary, sell Spain and continental retail vs. UK. It is time to rotate to the other side of the trade. We like exposure to infrastructure projects, industrial and Spanish and Dublin offices, but expect the West End magic to fade in 12m. Over-renting remains an issue and corporate governance matters. </component>
    <component id="SUMMARY.ASCII.FORMATTEDBULLET" isBullet="Yes" order="42">Don’t have time to read all 460 pages of our European Property Handbook? Sit back and listen to our 5 minute audio-visual presentation: http://jpmorgan-eu.adobeconnect.com/thegreatrotation/</component>
    <component id="SUMMARY.ASCII.FORMATTEDBULLET" isBullet="Yes" order="43">Quote of the day: “And that’s the way it is.” (Walter Cronkite) </component>
    <component id="SUMMARY.ASCII.FORMATTEDBULLET" isBullet="Yes" order="44">View our Bloomberg pages. Type JPMA &lt;GO&gt; to find and download J.P. Morgan research from Bloomberg</component>
  </BulletList>
  <ContentTypeList>
    <ContentType>PUBNOT</ContentType>
  </ContentTypeList>
  <PrimaryAnalystList>
    <PrimaryAnalyst analystID="U306958">Tim Leckie, CFA</PrimaryAnalyst>
  </PrimaryAnalystList>
  <SecondaryAnalystList>
    <SecondaryAnalyst analystID="W297701">Neil Green, CFA</SecondaryAnalyst>
    <SecondaryAnalyst analystID="O602358">Jan Willem Van Kranenburg</SecondaryAnalyst>
    <SecondaryAnalyst analystID="N052483">Annelies Vermeulen</SecondaryAnalyst>
    <SecondaryAnalyst analystID="R261609">John Van Marle</SecondaryAnalyst>
  </SecondaryAnalystList>
  <PrimaryCompanyList/>
  <SecondaryCompanyList>
    <SecondaryCompany companyID="BNSI.MI">Beni Stabili</SecondaryCompany>
    <SecondaryCompany companyID="SMP.L">St. Modwen Pr</SecondaryCompany>
    <SecondaryCompany companyID="SGRO.L">SEGRO</SecondaryCompany>
  </SecondaryCompanyList>
  <ExpiryDate/>
  <RICList>
    <RIC>BNSI.MI</RIC>
    <RIC>SMP.L</RIC>
    <RIC>SGRO.L</RIC>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BLOOMBERG-EMEA</destination>
    <destination>GREENJAR</destination>
    <destination>VAULT</destination>
    <destination>MORGAN-MARKETS</destination>
    <destination>WSOD-RBC</destination>
    <destination>THOMSON-EQUITIES</destination>
    <destination>FACTSET</destination>
    <destination>REUTERS-EQUITIES</destination>
    <destination>CAPITAL-IQ-EQUITIES</destination>
    <destination>WSOD</destination>
    <destination>AMBA</destination>
    <destination>PRIVATEBANK</destination>
    <destination>WSOD-MorganOnline</destination>
  </distribution>
  <documentId>GPS-1429840-0</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160B0FA7-6C27-4156-AAB3-3CA55C61A2C8}">
  <ds:schemaRefs/>
</ds:datastoreItem>
</file>

<file path=customXml/itemProps6.xml><?xml version="1.0" encoding="utf-8"?>
<ds:datastoreItem xmlns:ds="http://schemas.openxmlformats.org/officeDocument/2006/customXml" ds:itemID="{888CC783-8606-4FEC-9225-681DEC4D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NonCompanyNote.dotm</Template>
  <TotalTime>0</TotalTime>
  <Pages>15</Pages>
  <Words>8114</Words>
  <Characters>42584</Characters>
  <Application>Microsoft Office Word</Application>
  <DocSecurity>0</DocSecurity>
  <Lines>1159</Lines>
  <Paragraphs>627</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50163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Annelies Vermeulen</dc:creator>
  <cp:lastModifiedBy>John Burke</cp:lastModifiedBy>
  <cp:revision>2</cp:revision>
  <dcterms:created xsi:type="dcterms:W3CDTF">2014-07-01T08:06:00Z</dcterms:created>
  <dcterms:modified xsi:type="dcterms:W3CDTF">2014-07-01T08:06:00Z</dcterms:modified>
</cp:coreProperties>
</file>