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線性代數 第三週</w:t>
      </w:r>
    </w:p>
    <w:p w14:paraId="00000002">
      <w:pPr>
        <w:rPr/>
      </w:pPr>
      <w:r>
        <w:rPr/>
        <w:t xml:space="preserve">特徵值與特徵向量是本章重點。</w:t>
      </w:r>
    </w:p>
    <w:p w14:paraId="00000003">
      <w:pPr>
        <w:rPr/>
        <w:pStyle w:val="Heading2"/>
      </w:pPr>
      <w:r>
        <w:rPr/>
        <w:t xml:space="preserve">定義</w:t>
      </w:r>
    </w:p>
    <w:p w14:paraId="00000004">
      <w:pPr>
        <w:rPr/>
      </w:pPr>
      <w:r>
        <w:rPr/>
        <w:t xml:space="preserve">設 A 為方陣，</w:t>
      </w:r>
      <w:r>
        <w:rPr>
          <w:b/>
          <w:bCs/>
        </w:rPr>
        <w:t xml:space="preserve">若存在非零向量 v</w:t>
      </w:r>
      <w:r>
        <w:rPr/>
        <w:t xml:space="preserve"> 使得 Av = λv。</w:t>
      </w:r>
    </w:p>
    <w:p w14:paraId="00000005">
      <w:pPr>
        <w:rPr/>
        <w:numPr>
          <w:numId w:val="1"/>
          <w:ilvl w:val="0"/>
        </w:numPr>
      </w:pPr>
      <w:r>
        <w:rPr/>
        <w:t xml:space="preserve">可對角化</w:t>
      </w:r>
    </w:p>
    <w:p w14:paraId="00000006">
      <w:pPr>
        <w:rPr/>
        <w:numPr>
          <w:numId w:val="1"/>
          <w:ilvl w:val="0"/>
        </w:numPr>
      </w:pPr>
      <w:r>
        <w:rPr/>
        <w:t xml:space="preserve">特徵多項式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