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24"/>
        </w:rPr>
        <w:t>十、研究設備費：</w:t>
      </w:r>
    </w:p>
    <w:p>
      <w:pPr>
        <w:spacing w:after="0"/>
        <w:ind w:left="510" w:hanging="397"/>
      </w:pPr>
      <w:r>
        <w:rPr>
          <w:b w:val="0"/>
          <w:sz w:val="22"/>
        </w:rPr>
        <w:t>(一) 凡執行研究計畫所需單價在新臺幣一萬元以上且使用年限在二年以上與研究計畫直接有關之各項設備屬之。各類研究設備金額請於金額欄內分別列出小計金額。</w:t>
      </w:r>
    </w:p>
    <w:p>
      <w:pPr>
        <w:spacing w:after="0"/>
        <w:ind w:left="510" w:hanging="397"/>
      </w:pPr>
      <w:r>
        <w:rPr>
          <w:b w:val="0"/>
          <w:sz w:val="22"/>
        </w:rPr>
        <w:t>(二) 購置設備單價在新臺幣二十萬元以上者，須檢附估價單。</w:t>
      </w:r>
    </w:p>
    <w:p>
      <w:pPr>
        <w:spacing w:after="0"/>
        <w:ind w:left="510" w:hanging="397"/>
      </w:pPr>
      <w:r>
        <w:rPr>
          <w:b w:val="0"/>
          <w:sz w:val="22"/>
        </w:rPr>
        <w:t>(三) 若申請機構及其他機構有提供配合款，請務必註明提供配合款之機構及金額。</w:t>
      </w:r>
    </w:p>
    <w:p>
      <w:pPr>
        <w:spacing w:after="0"/>
        <w:ind w:left="510" w:hanging="397"/>
      </w:pPr>
      <w:r>
        <w:rPr>
          <w:b w:val="0"/>
          <w:sz w:val="22"/>
        </w:rPr>
        <w:t>(四) 儀器設備單價超過新臺幣六十萬元(含)以上者，請詳述本項設備之規格與功能(諸如靈敏度、精確度…等)，其他重要特性與重要附件，以及申購本設備對計畫執行之必要性。本項設備若獲補助，主持人應負維護保養之責，並且在不妨礙個人研究計畫或研究群計畫之工作下，同意提供他人共同使用，以避免設備閒置。</w:t>
      </w:r>
    </w:p>
    <w:p>
      <w:pPr>
        <w:spacing w:after="0"/>
        <w:ind w:left="510" w:hanging="397"/>
      </w:pPr>
      <w:r>
        <w:rPr>
          <w:b w:val="0"/>
          <w:sz w:val="22"/>
        </w:rPr>
        <w:t>(五) 計畫主持人執行本項研究計畫，如欲申請購置單價新臺幣壹千萬元(含)以上之大型儀器，請填表CM10-1。該項設備若獲本會核定補助新臺幣壹千萬元(含)以上，則單獨核給一個規劃計畫，主持人須遵守本會大型儀器之管考規定。</w:t>
      </w:r>
    </w:p>
    <w:p>
      <w:pPr>
        <w:spacing w:after="0"/>
        <w:ind w:left="510" w:hanging="397"/>
      </w:pPr>
      <w:r>
        <w:rPr>
          <w:b w:val="0"/>
          <w:sz w:val="22"/>
        </w:rPr>
        <w:t>(六) 經本會補助之大型儀器，儀器資訊須公開於本會全球資訊網之跨部會服務平台｢貴重儀器開放共同管理平台｣(https://www.nstc.gov.tw/folksonomy/instrument?l=ch)。</w:t>
      </w:r>
    </w:p>
    <w:p>
      <w:pPr>
        <w:spacing w:after="0"/>
        <w:ind w:left="510" w:hanging="397"/>
      </w:pPr>
      <w:r>
        <w:rPr>
          <w:b w:val="0"/>
          <w:sz w:val="22"/>
        </w:rPr>
        <w:t>(七) 請分年列述。</w:t>
      </w:r>
    </w:p>
    <w:p>
      <w:pPr>
        <w:tabs>
          <w:tab w:pos="9865" w:val="right"/>
        </w:tabs>
        <w:spacing w:after="40" w:before="160"/>
      </w:pPr>
      <w:r>
        <w:rPr>
          <w:b/>
          <w:sz w:val="22"/>
        </w:rPr>
        <w:t>第 1 年</w:t>
        <w:tab/>
        <w:t>金額單位：新臺幣元</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gridCol w:w="1233"/>
      </w:tblGrid>
      <w:tr>
        <w:tc>
          <w:tcPr>
            <w:tcW w:type="dxa" w:w="1247"/>
            <w:vMerge w:val="restart"/>
            <w:vAlign w:val="center"/>
          </w:tcPr>
          <w:p>
            <w:pPr>
              <w:jc w:val="center"/>
            </w:pPr>
            <w:r/>
            <w:r>
              <w:rPr>
                <w:b/>
                <w:sz w:val="21"/>
              </w:rPr>
              <w:t>類別</w:t>
            </w:r>
          </w:p>
        </w:tc>
        <w:tc>
          <w:tcPr>
            <w:tcW w:type="dxa" w:w="1474"/>
            <w:vMerge w:val="restart"/>
            <w:vAlign w:val="center"/>
          </w:tcPr>
          <w:p>
            <w:pPr>
              <w:jc w:val="center"/>
            </w:pPr>
            <w:r/>
            <w:r>
              <w:rPr>
                <w:b/>
                <w:sz w:val="21"/>
              </w:rPr>
              <w:t>設備名稱</w:t>
            </w:r>
          </w:p>
          <w:p>
            <w:pPr>
              <w:jc w:val="center"/>
            </w:pPr>
            <w:r>
              <w:rPr>
                <w:b/>
                <w:sz w:val="21"/>
              </w:rPr>
              <w:t>(中文/英文)</w:t>
            </w:r>
          </w:p>
        </w:tc>
        <w:tc>
          <w:tcPr>
            <w:tcW w:type="dxa" w:w="2494"/>
            <w:vMerge w:val="restart"/>
            <w:vAlign w:val="center"/>
          </w:tcPr>
          <w:p>
            <w:pPr>
              <w:jc w:val="center"/>
            </w:pPr>
            <w:r/>
            <w:r>
              <w:rPr>
                <w:b/>
                <w:sz w:val="21"/>
              </w:rPr>
              <w:t>說明</w:t>
            </w:r>
          </w:p>
        </w:tc>
        <w:tc>
          <w:tcPr>
            <w:tcW w:type="dxa" w:w="624"/>
            <w:vMerge w:val="restart"/>
            <w:vAlign w:val="center"/>
          </w:tcPr>
          <w:p>
            <w:pPr>
              <w:jc w:val="center"/>
            </w:pPr>
            <w:r/>
            <w:r>
              <w:rPr>
                <w:b/>
                <w:sz w:val="21"/>
              </w:rPr>
              <w:t>數量</w:t>
            </w:r>
          </w:p>
        </w:tc>
        <w:tc>
          <w:tcPr>
            <w:tcW w:type="dxa" w:w="907"/>
            <w:vMerge w:val="restart"/>
            <w:vAlign w:val="center"/>
          </w:tcPr>
          <w:p>
            <w:pPr>
              <w:jc w:val="center"/>
            </w:pPr>
            <w:r/>
            <w:r>
              <w:rPr>
                <w:b/>
                <w:sz w:val="21"/>
              </w:rPr>
              <w:t>單價</w:t>
            </w:r>
          </w:p>
        </w:tc>
        <w:tc>
          <w:tcPr>
            <w:tcW w:type="dxa" w:w="964"/>
            <w:vMerge w:val="restart"/>
            <w:vAlign w:val="center"/>
          </w:tcPr>
          <w:p>
            <w:pPr>
              <w:jc w:val="center"/>
            </w:pPr>
            <w:r/>
            <w:r>
              <w:rPr>
                <w:b/>
                <w:sz w:val="21"/>
              </w:rPr>
              <w:t>金額</w:t>
            </w:r>
          </w:p>
        </w:tc>
        <w:tc>
          <w:tcPr>
            <w:tcW w:type="dxa" w:w="2267"/>
            <w:gridSpan w:val="2"/>
            <w:vAlign w:val="center"/>
          </w:tcPr>
          <w:p>
            <w:pPr>
              <w:jc w:val="center"/>
            </w:pPr>
            <w:r/>
            <w:r>
              <w:rPr>
                <w:b/>
                <w:sz w:val="21"/>
              </w:rPr>
              <w:t>經費來源</w:t>
            </w:r>
          </w:p>
        </w:tc>
      </w:tr>
      <w:tr>
        <w:tc>
          <w:tcPr>
            <w:tcW w:type="dxa" w:w="1247"/>
            <w:vMerge/>
          </w:tcPr>
          <w:p/>
        </w:tc>
        <w:tc>
          <w:tcPr>
            <w:tcW w:type="dxa" w:w="1474"/>
            <w:vMerge/>
          </w:tcPr>
          <w:p/>
        </w:tc>
        <w:tc>
          <w:tcPr>
            <w:tcW w:type="dxa" w:w="2494"/>
            <w:vMerge/>
          </w:tcPr>
          <w:p/>
        </w:tc>
        <w:tc>
          <w:tcPr>
            <w:tcW w:type="dxa" w:w="624"/>
            <w:vMerge/>
          </w:tcPr>
          <w:p/>
        </w:tc>
        <w:tc>
          <w:tcPr>
            <w:tcW w:type="dxa" w:w="907"/>
            <w:vMerge/>
          </w:tcPr>
          <w:p/>
        </w:tc>
        <w:tc>
          <w:tcPr>
            <w:tcW w:type="dxa" w:w="964"/>
            <w:vMerge/>
          </w:tcPr>
          <w:p/>
        </w:tc>
        <w:tc>
          <w:tcPr>
            <w:tcW w:type="dxa" w:w="1020"/>
            <w:vAlign w:val="center"/>
          </w:tcPr>
          <w:p>
            <w:pPr>
              <w:jc w:val="center"/>
            </w:pPr>
            <w:r/>
            <w:r>
              <w:rPr>
                <w:b/>
                <w:sz w:val="21"/>
              </w:rPr>
              <w:t>本會補助</w:t>
            </w:r>
          </w:p>
          <w:p>
            <w:pPr>
              <w:jc w:val="center"/>
            </w:pPr>
            <w:r>
              <w:rPr>
                <w:b/>
                <w:sz w:val="21"/>
              </w:rPr>
              <w:t>經費需求</w:t>
            </w:r>
          </w:p>
        </w:tc>
        <w:tc>
          <w:tcPr>
            <w:tcW w:type="dxa" w:w="1247"/>
            <w:vAlign w:val="center"/>
          </w:tcPr>
          <w:p>
            <w:pPr>
              <w:jc w:val="center"/>
            </w:pPr>
            <w:r/>
            <w:r>
              <w:rPr>
                <w:b/>
                <w:sz w:val="21"/>
              </w:rPr>
              <w:t>提供配合款之機構名稱及金額</w:t>
            </w:r>
          </w:p>
        </w:tc>
      </w:tr>
      <w:tr>
        <w:tc>
          <w:tcPr>
            <w:tcW w:type="dxa" w:w="1247"/>
            <w:vAlign w:val="center"/>
          </w:tcPr>
          <w:p>
            <w:pPr>
              <w:jc w:val="left"/>
            </w:pPr>
            <w:r/>
            <w:r>
              <w:rPr>
                <w:b w:val="0"/>
                <w:sz w:val="21"/>
              </w:rPr>
              <w:t>儀器及資訊設備</w:t>
            </w:r>
          </w:p>
        </w:tc>
        <w:tc>
          <w:tcPr>
            <w:tcW w:type="dxa" w:w="1474"/>
            <w:vAlign w:val="center"/>
          </w:tcPr>
          <w:p>
            <w:pPr>
              <w:jc w:val="left"/>
            </w:pPr>
            <w:r/>
            <w:r>
              <w:rPr>
                <w:b w:val="0"/>
                <w:sz w:val="21"/>
              </w:rPr>
              <w:t>筆記型電腦</w:t>
            </w:r>
          </w:p>
          <w:p>
            <w:pPr>
              <w:jc w:val="left"/>
            </w:pPr>
            <w:r>
              <w:rPr>
                <w:b w:val="0"/>
                <w:sz w:val="21"/>
              </w:rPr>
              <w:t>Notebook computer</w:t>
            </w:r>
          </w:p>
        </w:tc>
        <w:tc>
          <w:tcPr>
            <w:tcW w:type="dxa" w:w="2494"/>
            <w:vAlign w:val="center"/>
          </w:tcPr>
          <w:p>
            <w:pPr>
              <w:jc w:val="left"/>
            </w:pPr>
            <w:r/>
            <w:r>
              <w:rPr>
                <w:b w:val="0"/>
                <w:sz w:val="21"/>
              </w:rPr>
              <w:t>剪輯 AI 與真人主播直播刺激片段、執行數位人影片輸出，以及內容分析、線性混合模型與 SEM 統計分析</w:t>
            </w:r>
          </w:p>
        </w:tc>
        <w:tc>
          <w:tcPr>
            <w:tcW w:type="dxa" w:w="624"/>
            <w:vAlign w:val="center"/>
          </w:tcPr>
          <w:p>
            <w:pPr>
              <w:jc w:val="right"/>
            </w:pPr>
            <w:r/>
            <w:r>
              <w:rPr>
                <w:b w:val="0"/>
                <w:sz w:val="21"/>
              </w:rPr>
              <w:t>1</w:t>
            </w:r>
          </w:p>
        </w:tc>
        <w:tc>
          <w:tcPr>
            <w:tcW w:type="dxa" w:w="907"/>
            <w:vAlign w:val="center"/>
          </w:tcPr>
          <w:p>
            <w:pPr>
              <w:jc w:val="right"/>
            </w:pPr>
            <w:r/>
            <w:r>
              <w:rPr>
                <w:b w:val="0"/>
                <w:sz w:val="21"/>
              </w:rPr>
              <w:t>50,000</w:t>
            </w:r>
          </w:p>
        </w:tc>
        <w:tc>
          <w:tcPr>
            <w:tcW w:type="dxa" w:w="964"/>
            <w:vAlign w:val="center"/>
          </w:tcPr>
          <w:p>
            <w:pPr>
              <w:jc w:val="right"/>
            </w:pPr>
            <w:r/>
            <w:r>
              <w:rPr>
                <w:b w:val="0"/>
                <w:sz w:val="21"/>
              </w:rPr>
              <w:t>50,000</w:t>
            </w:r>
          </w:p>
        </w:tc>
        <w:tc>
          <w:tcPr>
            <w:tcW w:type="dxa" w:w="1020"/>
            <w:vAlign w:val="center"/>
          </w:tcPr>
          <w:p>
            <w:pPr>
              <w:jc w:val="right"/>
            </w:pPr>
            <w:r/>
            <w:r>
              <w:rPr>
                <w:b w:val="0"/>
                <w:sz w:val="21"/>
              </w:rPr>
              <w:t>50,000</w:t>
            </w:r>
          </w:p>
        </w:tc>
        <w:tc>
          <w:tcPr>
            <w:tcW w:type="dxa" w:w="1247"/>
            <w:vAlign w:val="center"/>
          </w:tcPr>
          <w:p>
            <w:pPr>
              <w:jc w:val="left"/>
            </w:pPr>
            <w:r/>
            <w:r>
              <w:rPr>
                <w:b w:val="0"/>
                <w:sz w:val="21"/>
              </w:rPr>
            </w:r>
          </w:p>
        </w:tc>
      </w:tr>
      <w:tr>
        <w:tc>
          <w:tcPr>
            <w:tcW w:type="dxa" w:w="6746"/>
            <w:gridSpan w:val="5"/>
            <w:vAlign w:val="center"/>
          </w:tcPr>
          <w:p>
            <w:pPr>
              <w:jc w:val="center"/>
            </w:pPr>
            <w:r/>
            <w:r>
              <w:rPr>
                <w:b/>
                <w:sz w:val="21"/>
              </w:rPr>
              <w:t>合　　計</w:t>
            </w:r>
          </w:p>
        </w:tc>
        <w:tc>
          <w:tcPr>
            <w:tcW w:type="dxa" w:w="964"/>
            <w:vAlign w:val="center"/>
          </w:tcPr>
          <w:p>
            <w:pPr>
              <w:jc w:val="right"/>
            </w:pPr>
            <w:r/>
            <w:r>
              <w:rPr>
                <w:b w:val="0"/>
                <w:sz w:val="21"/>
              </w:rPr>
              <w:t>50,000</w:t>
            </w:r>
          </w:p>
        </w:tc>
        <w:tc>
          <w:tcPr>
            <w:tcW w:type="dxa" w:w="1020"/>
            <w:vAlign w:val="center"/>
          </w:tcPr>
          <w:p>
            <w:pPr>
              <w:jc w:val="right"/>
            </w:pPr>
            <w:r/>
            <w:r>
              <w:rPr>
                <w:b w:val="0"/>
                <w:sz w:val="21"/>
              </w:rPr>
              <w:t>50,000</w:t>
            </w:r>
          </w:p>
        </w:tc>
        <w:tc>
          <w:tcPr>
            <w:tcW w:type="dxa" w:w="1247"/>
            <w:vAlign w:val="center"/>
          </w:tcPr>
          <w:p>
            <w:pPr>
              <w:jc w:val="left"/>
            </w:pPr>
            <w:r/>
            <w:r>
              <w:rPr>
                <w:b w:val="0"/>
                <w:sz w:val="21"/>
              </w:rPr>
            </w:r>
          </w:p>
        </w:tc>
      </w:tr>
    </w:tbl>
    <w:p>
      <w:pPr>
        <w:tabs>
          <w:tab w:pos="9865" w:val="right"/>
        </w:tabs>
        <w:spacing w:after="40" w:before="160"/>
      </w:pPr>
      <w:r>
        <w:rPr>
          <w:b/>
          <w:sz w:val="22"/>
        </w:rPr>
        <w:t>第 2 年</w:t>
        <w:tab/>
        <w:t>金額單位：新臺幣元</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gridCol w:w="1233"/>
      </w:tblGrid>
      <w:tr>
        <w:tc>
          <w:tcPr>
            <w:tcW w:type="dxa" w:w="1247"/>
            <w:vMerge w:val="restart"/>
            <w:vAlign w:val="center"/>
          </w:tcPr>
          <w:p>
            <w:pPr>
              <w:jc w:val="center"/>
            </w:pPr>
            <w:r/>
            <w:r>
              <w:rPr>
                <w:b/>
                <w:sz w:val="21"/>
              </w:rPr>
              <w:t>類別</w:t>
            </w:r>
          </w:p>
        </w:tc>
        <w:tc>
          <w:tcPr>
            <w:tcW w:type="dxa" w:w="1474"/>
            <w:vMerge w:val="restart"/>
            <w:vAlign w:val="center"/>
          </w:tcPr>
          <w:p>
            <w:pPr>
              <w:jc w:val="center"/>
            </w:pPr>
            <w:r/>
            <w:r>
              <w:rPr>
                <w:b/>
                <w:sz w:val="21"/>
              </w:rPr>
              <w:t>設備名稱</w:t>
            </w:r>
          </w:p>
          <w:p>
            <w:pPr>
              <w:jc w:val="center"/>
            </w:pPr>
            <w:r>
              <w:rPr>
                <w:b/>
                <w:sz w:val="21"/>
              </w:rPr>
              <w:t>(中文/英文)</w:t>
            </w:r>
          </w:p>
        </w:tc>
        <w:tc>
          <w:tcPr>
            <w:tcW w:type="dxa" w:w="2494"/>
            <w:vMerge w:val="restart"/>
            <w:vAlign w:val="center"/>
          </w:tcPr>
          <w:p>
            <w:pPr>
              <w:jc w:val="center"/>
            </w:pPr>
            <w:r/>
            <w:r>
              <w:rPr>
                <w:b/>
                <w:sz w:val="21"/>
              </w:rPr>
              <w:t>說明</w:t>
            </w:r>
          </w:p>
        </w:tc>
        <w:tc>
          <w:tcPr>
            <w:tcW w:type="dxa" w:w="624"/>
            <w:vMerge w:val="restart"/>
            <w:vAlign w:val="center"/>
          </w:tcPr>
          <w:p>
            <w:pPr>
              <w:jc w:val="center"/>
            </w:pPr>
            <w:r/>
            <w:r>
              <w:rPr>
                <w:b/>
                <w:sz w:val="21"/>
              </w:rPr>
              <w:t>數量</w:t>
            </w:r>
          </w:p>
        </w:tc>
        <w:tc>
          <w:tcPr>
            <w:tcW w:type="dxa" w:w="907"/>
            <w:vMerge w:val="restart"/>
            <w:vAlign w:val="center"/>
          </w:tcPr>
          <w:p>
            <w:pPr>
              <w:jc w:val="center"/>
            </w:pPr>
            <w:r/>
            <w:r>
              <w:rPr>
                <w:b/>
                <w:sz w:val="21"/>
              </w:rPr>
              <w:t>單價</w:t>
            </w:r>
          </w:p>
        </w:tc>
        <w:tc>
          <w:tcPr>
            <w:tcW w:type="dxa" w:w="964"/>
            <w:vMerge w:val="restart"/>
            <w:vAlign w:val="center"/>
          </w:tcPr>
          <w:p>
            <w:pPr>
              <w:jc w:val="center"/>
            </w:pPr>
            <w:r/>
            <w:r>
              <w:rPr>
                <w:b/>
                <w:sz w:val="21"/>
              </w:rPr>
              <w:t>金額</w:t>
            </w:r>
          </w:p>
        </w:tc>
        <w:tc>
          <w:tcPr>
            <w:tcW w:type="dxa" w:w="2267"/>
            <w:gridSpan w:val="2"/>
            <w:vAlign w:val="center"/>
          </w:tcPr>
          <w:p>
            <w:pPr>
              <w:jc w:val="center"/>
            </w:pPr>
            <w:r/>
            <w:r>
              <w:rPr>
                <w:b/>
                <w:sz w:val="21"/>
              </w:rPr>
              <w:t>經費來源</w:t>
            </w:r>
          </w:p>
        </w:tc>
      </w:tr>
      <w:tr>
        <w:tc>
          <w:tcPr>
            <w:tcW w:type="dxa" w:w="1247"/>
            <w:vMerge/>
          </w:tcPr>
          <w:p/>
        </w:tc>
        <w:tc>
          <w:tcPr>
            <w:tcW w:type="dxa" w:w="1474"/>
            <w:vMerge/>
          </w:tcPr>
          <w:p/>
        </w:tc>
        <w:tc>
          <w:tcPr>
            <w:tcW w:type="dxa" w:w="2494"/>
            <w:vMerge/>
          </w:tcPr>
          <w:p/>
        </w:tc>
        <w:tc>
          <w:tcPr>
            <w:tcW w:type="dxa" w:w="624"/>
            <w:vMerge/>
          </w:tcPr>
          <w:p/>
        </w:tc>
        <w:tc>
          <w:tcPr>
            <w:tcW w:type="dxa" w:w="907"/>
            <w:vMerge/>
          </w:tcPr>
          <w:p/>
        </w:tc>
        <w:tc>
          <w:tcPr>
            <w:tcW w:type="dxa" w:w="964"/>
            <w:vMerge/>
          </w:tcPr>
          <w:p/>
        </w:tc>
        <w:tc>
          <w:tcPr>
            <w:tcW w:type="dxa" w:w="1020"/>
            <w:vAlign w:val="center"/>
          </w:tcPr>
          <w:p>
            <w:pPr>
              <w:jc w:val="center"/>
            </w:pPr>
            <w:r/>
            <w:r>
              <w:rPr>
                <w:b/>
                <w:sz w:val="21"/>
              </w:rPr>
              <w:t>本會補助</w:t>
            </w:r>
          </w:p>
          <w:p>
            <w:pPr>
              <w:jc w:val="center"/>
            </w:pPr>
            <w:r>
              <w:rPr>
                <w:b/>
                <w:sz w:val="21"/>
              </w:rPr>
              <w:t>經費需求</w:t>
            </w:r>
          </w:p>
        </w:tc>
        <w:tc>
          <w:tcPr>
            <w:tcW w:type="dxa" w:w="1247"/>
            <w:vAlign w:val="center"/>
          </w:tcPr>
          <w:p>
            <w:pPr>
              <w:jc w:val="center"/>
            </w:pPr>
            <w:r/>
            <w:r>
              <w:rPr>
                <w:b/>
                <w:sz w:val="21"/>
              </w:rPr>
              <w:t>提供配合款之機構名稱及金額</w:t>
            </w:r>
          </w:p>
        </w:tc>
      </w:tr>
      <w:tr>
        <w:tc>
          <w:tcPr>
            <w:tcW w:type="dxa" w:w="1247"/>
            <w:vAlign w:val="center"/>
          </w:tcPr>
          <w:p>
            <w:pPr>
              <w:jc w:val="left"/>
            </w:pPr>
            <w:r/>
            <w:r>
              <w:rPr>
                <w:b w:val="0"/>
                <w:sz w:val="21"/>
              </w:rPr>
              <w:t>無</w:t>
            </w:r>
          </w:p>
        </w:tc>
        <w:tc>
          <w:tcPr>
            <w:tcW w:type="dxa" w:w="1474"/>
            <w:vAlign w:val="center"/>
          </w:tcPr>
          <w:p>
            <w:pPr>
              <w:jc w:val="left"/>
            </w:pPr>
            <w:r/>
            <w:r>
              <w:rPr>
                <w:b w:val="0"/>
                <w:sz w:val="21"/>
              </w:rPr>
            </w:r>
          </w:p>
        </w:tc>
        <w:tc>
          <w:tcPr>
            <w:tcW w:type="dxa" w:w="2494"/>
            <w:vAlign w:val="center"/>
          </w:tcPr>
          <w:p>
            <w:pPr>
              <w:jc w:val="left"/>
            </w:pPr>
            <w:r/>
            <w:r>
              <w:rPr>
                <w:b w:val="0"/>
                <w:sz w:val="21"/>
              </w:rPr>
              <w:t>本年度無購置設備需求</w:t>
            </w:r>
          </w:p>
        </w:tc>
        <w:tc>
          <w:tcPr>
            <w:tcW w:type="dxa" w:w="624"/>
            <w:vAlign w:val="center"/>
          </w:tcPr>
          <w:p>
            <w:pPr>
              <w:jc w:val="right"/>
            </w:pPr>
            <w:r/>
            <w:r>
              <w:rPr>
                <w:b w:val="0"/>
                <w:sz w:val="21"/>
              </w:rPr>
            </w:r>
          </w:p>
        </w:tc>
        <w:tc>
          <w:tcPr>
            <w:tcW w:type="dxa" w:w="907"/>
            <w:vAlign w:val="center"/>
          </w:tcPr>
          <w:p>
            <w:pPr>
              <w:jc w:val="right"/>
            </w:pPr>
            <w:r/>
            <w:r>
              <w:rPr>
                <w:b w:val="0"/>
                <w:sz w:val="21"/>
              </w:rPr>
            </w:r>
          </w:p>
        </w:tc>
        <w:tc>
          <w:tcPr>
            <w:tcW w:type="dxa" w:w="964"/>
            <w:vAlign w:val="center"/>
          </w:tcPr>
          <w:p>
            <w:pPr>
              <w:jc w:val="right"/>
            </w:pPr>
            <w:r/>
            <w:r>
              <w:rPr>
                <w:b w:val="0"/>
                <w:sz w:val="21"/>
              </w:rPr>
              <w:t>0</w:t>
            </w:r>
          </w:p>
        </w:tc>
        <w:tc>
          <w:tcPr>
            <w:tcW w:type="dxa" w:w="1020"/>
            <w:vAlign w:val="center"/>
          </w:tcPr>
          <w:p>
            <w:pPr>
              <w:jc w:val="right"/>
            </w:pPr>
            <w:r/>
            <w:r>
              <w:rPr>
                <w:b w:val="0"/>
                <w:sz w:val="21"/>
              </w:rPr>
              <w:t>0</w:t>
            </w:r>
          </w:p>
        </w:tc>
        <w:tc>
          <w:tcPr>
            <w:tcW w:type="dxa" w:w="1247"/>
            <w:vAlign w:val="center"/>
          </w:tcPr>
          <w:p>
            <w:pPr>
              <w:jc w:val="left"/>
            </w:pPr>
            <w:r/>
            <w:r>
              <w:rPr>
                <w:b w:val="0"/>
                <w:sz w:val="21"/>
              </w:rPr>
            </w:r>
          </w:p>
        </w:tc>
      </w:tr>
      <w:tr>
        <w:tc>
          <w:tcPr>
            <w:tcW w:type="dxa" w:w="6746"/>
            <w:gridSpan w:val="5"/>
            <w:vAlign w:val="center"/>
          </w:tcPr>
          <w:p>
            <w:pPr>
              <w:jc w:val="center"/>
            </w:pPr>
            <w:r/>
            <w:r>
              <w:rPr>
                <w:b/>
                <w:sz w:val="21"/>
              </w:rPr>
              <w:t>合　　計</w:t>
            </w:r>
          </w:p>
        </w:tc>
        <w:tc>
          <w:tcPr>
            <w:tcW w:type="dxa" w:w="964"/>
            <w:vAlign w:val="center"/>
          </w:tcPr>
          <w:p>
            <w:pPr>
              <w:jc w:val="right"/>
            </w:pPr>
            <w:r/>
            <w:r>
              <w:rPr>
                <w:b w:val="0"/>
                <w:sz w:val="21"/>
              </w:rPr>
              <w:t>0</w:t>
            </w:r>
          </w:p>
        </w:tc>
        <w:tc>
          <w:tcPr>
            <w:tcW w:type="dxa" w:w="1020"/>
            <w:vAlign w:val="center"/>
          </w:tcPr>
          <w:p>
            <w:pPr>
              <w:jc w:val="right"/>
            </w:pPr>
            <w:r/>
            <w:r>
              <w:rPr>
                <w:b w:val="0"/>
                <w:sz w:val="21"/>
              </w:rPr>
              <w:t>0</w:t>
            </w:r>
          </w:p>
        </w:tc>
        <w:tc>
          <w:tcPr>
            <w:tcW w:type="dxa" w:w="1247"/>
            <w:vAlign w:val="center"/>
          </w:tcPr>
          <w:p>
            <w:pPr>
              <w:jc w:val="left"/>
            </w:pPr>
            <w:r/>
            <w:r>
              <w:rPr>
                <w:b w:val="0"/>
                <w:sz w:val="21"/>
              </w:rPr>
            </w:r>
          </w:p>
        </w:tc>
      </w:tr>
    </w:tbl>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20"/>
      </w:rPr>
      <w:t xml:space="preserve">表CM10　　計畫主持人：陳宜棻　　申請條碼編號：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標楷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