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body>
    <w:p>
      <w:pPr>
        <w:pStyle w:val="Title"/>
        <w:spacing w:before="0" w:after="240" w:line="480" w:lineRule="exact"/>
        <w:jc w:val="center"/>
      </w:pPr>
      <w:r>
        <w:rPr>
          <w:rFonts w:ascii="Times New Roman" w:hAnsi="Times New Roman" w:eastAsia="標楷體" w:cs="Times New Roman"/>
          <w:b/>
          <w:bCs/>
          <w:sz w:val="32"/>
          <w:szCs w:val="32"/>
        </w:rPr>
        <w:t xml:space="preserve">誰來賣、怎麼說、買了會不會退——AI 虛擬主播與真人主播的價值說服與購後後果：方法目的鏈、實驗設計與結構方程模式之二年期研究</w:t>
      </w:r>
    </w:p>
    <w:p>
      <w:pPr>
        <w:pStyle w:val="Heading1"/>
        <w:keepNext/>
        <w:spacing w:before="240" w:after="120" w:line="440" w:lineRule="exact"/>
      </w:pPr>
      <w:r>
        <w:rPr>
          <w:rFonts w:ascii="Times New Roman" w:hAnsi="Times New Roman" w:eastAsia="標楷體" w:cs="Times New Roman"/>
          <w:b/>
          <w:bCs/>
          <w:sz w:val="28"/>
          <w:szCs w:val="28"/>
        </w:rPr>
        <w:t xml:space="preserve">壹、研究計畫之背景及目的</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一、研究計畫之背景</w:t>
      </w:r>
    </w:p>
    <w:p>
      <w:pPr>
        <w:spacing w:before="0" w:after="0" w:line="440" w:lineRule="exact"/>
        <w:ind w:firstLineChars="200" w:firstLine="480"/>
        <w:jc w:val="both"/>
      </w:pPr>
      <w:r>
        <w:rPr>
          <w:rFonts w:ascii="Times New Roman" w:hAnsi="Times New Roman" w:eastAsia="標楷體" w:cs="Times New Roman"/>
        </w:rPr>
        <w:t xml:space="preserve">直播帶貨已由「網紅即時叫賣」發展為結合即時互動、社群口碑與交易的成熟電商模式。直播能讓賣家以即時畫面與互動建立消費者信任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)，主播的外型示範與價值觀分享，則是降低產品不確定性、促成購買的訊號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)。頂級期刊的近期研究也開始以大規模平台資料檢驗直播的銷售機制，例如大、小網紅組合對產品銷售的影響 (</w:t>
      </w:r>
      <w:hyperlink r:id="rIdL3" w:history="1">
        <w:r>
          <w:rPr>
            <w:rStyle w:val="Hyperlink"/>
            <w:rFonts w:ascii="Times New Roman" w:hAnsi="Times New Roman" w:eastAsia="標楷體" w:cs="Times New Roman"/>
          </w:rPr>
          <w:t xml:space="preserve">Gu et al., 2024</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b/>
          <w:bCs/>
        </w:rPr>
        <w:t xml:space="preserve">生成式 AI 讓「誰來賣」出現了新的選項：AI 虛擬主播。</w:t>
      </w:r>
      <w:r>
        <w:rPr>
          <w:rFonts w:ascii="Times New Roman" w:hAnsi="Times New Roman" w:eastAsia="標楷體" w:cs="Times New Roman"/>
        </w:rPr>
        <w:t xml:space="preserve">AI 虛擬主播能大幅降低營運成本、大量產製直播內容，但也帶來智慧財產、錯誤資訊與消費者保護等治理問題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)。對資源有限的中小企業而言，AI 虛擬主播是一項低成本的替代方案；然而，它是否真的「賣得動」，現有證據並不一致。以天貓服飾零售商為對象的準實驗與田野實驗發現，現階段的數位主播與「不直播」相比並未顯著提高銷售，真人主播則有明顯效果；在數位主播加入即時問答等互動功能後，銷售才明顯提升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)；然而，以美團外送直播的即時行為資料分析的研究卻發現，AI 主播的購買率高於真人主播，且語言情緒性與聲音變化越高，優勢越大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)。另一方面，</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發現相當比例的消費者對 AI 主播心存反感，反感來自擬人化與科技恐懼，並經由「不夠溫暖」與「不夠專業」兩條路徑形成；</w:t>
      </w:r>
      <w:hyperlink r:id="rIdL8" w:history="1">
        <w:r>
          <w:rPr>
            <w:rStyle w:val="Hyperlink"/>
            <w:rFonts w:ascii="Times New Roman" w:hAnsi="Times New Roman" w:eastAsia="標楷體" w:cs="Times New Roman"/>
          </w:rPr>
          <w:t xml:space="preserve">Chang et al. (2025)</w:t>
        </w:r>
      </w:hyperlink>
      <w:r>
        <w:rPr>
          <w:rFonts w:ascii="Times New Roman" w:hAnsi="Times New Roman" w:eastAsia="標楷體" w:cs="Times New Roman"/>
        </w:rPr>
        <w:t xml:space="preserve"> 則發現，消費者在 AI 主播的直播間更傾向尋找促銷資訊。</w:t>
      </w:r>
    </w:p>
    <w:p>
      <w:pPr>
        <w:spacing w:before="0" w:after="0" w:line="440" w:lineRule="exact"/>
        <w:ind w:firstLineChars="200" w:firstLine="480"/>
        <w:jc w:val="both"/>
      </w:pPr>
      <w:r>
        <w:rPr>
          <w:rFonts w:ascii="Times New Roman" w:hAnsi="Times New Roman" w:eastAsia="標楷體" w:cs="Times New Roman"/>
          <w:b/>
          <w:bCs/>
        </w:rPr>
        <w:t xml:space="preserve">然而，直播的成效不能只看「當下買不買」，還必須看「買了會不會退」。</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 以直播電商平台資料比較即時直播與重播場次，發現即時互動帶來的說服效果會把消費者的購前期望推高到超過產品實際表現，使退貨率上升；依該研究的估計，互動強度每增加一個標準差，退貨率最多上升 11.68 個百分點。熱烈的直播氣氛雖然提高立即購買意圖，卻會經由資訊過載與期望落差降低購後滿意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)。值得注意的是，</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 在直播平台上進行隨機田野實驗，發現 AI 直播助理使銷售提高 3.00%、退貨率降低 12.55%，且效果在不確定性高的產品上較強。這意味著 AI 在直播中的價值，可能不只在於「多賣」，也在於「少退」。</w:t>
      </w:r>
    </w:p>
    <w:p>
      <w:pPr>
        <w:spacing w:before="0" w:after="0" w:line="440" w:lineRule="exact"/>
        <w:ind w:firstLineChars="200" w:firstLine="480"/>
        <w:jc w:val="both"/>
      </w:pPr>
      <w:r>
        <w:rPr>
          <w:rFonts w:ascii="Times New Roman" w:hAnsi="Times New Roman" w:eastAsia="標楷體" w:cs="Times New Roman"/>
        </w:rPr>
        <w:t xml:space="preserve">行銷研究長期仰賴三種經典方法回答消費者行為問題：方法目的鏈（means-end chain, MEC）的階梯訪談、實驗設計與結構方程模式（structural equation modeling, SEM）。三者分別回答「為什麼」、「是否有因果」與「整條心理路徑是否成立」(</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 </w:t>
      </w:r>
      <w:hyperlink r:id="rIdL14"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)。本計畫以這三種方法為主軸，針對 AI 虛擬主播與真人主播，回答三個環環相扣的問題：</w:t>
      </w:r>
      <w:r>
        <w:rPr>
          <w:rFonts w:ascii="Times New Roman" w:hAnsi="Times New Roman" w:eastAsia="標楷體" w:cs="Times New Roman"/>
          <w:b/>
          <w:bCs/>
        </w:rPr>
        <w:t xml:space="preserve">消費者為什麼願意（或不願意）向 AI 主播購買？什麼樣的主播配上什麼樣的話術，能同時提高購買並降低後悔與退貨？這條從主播知覺到購後結果的路徑，在真實購物經驗中是否成立、對哪些消費者成立？</w:t>
      </w:r>
      <w:r>
        <w:rPr>
          <w:rFonts w:ascii="Times New Roman" w:hAnsi="Times New Roman" w:eastAsia="標楷體" w:cs="Times New Roman"/>
        </w:rPr>
        <w:t xml:space="preserve">研究以運動鞋為錨定案例，美妝保養與居家家具為複製品類，且品類內同時有享樂型與實用型產品 (</w:t>
      </w:r>
      <w:hyperlink r:id="rIdL1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)。本計畫採「發現 → 檢驗 → 推廣」三階段設計，分二年進行，各階段的核心問題如下。</w:t>
      </w:r>
    </w:p>
    <w:p>
      <w:pPr>
        <w:keepNext/>
        <w:spacing w:before="120" w:after="40" w:line="440" w:lineRule="exact"/>
      </w:pPr>
      <w:r>
        <w:rPr>
          <w:rFonts w:ascii="Times New Roman" w:hAnsi="Times New Roman" w:eastAsia="標楷體" w:cs="Times New Roman"/>
          <w:b/>
          <w:bCs/>
          <w:u w:val="single"/>
        </w:rPr>
        <w:t xml:space="preserve">第一階段：消費者為什麼向 AI 主播或真人主播購買？價值鏈的探索</w:t>
      </w:r>
    </w:p>
    <w:p>
      <w:pPr>
        <w:spacing w:before="0" w:after="0" w:line="440" w:lineRule="exact"/>
        <w:ind w:firstLineChars="200" w:firstLine="480"/>
        <w:jc w:val="both"/>
      </w:pPr>
      <w:r>
        <w:rPr>
          <w:rFonts w:ascii="Times New Roman" w:hAnsi="Times New Roman" w:eastAsia="標楷體" w:cs="Times New Roman"/>
          <w:b/>
          <w:bCs/>
        </w:rPr>
        <w:t xml:space="preserve">消費者向 AI 虛擬主播與真人主播購買時，各自連結到哪些「屬性－後果－價值」？哪些價值鏈兩者共通、哪些各自特有？退貨與後悔位於價值鏈的哪個位置？</w:t>
      </w:r>
    </w:p>
    <w:p>
      <w:pPr>
        <w:spacing w:before="0" w:after="0" w:line="440" w:lineRule="exact"/>
        <w:ind w:firstLineChars="200" w:firstLine="480"/>
        <w:jc w:val="both"/>
      </w:pPr>
      <w:r>
        <w:rPr>
          <w:rFonts w:ascii="Times New Roman" w:hAnsi="Times New Roman" w:eastAsia="標楷體" w:cs="Times New Roman"/>
        </w:rPr>
        <w:t xml:space="preserve">第一階段是本計畫的發現階段。現有 AI 主播研究多以問卷或情境實驗檢驗事先設定的構念，例如擬人化、社會臨場感與知覺價值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)，較少回到消費者自己的語言，說明 AI 主播「為什麼」對他有意義。方法目的鏈理論認為，產品屬性經由使用後果連結到個人終極價值 (</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)，軟式階梯訪談能在不預設構念的情況下引出這些連結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18"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)。本階段以人工軟式階梯訪談比較兩類主播的購買者，並在後果層級系統性追問購買後的滿意、後悔與退貨。</w:t>
      </w:r>
    </w:p>
    <w:p>
      <w:pPr>
        <w:spacing w:before="0" w:after="0" w:line="440" w:lineRule="exact"/>
        <w:ind w:firstLineChars="200" w:firstLine="480"/>
        <w:jc w:val="both"/>
      </w:pPr>
      <w:r>
        <w:rPr>
          <w:rFonts w:ascii="Times New Roman" w:hAnsi="Times New Roman" w:eastAsia="標楷體" w:cs="Times New Roman"/>
        </w:rPr>
        <w:t xml:space="preserve">本階段以方法目的鏈理論與消費價值理論為基礎。消費價值理論指出，消費選擇是功能、社會、情感、知識與情境等多元價值的函數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)；方法目的鏈則說明這些價值如何經由具體屬性與後果被實現。直播購物的研究已顯示，實用、享樂與象徵價值會經由信任影響消費者的投入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)；本階段進一步追問：同樣的價值，經由 AI 主播與真人主播實現的路徑是否不同。</w:t>
      </w:r>
    </w:p>
    <w:p>
      <w:pPr>
        <w:keepNext/>
        <w:spacing w:before="120" w:after="40" w:line="440" w:lineRule="exact"/>
      </w:pPr>
      <w:r>
        <w:rPr>
          <w:rFonts w:ascii="Times New Roman" w:hAnsi="Times New Roman" w:eastAsia="標楷體" w:cs="Times New Roman"/>
          <w:b/>
          <w:bCs/>
          <w:u w:val="single"/>
        </w:rPr>
        <w:t xml:space="preserve">第二階段：什麼樣的主播配上什麼樣的話術最有效？實驗設計的因果檢驗</w:t>
      </w:r>
    </w:p>
    <w:p>
      <w:pPr>
        <w:spacing w:before="0" w:after="0" w:line="440" w:lineRule="exact"/>
        <w:ind w:firstLineChars="200" w:firstLine="480"/>
        <w:jc w:val="both"/>
      </w:pPr>
      <w:r>
        <w:rPr>
          <w:rFonts w:ascii="Times New Roman" w:hAnsi="Times New Roman" w:eastAsia="標楷體" w:cs="Times New Roman"/>
          <w:b/>
          <w:bCs/>
        </w:rPr>
        <w:t xml:space="preserve">主播類型（AI vs. 真人）與價值訴求話術（功能價值 vs. 情感社會價值）是否有交互作用？這個交互作用是否因產品類型而改變？AI 主播是否因為較低的說服意圖知覺而降低購後後悔與退貨？揭露 AI 身分的方式是否影響信任？</w:t>
      </w:r>
    </w:p>
    <w:p>
      <w:pPr>
        <w:spacing w:before="0" w:after="0" w:line="440" w:lineRule="exact"/>
        <w:ind w:firstLineChars="200" w:firstLine="480"/>
        <w:jc w:val="both"/>
      </w:pPr>
      <w:r>
        <w:rPr>
          <w:rFonts w:ascii="Times New Roman" w:hAnsi="Times New Roman" w:eastAsia="標楷體" w:cs="Times New Roman"/>
        </w:rPr>
        <w:t xml:space="preserve">第二階段是本計畫的檢驗階段。消費者普遍認為 AI 較擅長實用性任務、較不擅長享樂性任務 (</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 </w:t>
      </w:r>
      <w:hyperlink r:id="rIdL21" w:history="1">
        <w:r>
          <w:rPr>
            <w:rStyle w:val="Hyperlink"/>
            <w:rFonts w:ascii="Times New Roman" w:hAnsi="Times New Roman" w:eastAsia="標楷體" w:cs="Times New Roman"/>
          </w:rPr>
          <w:t xml:space="preserve">Castelo et al., 2019</w:t>
        </w:r>
      </w:hyperlink>
      <w:r>
        <w:rPr>
          <w:rFonts w:ascii="Times New Roman" w:hAnsi="Times New Roman" w:eastAsia="標楷體" w:cs="Times New Roman"/>
        </w:rPr>
        <w:t xml:space="preserve">)；人們也傾向以較具體的「怎麼做」層次理解 AI，因此 AI 傳遞具體訊息時較具說服力 (</w:t>
      </w:r>
      <w:hyperlink r:id="rIdL22" w:history="1">
        <w:r>
          <w:rPr>
            <w:rStyle w:val="Hyperlink"/>
            <w:rFonts w:ascii="Times New Roman" w:hAnsi="Times New Roman" w:eastAsia="標楷體" w:cs="Times New Roman"/>
          </w:rPr>
          <w:t xml:space="preserve">Kim &amp; Duhachek, 2020</w:t>
        </w:r>
      </w:hyperlink>
      <w:r>
        <w:rPr>
          <w:rFonts w:ascii="Times New Roman" w:hAnsi="Times New Roman" w:eastAsia="標楷體" w:cs="Times New Roman"/>
        </w:rPr>
        <w:t xml:space="preserve">)。直播情境的研究則發現，AI 主播搭配產品導向互動、真人主播搭配社交互動各有其適合的產品類型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)，AI 主播使用強勢訊息、真人主播使用非強勢訊息時，購買意圖較高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)。然而，這些研究的話術都由研究者事先設定，而非來自消費者的價值結構；依變數也多停留在購買意圖。</w:t>
      </w:r>
    </w:p>
    <w:p>
      <w:pPr>
        <w:spacing w:before="0" w:after="0" w:line="440" w:lineRule="exact"/>
        <w:ind w:firstLineChars="200" w:firstLine="480"/>
        <w:jc w:val="both"/>
      </w:pPr>
      <w:r>
        <w:rPr>
          <w:rFonts w:ascii="Times New Roman" w:hAnsi="Times New Roman" w:eastAsia="標楷體" w:cs="Times New Roman"/>
        </w:rPr>
        <w:t xml:space="preserve">本階段採用社會知覺與說服知識理論為脈絡。</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 指出，人們以溫暖與能力兩個基本向度評價他人；</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 則發現，AI 服務提供者常被知覺為較不溫暖。說服知識模型指出，消費者一旦察覺對方意圖說服，便會啟動因應與防衛 (</w:t>
      </w:r>
      <w:hyperlink r:id="rIdL26" w:history="1">
        <w:r>
          <w:rPr>
            <w:rStyle w:val="Hyperlink"/>
            <w:rFonts w:ascii="Times New Roman" w:hAnsi="Times New Roman" w:eastAsia="標楷體" w:cs="Times New Roman"/>
          </w:rPr>
          <w:t xml:space="preserve">Friestad &amp; Wright, 1994</w:t>
        </w:r>
      </w:hyperlink>
      <w:r>
        <w:rPr>
          <w:rFonts w:ascii="Times New Roman" w:hAnsi="Times New Roman" w:eastAsia="標楷體" w:cs="Times New Roman"/>
        </w:rPr>
        <w:t xml:space="preserve">)；而 AI 代理人被知覺為意圖較弱 (</w:t>
      </w:r>
      <w:hyperlink r:id="rIdL27" w:history="1">
        <w:r>
          <w:rPr>
            <w:rStyle w:val="Hyperlink"/>
            <w:rFonts w:ascii="Times New Roman" w:hAnsi="Times New Roman" w:eastAsia="標楷體" w:cs="Times New Roman"/>
          </w:rPr>
          <w:t xml:space="preserve">Garvey et al., 2023</w:t>
        </w:r>
      </w:hyperlink>
      <w:r>
        <w:rPr>
          <w:rFonts w:ascii="Times New Roman" w:hAnsi="Times New Roman" w:eastAsia="標楷體" w:cs="Times New Roman"/>
        </w:rPr>
        <w:t xml:space="preserve">)。近期實驗已證實，在高強度說服情境下，消費者知覺 AI 主播的說服意圖低於真人主播，因而降低懷疑、提高購買意圖 (</w:t>
      </w:r>
      <w:hyperlink r:id="rIdL28" w:history="1">
        <w:r>
          <w:rPr>
            <w:rStyle w:val="Hyperlink"/>
            <w:rFonts w:ascii="Times New Roman" w:hAnsi="Times New Roman" w:eastAsia="標楷體" w:cs="Times New Roman"/>
          </w:rPr>
          <w:t xml:space="preserve">Lu &amp; Li, 2026</w:t>
        </w:r>
      </w:hyperlink>
      <w:r>
        <w:rPr>
          <w:rFonts w:ascii="Times New Roman" w:hAnsi="Times New Roman" w:eastAsia="標楷體" w:cs="Times New Roman"/>
        </w:rPr>
        <w:t xml:space="preserve">)。本階段把這個機制延伸到購後：AI 主播較低的說服意圖知覺，是否也使消費者較少因「被說服」而購買，進而降低購後後悔與退貨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)，目前尚未被檢驗。</w:t>
      </w:r>
    </w:p>
    <w:p>
      <w:pPr>
        <w:keepNext/>
        <w:spacing w:before="120" w:after="40" w:line="440" w:lineRule="exact"/>
      </w:pPr>
      <w:r>
        <w:rPr>
          <w:rFonts w:ascii="Times New Roman" w:hAnsi="Times New Roman" w:eastAsia="標楷體" w:cs="Times New Roman"/>
          <w:b/>
          <w:bCs/>
          <w:u w:val="single"/>
        </w:rPr>
        <w:t xml:space="preserve">第三階段：從主播知覺到購後結果的路徑在真實購物中是否成立？SEM 的推廣驗證</w:t>
      </w:r>
    </w:p>
    <w:p>
      <w:pPr>
        <w:spacing w:before="0" w:after="0" w:line="440" w:lineRule="exact"/>
        <w:ind w:firstLineChars="200" w:firstLine="480"/>
        <w:jc w:val="both"/>
      </w:pPr>
      <w:r>
        <w:rPr>
          <w:rFonts w:ascii="Times New Roman" w:hAnsi="Times New Roman" w:eastAsia="標楷體" w:cs="Times New Roman"/>
          <w:b/>
          <w:bCs/>
        </w:rPr>
        <w:t xml:space="preserve">在真實的直播購物經驗中，主播的溫暖感與能力感如何經由信任、期望確認影響購後滿意、退貨與再購？這條路徑在 AI 主播與真人主播、在不同價值傾向的消費者之間是否相同？</w:t>
      </w:r>
    </w:p>
    <w:p>
      <w:pPr>
        <w:spacing w:before="0" w:after="0" w:line="440" w:lineRule="exact"/>
        <w:ind w:firstLineChars="200" w:firstLine="480"/>
        <w:jc w:val="both"/>
      </w:pPr>
      <w:r>
        <w:rPr>
          <w:rFonts w:ascii="Times New Roman" w:hAnsi="Times New Roman" w:eastAsia="標楷體" w:cs="Times New Roman"/>
        </w:rPr>
        <w:t xml:space="preserve">第三階段是本計畫的推廣階段。實驗回答的是單一操弄的因果效果，但消費者從觀看直播到收貨、使用、決定是否退貨，是一段完整的心理歷程。期望確認理論指出，滿意取決於購前期望與實際表現的落差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)；直播的高互動氣氛會提高購前期望，卻可能擴大期望落差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)。本階段以真實購買者的調查資料與三個月後的退貨追蹤，建構購後路徑模型，並以多群組 SEM 比較 AI 主播與真人主播購買者，以及第一階段界定的不同價值傾向消費者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三個階段以「價值」為線索串連：第一階段的價值鏈，在第二階段被改寫為實驗話術；第一階段發展的價值傾向量表，在第三階段成為多群組比較的分組依據。換言之，</w:t>
      </w:r>
      <w:r>
        <w:rPr>
          <w:rFonts w:ascii="Times New Roman" w:hAnsi="Times New Roman" w:eastAsia="標楷體" w:cs="Times New Roman"/>
          <w:b/>
          <w:bCs/>
        </w:rPr>
        <w:t xml:space="preserve">本計畫以 MEC 回答「為什麼」、以實驗回答「是否有因果」、以 SEM 回答「在真實情境中對誰成立」</w:t>
      </w:r>
      <w:r>
        <w:rPr>
          <w:rFonts w:ascii="Times New Roman" w:hAnsi="Times New Roman" w:eastAsia="標楷體" w:cs="Times New Roman"/>
        </w:rPr>
        <w:t xml:space="preserve">，三者互補，不需仰賴資料探勘即可回答「對誰有效」的問題。</w:t>
      </w:r>
    </w:p>
    <w:p>
      <w:pPr>
        <w:keepNext/>
        <w:spacing w:before="120" w:after="40" w:line="440" w:lineRule="exact"/>
      </w:pPr>
      <w:r>
        <w:rPr>
          <w:rFonts w:ascii="Times New Roman" w:hAnsi="Times New Roman" w:eastAsia="標楷體" w:cs="Times New Roman"/>
          <w:b/>
          <w:bCs/>
          <w:u w:val="single"/>
        </w:rPr>
        <w:t xml:space="preserve">研究缺口</w:t>
      </w:r>
    </w:p>
    <w:p>
      <w:pPr>
        <w:spacing w:before="0" w:after="0" w:line="440" w:lineRule="exact"/>
        <w:ind w:firstLineChars="200" w:firstLine="480"/>
        <w:jc w:val="both"/>
      </w:pPr>
      <w:r>
        <w:rPr>
          <w:rFonts w:ascii="Times New Roman" w:hAnsi="Times New Roman" w:eastAsia="標楷體" w:cs="Times New Roman"/>
        </w:rPr>
        <w:t xml:space="preserve">本計畫依系統性文獻回顧（詳見「四、國內外相關之文獻探討」之第零部分）歸納出四個研究缺口。首先，AI 主播與 AI 代理人的研究多以平台資料或問卷檢驗「是否有效」(</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32" w:history="1">
        <w:r>
          <w:rPr>
            <w:rStyle w:val="Hyperlink"/>
            <w:rFonts w:ascii="Times New Roman" w:hAnsi="Times New Roman" w:eastAsia="標楷體" w:cs="Times New Roman"/>
          </w:rPr>
          <w:t xml:space="preserve">Yuan et al., 2025</w:t>
        </w:r>
      </w:hyperlink>
      <w:r>
        <w:rPr>
          <w:rFonts w:ascii="Times New Roman" w:hAnsi="Times New Roman" w:eastAsia="標楷體" w:cs="Times New Roman"/>
        </w:rPr>
        <w:t xml:space="preserve">;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33" w:history="1">
        <w:r>
          <w:rPr>
            <w:rStyle w:val="Hyperlink"/>
            <w:rFonts w:ascii="Times New Roman" w:hAnsi="Times New Roman" w:eastAsia="標楷體" w:cs="Times New Roman"/>
          </w:rPr>
          <w:t xml:space="preserve">Zhou &amp; Li, 2025</w:t>
        </w:r>
      </w:hyperlink>
      <w:r>
        <w:rPr>
          <w:rFonts w:ascii="Times New Roman" w:hAnsi="Times New Roman" w:eastAsia="標楷體" w:cs="Times New Roman"/>
        </w:rPr>
        <w:t xml:space="preserve">)，</w:t>
      </w:r>
      <w:r>
        <w:rPr>
          <w:rFonts w:ascii="Times New Roman" w:hAnsi="Times New Roman" w:eastAsia="標楷體" w:cs="Times New Roman"/>
          <w:b/>
          <w:bCs/>
        </w:rPr>
        <w:t xml:space="preserve">幾乎沒有研究從消費者的價值結構回答「為什麼」接受或排斥 AI 主播</w:t>
      </w:r>
      <w:r>
        <w:rPr>
          <w:rFonts w:ascii="Times New Roman" w:hAnsi="Times New Roman" w:eastAsia="標楷體" w:cs="Times New Roman"/>
        </w:rPr>
        <w:t xml:space="preserve">；方法目的鏈在數位商務的應用也缺乏一致的分析程序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)。此為本研究可介入探討的第一缺口。</w:t>
      </w:r>
    </w:p>
    <w:p>
      <w:pPr>
        <w:spacing w:before="0" w:after="0" w:line="440" w:lineRule="exact"/>
        <w:ind w:firstLineChars="200" w:firstLine="480"/>
        <w:jc w:val="both"/>
      </w:pPr>
      <w:r>
        <w:rPr>
          <w:rFonts w:ascii="Times New Roman" w:hAnsi="Times New Roman" w:eastAsia="標楷體" w:cs="Times New Roman"/>
        </w:rPr>
        <w:t xml:space="preserve">其次，直播研究的依變數多停留在購買意圖或銷售量 (</w:t>
      </w:r>
      <w:hyperlink r:id="rIdL3" w:history="1">
        <w:r>
          <w:rPr>
            <w:rStyle w:val="Hyperlink"/>
            <w:rFonts w:ascii="Times New Roman" w:hAnsi="Times New Roman" w:eastAsia="標楷體" w:cs="Times New Roman"/>
          </w:rPr>
          <w:t xml:space="preserve">Gu et al., 2024</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)。少數研究已證實即時互動會提高退貨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)，主播講解時間較長的商品退貨率較低 (</w:t>
      </w:r>
      <w:hyperlink r:id="rIdL35" w:history="1">
        <w:r>
          <w:rPr>
            <w:rStyle w:val="Hyperlink"/>
            <w:rFonts w:ascii="Times New Roman" w:hAnsi="Times New Roman" w:eastAsia="標楷體" w:cs="Times New Roman"/>
          </w:rPr>
          <w:t xml:space="preserve">Hu, 2027</w:t>
        </w:r>
      </w:hyperlink>
      <w:r>
        <w:rPr>
          <w:rFonts w:ascii="Times New Roman" w:hAnsi="Times New Roman" w:eastAsia="標楷體" w:cs="Times New Roman"/>
        </w:rPr>
        <w:t xml:space="preserve">)，AI 助理則能降低退貨 (</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)；但</w:t>
      </w:r>
      <w:r>
        <w:rPr>
          <w:rFonts w:ascii="Times New Roman" w:hAnsi="Times New Roman" w:eastAsia="標楷體" w:cs="Times New Roman"/>
          <w:b/>
          <w:bCs/>
        </w:rPr>
        <w:t xml:space="preserve">「AI 主播 vs. 真人主播」對後悔、退貨與再購等購後結果的影響，仍缺乏因果證據</w:t>
      </w:r>
      <w:r>
        <w:rPr>
          <w:rFonts w:ascii="Times New Roman" w:hAnsi="Times New Roman" w:eastAsia="標楷體" w:cs="Times New Roman"/>
        </w:rPr>
        <w:t xml:space="preserve">。此為本研究可介入探討的第二缺口。</w:t>
      </w:r>
    </w:p>
    <w:p>
      <w:pPr>
        <w:spacing w:before="0" w:after="0" w:line="440" w:lineRule="exact"/>
        <w:ind w:firstLineChars="200" w:firstLine="480"/>
        <w:jc w:val="both"/>
      </w:pPr>
      <w:r>
        <w:rPr>
          <w:rFonts w:ascii="Times New Roman" w:hAnsi="Times New Roman" w:eastAsia="標楷體" w:cs="Times New Roman"/>
        </w:rPr>
        <w:t xml:space="preserve">第三，</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 的田野實驗顯示，在對話開始前揭露聊天機器人身分，會使購買率下降逾 79.7%；</w:t>
      </w:r>
      <w:hyperlink r:id="rIdL37" w:history="1">
        <w:r>
          <w:rPr>
            <w:rStyle w:val="Hyperlink"/>
            <w:rFonts w:ascii="Times New Roman" w:hAnsi="Times New Roman" w:eastAsia="標楷體" w:cs="Times New Roman"/>
          </w:rPr>
          <w:t xml:space="preserve">Brüns &amp; Meißner (2024)</w:t>
        </w:r>
      </w:hyperlink>
      <w:r>
        <w:rPr>
          <w:rFonts w:ascii="Times New Roman" w:hAnsi="Times New Roman" w:eastAsia="標楷體" w:cs="Times New Roman"/>
        </w:rPr>
        <w:t xml:space="preserve"> 與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 發現，揭露 AI 撰寫內容會降低真實性與口碑；</w:t>
      </w:r>
      <w:hyperlink r:id="rIdL39" w:history="1">
        <w:r>
          <w:rPr>
            <w:rStyle w:val="Hyperlink"/>
            <w:rFonts w:ascii="Times New Roman" w:hAnsi="Times New Roman" w:eastAsia="標楷體" w:cs="Times New Roman"/>
          </w:rPr>
          <w:t xml:space="preserve">Gnewuch et al. (2024)</w:t>
        </w:r>
      </w:hyperlink>
      <w:r>
        <w:rPr>
          <w:rFonts w:ascii="Times New Roman" w:hAnsi="Times New Roman" w:eastAsia="標楷體" w:cs="Times New Roman"/>
        </w:rPr>
        <w:t xml:space="preserve"> 發現，揭露人類參與也會改變顧客的溝通方式。但 </w:t>
      </w:r>
      <w:hyperlink r:id="rIdL40" w:history="1">
        <w:r>
          <w:rPr>
            <w:rStyle w:val="Hyperlink"/>
            <w:rFonts w:ascii="Times New Roman" w:hAnsi="Times New Roman" w:eastAsia="標楷體" w:cs="Times New Roman"/>
          </w:rPr>
          <w:t xml:space="preserve">De Cicco et al. (2024)</w:t>
        </w:r>
      </w:hyperlink>
      <w:r>
        <w:rPr>
          <w:rFonts w:ascii="Times New Roman" w:hAnsi="Times New Roman" w:eastAsia="標楷體" w:cs="Times New Roman"/>
        </w:rPr>
        <w:t xml:space="preserve"> 發現，揭露虛擬網紅的合成身分並不影響品牌知覺；</w:t>
      </w:r>
      <w:hyperlink r:id="rIdL41" w:history="1">
        <w:r>
          <w:rPr>
            <w:rStyle w:val="Hyperlink"/>
            <w:rFonts w:ascii="Times New Roman" w:hAnsi="Times New Roman" w:eastAsia="標楷體" w:cs="Times New Roman"/>
          </w:rPr>
          <w:t xml:space="preserve">T. Li et al. (2025)</w:t>
        </w:r>
      </w:hyperlink>
      <w:r>
        <w:rPr>
          <w:rFonts w:ascii="Times New Roman" w:hAnsi="Times New Roman" w:eastAsia="標楷體" w:cs="Times New Roman"/>
        </w:rPr>
        <w:t xml:space="preserve"> 則發現，在服務開始前揭露聊天機器人身分反而提高失誤容忍度。</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 的治理研究亦指出 AI 主播的消費者保護問題。</w:t>
      </w:r>
      <w:r>
        <w:rPr>
          <w:rFonts w:ascii="Times New Roman" w:hAnsi="Times New Roman" w:eastAsia="標楷體" w:cs="Times New Roman"/>
          <w:b/>
          <w:bCs/>
        </w:rPr>
        <w:t xml:space="preserve">揭露效果的證據並不一致，而直播情境中「如何揭露」AI 主播身分，對信任與購買的影響仍未被檢驗。</w:t>
      </w:r>
      <w:r>
        <w:rPr>
          <w:rFonts w:ascii="Times New Roman" w:hAnsi="Times New Roman" w:eastAsia="標楷體" w:cs="Times New Roman"/>
        </w:rPr>
        <w:t xml:space="preserve">此為本研究可介入探討的第三缺口。</w:t>
      </w:r>
    </w:p>
    <w:p>
      <w:pPr>
        <w:spacing w:before="0" w:after="0" w:line="440" w:lineRule="exact"/>
        <w:ind w:firstLineChars="200" w:firstLine="480"/>
        <w:jc w:val="both"/>
      </w:pPr>
      <w:r>
        <w:rPr>
          <w:rFonts w:ascii="Times New Roman" w:hAnsi="Times New Roman" w:eastAsia="標楷體" w:cs="Times New Roman"/>
        </w:rPr>
        <w:t xml:space="preserve">最後，近期 AI 主播研究的樣本多來自中國大陸的平台或消費者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)，且多為單一品類、單一方法。</w:t>
      </w:r>
      <w:r>
        <w:rPr>
          <w:rFonts w:ascii="Times New Roman" w:hAnsi="Times New Roman" w:eastAsia="標楷體" w:cs="Times New Roman"/>
          <w:b/>
          <w:bCs/>
        </w:rPr>
        <w:t xml:space="preserve">以跨品類、多方法的設計，在台灣市場檢驗上述問題，並把結果轉譯為中小企業可用的決策工具，是本研究可介入探討的第四缺口。</w:t>
      </w:r>
      <w:r>
        <w:rPr>
          <w:rFonts w:ascii="Times New Roman" w:hAnsi="Times New Roman" w:eastAsia="標楷體" w:cs="Times New Roman"/>
        </w:rPr>
        <w:t xml:space="preserve">有鑑於此，本研究以「誰來賣、怎麼說、買了會不會退」為核心問題意識，規劃二年三階段的研究計畫。</w:t>
      </w:r>
    </w:p>
    <w:p>
      <w:pPr>
        <w:keepNext/>
        <w:spacing w:before="120" w:after="40" w:line="440" w:lineRule="exact"/>
      </w:pPr>
      <w:r>
        <w:rPr>
          <w:rFonts w:ascii="Times New Roman" w:hAnsi="Times New Roman" w:eastAsia="標楷體" w:cs="Times New Roman"/>
          <w:b/>
          <w:bCs/>
          <w:u w:val="single"/>
        </w:rPr>
        <w:t xml:space="preserve">研究計劃各階段問題與目的</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本計畫研究架構共分為三個部分，分二年三個階段進行。第一階段（2027.08–2028.01，量表發展延至 2028.03）採質化方法，以軟式階梯訪談探索消費者向 AI 虛擬主播與真人主播購買的「屬性－後果－價值」結構，並發展價值傾向量表。接著，第二階段（2028.02–2028.10）以第一階段的價值鏈撰寫實驗話術，以 2×2×2 跨品類實驗與 AI 身分揭露實驗，檢驗主播類型、話術與產品類型對購買及購後預期的因果效果。</w:t>
      </w:r>
    </w:p>
    <w:p>
      <w:pPr>
        <w:spacing w:before="0" w:after="0" w:line="440" w:lineRule="exact"/>
        <w:ind w:firstLineChars="200" w:firstLine="480"/>
        <w:jc w:val="both"/>
      </w:pPr>
      <w:r>
        <w:rPr>
          <w:rFonts w:ascii="Times New Roman" w:hAnsi="Times New Roman" w:eastAsia="標楷體" w:cs="Times New Roman"/>
        </w:rPr>
        <w:t xml:space="preserve">第三階段（2028.06–2029.04）則以真實直播購買者的調查與三個月退貨追蹤，建構購後路徑模型，並以多群組 SEM 比較不同主播類型與價值傾向的消費者。三個階段使研究脈絡由第一年的「價值發現」、「因果檢驗」推進至第二年的「模型推廣」，並共用同一品類庫與共同量表，形成完整且遞進的研究邏輯。</w:t>
      </w:r>
    </w:p>
    <w:p>
      <w:pPr>
        <w:keepNext/>
        <w:spacing w:before="120" w:after="40" w:line="440" w:lineRule="exact"/>
      </w:pPr>
      <w:r>
        <w:rPr>
          <w:rFonts w:ascii="Times New Roman" w:hAnsi="Times New Roman" w:eastAsia="標楷體" w:cs="Times New Roman"/>
          <w:b/>
          <w:bCs/>
          <w:u w:val="single"/>
        </w:rPr>
        <w:t xml:space="preserve">研究計劃各階段主題與層次脈絡</w:t>
      </w:r>
    </w:p>
    <w:p>
      <w:pPr>
        <w:spacing w:before="0" w:after="0" w:line="440" w:lineRule="exact"/>
        <w:ind w:firstLineChars="200" w:firstLine="480"/>
        <w:jc w:val="both"/>
      </w:pPr>
      <w:r>
        <w:rPr>
          <w:rFonts w:ascii="Times New Roman" w:hAnsi="Times New Roman" w:eastAsia="標楷體" w:cs="Times New Roman"/>
        </w:rPr>
        <w:t xml:space="preserve">本計畫將於第二年完成研究，綜整三個階段的結果，比較各方法在解釋上的獨特性，並轉譯為中小企業可用的決策工具。關於二年三階段研究計畫之主題、層次脈絡、研究方法與理論基礎，整理如表 1。</w:t>
      </w:r>
    </w:p>
    <w:p>
      <w:pPr>
        <w:keepNext/>
        <w:spacing w:before="120" w:after="80" w:line="360" w:lineRule="exact"/>
        <w:jc w:val="center"/>
      </w:pPr>
      <w:r>
        <w:rPr>
          <w:rFonts w:ascii="Times New Roman" w:hAnsi="Times New Roman" w:eastAsia="標楷體" w:cs="Times New Roman"/>
        </w:rPr>
        <w:t xml:space="preserve">表 1　二年三階段研究計畫層次脈絡、研究問題、主題、研究方法及研究理論列表</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00"/>
        <w:gridCol w:w="700"/>
        <w:gridCol w:w="1900"/>
        <w:gridCol w:w="1850"/>
        <w:gridCol w:w="1900"/>
        <w:gridCol w:w="1988"/>
      </w:tblGrid>
      <w:tr>
        <w:trPr>
          <w:tblHeader/>
          <w:cantSplit/>
        </w:trPr>
        <w:tc>
          <w:tcPr>
            <w:tcW w:w="1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研究階段</w:t>
            </w:r>
          </w:p>
          <w:p>
            <w:pPr>
              <w:spacing w:before="20" w:after="20" w:line="300" w:lineRule="exact"/>
              <w:jc w:val="center"/>
            </w:pPr>
            <w:r>
              <w:rPr>
                <w:rFonts w:ascii="Times New Roman" w:hAnsi="Times New Roman" w:eastAsia="標楷體" w:cs="Times New Roman"/>
                <w:b/>
                <w:bCs/>
                <w:sz w:val="21"/>
                <w:szCs w:val="21"/>
              </w:rPr>
              <w:t xml:space="preserve">與時程</w:t>
            </w:r>
          </w:p>
        </w:tc>
        <w:tc>
          <w:tcPr>
            <w:tcW w:w="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層次</w:t>
            </w:r>
          </w:p>
          <w:p>
            <w:pPr>
              <w:spacing w:before="20" w:after="20" w:line="300" w:lineRule="exact"/>
              <w:jc w:val="center"/>
            </w:pPr>
            <w:r>
              <w:rPr>
                <w:rFonts w:ascii="Times New Roman" w:hAnsi="Times New Roman" w:eastAsia="標楷體" w:cs="Times New Roman"/>
                <w:b/>
                <w:bCs/>
                <w:sz w:val="21"/>
                <w:szCs w:val="21"/>
              </w:rPr>
              <w:t xml:space="preserve">脈絡</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研究問題</w:t>
            </w:r>
          </w:p>
        </w:tc>
        <w:tc>
          <w:tcPr>
            <w:tcW w:w="18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主題</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研究方法</w:t>
            </w:r>
          </w:p>
        </w:tc>
        <w:tc>
          <w:tcPr>
            <w:tcW w:w="198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研究理論基礎</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第一階段</w:t>
            </w:r>
          </w:p>
          <w:p>
            <w:pPr>
              <w:spacing w:before="20" w:after="20" w:line="300" w:lineRule="exact"/>
              <w:jc w:val="center"/>
            </w:pPr>
            <w:r>
              <w:rPr>
                <w:rFonts w:ascii="Times New Roman" w:hAnsi="Times New Roman" w:eastAsia="標楷體" w:cs="Times New Roman"/>
                <w:sz w:val="21"/>
                <w:szCs w:val="21"/>
              </w:rPr>
              <w:t xml:space="preserve">2027.08–2028.01</w:t>
            </w:r>
          </w:p>
          <w:p>
            <w:pPr>
              <w:spacing w:before="20" w:after="20" w:line="300" w:lineRule="exact"/>
              <w:jc w:val="center"/>
            </w:pPr>
            <w:r>
              <w:rPr>
                <w:rFonts w:ascii="Times New Roman" w:hAnsi="Times New Roman" w:eastAsia="標楷體" w:cs="Times New Roman"/>
                <w:sz w:val="21"/>
                <w:szCs w:val="21"/>
              </w:rPr>
              <w:t xml:space="preserve">（量表發展至 2028.03）</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初步</w:t>
            </w:r>
          </w:p>
          <w:p>
            <w:pPr>
              <w:spacing w:before="20" w:after="20" w:line="300" w:lineRule="exact"/>
              <w:jc w:val="center"/>
            </w:pPr>
            <w:r>
              <w:rPr>
                <w:rFonts w:ascii="Times New Roman" w:hAnsi="Times New Roman" w:eastAsia="標楷體" w:cs="Times New Roman"/>
                <w:sz w:val="21"/>
                <w:szCs w:val="21"/>
              </w:rPr>
              <w:t xml:space="preserve">發現</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消費者為什麼向 AI 主播或真人主播購買？</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AI 虛擬主播與真人主播的消費者價值鏈：方法目的鏈探索</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MEC 軟式階梯訪談</w:t>
            </w:r>
          </w:p>
          <w:p>
            <w:pPr>
              <w:spacing w:before="20" w:after="20" w:line="300" w:lineRule="exact"/>
              <w:jc w:val="left"/>
            </w:pPr>
            <w:r>
              <w:rPr>
                <w:rFonts w:ascii="Times New Roman" w:hAnsi="Times New Roman" w:eastAsia="標楷體" w:cs="Times New Roman"/>
                <w:sz w:val="21"/>
                <w:szCs w:val="21"/>
              </w:rPr>
              <w:t xml:space="preserve">人工內容分析、涵意矩陣、階梯價值圖</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MEC 理論</w:t>
            </w:r>
          </w:p>
          <w:p>
            <w:pPr>
              <w:spacing w:before="20" w:after="20" w:line="300" w:lineRule="exact"/>
              <w:jc w:val="left"/>
            </w:pPr>
            <w:r>
              <w:rPr>
                <w:rFonts w:ascii="Times New Roman" w:hAnsi="Times New Roman" w:eastAsia="標楷體" w:cs="Times New Roman"/>
                <w:sz w:val="21"/>
                <w:szCs w:val="21"/>
              </w:rPr>
              <w:t xml:space="preserve">消費價值理論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第二階段</w:t>
            </w:r>
          </w:p>
          <w:p>
            <w:pPr>
              <w:spacing w:before="20" w:after="20" w:line="300" w:lineRule="exact"/>
              <w:jc w:val="center"/>
            </w:pPr>
            <w:r>
              <w:rPr>
                <w:rFonts w:ascii="Times New Roman" w:hAnsi="Times New Roman" w:eastAsia="標楷體" w:cs="Times New Roman"/>
                <w:sz w:val="21"/>
                <w:szCs w:val="21"/>
              </w:rPr>
              <w:t xml:space="preserve">2028.02–2028.10</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深入</w:t>
            </w:r>
          </w:p>
          <w:p>
            <w:pPr>
              <w:spacing w:before="20" w:after="20" w:line="300" w:lineRule="exact"/>
              <w:jc w:val="center"/>
            </w:pPr>
            <w:r>
              <w:rPr>
                <w:rFonts w:ascii="Times New Roman" w:hAnsi="Times New Roman" w:eastAsia="標楷體" w:cs="Times New Roman"/>
                <w:sz w:val="21"/>
                <w:szCs w:val="21"/>
              </w:rPr>
              <w:t xml:space="preserve">檢驗</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什麼樣的主播配上什麼樣的話術最有效、最少退貨？</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主播類型 × 價值訴求話術 × 產品類型，以及 AI 身分揭露</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2×2×2 受試者間實驗</w:t>
            </w:r>
          </w:p>
          <w:p>
            <w:pPr>
              <w:spacing w:before="20" w:after="20" w:line="300" w:lineRule="exact"/>
              <w:jc w:val="left"/>
            </w:pPr>
            <w:r>
              <w:rPr>
                <w:rFonts w:ascii="Times New Roman" w:hAnsi="Times New Roman" w:eastAsia="標楷體" w:cs="Times New Roman"/>
                <w:sz w:val="21"/>
                <w:szCs w:val="21"/>
              </w:rPr>
              <w:t xml:space="preserve">單因子揭露實驗</w:t>
            </w:r>
          </w:p>
          <w:p>
            <w:pPr>
              <w:spacing w:before="20" w:after="20" w:line="300" w:lineRule="exact"/>
              <w:jc w:val="left"/>
            </w:pPr>
            <w:r>
              <w:rPr>
                <w:rFonts w:ascii="Times New Roman" w:hAnsi="Times New Roman" w:eastAsia="標楷體" w:cs="Times New Roman"/>
                <w:sz w:val="21"/>
                <w:szCs w:val="21"/>
              </w:rPr>
              <w:t xml:space="preserve">一週後追蹤</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社會知覺（溫暖與能力）</w:t>
            </w:r>
          </w:p>
          <w:p>
            <w:pPr>
              <w:spacing w:before="20" w:after="20" w:line="300" w:lineRule="exact"/>
              <w:jc w:val="left"/>
            </w:pPr>
            <w:r>
              <w:rPr>
                <w:rFonts w:ascii="Times New Roman" w:hAnsi="Times New Roman" w:eastAsia="標楷體" w:cs="Times New Roman"/>
                <w:sz w:val="21"/>
                <w:szCs w:val="21"/>
              </w:rPr>
              <w:t xml:space="preserve">說服知識模型</w:t>
            </w:r>
          </w:p>
          <w:p>
            <w:pPr>
              <w:spacing w:before="20" w:after="20" w:line="300" w:lineRule="exact"/>
              <w:jc w:val="left"/>
            </w:pPr>
            <w:r>
              <w:rPr>
                <w:rFonts w:ascii="Times New Roman" w:hAnsi="Times New Roman" w:eastAsia="標楷體" w:cs="Times New Roman"/>
                <w:sz w:val="21"/>
                <w:szCs w:val="21"/>
              </w:rPr>
              <w:t xml:space="preserve">後悔理論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第三階段</w:t>
            </w:r>
          </w:p>
          <w:p>
            <w:pPr>
              <w:spacing w:before="20" w:after="20" w:line="300" w:lineRule="exact"/>
              <w:jc w:val="center"/>
            </w:pPr>
            <w:r>
              <w:rPr>
                <w:rFonts w:ascii="Times New Roman" w:hAnsi="Times New Roman" w:eastAsia="標楷體" w:cs="Times New Roman"/>
                <w:sz w:val="21"/>
                <w:szCs w:val="21"/>
              </w:rPr>
              <w:t xml:space="preserve">2028.06–2029.04</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推廣</w:t>
            </w:r>
          </w:p>
          <w:p>
            <w:pPr>
              <w:spacing w:before="20" w:after="20" w:line="300" w:lineRule="exact"/>
              <w:jc w:val="center"/>
            </w:pPr>
            <w:r>
              <w:rPr>
                <w:rFonts w:ascii="Times New Roman" w:hAnsi="Times New Roman" w:eastAsia="標楷體" w:cs="Times New Roman"/>
                <w:sz w:val="21"/>
                <w:szCs w:val="21"/>
              </w:rPr>
              <w:t xml:space="preserve">驗證</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從主播知覺到購後結果的路徑對誰成立？</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直播購物的購後路徑：信任、期望確認、滿意與退貨</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SEM</w:t>
            </w:r>
          </w:p>
          <w:p>
            <w:pPr>
              <w:spacing w:before="20" w:after="20" w:line="300" w:lineRule="exact"/>
              <w:jc w:val="left"/>
            </w:pPr>
            <w:r>
              <w:rPr>
                <w:rFonts w:ascii="Times New Roman" w:hAnsi="Times New Roman" w:eastAsia="標楷體" w:cs="Times New Roman"/>
                <w:sz w:val="21"/>
                <w:szCs w:val="21"/>
              </w:rPr>
              <w:t xml:space="preserve">多群組 SEM、測量恆等性</w:t>
            </w:r>
          </w:p>
          <w:p>
            <w:pPr>
              <w:spacing w:before="20" w:after="20" w:line="300" w:lineRule="exact"/>
              <w:jc w:val="left"/>
            </w:pPr>
            <w:r>
              <w:rPr>
                <w:rFonts w:ascii="Times New Roman" w:hAnsi="Times New Roman" w:eastAsia="標楷體" w:cs="Times New Roman"/>
                <w:sz w:val="21"/>
                <w:szCs w:val="21"/>
              </w:rPr>
              <w:t xml:space="preserve">三個月退貨追蹤</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期望確認理論</w:t>
            </w:r>
          </w:p>
          <w:p>
            <w:pPr>
              <w:spacing w:before="20" w:after="20" w:line="300" w:lineRule="exact"/>
              <w:jc w:val="left"/>
            </w:pPr>
            <w:r>
              <w:rPr>
                <w:rFonts w:ascii="Times New Roman" w:hAnsi="Times New Roman" w:eastAsia="標楷體" w:cs="Times New Roman"/>
                <w:sz w:val="21"/>
                <w:szCs w:val="21"/>
              </w:rPr>
              <w:t xml:space="preserve">信任理論</w:t>
            </w:r>
          </w:p>
          <w:p>
            <w:pPr>
              <w:spacing w:before="20" w:after="20" w:line="300" w:lineRule="exact"/>
              <w:jc w:val="left"/>
            </w:pPr>
            <w:r>
              <w:rPr>
                <w:rFonts w:ascii="Times New Roman" w:hAnsi="Times New Roman" w:eastAsia="標楷體" w:cs="Times New Roman"/>
                <w:sz w:val="21"/>
                <w:szCs w:val="21"/>
              </w:rPr>
              <w:t xml:space="preserve">社會知覺理論</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本計畫透過此三階段、跨方法、跨品類的整合研究設計，回應直播電商「從當下轉換走向購後價值」的關鍵議題。</w:t>
      </w:r>
      <w:r>
        <w:rPr>
          <w:rFonts w:ascii="Times New Roman" w:hAnsi="Times New Roman" w:eastAsia="標楷體" w:cs="Times New Roman"/>
        </w:rPr>
        <w:t xml:space="preserve">本計畫以經典方法回答 AI 主播的「為什麼」、「是否有因果」與「對誰成立」，有助於學術社群、平台與中小企業在導入 AI 主播時，同時考量銷售、退貨與消費者信任。</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二、研究計畫之目的</w:t>
      </w:r>
    </w:p>
    <w:p>
      <w:pPr>
        <w:spacing w:before="0" w:after="0" w:line="440" w:lineRule="exact"/>
        <w:ind w:firstLineChars="200" w:firstLine="480"/>
        <w:jc w:val="both"/>
      </w:pPr>
      <w:r>
        <w:rPr>
          <w:rFonts w:ascii="Times New Roman" w:hAnsi="Times New Roman" w:eastAsia="標楷體" w:cs="Times New Roman"/>
        </w:rPr>
        <w:t xml:space="preserve">本研究規劃整體研究架構，以系統性的思維考量各階段的從屬性及關聯性。</w:t>
      </w:r>
      <w:r>
        <w:rPr>
          <w:rFonts w:ascii="Times New Roman" w:hAnsi="Times New Roman" w:eastAsia="標楷體" w:cs="Times New Roman"/>
          <w:b/>
          <w:bCs/>
        </w:rPr>
        <w:t xml:space="preserve">本研究旨在以方法目的鏈、實驗設計與結構方程模式，系統性比較 AI 虛擬主播與真人主播的說服機制與購後後果。</w:t>
      </w:r>
      <w:r>
        <w:rPr>
          <w:rFonts w:ascii="Times New Roman" w:hAnsi="Times New Roman" w:eastAsia="標楷體" w:cs="Times New Roman"/>
        </w:rPr>
        <w:t xml:space="preserve">首先，以軟式階梯訪談探索兩類主播購買者的價值鏈，並發展價值傾向量表。其次，以跨品類實驗檢驗主播類型、價值訴求話術與產品類型的交互作用，以及說服意圖知覺對購後後悔與退貨意圖的中介效果，並檢驗 AI 身分揭露方式的影響。最後，以真實購買者的調查與退貨追蹤建構購後路徑模型，並以多群組 SEM 比較不同主播類型與價值傾向的消費者，將結果轉譯為中小企業的「主播類型 × 話術 × 品類」決策表與揭露指引。</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三、研究計畫之原創性、重要性與預期影響性</w:t>
      </w:r>
    </w:p>
    <w:p>
      <w:pPr>
        <w:pStyle w:val="Heading3"/>
        <w:keepNext/>
        <w:spacing w:before="120" w:after="40" w:line="440" w:lineRule="exact"/>
        <w:ind w:left="480" w:hanging="480"/>
      </w:pPr>
      <w:r>
        <w:rPr>
          <w:rFonts w:ascii="Times New Roman" w:hAnsi="Times New Roman" w:eastAsia="標楷體" w:cs="Times New Roman"/>
          <w:b/>
          <w:bCs/>
        </w:rPr>
        <w:t xml:space="preserve">(一) 本研究之原創性方面：</w:t>
      </w:r>
    </w:p>
    <w:p>
      <w:pPr>
        <w:spacing w:before="0" w:after="0" w:line="440" w:lineRule="exact"/>
        <w:ind w:firstLineChars="200" w:firstLine="480"/>
        <w:jc w:val="both"/>
      </w:pPr>
      <w:r>
        <w:rPr>
          <w:rFonts w:ascii="Times New Roman" w:hAnsi="Times New Roman" w:eastAsia="標楷體" w:cs="Times New Roman"/>
        </w:rPr>
        <w:t xml:space="preserve">本研究之原創性在「研究問題」、「理論整合」與「研究設計」三個層面。首先，在研究問題上，本研究</w:t>
      </w:r>
      <w:r>
        <w:rPr>
          <w:rFonts w:ascii="Times New Roman" w:hAnsi="Times New Roman" w:eastAsia="標楷體" w:cs="Times New Roman"/>
          <w:b/>
          <w:bCs/>
        </w:rPr>
        <w:t xml:space="preserve">把 AI 主播的評估標準由「當下轉換」延伸到「購後後悔、退貨與再購」</w:t>
      </w:r>
      <w:r>
        <w:rPr>
          <w:rFonts w:ascii="Times New Roman" w:hAnsi="Times New Roman" w:eastAsia="標楷體" w:cs="Times New Roman"/>
        </w:rPr>
        <w:t xml:space="preserve">，並提出「AI 主播因說服意圖知覺較低而減少退貨」的新假說。其次，在理論整合上，本研究結合方法目的鏈、社會知覺、說服知識與期望確認理論，以「第一階段的價值鏈是第二階段的話術、第一階段的量表是第三階段的分組」串連三個研究。第三，在研究設計上，本研究以消費者價值結構為基礎設計實驗話術，取代研究者自行設定的訊息類型，並以預先註冊、刺激抽樣與測量恆等性確保結論的效度 (</w:t>
      </w:r>
      <w:hyperlink r:id="rIdL42" w:history="1">
        <w:r>
          <w:rPr>
            <w:rStyle w:val="Hyperlink"/>
            <w:rFonts w:ascii="Times New Roman" w:hAnsi="Times New Roman" w:eastAsia="標楷體" w:cs="Times New Roman"/>
          </w:rPr>
          <w:t xml:space="preserve">Nosek et al., 2018</w:t>
        </w:r>
      </w:hyperlink>
      <w:r>
        <w:rPr>
          <w:rFonts w:ascii="Times New Roman" w:hAnsi="Times New Roman" w:eastAsia="標楷體" w:cs="Times New Roman"/>
        </w:rPr>
        <w:t xml:space="preserve">;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 本研究之重要性、預期影響性方面：</w:t>
      </w:r>
    </w:p>
    <w:p>
      <w:pPr>
        <w:spacing w:before="0" w:after="0" w:line="440" w:lineRule="exact"/>
        <w:ind w:firstLineChars="200" w:firstLine="480"/>
        <w:jc w:val="both"/>
      </w:pPr>
      <w:r>
        <w:rPr>
          <w:rFonts w:ascii="Times New Roman" w:hAnsi="Times New Roman" w:eastAsia="標楷體" w:cs="Times New Roman"/>
        </w:rPr>
        <w:t xml:space="preserve">本研究之重要性，學術上，補足 AI 主播研究對「為什麼」、「購後結果」與「揭露方式」缺乏系統性探討的缺口，三個階段各自形成可投稿國際期刊的貢獻；實務上，研究結果可協助平台與品牌判斷在哪些品類、搭配哪種話術時採用 AI 主播，兼顧銷售與退貨成本。本研究之預期影響性，在學術層面，建立 AI 與真人銷售代理的比較架構；在實務層面，提供資源受限的中小企業低成本的主播與話術決策工具 (</w:t>
      </w:r>
      <w:hyperlink r:id="rIdL43"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)；在社會層面，以 AI 主播揭露指引回應消費者保護議題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 </w:t>
      </w:r>
      <w:hyperlink r:id="rIdL4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)，並以降低退貨減少逆向物流。本計畫與五大研究主題之對應如表 2。</w:t>
      </w:r>
    </w:p>
    <w:p>
      <w:pPr>
        <w:keepNext/>
        <w:spacing w:before="120" w:after="80" w:line="360" w:lineRule="exact"/>
        <w:jc w:val="center"/>
      </w:pPr>
      <w:r>
        <w:rPr>
          <w:rFonts w:ascii="Times New Roman" w:hAnsi="Times New Roman" w:eastAsia="標楷體" w:cs="Times New Roman"/>
        </w:rPr>
        <w:t xml:space="preserve">表 2　本計畫與五大研究主題之對應</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2400"/>
        <w:gridCol w:w="1700"/>
        <w:gridCol w:w="5538"/>
      </w:tblGrid>
      <w:tr>
        <w:trPr>
          <w:tblHeader/>
          <w:cantSplit/>
        </w:trPr>
        <w:tc>
          <w:tcPr>
            <w:tcW w:w="24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研究主題</w:t>
            </w:r>
          </w:p>
        </w:tc>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在計畫中的角色</w:t>
            </w:r>
          </w:p>
        </w:tc>
        <w:tc>
          <w:tcPr>
            <w:tcW w:w="55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對應內容</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主題一　創新發展</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研究情境</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AI 虛擬主播、直播電商、生成式 AI 內容</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主題二　消費者心理行為</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依變數與中介機制</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終極價值、溫暖與能力知覺、說服意圖知覺、信任、後悔與滿意</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主題三　電子商務模式</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商業結果</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直播轉換、退貨、再購與退貨政策</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主題四　研究潛力</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研究方法</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MEC、實驗設計與 SEM 的三方法整合；AI 銷售代理的效果評估</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主題五　電商市場發展需求</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實務轉譯</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中小企業主播與話術決策表、AI 主播揭露與退貨溝通指引</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四、國內外相關之文獻探討</w:t>
      </w:r>
    </w:p>
    <w:p>
      <w:pPr>
        <w:keepNext/>
        <w:spacing w:before="120" w:after="40" w:line="440" w:lineRule="exact"/>
      </w:pPr>
      <w:r>
        <w:rPr>
          <w:rFonts w:ascii="Times New Roman" w:hAnsi="Times New Roman" w:eastAsia="標楷體" w:cs="Times New Roman"/>
          <w:b/>
          <w:bCs/>
          <w:u w:val="single"/>
        </w:rPr>
        <w:t xml:space="preserve">第零部分【系統性文獻回顧】近五年 AI 主播與 AI 銷售代理研究之回顧程序與缺口</w:t>
      </w:r>
    </w:p>
    <w:p>
      <w:pPr>
        <w:spacing w:before="0" w:after="0" w:line="440" w:lineRule="exact"/>
        <w:ind w:firstLineChars="200" w:firstLine="480"/>
        <w:jc w:val="both"/>
      </w:pPr>
      <w:r>
        <w:rPr>
          <w:rFonts w:ascii="Times New Roman" w:hAnsi="Times New Roman" w:eastAsia="標楷體" w:cs="Times New Roman"/>
        </w:rPr>
        <w:t xml:space="preserve">本計畫依 </w:t>
      </w:r>
      <w:hyperlink r:id="rIdL45" w:history="1">
        <w:r>
          <w:rPr>
            <w:rStyle w:val="Hyperlink"/>
            <w:rFonts w:ascii="Times New Roman" w:hAnsi="Times New Roman" w:eastAsia="標楷體" w:cs="Times New Roman"/>
          </w:rPr>
          <w:t xml:space="preserve">Luo et al. (2025)</w:t>
        </w:r>
      </w:hyperlink>
      <w:r>
        <w:rPr>
          <w:rFonts w:ascii="Times New Roman" w:hAnsi="Times New Roman" w:eastAsia="標楷體" w:cs="Times New Roman"/>
        </w:rPr>
        <w:t xml:space="preserve"> 回顧直播電商文獻時所採用的 SPAR-4-SLR 架構，分「彙整（assembling）」、「整理（arranging）」與「評估（assessing）」三個步驟進行系統性文獻回顧，回顧範圍為 2021 年 1 月至 2026 年 10 月。期刊以商管學院頂尖期刊為主：A 級為《金融時報》FT50 期刊清單所列期刊，如 JM、JMR、JCR、JAMS、Marketing Science、ISR、MISQ、Management Science 與 POM；B 級為 SSCI 收錄且影響係數大於 2 的行銷、資訊管理與商業期刊，如 Journal of Retailing and Consumer Services、Journal of Business Research、Information &amp; Management 與 Journal of Advertising（影響係數於正式回顧時以最新版 JCR 核對）。2021 年以前的經典文獻僅作為理論基礎引用，不計入回顧樣本。回顧協定如表 3。</w:t>
      </w:r>
    </w:p>
    <w:p>
      <w:pPr>
        <w:keepNext/>
        <w:spacing w:before="120" w:after="80" w:line="360" w:lineRule="exact"/>
        <w:jc w:val="center"/>
      </w:pPr>
      <w:r>
        <w:rPr>
          <w:rFonts w:ascii="Times New Roman" w:hAnsi="Times New Roman" w:eastAsia="標楷體" w:cs="Times New Roman"/>
        </w:rPr>
        <w:t xml:space="preserve">表 3　系統性文獻回顧協定（SPAR-4-SLR）</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500"/>
        <w:gridCol w:w="2300"/>
        <w:gridCol w:w="5838"/>
      </w:tblGrid>
      <w:tr>
        <w:trPr>
          <w:tblHeader/>
          <w:cantSplit/>
        </w:trPr>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步驟</w:t>
            </w:r>
          </w:p>
        </w:tc>
        <w:tc>
          <w:tcPr>
            <w:tcW w:w="2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項目</w:t>
            </w:r>
          </w:p>
        </w:tc>
        <w:tc>
          <w:tcPr>
            <w:tcW w:w="58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本計畫之設定</w:t>
            </w:r>
          </w:p>
        </w:tc>
      </w:tr>
      <w:tr>
        <w:trPr>
          <w:cantSplit/>
        </w:trPr>
        <w:tc>
          <w:tcPr>
            <w:tcW w:w="1500" w:type="dxa"/>
            <w:vMerge w:val="restart"/>
            <w:vAlign w:val="center"/>
          </w:tcPr>
          <w:p>
            <w:pPr>
              <w:spacing w:before="20" w:after="20" w:line="300" w:lineRule="exact"/>
              <w:jc w:val="center"/>
            </w:pPr>
            <w:r>
              <w:rPr>
                <w:rFonts w:ascii="Times New Roman" w:hAnsi="Times New Roman" w:eastAsia="標楷體" w:cs="Times New Roman"/>
                <w:b/>
                <w:bCs/>
                <w:sz w:val="21"/>
                <w:szCs w:val="21"/>
              </w:rPr>
              <w:t xml:space="preserve">彙整</w:t>
            </w:r>
          </w:p>
          <w:p>
            <w:pPr>
              <w:spacing w:before="20" w:after="20" w:line="300" w:lineRule="exact"/>
              <w:jc w:val="center"/>
            </w:pPr>
            <w:r>
              <w:rPr>
                <w:rFonts w:ascii="Times New Roman" w:hAnsi="Times New Roman" w:eastAsia="標楷體" w:cs="Times New Roman"/>
                <w:b/>
                <w:bCs/>
                <w:sz w:val="21"/>
                <w:szCs w:val="21"/>
              </w:rPr>
              <w:t xml:space="preserve">Assembling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研究領域與問題</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AI 虛擬主播、AI 銷售代理與直播電商中的消費者反應、說服機制與購後結果</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資料來源</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正式回顧：Web of Science Core Collection 與 Scopus；初步回顧：本計畫五個主題資料夾 2024–2026 年文獻，以及出版社頁面、RePEc／大學典藏與期刊新聞稿</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檢索式</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("live stream*" OR livestream* OR "virtual streamer*" OR "virtual anchor*" OR "digital streamer*" OR "virtual influencer*") AND ("artificial intelligence" OR AI OR chatbot* OR avatar* OR "human-like")；另以 ("AI disclosure" OR "chatbot disclosure") AND (consumer* OR purchase*)，以及 ("product return*" OR regret OR "post-purchase") AND ("live stream*" OR AI) 補充</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納入與排除</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納入：A 級或 B 級期刊之實證或回顧論文，以消費者反應、銷售或退貨為結果；排除：分析式或賽局模型、未經審查之工作論文、會議論文、勘誤、非英文期刊</w:t>
            </w:r>
          </w:p>
        </w:tc>
      </w:tr>
      <w:tr>
        <w:trPr>
          <w:cantSplit/>
        </w:trPr>
        <w:tc>
          <w:tcPr>
            <w:tcW w:w="1500" w:type="dxa"/>
            <w:vMerge w:val="restart"/>
            <w:vAlign w:val="center"/>
          </w:tcPr>
          <w:p>
            <w:pPr>
              <w:spacing w:before="20" w:after="20" w:line="300" w:lineRule="exact"/>
              <w:jc w:val="center"/>
            </w:pPr>
            <w:r>
              <w:rPr>
                <w:rFonts w:ascii="Times New Roman" w:hAnsi="Times New Roman" w:eastAsia="標楷體" w:cs="Times New Roman"/>
                <w:b/>
                <w:bCs/>
                <w:sz w:val="21"/>
                <w:szCs w:val="21"/>
              </w:rPr>
              <w:t xml:space="preserve">整理</w:t>
            </w:r>
          </w:p>
          <w:p>
            <w:pPr>
              <w:spacing w:before="20" w:after="20" w:line="300" w:lineRule="exact"/>
              <w:jc w:val="center"/>
            </w:pPr>
            <w:r>
              <w:rPr>
                <w:rFonts w:ascii="Times New Roman" w:hAnsi="Times New Roman" w:eastAsia="標楷體" w:cs="Times New Roman"/>
                <w:b/>
                <w:bCs/>
                <w:sz w:val="21"/>
                <w:szCs w:val="21"/>
              </w:rPr>
              <w:t xml:space="preserve">Arranging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編碼構面</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研究方法、樣本來源、AI 與真人是否直接比較、結果變數（購買或購後）、是否檢驗 AI 身分揭露、是否探討價值層次的「為什麼」</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組織架構</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依 TCCM（理論、情境、特性、方法）整理，並以表 4 之缺口矩陣呈現</w:t>
            </w:r>
          </w:p>
        </w:tc>
      </w:tr>
      <w:tr>
        <w:trPr>
          <w:cantSplit/>
        </w:trPr>
        <w:tc>
          <w:tcPr>
            <w:tcW w:w="1500" w:type="dxa"/>
            <w:vAlign w:val="center"/>
          </w:tcPr>
          <w:p>
            <w:pPr>
              <w:spacing w:before="20" w:after="20" w:line="300" w:lineRule="exact"/>
              <w:jc w:val="center"/>
            </w:pPr>
            <w:r>
              <w:rPr>
                <w:rFonts w:ascii="Times New Roman" w:hAnsi="Times New Roman" w:eastAsia="標楷體" w:cs="Times New Roman"/>
                <w:b/>
                <w:bCs/>
                <w:sz w:val="21"/>
                <w:szCs w:val="21"/>
              </w:rPr>
              <w:t xml:space="preserve">評估</w:t>
            </w:r>
          </w:p>
          <w:p>
            <w:pPr>
              <w:spacing w:before="20" w:after="20" w:line="300" w:lineRule="exact"/>
              <w:jc w:val="center"/>
            </w:pPr>
            <w:r>
              <w:rPr>
                <w:rFonts w:ascii="Times New Roman" w:hAnsi="Times New Roman" w:eastAsia="標楷體" w:cs="Times New Roman"/>
                <w:b/>
                <w:bCs/>
                <w:sz w:val="21"/>
                <w:szCs w:val="21"/>
              </w:rPr>
              <w:t xml:space="preserve">Assessing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評估與報告</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以缺口矩陣界定研究缺口，轉為本計畫三個階段的研究問題；篩選流程以圖 1 呈現，排除與全文篩選紀錄列於待下載清單</w:t>
            </w:r>
          </w:p>
        </w:tc>
      </w:tr>
      <w:tr>
        <w:trPr>
          <w:cantSplit/>
        </w:trPr>
        <w:tc>
          <w:tcPr>
            <w:tcW w:w="9638" w:type="dxa"/>
            <w:gridSpan w:val="3"/>
            <w:vAlign w:val="center"/>
          </w:tcPr>
          <w:p>
            <w:pPr>
              <w:spacing w:before="20" w:after="20" w:line="300" w:lineRule="exact"/>
              <w:jc w:val="left"/>
            </w:pPr>
            <w:r>
              <w:rPr>
                <w:rFonts w:ascii="Times New Roman" w:hAnsi="Times New Roman" w:eastAsia="標楷體" w:cs="Times New Roman"/>
                <w:sz w:val="21"/>
                <w:szCs w:val="21"/>
              </w:rPr>
              <w:t xml:space="preserve">註：本計畫書撰寫階段（2026.10）已完成初步回顧與保留候選之全文篩選；計畫開始第 1 個月依本協定於資料庫重新執行，並更新圖 1 的數字。</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初步回顧的篩選流程如圖 1。主題資料夾中 2024–2026 年的 119 篇文獻，經題名與摘要篩選後有 21 篇與主題相關，排除分析式模型、非銷售情境等 10 篇後納入 11 篇；網路檢索補充 48 篇候選文獻，經期刊等級與書目核對排除 9 篇，直接納入 23 篇，另 16 篇下載全文後篩選，排除 3 篇（兩篇期刊影響係數未能確認大於 2、一篇主題不符）、納入 13 篇。合計納入近五年核心文獻 47 篇，其中 A 級期刊 14 篇、B 級期刊 33 篇；另引用 10 篇 2021 年以前的理論基礎文獻。上述數字皆為本計畫初步回顧的篩選結果，逐篇的排除理由與全文篩選結果，記錄於本計畫的待下載文獻清單第三、四節。</w:t>
      </w:r>
    </w:p>
    <w:p>
      <w:pPr>
        <w:keepNext/>
        <w:spacing w:before="120" w:after="0"/>
        <w:jc w:val="center"/>
      </w:pPr>
      <w:r>
        <mc:AlternateContent>
          <mc:Choice Requires="wpg">
            <w:drawing>
              <wp:inline distT="0" distB="0" distL="0" distR="0">
                <wp:extent cx="6096000" cy="4191000"/>
                <wp:effectExtent l="0" t="0" r="0" b="0"/>
                <wp:docPr id="122" name="圖 1　系統性文獻回顧之初步篩選流程"/>
                <wp:cNvGraphicFramePr/>
                <a:graphic>
                  <a:graphicData uri="http://schemas.microsoft.com/office/word/2010/wordprocessingGroup">
                    <wpg:wgp>
                      <wpg:cNvGrpSpPr/>
                      <wpg:grpSpPr>
                        <a:xfrm>
                          <a:off x="0" y="0"/>
                          <a:ext cx="6096000" cy="4191000"/>
                          <a:chOff x="0" y="0"/>
                          <a:chExt cx="6096000" cy="4191000"/>
                        </a:xfrm>
                      </wpg:grpSpPr>
                      <wps:wsp>
                        <wps:cNvPr id="102" name="Shape 102"/>
                        <wps:cNvSpPr/>
                        <wps:spPr>
                          <a:xfrm>
                            <a:off x="0" y="508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辨識</w:t>
                              </w:r>
                            </w:p>
                          </w:txbxContent>
                        </wps:txbx>
                        <wps:bodyPr rot="0" vert="horz" wrap="square" lIns="25400" tIns="12700" rIns="25400" bIns="12700" anchor="ctr" anchorCtr="0">
                          <a:noAutofit/>
                        </wps:bodyPr>
                      </wps:wsp>
                      <wps:wsp>
                        <wps:cNvPr id="103" name="Shape 103"/>
                        <wps:cNvSpPr/>
                        <wps:spPr>
                          <a:xfrm>
                            <a:off x="0" y="13208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篩選</w:t>
                              </w:r>
                            </w:p>
                          </w:txbxContent>
                        </wps:txbx>
                        <wps:bodyPr rot="0" vert="horz" wrap="square" lIns="25400" tIns="12700" rIns="25400" bIns="12700" anchor="ctr" anchorCtr="0">
                          <a:noAutofit/>
                        </wps:bodyPr>
                      </wps:wsp>
                      <wps:wsp>
                        <wps:cNvPr id="104" name="Shape 104"/>
                        <wps:cNvSpPr/>
                        <wps:spPr>
                          <a:xfrm>
                            <a:off x="0" y="25400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納入</w:t>
                              </w:r>
                            </w:p>
                          </w:txbxContent>
                        </wps:txbx>
                        <wps:bodyPr rot="0" vert="horz" wrap="square" lIns="25400" tIns="12700" rIns="25400" bIns="12700" anchor="ctr" anchorCtr="0">
                          <a:noAutofit/>
                        </wps:bodyPr>
                      </wps:wsp>
                      <wps:wsp>
                        <wps:cNvPr id="105" name="Shape 105"/>
                        <wps:cNvSpPr/>
                        <wps:spPr>
                          <a:xfrm>
                            <a:off x="965200" y="50800"/>
                            <a:ext cx="2362200" cy="660400"/>
                          </a:xfrm>
                          <a:prstGeom prst="rect">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主題資料夾 2024–2026 年文獻</w:t>
                              </w:r>
                            </w:p>
                            <w:p>
                              <w:pPr>
                                <w:spacing w:before="0" w:after="0" w:line="240" w:lineRule="exact"/>
                                <w:jc w:val="center"/>
                              </w:pPr>
                              <w:r>
                                <w:rPr>
                                  <w:rFonts w:ascii="Times New Roman" w:hAnsi="Times New Roman" w:eastAsia="標楷體" w:cs="Times New Roman"/>
                                  <w:sz w:val="17"/>
                                  <w:szCs w:val="17"/>
                                </w:rPr>
                                <w:t xml:space="preserve">（五個主題資料夾）</w:t>
                              </w:r>
                            </w:p>
                            <w:p>
                              <w:pPr>
                                <w:spacing w:before="0" w:after="0" w:line="240" w:lineRule="exact"/>
                                <w:jc w:val="center"/>
                              </w:pPr>
                              <w:r>
                                <w:rPr>
                                  <w:rFonts w:ascii="Times New Roman" w:hAnsi="Times New Roman" w:eastAsia="標楷體" w:cs="Times New Roman"/>
                                  <w:sz w:val="17"/>
                                  <w:szCs w:val="17"/>
                                </w:rPr>
                                <w:t xml:space="preserve">n = 119</w:t>
                              </w:r>
                            </w:p>
                          </w:txbxContent>
                        </wps:txbx>
                        <wps:bodyPr rot="0" vert="horz" wrap="square" lIns="25400" tIns="12700" rIns="25400" bIns="12700" anchor="ctr" anchorCtr="0">
                          <a:noAutofit/>
                        </wps:bodyPr>
                      </wps:wsp>
                      <wps:wsp>
                        <wps:cNvPr id="106" name="Shape 106"/>
                        <wps:cNvSpPr/>
                        <wps:spPr>
                          <a:xfrm>
                            <a:off x="3581400" y="50800"/>
                            <a:ext cx="2463800" cy="660400"/>
                          </a:xfrm>
                          <a:prstGeom prst="rect">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網路檢索補充：出版社頁面、</w:t>
                              </w:r>
                            </w:p>
                            <w:p>
                              <w:pPr>
                                <w:spacing w:before="0" w:after="0" w:line="240" w:lineRule="exact"/>
                                <w:jc w:val="center"/>
                              </w:pPr>
                              <w:r>
                                <w:rPr>
                                  <w:rFonts w:ascii="Times New Roman" w:hAnsi="Times New Roman" w:eastAsia="標楷體" w:cs="Times New Roman"/>
                                  <w:sz w:val="17"/>
                                  <w:szCs w:val="17"/>
                                </w:rPr>
                                <w:t xml:space="preserve">RePEc／大學典藏、期刊新聞稿</w:t>
                              </w:r>
                            </w:p>
                            <w:p>
                              <w:pPr>
                                <w:spacing w:before="0" w:after="0" w:line="240" w:lineRule="exact"/>
                                <w:jc w:val="center"/>
                              </w:pPr>
                              <w:r>
                                <w:rPr>
                                  <w:rFonts w:ascii="Times New Roman" w:hAnsi="Times New Roman" w:eastAsia="標楷體" w:cs="Times New Roman"/>
                                  <w:sz w:val="17"/>
                                  <w:szCs w:val="17"/>
                                </w:rPr>
                                <w:t xml:space="preserve">n = 48</w:t>
                              </w:r>
                            </w:p>
                          </w:txbxContent>
                        </wps:txbx>
                        <wps:bodyPr rot="0" vert="horz" wrap="square" lIns="25400" tIns="12700" rIns="25400" bIns="12700" anchor="ctr" anchorCtr="0">
                          <a:noAutofit/>
                        </wps:bodyPr>
                      </wps:wsp>
                      <wps:wsp>
                        <wps:cNvPr id="107" name="Line 107"/>
                        <wps:cNvCnPr/>
                        <wps:spPr>
                          <a:xfrm>
                            <a:off x="2146300" y="711200"/>
                            <a:ext cx="0" cy="355600"/>
                          </a:xfrm>
                          <a:prstGeom prst="line">
                            <a:avLst/>
                          </a:prstGeom>
                          <a:ln w="12700">
                            <a:solidFill>
                              <a:srgbClr val="404040"/>
                            </a:solidFill>
                            <a:tailEnd type="triangle" w="med" len="med"/>
                          </a:ln>
                        </wps:spPr>
                        <wps:bodyPr/>
                      </wps:wsp>
                      <wps:wsp>
                        <wps:cNvPr id="108" name="Line 108"/>
                        <wps:cNvCnPr/>
                        <wps:spPr>
                          <a:xfrm>
                            <a:off x="4813300" y="711200"/>
                            <a:ext cx="0" cy="355600"/>
                          </a:xfrm>
                          <a:prstGeom prst="line">
                            <a:avLst/>
                          </a:prstGeom>
                          <a:ln w="12700">
                            <a:solidFill>
                              <a:srgbClr val="404040"/>
                            </a:solidFill>
                            <a:tailEnd type="triangle" w="med" len="med"/>
                          </a:ln>
                        </wps:spPr>
                        <wps:bodyPr/>
                      </wps:wsp>
                      <wps:wsp>
                        <wps:cNvPr id="109" name="Shape 109"/>
                        <wps:cNvSpPr/>
                        <wps:spPr>
                          <a:xfrm>
                            <a:off x="965200" y="1066800"/>
                            <a:ext cx="2362200" cy="584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題名與摘要篩選後</w:t>
                              </w:r>
                            </w:p>
                            <w:p>
                              <w:pPr>
                                <w:spacing w:before="0" w:after="0" w:line="240" w:lineRule="exact"/>
                                <w:jc w:val="center"/>
                              </w:pPr>
                              <w:r>
                                <w:rPr>
                                  <w:rFonts w:ascii="Times New Roman" w:hAnsi="Times New Roman" w:eastAsia="標楷體" w:cs="Times New Roman"/>
                                  <w:sz w:val="17"/>
                                  <w:szCs w:val="17"/>
                                </w:rPr>
                                <w:t xml:space="preserve">與主題相關：n = 21</w:t>
                              </w:r>
                            </w:p>
                          </w:txbxContent>
                        </wps:txbx>
                        <wps:bodyPr rot="0" vert="horz" wrap="square" lIns="25400" tIns="12700" rIns="25400" bIns="12700" anchor="ctr" anchorCtr="0">
                          <a:noAutofit/>
                        </wps:bodyPr>
                      </wps:wsp>
                      <wps:wsp>
                        <wps:cNvPr id="110" name="Shape 110"/>
                        <wps:cNvSpPr/>
                        <wps:spPr>
                          <a:xfrm>
                            <a:off x="3581400" y="1066800"/>
                            <a:ext cx="2463800" cy="584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期刊等級與書目核對</w:t>
                              </w:r>
                            </w:p>
                            <w:p>
                              <w:pPr>
                                <w:spacing w:before="0" w:after="0" w:line="240" w:lineRule="exact"/>
                                <w:jc w:val="center"/>
                              </w:pPr>
                              <w:r>
                                <w:rPr>
                                  <w:rFonts w:ascii="Times New Roman" w:hAnsi="Times New Roman" w:eastAsia="標楷體" w:cs="Times New Roman"/>
                                  <w:sz w:val="17"/>
                                  <w:szCs w:val="17"/>
                                </w:rPr>
                                <w:t xml:space="preserve">（A 級 FT50；B 級 SSCI、IF &gt; 2）</w:t>
                              </w:r>
                            </w:p>
                          </w:txbxContent>
                        </wps:txbx>
                        <wps:bodyPr rot="0" vert="horz" wrap="square" lIns="25400" tIns="12700" rIns="25400" bIns="12700" anchor="ctr" anchorCtr="0">
                          <a:noAutofit/>
                        </wps:bodyPr>
                      </wps:wsp>
                      <wps:wsp>
                        <wps:cNvPr id="111" name="Shape 111"/>
                        <wps:cNvSpPr/>
                        <wps:spPr>
                          <a:xfrm>
                            <a:off x="965200" y="1778000"/>
                            <a:ext cx="2362200" cy="508000"/>
                          </a:xfrm>
                          <a:prstGeom prst="rect">
                            <a:avLst/>
                          </a:prstGeom>
                          <a:solidFill>
                            <a:srgbClr val="F2F2F2"/>
                          </a:solidFill>
                          <a:ln w="12700">
                            <a:solidFill>
                              <a:srgbClr val="7F7F7F"/>
                            </a:solidFill>
                          </a:ln>
                        </wps:spPr>
                        <wps:txbx>
                          <w:txbxContent>
                            <w:p>
                              <w:pPr>
                                <w:spacing w:before="0" w:after="0" w:line="226" w:lineRule="exact"/>
                                <w:jc w:val="center"/>
                              </w:pPr>
                              <w:r>
                                <w:rPr>
                                  <w:rFonts w:ascii="Times New Roman" w:hAnsi="Times New Roman" w:eastAsia="標楷體" w:cs="Times New Roman"/>
                                  <w:sz w:val="16"/>
                                  <w:szCs w:val="16"/>
                                </w:rPr>
                                <w:t xml:space="preserve">排除 n = 10（分析式模型、</w:t>
                              </w:r>
                            </w:p>
                            <w:p>
                              <w:pPr>
                                <w:spacing w:before="0" w:after="0" w:line="226" w:lineRule="exact"/>
                                <w:jc w:val="center"/>
                              </w:pPr>
                              <w:r>
                                <w:rPr>
                                  <w:rFonts w:ascii="Times New Roman" w:hAnsi="Times New Roman" w:eastAsia="標楷體" w:cs="Times New Roman"/>
                                  <w:sz w:val="16"/>
                                  <w:szCs w:val="16"/>
                                </w:rPr>
                                <w:t xml:space="preserve">非銷售情境、勘誤、期刊等級）</w:t>
                              </w:r>
                            </w:p>
                          </w:txbxContent>
                        </wps:txbx>
                        <wps:bodyPr rot="0" vert="horz" wrap="square" lIns="25400" tIns="12700" rIns="25400" bIns="12700" anchor="ctr" anchorCtr="0">
                          <a:noAutofit/>
                        </wps:bodyPr>
                      </wps:wsp>
                      <wps:wsp>
                        <wps:cNvPr id="112" name="Shape 112"/>
                        <wps:cNvSpPr/>
                        <wps:spPr>
                          <a:xfrm>
                            <a:off x="3581400" y="1778000"/>
                            <a:ext cx="2463800" cy="508000"/>
                          </a:xfrm>
                          <a:prstGeom prst="rect">
                            <a:avLst/>
                          </a:prstGeom>
                          <a:solidFill>
                            <a:srgbClr val="F2F2F2"/>
                          </a:solidFill>
                          <a:ln w="12700">
                            <a:solidFill>
                              <a:srgbClr val="7F7F7F"/>
                            </a:solidFill>
                          </a:ln>
                        </wps:spPr>
                        <wps:txbx>
                          <w:txbxContent>
                            <w:p>
                              <w:pPr>
                                <w:spacing w:before="0" w:after="0" w:line="226" w:lineRule="exact"/>
                                <w:jc w:val="center"/>
                              </w:pPr>
                              <w:r>
                                <w:rPr>
                                  <w:rFonts w:ascii="Times New Roman" w:hAnsi="Times New Roman" w:eastAsia="標楷體" w:cs="Times New Roman"/>
                                  <w:sz w:val="16"/>
                                  <w:szCs w:val="16"/>
                                </w:rPr>
                                <w:t xml:space="preserve">排除 n = 9；保留 16 篇下載全文篩選，</w:t>
                              </w:r>
                            </w:p>
                            <w:p>
                              <w:pPr>
                                <w:spacing w:before="0" w:after="0" w:line="226" w:lineRule="exact"/>
                                <w:jc w:val="center"/>
                              </w:pPr>
                              <w:r>
                                <w:rPr>
                                  <w:rFonts w:ascii="Times New Roman" w:hAnsi="Times New Roman" w:eastAsia="標楷體" w:cs="Times New Roman"/>
                                  <w:sz w:val="16"/>
                                  <w:szCs w:val="16"/>
                                </w:rPr>
                                <w:t xml:space="preserve">再排除 n = 3（期刊等級、主題不符）</w:t>
                              </w:r>
                            </w:p>
                          </w:txbxContent>
                        </wps:txbx>
                        <wps:bodyPr rot="0" vert="horz" wrap="square" lIns="25400" tIns="12700" rIns="25400" bIns="12700" anchor="ctr" anchorCtr="0">
                          <a:noAutofit/>
                        </wps:bodyPr>
                      </wps:wsp>
                      <wps:wsp>
                        <wps:cNvPr id="113" name="Line 113"/>
                        <wps:cNvCnPr/>
                        <wps:spPr>
                          <a:xfrm>
                            <a:off x="2146300" y="1651000"/>
                            <a:ext cx="0" cy="127000"/>
                          </a:xfrm>
                          <a:prstGeom prst="line">
                            <a:avLst/>
                          </a:prstGeom>
                          <a:ln w="12700">
                            <a:solidFill>
                              <a:srgbClr val="404040"/>
                            </a:solidFill>
                          </a:ln>
                        </wps:spPr>
                        <wps:bodyPr/>
                      </wps:wsp>
                      <wps:wsp>
                        <wps:cNvPr id="114" name="Line 114"/>
                        <wps:cNvCnPr/>
                        <wps:spPr>
                          <a:xfrm>
                            <a:off x="4813300" y="1651000"/>
                            <a:ext cx="0" cy="127000"/>
                          </a:xfrm>
                          <a:prstGeom prst="line">
                            <a:avLst/>
                          </a:prstGeom>
                          <a:ln w="12700">
                            <a:solidFill>
                              <a:srgbClr val="404040"/>
                            </a:solidFill>
                          </a:ln>
                        </wps:spPr>
                        <wps:bodyPr/>
                      </wps:wsp>
                      <wps:wsp>
                        <wps:cNvPr id="115" name="Line 115"/>
                        <wps:cNvCnPr/>
                        <wps:spPr>
                          <a:xfrm>
                            <a:off x="2146300" y="2286000"/>
                            <a:ext cx="0" cy="254000"/>
                          </a:xfrm>
                          <a:prstGeom prst="line">
                            <a:avLst/>
                          </a:prstGeom>
                          <a:ln w="12700">
                            <a:solidFill>
                              <a:srgbClr val="404040"/>
                            </a:solidFill>
                            <a:tailEnd type="triangle" w="med" len="med"/>
                          </a:ln>
                        </wps:spPr>
                        <wps:bodyPr/>
                      </wps:wsp>
                      <wps:wsp>
                        <wps:cNvPr id="116" name="Line 116"/>
                        <wps:cNvCnPr/>
                        <wps:spPr>
                          <a:xfrm>
                            <a:off x="4813300" y="2286000"/>
                            <a:ext cx="0" cy="254000"/>
                          </a:xfrm>
                          <a:prstGeom prst="line">
                            <a:avLst/>
                          </a:prstGeom>
                          <a:ln w="12700">
                            <a:solidFill>
                              <a:srgbClr val="404040"/>
                            </a:solidFill>
                            <a:tailEnd type="triangle" w="med" len="med"/>
                          </a:ln>
                        </wps:spPr>
                        <wps:bodyPr/>
                      </wps:wsp>
                      <wps:wsp>
                        <wps:cNvPr id="117" name="Shape 117"/>
                        <wps:cNvSpPr/>
                        <wps:spPr>
                          <a:xfrm>
                            <a:off x="965200" y="2540000"/>
                            <a:ext cx="2362200" cy="4318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納入 n = 11</w:t>
                              </w:r>
                            </w:p>
                          </w:txbxContent>
                        </wps:txbx>
                        <wps:bodyPr rot="0" vert="horz" wrap="square" lIns="25400" tIns="12700" rIns="25400" bIns="12700" anchor="ctr" anchorCtr="0">
                          <a:noAutofit/>
                        </wps:bodyPr>
                      </wps:wsp>
                      <wps:wsp>
                        <wps:cNvPr id="118" name="Shape 118"/>
                        <wps:cNvSpPr/>
                        <wps:spPr>
                          <a:xfrm>
                            <a:off x="3581400" y="2540000"/>
                            <a:ext cx="2463800" cy="4318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納入 n = 36（23＋13）</w:t>
                              </w:r>
                            </w:p>
                          </w:txbxContent>
                        </wps:txbx>
                        <wps:bodyPr rot="0" vert="horz" wrap="square" lIns="25400" tIns="12700" rIns="25400" bIns="12700" anchor="ctr" anchorCtr="0">
                          <a:noAutofit/>
                        </wps:bodyPr>
                      </wps:wsp>
                      <wps:wsp>
                        <wps:cNvPr id="119" name="Line 119"/>
                        <wps:cNvCnPr/>
                        <wps:spPr>
                          <a:xfrm>
                            <a:off x="2146300" y="2971800"/>
                            <a:ext cx="774700" cy="279400"/>
                          </a:xfrm>
                          <a:prstGeom prst="line">
                            <a:avLst/>
                          </a:prstGeom>
                          <a:ln w="12700">
                            <a:solidFill>
                              <a:srgbClr val="404040"/>
                            </a:solidFill>
                            <a:tailEnd type="triangle" w="med" len="med"/>
                          </a:ln>
                        </wps:spPr>
                        <wps:bodyPr/>
                      </wps:wsp>
                      <wps:wsp>
                        <wps:cNvPr id="120" name="Line 120"/>
                        <wps:cNvCnPr/>
                        <wps:spPr>
                          <a:xfrm flipH="1">
                            <a:off x="4064000" y="2971800"/>
                            <a:ext cx="749300" cy="279400"/>
                          </a:xfrm>
                          <a:prstGeom prst="line">
                            <a:avLst/>
                          </a:prstGeom>
                          <a:ln w="12700">
                            <a:solidFill>
                              <a:srgbClr val="404040"/>
                            </a:solidFill>
                            <a:tailEnd type="triangle" w="med" len="med"/>
                          </a:ln>
                        </wps:spPr>
                        <wps:bodyPr/>
                      </wps:wsp>
                      <wps:wsp>
                        <wps:cNvPr id="121" name="Shape 121"/>
                        <wps:cNvSpPr/>
                        <wps:spPr>
                          <a:xfrm>
                            <a:off x="1778000" y="3251200"/>
                            <a:ext cx="3048000" cy="508000"/>
                          </a:xfrm>
                          <a:prstGeom prst="rect">
                            <a:avLst/>
                          </a:prstGeom>
                          <a:solidFill>
                            <a:srgbClr val="FFF2CC"/>
                          </a:solidFill>
                          <a:ln w="16510">
                            <a:solidFill>
                              <a:srgbClr val="1F4E79"/>
                            </a:solidFill>
                          </a:ln>
                        </wps:spPr>
                        <wps:txbx>
                          <w:txbxContent>
                            <w:p>
                              <w:pPr>
                                <w:spacing w:before="0" w:after="0" w:line="240" w:lineRule="exact"/>
                                <w:jc w:val="center"/>
                              </w:pPr>
                              <w:r>
                                <w:rPr>
                                  <w:rFonts w:ascii="Times New Roman" w:hAnsi="Times New Roman" w:eastAsia="標楷體" w:cs="Times New Roman"/>
                                  <w:b/>
                                  <w:bCs/>
                                  <w:sz w:val="17"/>
                                  <w:szCs w:val="17"/>
                                </w:rPr>
                                <w:t xml:space="preserve">近五年核心文獻 n = 47（A 級 14 篇、B 級 33 篇）</w:t>
                              </w:r>
                            </w:p>
                            <w:p>
                              <w:pPr>
                                <w:spacing w:before="0" w:after="0" w:line="240" w:lineRule="exact"/>
                                <w:jc w:val="center"/>
                              </w:pPr>
                              <w:r>
                                <w:rPr>
                                  <w:rFonts w:ascii="Times New Roman" w:hAnsi="Times New Roman" w:eastAsia="標楷體" w:cs="Times New Roman"/>
                                  <w:sz w:val="17"/>
                                  <w:szCs w:val="17"/>
                                </w:rPr>
                                <w:t xml:space="preserve">＋理論基礎文獻 n = 10（2021 年以前）</w:t>
                              </w:r>
                            </w:p>
                          </w:txbxContent>
                        </wps:txbx>
                        <wps:bodyPr rot="0" vert="horz" wrap="square" lIns="25400" tIns="12700" rIns="25400" bIns="12700" anchor="ctr" anchorCtr="0">
                          <a:noAutofit/>
                        </wps:bodyPr>
                      </wps:wsp>
                      <wps:wsp>
                        <wps:cNvPr id="122" name="Shape 122"/>
                        <wps:cNvSpPr/>
                        <wps:spPr>
                          <a:xfrm>
                            <a:off x="965200" y="3835400"/>
                            <a:ext cx="5080000" cy="330200"/>
                          </a:xfrm>
                          <a:prstGeom prst="rect">
                            <a:avLst/>
                          </a:prstGeom>
                          <a:noFill/>
                          <a:ln>
                            <a:noFill/>
                          </a:ln>
                        </wps:spPr>
                        <wps:txbx>
                          <w:txbxContent>
                            <w:p>
                              <w:pPr>
                                <w:spacing w:before="0" w:after="0" w:line="226" w:lineRule="exact"/>
                                <w:jc w:val="left"/>
                              </w:pPr>
                              <w:r>
                                <w:rPr>
                                  <w:rFonts w:ascii="Times New Roman" w:hAnsi="Times New Roman" w:eastAsia="標楷體" w:cs="Times New Roman"/>
                                  <w:color w:val="7F7F7F"/>
                                  <w:sz w:val="16"/>
                                  <w:szCs w:val="16"/>
                                </w:rPr>
                                <w:t xml:space="preserve">正式回顧（計畫第 1 個月）：依表 3 之檢索式於 Web of Science 與 Scopus 重新執行，</w:t>
                              </w:r>
                            </w:p>
                            <w:p>
                              <w:pPr>
                                <w:spacing w:before="0" w:after="0" w:line="226" w:lineRule="exact"/>
                                <w:jc w:val="left"/>
                              </w:pPr>
                              <w:r>
                                <w:rPr>
                                  <w:rFonts w:ascii="Times New Roman" w:hAnsi="Times New Roman" w:eastAsia="標楷體" w:cs="Times New Roman"/>
                                  <w:color w:val="7F7F7F"/>
                                  <w:sz w:val="16"/>
                                  <w:szCs w:val="16"/>
                                </w:rPr>
                                <w:t xml:space="preserve">本圖數字屬計畫書撰寫階段之初步回顧。</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1　系統性文獻回顧之初步篩選流程</w:t>
      </w:r>
    </w:p>
    <w:p>
      <w:pPr>
        <w:spacing w:before="0" w:after="0" w:line="440" w:lineRule="exact"/>
        <w:ind w:firstLineChars="200" w:firstLine="480"/>
        <w:jc w:val="both"/>
      </w:pPr>
      <w:r>
        <w:rPr>
          <w:rFonts w:ascii="Times New Roman" w:hAnsi="Times New Roman" w:eastAsia="標楷體" w:cs="Times New Roman"/>
        </w:rPr>
        <w:t xml:space="preserve">表 4 以缺口矩陣整理近五年最具代表性的實證研究。矩陣顯示三個明確的空白：第一，</w:t>
      </w:r>
      <w:r>
        <w:rPr>
          <w:rFonts w:ascii="Times New Roman" w:hAnsi="Times New Roman" w:eastAsia="標楷體" w:cs="Times New Roman"/>
          <w:b/>
          <w:bCs/>
        </w:rPr>
        <w:t xml:space="preserve">沒有一篇研究從消費者的價值結構探討「為什麼」接受 AI 主播</w:t>
      </w:r>
      <w:r>
        <w:rPr>
          <w:rFonts w:ascii="Times New Roman" w:hAnsi="Times New Roman" w:eastAsia="標楷體" w:cs="Times New Roman"/>
        </w:rPr>
        <w:t xml:space="preserve">；第二，直接比較 AI 與真人主播的研究，結果變數都停留在銷售或購買意圖，</w:t>
      </w:r>
      <w:r>
        <w:rPr>
          <w:rFonts w:ascii="Times New Roman" w:hAnsi="Times New Roman" w:eastAsia="標楷體" w:cs="Times New Roman"/>
          <w:b/>
          <w:bCs/>
        </w:rPr>
        <w:t xml:space="preserve">購後結果僅見於未比較主播類型的研究</w:t>
      </w:r>
      <w:r>
        <w:rPr>
          <w:rFonts w:ascii="Times New Roman" w:hAnsi="Times New Roman" w:eastAsia="標楷體" w:cs="Times New Roman"/>
        </w:rPr>
        <w:t xml:space="preserve">；第三，AI 身分揭露的研究集中在客服聊天機器人、虛擬網紅與 AI 撰寫內容，結果有正有負，</w:t>
      </w:r>
      <w:r>
        <w:rPr>
          <w:rFonts w:ascii="Times New Roman" w:hAnsi="Times New Roman" w:eastAsia="標楷體" w:cs="Times New Roman"/>
          <w:b/>
          <w:bCs/>
        </w:rPr>
        <w:t xml:space="preserve">尚未延伸到直播主播</w:t>
      </w:r>
      <w:r>
        <w:rPr>
          <w:rFonts w:ascii="Times New Roman" w:hAnsi="Times New Roman" w:eastAsia="標楷體" w:cs="Times New Roman"/>
        </w:rPr>
        <w:t xml:space="preserve">。本計畫的三個階段，分別對應這三個空白。</w:t>
      </w:r>
    </w:p>
    <w:p>
      <w:pPr>
        <w:keepNext/>
        <w:spacing w:before="120" w:after="80" w:line="360" w:lineRule="exact"/>
        <w:jc w:val="center"/>
      </w:pPr>
      <w:r>
        <w:rPr>
          <w:rFonts w:ascii="Times New Roman" w:hAnsi="Times New Roman" w:eastAsia="標楷體" w:cs="Times New Roman"/>
        </w:rPr>
        <w:t xml:space="preserve">表 4　近五年代表性實證研究之缺口矩陣</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2700"/>
        <w:gridCol w:w="2338"/>
        <w:gridCol w:w="1150"/>
        <w:gridCol w:w="1150"/>
        <w:gridCol w:w="1150"/>
        <w:gridCol w:w="1150"/>
      </w:tblGrid>
      <w:tr>
        <w:trPr>
          <w:tblHeader/>
          <w:cantSplit/>
        </w:trPr>
        <w:tc>
          <w:tcPr>
            <w:tcW w:w="270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文獻（期刊等級）</w:t>
            </w:r>
          </w:p>
        </w:tc>
        <w:tc>
          <w:tcPr>
            <w:tcW w:w="2338"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研究方法</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AI vs. 真人</w:t>
            </w:r>
          </w:p>
          <w:p>
            <w:pPr>
              <w:spacing w:before="20" w:after="20" w:line="300" w:lineRule="exact"/>
              <w:jc w:val="center"/>
            </w:pPr>
            <w:r>
              <w:rPr>
                <w:rFonts w:ascii="Times New Roman" w:hAnsi="Times New Roman" w:eastAsia="標楷體" w:cs="Times New Roman"/>
                <w:b/>
                <w:bCs/>
                <w:sz w:val="19"/>
                <w:szCs w:val="19"/>
              </w:rPr>
              <w:t xml:space="preserve">直接比較</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購後結果</w:t>
            </w:r>
          </w:p>
          <w:p>
            <w:pPr>
              <w:spacing w:before="20" w:after="20" w:line="300" w:lineRule="exact"/>
              <w:jc w:val="center"/>
            </w:pPr>
            <w:r>
              <w:rPr>
                <w:rFonts w:ascii="Times New Roman" w:hAnsi="Times New Roman" w:eastAsia="標楷體" w:cs="Times New Roman"/>
                <w:b/>
                <w:bCs/>
                <w:sz w:val="19"/>
                <w:szCs w:val="19"/>
              </w:rPr>
              <w:t xml:space="preserve">（滿意／退貨）</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AI 身分</w:t>
            </w:r>
          </w:p>
          <w:p>
            <w:pPr>
              <w:spacing w:before="20" w:after="20" w:line="300" w:lineRule="exact"/>
              <w:jc w:val="center"/>
            </w:pPr>
            <w:r>
              <w:rPr>
                <w:rFonts w:ascii="Times New Roman" w:hAnsi="Times New Roman" w:eastAsia="標楷體" w:cs="Times New Roman"/>
                <w:b/>
                <w:bCs/>
                <w:sz w:val="19"/>
                <w:szCs w:val="19"/>
              </w:rPr>
              <w:t xml:space="preserve">揭露</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價值層次</w:t>
            </w:r>
          </w:p>
          <w:p>
            <w:pPr>
              <w:spacing w:before="20" w:after="20" w:line="300" w:lineRule="exact"/>
              <w:jc w:val="center"/>
            </w:pPr>
            <w:r>
              <w:rPr>
                <w:rFonts w:ascii="Times New Roman" w:hAnsi="Times New Roman" w:eastAsia="標楷體" w:cs="Times New Roman"/>
                <w:b/>
                <w:bCs/>
                <w:sz w:val="19"/>
                <w:szCs w:val="19"/>
              </w:rPr>
              <w:t xml:space="preserve">（為什麼）</w:t>
            </w:r>
          </w:p>
        </w:tc>
      </w:tr>
      <w:tr>
        <w:trPr>
          <w:cantSplit/>
        </w:trPr>
        <w:tc>
          <w:tcPr>
            <w:tcW w:w="2700" w:type="dxa"/>
            <w:vAlign w:val="center"/>
          </w:tcPr>
          <w:p>
            <w:pPr>
              <w:spacing w:before="20" w:after="20" w:line="300" w:lineRule="exact"/>
              <w:jc w:val="left"/>
            </w:pPr>
            <w:hyperlink r:id="rIdL5" w:history="1">
              <w:r>
                <w:rPr>
                  <w:rStyle w:val="Hyperlink"/>
                  <w:rFonts w:ascii="Times New Roman" w:hAnsi="Times New Roman" w:eastAsia="標楷體" w:cs="Times New Roman"/>
                  <w:sz w:val="19"/>
                  <w:szCs w:val="19"/>
                </w:rPr>
                <w:t xml:space="preserve">Y. Liu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準實驗＋隨機田野實驗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1" w:history="1">
              <w:r>
                <w:rPr>
                  <w:rStyle w:val="Hyperlink"/>
                  <w:rFonts w:ascii="Times New Roman" w:hAnsi="Times New Roman" w:eastAsia="標楷體" w:cs="Times New Roman"/>
                  <w:sz w:val="19"/>
                  <w:szCs w:val="19"/>
                </w:rPr>
                <w:t xml:space="preserve">Wang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隨機田野實驗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9" w:history="1">
              <w:r>
                <w:rPr>
                  <w:rStyle w:val="Hyperlink"/>
                  <w:rFonts w:ascii="Times New Roman" w:hAnsi="Times New Roman" w:eastAsia="標楷體" w:cs="Times New Roman"/>
                  <w:sz w:val="19"/>
                  <w:szCs w:val="19"/>
                </w:rPr>
                <w:t xml:space="preserve">Feng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平台交易資料（直播 vs. 重播）</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 w:history="1">
              <w:r>
                <w:rPr>
                  <w:rStyle w:val="Hyperlink"/>
                  <w:rFonts w:ascii="Times New Roman" w:hAnsi="Times New Roman" w:eastAsia="標楷體" w:cs="Times New Roman"/>
                  <w:sz w:val="19"/>
                  <w:szCs w:val="19"/>
                </w:rPr>
                <w:t xml:space="preserve">Gu et al. (2024)</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約 130 萬場直播資料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9" w:history="1">
              <w:r>
                <w:rPr>
                  <w:rStyle w:val="Hyperlink"/>
                  <w:rFonts w:ascii="Times New Roman" w:hAnsi="Times New Roman" w:eastAsia="標楷體" w:cs="Times New Roman"/>
                  <w:sz w:val="19"/>
                  <w:szCs w:val="19"/>
                </w:rPr>
                <w:t xml:space="preserve">Gnewuch et al. (2024)</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田野實驗＋線上實驗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7" w:history="1">
              <w:r>
                <w:rPr>
                  <w:rStyle w:val="Hyperlink"/>
                  <w:rFonts w:ascii="Times New Roman" w:hAnsi="Times New Roman" w:eastAsia="標楷體" w:cs="Times New Roman"/>
                  <w:sz w:val="19"/>
                  <w:szCs w:val="19"/>
                </w:rPr>
                <w:t xml:space="preserve">Garvey et al. (2023)</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0" w:history="1">
              <w:r>
                <w:rPr>
                  <w:rStyle w:val="Hyperlink"/>
                  <w:rFonts w:ascii="Times New Roman" w:hAnsi="Times New Roman" w:eastAsia="標楷體" w:cs="Times New Roman"/>
                  <w:sz w:val="19"/>
                  <w:szCs w:val="19"/>
                </w:rPr>
                <w:t xml:space="preserve">Longoni &amp; Cian (2022)</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6" w:history="1">
              <w:r>
                <w:rPr>
                  <w:rStyle w:val="Hyperlink"/>
                  <w:rFonts w:ascii="Times New Roman" w:hAnsi="Times New Roman" w:eastAsia="標楷體" w:cs="Times New Roman"/>
                  <w:sz w:val="19"/>
                  <w:szCs w:val="19"/>
                </w:rPr>
                <w:t xml:space="preserve">Crolic et al. (2022)</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次級資料＋四項實驗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2" w:history="1">
              <w:r>
                <w:rPr>
                  <w:rStyle w:val="Hyperlink"/>
                  <w:rFonts w:ascii="Times New Roman" w:hAnsi="Times New Roman" w:eastAsia="標楷體" w:cs="Times New Roman"/>
                  <w:sz w:val="19"/>
                  <w:szCs w:val="19"/>
                </w:rPr>
                <w:t xml:space="preserve">Yuan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直播面板資料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8" w:history="1">
              <w:r>
                <w:rPr>
                  <w:rStyle w:val="Hyperlink"/>
                  <w:rFonts w:ascii="Times New Roman" w:hAnsi="Times New Roman" w:eastAsia="標楷體" w:cs="Times New Roman"/>
                  <w:sz w:val="19"/>
                  <w:szCs w:val="19"/>
                </w:rPr>
                <w:t xml:space="preserve">Chang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評論文本＋三項實驗＋訪談</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3" w:history="1">
              <w:r>
                <w:rPr>
                  <w:rStyle w:val="Hyperlink"/>
                  <w:rFonts w:ascii="Times New Roman" w:hAnsi="Times New Roman" w:eastAsia="標楷體" w:cs="Times New Roman"/>
                  <w:sz w:val="19"/>
                  <w:szCs w:val="19"/>
                </w:rPr>
                <w:t xml:space="preserve">Gong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兩項線上實驗＋一項實驗室實驗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6" w:history="1">
              <w:r>
                <w:rPr>
                  <w:rStyle w:val="Hyperlink"/>
                  <w:rFonts w:ascii="Times New Roman" w:hAnsi="Times New Roman" w:eastAsia="標楷體" w:cs="Times New Roman"/>
                  <w:sz w:val="19"/>
                  <w:szCs w:val="19"/>
                </w:rPr>
                <w:t xml:space="preserve">H. Liu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情境實驗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7" w:history="1">
              <w:r>
                <w:rPr>
                  <w:rStyle w:val="Hyperlink"/>
                  <w:rFonts w:ascii="Times New Roman" w:hAnsi="Times New Roman" w:eastAsia="標楷體" w:cs="Times New Roman"/>
                  <w:sz w:val="19"/>
                  <w:szCs w:val="19"/>
                </w:rPr>
                <w:t xml:space="preserve">Xiao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問卷，PLS-SEM（N = 402）</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0" w:history="1">
              <w:r>
                <w:rPr>
                  <w:rStyle w:val="Hyperlink"/>
                  <w:rFonts w:ascii="Times New Roman" w:hAnsi="Times New Roman" w:eastAsia="標楷體" w:cs="Times New Roman"/>
                  <w:sz w:val="19"/>
                  <w:szCs w:val="19"/>
                </w:rPr>
                <w:t xml:space="preserve">Fan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直播資料＋購後評價＋問卷</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5" w:history="1">
              <w:r>
                <w:rPr>
                  <w:rStyle w:val="Hyperlink"/>
                  <w:rFonts w:ascii="Times New Roman" w:hAnsi="Times New Roman" w:eastAsia="標楷體" w:cs="Times New Roman"/>
                  <w:sz w:val="19"/>
                  <w:szCs w:val="19"/>
                </w:rPr>
                <w:t xml:space="preserve">Lv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五項研究</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7" w:history="1">
              <w:r>
                <w:rPr>
                  <w:rStyle w:val="Hyperlink"/>
                  <w:rFonts w:ascii="Times New Roman" w:hAnsi="Times New Roman" w:eastAsia="標楷體" w:cs="Times New Roman"/>
                  <w:sz w:val="19"/>
                  <w:szCs w:val="19"/>
                </w:rPr>
                <w:t xml:space="preserve">Brüns &amp; Meißner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三項實驗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8" w:history="1">
              <w:r>
                <w:rPr>
                  <w:rStyle w:val="Hyperlink"/>
                  <w:rFonts w:ascii="Times New Roman" w:hAnsi="Times New Roman" w:eastAsia="標楷體" w:cs="Times New Roman"/>
                  <w:sz w:val="19"/>
                  <w:szCs w:val="19"/>
                </w:rPr>
                <w:t xml:space="preserve">Kirk &amp; Givi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七項預先註冊實驗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6" w:history="1">
              <w:r>
                <w:rPr>
                  <w:rStyle w:val="Hyperlink"/>
                  <w:rFonts w:ascii="Times New Roman" w:hAnsi="Times New Roman" w:eastAsia="標楷體" w:cs="Times New Roman"/>
                  <w:sz w:val="19"/>
                  <w:szCs w:val="19"/>
                </w:rPr>
                <w:t xml:space="preserve">Chen et al. (2026)</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外送直播平台即時行為資料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8" w:history="1">
              <w:r>
                <w:rPr>
                  <w:rStyle w:val="Hyperlink"/>
                  <w:rFonts w:ascii="Times New Roman" w:hAnsi="Times New Roman" w:eastAsia="標楷體" w:cs="Times New Roman"/>
                  <w:sz w:val="19"/>
                  <w:szCs w:val="19"/>
                </w:rPr>
                <w:t xml:space="preserve">Lu &amp; Li (2026)</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兩項實驗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5" w:history="1">
              <w:r>
                <w:rPr>
                  <w:rStyle w:val="Hyperlink"/>
                  <w:rFonts w:ascii="Times New Roman" w:hAnsi="Times New Roman" w:eastAsia="標楷體" w:cs="Times New Roman"/>
                  <w:sz w:val="19"/>
                  <w:szCs w:val="19"/>
                </w:rPr>
                <w:t xml:space="preserve">Hu (2027)</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約 19 萬筆直播商品面板資料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7" w:history="1">
              <w:r>
                <w:rPr>
                  <w:rStyle w:val="Hyperlink"/>
                  <w:rFonts w:ascii="Times New Roman" w:hAnsi="Times New Roman" w:eastAsia="標楷體" w:cs="Times New Roman"/>
                  <w:sz w:val="19"/>
                  <w:szCs w:val="19"/>
                </w:rPr>
                <w:t xml:space="preserve">H. Li et al. (2023)</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次級資料＋三項情境實驗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8" w:history="1">
              <w:r>
                <w:rPr>
                  <w:rStyle w:val="Hyperlink"/>
                  <w:rFonts w:ascii="Times New Roman" w:hAnsi="Times New Roman" w:eastAsia="標楷體" w:cs="Times New Roman"/>
                  <w:sz w:val="19"/>
                  <w:szCs w:val="19"/>
                </w:rPr>
                <w:t xml:space="preserve">Zhao et al.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系列實驗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0" w:history="1">
              <w:r>
                <w:rPr>
                  <w:rStyle w:val="Hyperlink"/>
                  <w:rFonts w:ascii="Times New Roman" w:hAnsi="Times New Roman" w:eastAsia="標楷體" w:cs="Times New Roman"/>
                  <w:sz w:val="19"/>
                  <w:szCs w:val="19"/>
                </w:rPr>
                <w:t xml:space="preserve">De Cicco et al.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線上實驗（N = 238）</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9" w:history="1">
              <w:r>
                <w:rPr>
                  <w:rStyle w:val="Hyperlink"/>
                  <w:rFonts w:ascii="Times New Roman" w:hAnsi="Times New Roman" w:eastAsia="標楷體" w:cs="Times New Roman"/>
                  <w:sz w:val="19"/>
                  <w:szCs w:val="19"/>
                </w:rPr>
                <w:t xml:space="preserve">Cheng et al. (2022)</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問卷（N = 299）</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1" w:history="1">
              <w:r>
                <w:rPr>
                  <w:rStyle w:val="Hyperlink"/>
                  <w:rFonts w:ascii="Times New Roman" w:hAnsi="Times New Roman" w:eastAsia="標楷體" w:cs="Times New Roman"/>
                  <w:sz w:val="19"/>
                  <w:szCs w:val="19"/>
                </w:rPr>
                <w:t xml:space="preserve">T. Li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三項實驗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r>
              <w:rPr>
                <w:rFonts w:ascii="Times New Roman" w:hAnsi="Times New Roman" w:eastAsia="標楷體" w:cs="Times New Roman"/>
                <w:b/>
                <w:bCs/>
                <w:sz w:val="19"/>
                <w:szCs w:val="19"/>
              </w:rPr>
              <w:t xml:space="preserve">本計畫</w:t>
            </w:r>
          </w:p>
        </w:tc>
        <w:tc>
          <w:tcPr>
            <w:tcW w:w="2338" w:type="dxa"/>
            <w:vAlign w:val="center"/>
          </w:tcPr>
          <w:p>
            <w:pPr>
              <w:spacing w:before="20" w:after="20" w:line="300" w:lineRule="exact"/>
              <w:jc w:val="left"/>
            </w:pPr>
            <w:r>
              <w:rPr>
                <w:rFonts w:ascii="Times New Roman" w:hAnsi="Times New Roman" w:eastAsia="標楷體" w:cs="Times New Roman"/>
                <w:b/>
                <w:bCs/>
                <w:sz w:val="19"/>
                <w:szCs w:val="19"/>
              </w:rPr>
              <w:t xml:space="preserve">MEC＋實驗＋SEM（三品類）</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r>
      <w:tr>
        <w:trPr>
          <w:cantSplit/>
        </w:trPr>
        <w:tc>
          <w:tcPr>
            <w:tcW w:w="9638" w:type="dxa"/>
            <w:gridSpan w:val="6"/>
            <w:vAlign w:val="center"/>
          </w:tcPr>
          <w:p>
            <w:pPr>
              <w:spacing w:before="20" w:after="20" w:line="300" w:lineRule="exact"/>
              <w:jc w:val="left"/>
            </w:pPr>
            <w:r>
              <w:rPr>
                <w:rFonts w:ascii="Times New Roman" w:hAnsi="Times New Roman" w:eastAsia="標楷體" w:cs="Times New Roman"/>
                <w:sz w:val="19"/>
                <w:szCs w:val="19"/>
              </w:rPr>
              <w:t xml:space="preserve">註：✓ 為該研究直接檢驗；○ 為部分涉及（例如比較 AI 助理與無助理、比較擬人化程度、以訪談補充、以服務失誤後的寬容取代購後結果、以問卷測量揭露）；— 為未涉及。內容依各文獻摘要與出版社資訊整理。</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近五年的研究已確認 AI 主播的銷售效果有條件性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8" w:history="1">
        <w:r>
          <w:rPr>
            <w:rStyle w:val="Hyperlink"/>
            <w:rFonts w:ascii="Times New Roman" w:hAnsi="Times New Roman" w:eastAsia="標楷體" w:cs="Times New Roman"/>
          </w:rPr>
          <w:t xml:space="preserve">Chang et al., 2025</w:t>
        </w:r>
      </w:hyperlink>
      <w:r>
        <w:rPr>
          <w:rFonts w:ascii="Times New Roman" w:hAnsi="Times New Roman" w:eastAsia="標楷體" w:cs="Times New Roman"/>
        </w:rPr>
        <w:t xml:space="preserve">)，直播互動會影響退貨與購後滿意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)，AI 身分的揭露會改變消費者反應 (</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)。然而，這三條研究脈絡尚未交會。本計畫以 AI 主播為交會點，從價值、因果與路徑三個層次介入探討。</w:t>
      </w:r>
    </w:p>
    <w:p>
      <w:pPr>
        <w:keepNext/>
        <w:spacing w:before="120" w:after="40" w:line="440" w:lineRule="exact"/>
      </w:pPr>
      <w:r>
        <w:rPr>
          <w:rFonts w:ascii="Times New Roman" w:hAnsi="Times New Roman" w:eastAsia="標楷體" w:cs="Times New Roman"/>
          <w:b/>
          <w:bCs/>
          <w:u w:val="single"/>
        </w:rPr>
        <w:t xml:space="preserve">第一部分【初步發現】AI 虛擬主播與真人主播之消費者價值內涵探索：方法目的鏈</w:t>
      </w:r>
    </w:p>
    <w:p>
      <w:pPr>
        <w:spacing w:before="0" w:after="0" w:line="440" w:lineRule="exact"/>
        <w:ind w:firstLineChars="200" w:firstLine="480"/>
        <w:jc w:val="both"/>
      </w:pPr>
      <w:r>
        <w:rPr>
          <w:rFonts w:ascii="Times New Roman" w:hAnsi="Times New Roman" w:eastAsia="標楷體" w:cs="Times New Roman"/>
        </w:rPr>
        <w:t xml:space="preserve">第一階段研究以方法目的鏈探索消費者向 AI 虛擬主播與真人主播購買的價值內涵。本階段採用方法目的鏈理論與消費價值理論為理論基礎，以下就相關文獻分述之。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（一）AI 虛擬主播與直播電商</w:t>
      </w:r>
    </w:p>
    <w:p>
      <w:pPr>
        <w:spacing w:before="0" w:after="0" w:line="440" w:lineRule="exact"/>
        <w:ind w:firstLineChars="200" w:firstLine="480"/>
        <w:jc w:val="both"/>
      </w:pPr>
      <w:r>
        <w:rPr>
          <w:rFonts w:ascii="Times New Roman" w:hAnsi="Times New Roman" w:eastAsia="標楷體" w:cs="Times New Roman"/>
        </w:rPr>
        <w:t xml:space="preserve">直播電商以即時影音、互動與交易整合為特徵，近年的回顧研究已整理出其理論、情境與方法的發展脈絡 (</w:t>
      </w:r>
      <w:hyperlink r:id="rIdL45" w:history="1">
        <w:r>
          <w:rPr>
            <w:rStyle w:val="Hyperlink"/>
            <w:rFonts w:ascii="Times New Roman" w:hAnsi="Times New Roman" w:eastAsia="標楷體" w:cs="Times New Roman"/>
          </w:rPr>
          <w:t xml:space="preserve">Luo et al., 2025</w:t>
        </w:r>
      </w:hyperlink>
      <w:r>
        <w:rPr>
          <w:rFonts w:ascii="Times New Roman" w:hAnsi="Times New Roman" w:eastAsia="標楷體" w:cs="Times New Roman"/>
        </w:rPr>
        <w:t xml:space="preserve">)。直播之所以能促成購買，在於它讓消費者透過主播的試用示範降低產品不確定性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)，並經由實用、享樂與象徵價值建立對賣家的信任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)。主播的語言策略也直接影響銷售，例如獎勵搭配誇張、可信度搭配誇張的組合能提高銷售，可信度搭配邏輯的組合反而降低銷售 (</w:t>
      </w:r>
      <w:hyperlink r:id="rIdL50" w:history="1">
        <w:r>
          <w:rPr>
            <w:rStyle w:val="Hyperlink"/>
            <w:rFonts w:ascii="Times New Roman" w:hAnsi="Times New Roman" w:eastAsia="標楷體" w:cs="Times New Roman"/>
          </w:rPr>
          <w:t xml:space="preserve">Ma et al., 2025</w:t>
        </w:r>
      </w:hyperlink>
      <w:r>
        <w:rPr>
          <w:rFonts w:ascii="Times New Roman" w:hAnsi="Times New Roman" w:eastAsia="標楷體" w:cs="Times New Roman"/>
        </w:rPr>
        <w:t xml:space="preserve">)；網紅的印象管理策略則經由信任影響直播購買意圖 (</w:t>
      </w:r>
      <w:hyperlink r:id="rIdL51" w:history="1">
        <w:r>
          <w:rPr>
            <w:rStyle w:val="Hyperlink"/>
            <w:rFonts w:ascii="Times New Roman" w:hAnsi="Times New Roman" w:eastAsia="標楷體" w:cs="Times New Roman"/>
          </w:rPr>
          <w:t xml:space="preserve">X. Li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AI 虛擬主播的出現，使「誰來賣」成為新的研究問題。數位主播的外型擬真與行為擬真是影響其效果的兩個設計面向，其中即時回答觀眾問題的能力對銷售提升最大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)；AI 與真人主播對觀眾投入的影響也會隨時間演變 (</w:t>
      </w:r>
      <w:hyperlink r:id="rIdL32" w:history="1">
        <w:r>
          <w:rPr>
            <w:rStyle w:val="Hyperlink"/>
            <w:rFonts w:ascii="Times New Roman" w:hAnsi="Times New Roman" w:eastAsia="標楷體" w:cs="Times New Roman"/>
          </w:rPr>
          <w:t xml:space="preserve">Yuan et al., 2025</w:t>
        </w:r>
      </w:hyperlink>
      <w:r>
        <w:rPr>
          <w:rFonts w:ascii="Times New Roman" w:hAnsi="Times New Roman" w:eastAsia="標楷體" w:cs="Times New Roman"/>
        </w:rPr>
        <w:t xml:space="preserve">)。AI 主播的銷售效果並不一致：外送直播中 AI 主播的購買率高於真人主播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)；問卷研究則顯示，AI 主播的回應性、專業性與擬人化經由信任與心流提高衝動購買意圖 (</w:t>
      </w:r>
      <w:hyperlink r:id="rIdL33" w:history="1">
        <w:r>
          <w:rPr>
            <w:rStyle w:val="Hyperlink"/>
            <w:rFonts w:ascii="Times New Roman" w:hAnsi="Times New Roman" w:eastAsia="標楷體" w:cs="Times New Roman"/>
          </w:rPr>
          <w:t xml:space="preserve">Zhou &amp; Li, 2025</w:t>
        </w:r>
      </w:hyperlink>
      <w:r>
        <w:rPr>
          <w:rFonts w:ascii="Times New Roman" w:hAnsi="Times New Roman" w:eastAsia="標楷體" w:cs="Times New Roman"/>
        </w:rPr>
        <w:t xml:space="preserve">)，其個人化與擬人個性經由擬社會互動與體驗價值提升品牌形象 (</w:t>
      </w:r>
      <w:hyperlink r:id="rIdL52" w:history="1">
        <w:r>
          <w:rPr>
            <w:rStyle w:val="Hyperlink"/>
            <w:rFonts w:ascii="Times New Roman" w:hAnsi="Times New Roman" w:eastAsia="標楷體" w:cs="Times New Roman"/>
          </w:rPr>
          <w:t xml:space="preserve">Xu et al., 2025</w:t>
        </w:r>
      </w:hyperlink>
      <w:r>
        <w:rPr>
          <w:rFonts w:ascii="Times New Roman" w:hAnsi="Times New Roman" w:eastAsia="標楷體" w:cs="Times New Roman"/>
        </w:rPr>
        <w:t xml:space="preserve">)。直播的商品數量與講解時間也會影響銷售，且效果因品牌自播或網紅直播而不同 (</w:t>
      </w:r>
      <w:hyperlink r:id="rIdL53" w:history="1">
        <w:r>
          <w:rPr>
            <w:rStyle w:val="Hyperlink"/>
            <w:rFonts w:ascii="Times New Roman" w:hAnsi="Times New Roman" w:eastAsia="標楷體" w:cs="Times New Roman"/>
          </w:rPr>
          <w:t xml:space="preserve">Zheng et al., 2026</w:t>
        </w:r>
      </w:hyperlink>
      <w:r>
        <w:rPr>
          <w:rFonts w:ascii="Times New Roman" w:hAnsi="Times New Roman" w:eastAsia="標楷體" w:cs="Times New Roman"/>
        </w:rPr>
        <w:t xml:space="preserve">)。虛擬網紅的研究則發現，消費者雖視其為「真實的假人」，虛擬網紅能建立品牌知名度，卻較難促成購買，原因在於真實性、相似性與擬社會關係較弱 (</w:t>
      </w:r>
      <w:hyperlink r:id="rIdL54" w:history="1">
        <w:r>
          <w:rPr>
            <w:rStyle w:val="Hyperlink"/>
            <w:rFonts w:ascii="Times New Roman" w:hAnsi="Times New Roman" w:eastAsia="標楷體" w:cs="Times New Roman"/>
          </w:rPr>
          <w:t xml:space="preserve">Lou et al., 2023</w:t>
        </w:r>
      </w:hyperlink>
      <w:r>
        <w:rPr>
          <w:rFonts w:ascii="Times New Roman" w:hAnsi="Times New Roman" w:eastAsia="標楷體" w:cs="Times New Roman"/>
        </w:rPr>
        <w:t xml:space="preserve">)；虛擬網紅作為廣告代言人究竟「新奇有效」還是「詭異欺騙」，也仍有爭論 (</w:t>
      </w:r>
      <w:hyperlink r:id="rIdL55" w:history="1">
        <w:r>
          <w:rPr>
            <w:rStyle w:val="Hyperlink"/>
            <w:rFonts w:ascii="Times New Roman" w:hAnsi="Times New Roman" w:eastAsia="標楷體" w:cs="Times New Roman"/>
          </w:rPr>
          <w:t xml:space="preserve">Franke et al., 2023</w:t>
        </w:r>
      </w:hyperlink>
      <w:r>
        <w:rPr>
          <w:rFonts w:ascii="Times New Roman" w:hAnsi="Times New Roman" w:eastAsia="標楷體" w:cs="Times New Roman"/>
        </w:rPr>
        <w:t xml:space="preserve">)：</w:t>
      </w:r>
      <w:hyperlink r:id="rIdL47" w:history="1">
        <w:r>
          <w:rPr>
            <w:rStyle w:val="Hyperlink"/>
            <w:rFonts w:ascii="Times New Roman" w:hAnsi="Times New Roman" w:eastAsia="標楷體" w:cs="Times New Roman"/>
          </w:rPr>
          <w:t xml:space="preserve">H. Li et al. (2023)</w:t>
        </w:r>
      </w:hyperlink>
      <w:r>
        <w:rPr>
          <w:rFonts w:ascii="Times New Roman" w:hAnsi="Times New Roman" w:eastAsia="標楷體" w:cs="Times New Roman"/>
        </w:rPr>
        <w:t xml:space="preserve"> 發現虛擬網紅因被知覺缺乏感官能力與可信度，代言效果不如真人；</w:t>
      </w:r>
      <w:hyperlink r:id="rIdL56" w:history="1">
        <w:r>
          <w:rPr>
            <w:rStyle w:val="Hyperlink"/>
            <w:rFonts w:ascii="Times New Roman" w:hAnsi="Times New Roman" w:eastAsia="標楷體" w:cs="Times New Roman"/>
          </w:rPr>
          <w:t xml:space="preserve">Kobuszewki Volles et al. (2024)</w:t>
        </w:r>
      </w:hyperlink>
      <w:r>
        <w:rPr>
          <w:rFonts w:ascii="Times New Roman" w:hAnsi="Times New Roman" w:eastAsia="標楷體" w:cs="Times New Roman"/>
        </w:rPr>
        <w:t xml:space="preserve"> 則指出其獨特性可抵銷信任上的劣勢；</w:t>
      </w:r>
      <w:hyperlink r:id="rIdL48" w:history="1">
        <w:r>
          <w:rPr>
            <w:rStyle w:val="Hyperlink"/>
            <w:rFonts w:ascii="Times New Roman" w:hAnsi="Times New Roman" w:eastAsia="標楷體" w:cs="Times New Roman"/>
          </w:rPr>
          <w:t xml:space="preserve">Zhao et al. (2024)</w:t>
        </w:r>
      </w:hyperlink>
      <w:r>
        <w:rPr>
          <w:rFonts w:ascii="Times New Roman" w:hAnsi="Times New Roman" w:eastAsia="標楷體" w:cs="Times New Roman"/>
        </w:rPr>
        <w:t xml:space="preserve"> 也發現，在服務失誤時，消費者對虛擬網紅更寬容。相關研究已被整理為人機比較、虛擬網紅特性與社會倫理三個主題 (</w:t>
      </w:r>
      <w:hyperlink r:id="rIdL57" w:history="1">
        <w:r>
          <w:rPr>
            <w:rStyle w:val="Hyperlink"/>
            <w:rFonts w:ascii="Times New Roman" w:hAnsi="Times New Roman" w:eastAsia="標楷體" w:cs="Times New Roman"/>
          </w:rPr>
          <w:t xml:space="preserve">Audrezet et al., 2025</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（二）消費者對 AI 代理人的反應</w:t>
      </w:r>
    </w:p>
    <w:p>
      <w:pPr>
        <w:spacing w:before="0" w:after="0" w:line="440" w:lineRule="exact"/>
        <w:ind w:firstLineChars="200" w:firstLine="480"/>
        <w:jc w:val="both"/>
      </w:pPr>
      <w:r>
        <w:rPr>
          <w:rFonts w:ascii="Times New Roman" w:hAnsi="Times New Roman" w:eastAsia="標楷體" w:cs="Times New Roman"/>
        </w:rPr>
        <w:t xml:space="preserve">消費者與 AI 的互動可從資料蒐集、分類、委託與社交四種能力加以理解，每一種能力都同時帶來利益與成本 (</w:t>
      </w:r>
      <w:hyperlink r:id="rIdL58" w:history="1">
        <w:r>
          <w:rPr>
            <w:rStyle w:val="Hyperlink"/>
            <w:rFonts w:ascii="Times New Roman" w:hAnsi="Times New Roman" w:eastAsia="標楷體" w:cs="Times New Roman"/>
          </w:rPr>
          <w:t xml:space="preserve">Puntoni et al., 2021</w:t>
        </w:r>
      </w:hyperlink>
      <w:r>
        <w:rPr>
          <w:rFonts w:ascii="Times New Roman" w:hAnsi="Times New Roman" w:eastAsia="標楷體" w:cs="Times New Roman"/>
        </w:rPr>
        <w:t xml:space="preserve">)；行銷中的 AI 亦可分為機械、思考與感受三種智慧 (</w:t>
      </w:r>
      <w:hyperlink r:id="rIdL59" w:history="1">
        <w:r>
          <w:rPr>
            <w:rStyle w:val="Hyperlink"/>
            <w:rFonts w:ascii="Times New Roman" w:hAnsi="Times New Roman" w:eastAsia="標楷體" w:cs="Times New Roman"/>
          </w:rPr>
          <w:t xml:space="preserve">Huang &amp; Rust, 2021</w:t>
        </w:r>
      </w:hyperlink>
      <w:r>
        <w:rPr>
          <w:rFonts w:ascii="Times New Roman" w:hAnsi="Times New Roman" w:eastAsia="標楷體" w:cs="Times New Roman"/>
        </w:rPr>
        <w:t xml:space="preserve">)。整合 108 個樣本、11,053 位受試者的後設分析顯示，服務機器人、聊天機器人等 AI 的擬人化程度會影響顧客的使用意圖 (</w:t>
      </w:r>
      <w:hyperlink r:id="rIdL60" w:history="1">
        <w:r>
          <w:rPr>
            <w:rStyle w:val="Hyperlink"/>
            <w:rFonts w:ascii="Times New Roman" w:hAnsi="Times New Roman" w:eastAsia="標楷體" w:cs="Times New Roman"/>
          </w:rPr>
          <w:t xml:space="preserve">Blut et al., 2021</w:t>
        </w:r>
      </w:hyperlink>
      <w:r>
        <w:rPr>
          <w:rFonts w:ascii="Times New Roman" w:hAnsi="Times New Roman" w:eastAsia="標楷體" w:cs="Times New Roman"/>
        </w:rPr>
        <w:t xml:space="preserve">)。但擬人化並非越高越好：對憤怒的顧客而言，擬人化聊天機器人會提高期望、在問題未解決時降低滿意 (</w:t>
      </w:r>
      <w:hyperlink r:id="rIdL46" w:history="1">
        <w:r>
          <w:rPr>
            <w:rStyle w:val="Hyperlink"/>
            <w:rFonts w:ascii="Times New Roman" w:hAnsi="Times New Roman" w:eastAsia="標楷體" w:cs="Times New Roman"/>
          </w:rPr>
          <w:t xml:space="preserve">Crolic et al., 2022</w:t>
        </w:r>
      </w:hyperlink>
      <w:r>
        <w:rPr>
          <w:rFonts w:ascii="Times New Roman" w:hAnsi="Times New Roman" w:eastAsia="標楷體" w:cs="Times New Roman"/>
        </w:rPr>
        <w:t xml:space="preserve">)；擬人化與服務失誤容忍度之間呈倒 U 型關係 (</w:t>
      </w:r>
      <w:hyperlink r:id="rIdL61" w:history="1">
        <w:r>
          <w:rPr>
            <w:rStyle w:val="Hyperlink"/>
            <w:rFonts w:ascii="Times New Roman" w:hAnsi="Times New Roman" w:eastAsia="標楷體" w:cs="Times New Roman"/>
          </w:rPr>
          <w:t xml:space="preserve">R. Liu et al., 2025</w:t>
        </w:r>
      </w:hyperlink>
      <w:r>
        <w:rPr>
          <w:rFonts w:ascii="Times New Roman" w:hAnsi="Times New Roman" w:eastAsia="標楷體" w:cs="Times New Roman"/>
        </w:rPr>
        <w:t xml:space="preserve">)；高度擬人的機器人也會讓顧客覺得被評斷 (</w:t>
      </w:r>
      <w:hyperlink r:id="rIdL62" w:history="1">
        <w:r>
          <w:rPr>
            <w:rStyle w:val="Hyperlink"/>
            <w:rFonts w:ascii="Times New Roman" w:hAnsi="Times New Roman" w:eastAsia="標楷體" w:cs="Times New Roman"/>
          </w:rPr>
          <w:t xml:space="preserve">Holthöwer &amp; van Doorn, 2023</w:t>
        </w:r>
      </w:hyperlink>
      <w:r>
        <w:rPr>
          <w:rFonts w:ascii="Times New Roman" w:hAnsi="Times New Roman" w:eastAsia="標楷體" w:cs="Times New Roman"/>
        </w:rPr>
        <w:t xml:space="preserve">)，這與恐怖谷理論的預期一致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在直播情境中，消費者對 AI 主播的反感來自擬人化與科技恐懼，並經由「不夠溫暖」與「不夠專業」兩條路徑形成，且相依我與獨立我的消費者走的路徑不同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)。換言之，同一位 AI 主播，可能因消費者重視的價值不同而有截然不同的意義。這正是本研究以價值鏈比較兩類主播購買者的理由。</w:t>
      </w:r>
    </w:p>
    <w:p>
      <w:pPr>
        <w:pStyle w:val="Heading3"/>
        <w:keepNext/>
        <w:spacing w:before="120" w:after="40" w:line="440" w:lineRule="exact"/>
        <w:ind w:left="480" w:hanging="480"/>
      </w:pPr>
      <w:r>
        <w:rPr>
          <w:rFonts w:ascii="Times New Roman" w:hAnsi="Times New Roman" w:eastAsia="標楷體" w:cs="Times New Roman"/>
          <w:b/>
          <w:bCs/>
        </w:rPr>
        <w:t xml:space="preserve">（三）方法目的鏈理論與階梯法</w:t>
      </w:r>
    </w:p>
    <w:p>
      <w:pPr>
        <w:spacing w:before="0" w:after="0" w:line="440" w:lineRule="exact"/>
        <w:ind w:firstLineChars="200" w:firstLine="480"/>
        <w:jc w:val="both"/>
      </w:pPr>
      <w:r>
        <w:rPr>
          <w:rFonts w:ascii="Times New Roman" w:hAnsi="Times New Roman" w:eastAsia="標楷體" w:cs="Times New Roman"/>
        </w:rPr>
        <w:t xml:space="preserve">方法目的鏈認為，消費者行為是目標導向的，產品的具體屬性（attributes, A）透過使用後的後果（consequences, C），最終連結到個人的終極價值（values, V）(</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)。階梯法以一對一深度訪談，反覆追問「這對你為什麼重要」，引導受訪者由具體屬性逐步上升到抽象價值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)；MEC 亦可用於描述消費者的目標結構 (</w:t>
      </w:r>
      <w:hyperlink r:id="rIdL64"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)。由於 MEC 的分析尚無統一標準，編碼層級與彙總方式的選擇會改變結果，研究者應依研究問題明確說明分析決策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)；編碼信度則需以獨立編碼員檢驗 (</w:t>
      </w:r>
      <w:hyperlink r:id="rIdL65"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 </w:t>
      </w:r>
      <w:hyperlink r:id="rIdL66"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)。本研究據此事先訂定編碼層級、截斷值與信度標準。</w:t>
      </w:r>
    </w:p>
    <w:p>
      <w:pPr>
        <w:spacing w:before="0" w:after="0" w:line="440" w:lineRule="exact"/>
        <w:ind w:firstLineChars="200" w:firstLine="480"/>
        <w:jc w:val="both"/>
      </w:pPr>
      <w:r>
        <w:rPr>
          <w:rFonts w:ascii="Times New Roman" w:hAnsi="Times New Roman" w:eastAsia="標楷體" w:cs="Times New Roman"/>
        </w:rPr>
        <w:t xml:space="preserve">消費價值理論提供了解讀價值鏈的框架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)：例如「主播即時回答尺寸問題」屬功能價值，「直播間熱鬧好玩」屬情感價值 (</w:t>
      </w:r>
      <w:hyperlink r:id="rIdL67" w:history="1">
        <w:r>
          <w:rPr>
            <w:rStyle w:val="Hyperlink"/>
            <w:rFonts w:ascii="Times New Roman" w:hAnsi="Times New Roman" w:eastAsia="標楷體" w:cs="Times New Roman"/>
          </w:rPr>
          <w:t xml:space="preserve">Holbrook &amp; Hirschman, 1982</w:t>
        </w:r>
      </w:hyperlink>
      <w:r>
        <w:rPr>
          <w:rFonts w:ascii="Times New Roman" w:hAnsi="Times New Roman" w:eastAsia="標楷體" w:cs="Times New Roman"/>
        </w:rPr>
        <w:t xml:space="preserve">)，「跟朋友分享買到好東西」屬社會價值，「試試看 AI 主播」屬知識價值。同一項主播屬性，對不同消費者可能對應到不同的價值類型。</w:t>
      </w:r>
    </w:p>
    <w:p>
      <w:pPr>
        <w:pStyle w:val="Heading3"/>
        <w:keepNext/>
        <w:spacing w:before="120" w:after="40" w:line="440" w:lineRule="exact"/>
        <w:ind w:left="480" w:hanging="480"/>
      </w:pPr>
      <w:r>
        <w:rPr>
          <w:rFonts w:ascii="Times New Roman" w:hAnsi="Times New Roman" w:eastAsia="標楷體" w:cs="Times New Roman"/>
          <w:b/>
          <w:bCs/>
        </w:rPr>
        <w:t xml:space="preserve">（四）購後後果：滿意、後悔與退貨</w:t>
      </w:r>
    </w:p>
    <w:p>
      <w:pPr>
        <w:spacing w:before="0" w:after="0" w:line="440" w:lineRule="exact"/>
        <w:ind w:firstLineChars="200" w:firstLine="480"/>
        <w:jc w:val="both"/>
      </w:pPr>
      <w:r>
        <w:rPr>
          <w:rFonts w:ascii="Times New Roman" w:hAnsi="Times New Roman" w:eastAsia="標楷體" w:cs="Times New Roman"/>
        </w:rPr>
        <w:t xml:space="preserve">期望確認理論指出，滿意是購前期望與實際表現比較後的結果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)；後悔則來自對已選與未選方案的比較，並會影響再購與轉換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)。退貨政策的寬鬆程度會同時提高購買與退貨，但對購買的提升較大 (</w:t>
      </w:r>
      <w:hyperlink r:id="rIdL68" w:history="1">
        <w:r>
          <w:rPr>
            <w:rStyle w:val="Hyperlink"/>
            <w:rFonts w:ascii="Times New Roman" w:hAnsi="Times New Roman" w:eastAsia="標楷體" w:cs="Times New Roman"/>
          </w:rPr>
          <w:t xml:space="preserve">Janakiraman et al., 2016</w:t>
        </w:r>
      </w:hyperlink>
      <w:r>
        <w:rPr>
          <w:rFonts w:ascii="Times New Roman" w:hAnsi="Times New Roman" w:eastAsia="標楷體" w:cs="Times New Roman"/>
        </w:rPr>
        <w:t xml:space="preserve">)，各寬鬆面向對退貨傾向與滿意的影響也不相同 (</w:t>
      </w:r>
      <w:hyperlink r:id="rIdL69" w:history="1">
        <w:r>
          <w:rPr>
            <w:rStyle w:val="Hyperlink"/>
            <w:rFonts w:ascii="Times New Roman" w:hAnsi="Times New Roman" w:eastAsia="標楷體" w:cs="Times New Roman"/>
          </w:rPr>
          <w:t xml:space="preserve">Duong et al., 2025</w:t>
        </w:r>
      </w:hyperlink>
      <w:r>
        <w:rPr>
          <w:rFonts w:ascii="Times New Roman" w:hAnsi="Times New Roman" w:eastAsia="標楷體" w:cs="Times New Roman"/>
        </w:rPr>
        <w:t xml:space="preserve">)。直播情境的研究顯示，即時說服會使購前期望超過實際表現而提高退貨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)，高互動氣氛會降低購後滿意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)；以近 19 萬筆直播商品資料的分析則發現，主播講解時間越長退貨率越低，商品留在購物車的時間越長退貨率越高 (</w:t>
      </w:r>
      <w:hyperlink r:id="rIdL35" w:history="1">
        <w:r>
          <w:rPr>
            <w:rStyle w:val="Hyperlink"/>
            <w:rFonts w:ascii="Times New Roman" w:hAnsi="Times New Roman" w:eastAsia="標楷體" w:cs="Times New Roman"/>
          </w:rPr>
          <w:t xml:space="preserve">Hu, 2027</w:t>
        </w:r>
      </w:hyperlink>
      <w:r>
        <w:rPr>
          <w:rFonts w:ascii="Times New Roman" w:hAnsi="Times New Roman" w:eastAsia="標楷體" w:cs="Times New Roman"/>
        </w:rPr>
        <w:t xml:space="preserve">)。然而，消費者在說明「為什麼向某位主播購買」時，退貨與後悔位於價值鏈的哪個位置，目前仍無研究。據此，第一階段提出以下研究問題：</w:t>
      </w:r>
    </w:p>
    <w:p>
      <w:pPr>
        <w:spacing w:before="0" w:after="0" w:line="440" w:lineRule="exact"/>
        <w:ind w:left="960" w:hanging="480"/>
        <w:jc w:val="both"/>
      </w:pPr>
      <w:r>
        <w:rPr>
          <w:rFonts w:ascii="Times New Roman" w:hAnsi="Times New Roman" w:eastAsia="標楷體" w:cs="Times New Roman"/>
          <w:b/>
          <w:bCs/>
        </w:rPr>
        <w:t xml:space="preserve">RQ1：消費者向 AI 虛擬主播與真人主播購買時，各自連結到哪些屬性、後果與價值？</w:t>
      </w:r>
    </w:p>
    <w:p>
      <w:pPr>
        <w:spacing w:before="0" w:after="0" w:line="440" w:lineRule="exact"/>
        <w:ind w:left="960" w:hanging="480"/>
        <w:jc w:val="both"/>
      </w:pPr>
      <w:r>
        <w:rPr>
          <w:rFonts w:ascii="Times New Roman" w:hAnsi="Times New Roman" w:eastAsia="標楷體" w:cs="Times New Roman"/>
          <w:b/>
          <w:bCs/>
        </w:rPr>
        <w:t xml:space="preserve">RQ2：哪些價值鏈為兩類主播共通、哪些為各自特有？是否因品類（運動鞋、美妝、家具）而不同？</w:t>
      </w:r>
    </w:p>
    <w:p>
      <w:pPr>
        <w:spacing w:before="0" w:after="0" w:line="440" w:lineRule="exact"/>
        <w:ind w:left="960" w:hanging="480"/>
        <w:jc w:val="both"/>
      </w:pPr>
      <w:r>
        <w:rPr>
          <w:rFonts w:ascii="Times New Roman" w:hAnsi="Times New Roman" w:eastAsia="標楷體" w:cs="Times New Roman"/>
          <w:b/>
          <w:bCs/>
        </w:rPr>
        <w:t xml:space="preserve">RQ3：購後滿意、後悔與退貨位於價值鏈的哪個位置？哪些主播屬性連結到退貨後果？</w:t>
      </w:r>
    </w:p>
    <w:p>
      <w:pPr>
        <w:spacing w:before="0" w:after="0" w:line="440" w:lineRule="exact"/>
        <w:ind w:left="960" w:hanging="480"/>
        <w:jc w:val="both"/>
      </w:pPr>
      <w:r>
        <w:rPr>
          <w:rFonts w:ascii="Times New Roman" w:hAnsi="Times New Roman" w:eastAsia="標楷體" w:cs="Times New Roman"/>
          <w:b/>
          <w:bCs/>
        </w:rPr>
        <w:t xml:space="preserve">RQ4：兩類主播購買者的價值鏈，能否歸納為可測量的價值傾向（如功能型與情感社會型），供第二、三階段使用？</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 AI 主播研究以問卷與實驗檢驗事先設定的構念，較少回到消費者「為什麼」向 AI 主播購買的價值層次，也較少把退貨與後悔納入。本研究第一階段以軟式階梯訪談比較兩類主播的購買者，從此一缺口介入探討。</w:t>
      </w:r>
    </w:p>
    <w:p>
      <w:pPr>
        <w:keepNext/>
        <w:spacing w:before="120" w:after="40" w:line="440" w:lineRule="exact"/>
      </w:pPr>
      <w:r>
        <w:rPr>
          <w:rFonts w:ascii="Times New Roman" w:hAnsi="Times New Roman" w:eastAsia="標楷體" w:cs="Times New Roman"/>
          <w:b/>
          <w:bCs/>
          <w:u w:val="single"/>
        </w:rPr>
        <w:t xml:space="preserve">第二部分【深入檢驗】主播類型、價值訴求話術與產品類型：實驗設計</w:t>
      </w:r>
    </w:p>
    <w:p>
      <w:pPr>
        <w:spacing w:before="0" w:after="0" w:line="440" w:lineRule="exact"/>
        <w:ind w:firstLineChars="200" w:firstLine="480"/>
        <w:jc w:val="both"/>
      </w:pPr>
      <w:r>
        <w:rPr>
          <w:rFonts w:ascii="Times New Roman" w:hAnsi="Times New Roman" w:eastAsia="標楷體" w:cs="Times New Roman"/>
        </w:rPr>
        <w:t xml:space="preserve">第二階段以第一階段的價值鏈撰寫實驗話術，檢驗主播類型、話術與產品類型的交互作用，以及其對購買與購後預期的影響。本階段採用社會知覺、說服知識與後悔理論為理論基礎，以下就相關文獻分述之。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（一）AI 適合什麼樣的訊息？</w:t>
      </w:r>
    </w:p>
    <w:p>
      <w:pPr>
        <w:spacing w:before="0" w:after="0" w:line="440" w:lineRule="exact"/>
        <w:ind w:firstLineChars="200" w:firstLine="480"/>
        <w:jc w:val="both"/>
      </w:pPr>
      <w:r>
        <w:rPr>
          <w:rFonts w:ascii="Times New Roman" w:hAnsi="Times New Roman" w:eastAsia="標楷體" w:cs="Times New Roman"/>
        </w:rPr>
        <w:t xml:space="preserve">消費者相信 AI 較擅長實用性任務、較不擅長享樂性任務，因此在實用性情境較願意接受 AI 的推薦，在享樂性情境則傾向人類推薦，即「機器口碑效果」(</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)；演算法趨避也取決於任務被視為客觀或主觀 (</w:t>
      </w:r>
      <w:hyperlink r:id="rIdL21" w:history="1">
        <w:r>
          <w:rPr>
            <w:rStyle w:val="Hyperlink"/>
            <w:rFonts w:ascii="Times New Roman" w:hAnsi="Times New Roman" w:eastAsia="標楷體" w:cs="Times New Roman"/>
          </w:rPr>
          <w:t xml:space="preserve">Castelo et al., 2019</w:t>
        </w:r>
      </w:hyperlink>
      <w:r>
        <w:rPr>
          <w:rFonts w:ascii="Times New Roman" w:hAnsi="Times New Roman" w:eastAsia="標楷體" w:cs="Times New Roman"/>
        </w:rPr>
        <w:t xml:space="preserve">)。另一方面，人們以較具體的層次理解 AI，因此 AI 傳遞具體、說明「怎麼做」的訊息時較具說服力 (</w:t>
      </w:r>
      <w:hyperlink r:id="rIdL22" w:history="1">
        <w:r>
          <w:rPr>
            <w:rStyle w:val="Hyperlink"/>
            <w:rFonts w:ascii="Times New Roman" w:hAnsi="Times New Roman" w:eastAsia="標楷體" w:cs="Times New Roman"/>
          </w:rPr>
          <w:t xml:space="preserve">Kim &amp; Duhachek, 2020</w:t>
        </w:r>
      </w:hyperlink>
      <w:r>
        <w:rPr>
          <w:rFonts w:ascii="Times New Roman" w:hAnsi="Times New Roman" w:eastAsia="標楷體" w:cs="Times New Roman"/>
        </w:rPr>
        <w:t xml:space="preserve">)。直播研究也顯示，AI 主播以產品導向互動提高實用型產品的購買意圖、真人主播以社交互動提高享樂型產品的購買意圖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)，AI 主播搭配強勢訊息、真人主播搭配非強勢訊息效果較佳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)。聊天機器人的研究則發現，有趣的對話風格比溫暖的風格更能提高顧客投入 (</w:t>
      </w:r>
      <w:hyperlink r:id="rIdL70" w:history="1">
        <w:r>
          <w:rPr>
            <w:rStyle w:val="Hyperlink"/>
            <w:rFonts w:ascii="Times New Roman" w:hAnsi="Times New Roman" w:eastAsia="標楷體" w:cs="Times New Roman"/>
          </w:rPr>
          <w:t xml:space="preserve">Bhattacharjee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本研究將第一階段的價值鏈改寫為兩種價值訴求話術：「功能價值話術」強調尺寸、材質、規格與比價等屬性及其功能後果；「情感社會價值話術」強調穿搭樂趣、他人眼光與自我表現等情感與社會後果。兩種話術的資訊量與長度相同。據此提出：</w:t>
      </w:r>
    </w:p>
    <w:p>
      <w:pPr>
        <w:spacing w:before="0" w:after="0" w:line="440" w:lineRule="exact"/>
        <w:ind w:left="960" w:hanging="480"/>
        <w:jc w:val="both"/>
      </w:pPr>
      <w:r>
        <w:rPr>
          <w:rFonts w:ascii="Times New Roman" w:hAnsi="Times New Roman" w:eastAsia="標楷體" w:cs="Times New Roman"/>
          <w:b/>
          <w:bCs/>
        </w:rPr>
        <w:t xml:space="preserve">H1：主播類型 × 價值訴求話術對購買意圖有交互作用：AI 主播使用功能價值話術、真人主播使用情感社會價值話術時，購買意圖較高。</w:t>
      </w:r>
    </w:p>
    <w:p>
      <w:pPr>
        <w:spacing w:before="0" w:after="0" w:line="440" w:lineRule="exact"/>
        <w:ind w:left="960" w:hanging="480"/>
        <w:jc w:val="both"/>
      </w:pPr>
      <w:r>
        <w:rPr>
          <w:rFonts w:ascii="Times New Roman" w:hAnsi="Times New Roman" w:eastAsia="標楷體" w:cs="Times New Roman"/>
          <w:b/>
          <w:bCs/>
        </w:rPr>
        <w:t xml:space="preserve">H2：產品類型調節 H1：享樂型產品下，AI 主播相對於真人主播的劣勢較大；實用型產品下，此劣勢縮小或消失；此模式跨品類成立。</w:t>
      </w:r>
    </w:p>
    <w:p>
      <w:pPr>
        <w:pStyle w:val="Heading3"/>
        <w:keepNext/>
        <w:spacing w:before="120" w:after="40" w:line="440" w:lineRule="exact"/>
        <w:ind w:left="480" w:hanging="480"/>
      </w:pPr>
      <w:r>
        <w:rPr>
          <w:rFonts w:ascii="Times New Roman" w:hAnsi="Times New Roman" w:eastAsia="標楷體" w:cs="Times New Roman"/>
          <w:b/>
          <w:bCs/>
        </w:rPr>
        <w:t xml:space="preserve">（二）溫暖、能力與說服意圖知覺</w:t>
      </w:r>
    </w:p>
    <w:p>
      <w:pPr>
        <w:spacing w:before="0" w:after="0" w:line="440" w:lineRule="exact"/>
        <w:ind w:firstLineChars="200" w:firstLine="480"/>
        <w:jc w:val="both"/>
      </w:pPr>
      <w:r>
        <w:rPr>
          <w:rFonts w:ascii="Times New Roman" w:hAnsi="Times New Roman" w:eastAsia="標楷體" w:cs="Times New Roman"/>
        </w:rPr>
        <w:t xml:space="preserve">人們以溫暖與能力兩個基本向度評價他人 (</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)。以 AI 取代人員服務，會因心智知覺降低而減少顧客的溫暖知覺，但非正式語言與實用性動機能減弱此效果 (</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)。說服知識模型指出，消費者察覺到說服意圖時，會啟動因應機制 (</w:t>
      </w:r>
      <w:hyperlink r:id="rIdL26" w:history="1">
        <w:r>
          <w:rPr>
            <w:rStyle w:val="Hyperlink"/>
            <w:rFonts w:ascii="Times New Roman" w:hAnsi="Times New Roman" w:eastAsia="標楷體" w:cs="Times New Roman"/>
          </w:rPr>
          <w:t xml:space="preserve">Friestad &amp; Wright, 1994</w:t>
        </w:r>
      </w:hyperlink>
      <w:r>
        <w:rPr>
          <w:rFonts w:ascii="Times New Roman" w:hAnsi="Times New Roman" w:eastAsia="標楷體" w:cs="Times New Roman"/>
        </w:rPr>
        <w:t xml:space="preserve">)；AI 代理人被知覺為意圖較弱，因此在傳遞不利訊息時反而較被接受 (</w:t>
      </w:r>
      <w:hyperlink r:id="rIdL27" w:history="1">
        <w:r>
          <w:rPr>
            <w:rStyle w:val="Hyperlink"/>
            <w:rFonts w:ascii="Times New Roman" w:hAnsi="Times New Roman" w:eastAsia="標楷體" w:cs="Times New Roman"/>
          </w:rPr>
          <w:t xml:space="preserve">Garvey et al., 2023</w:t>
        </w:r>
      </w:hyperlink>
      <w:r>
        <w:rPr>
          <w:rFonts w:ascii="Times New Roman" w:hAnsi="Times New Roman" w:eastAsia="標楷體" w:cs="Times New Roman"/>
        </w:rPr>
        <w:t xml:space="preserve">)，演算法做出的有利決定也較難被消費者歸因於自己 (</w:t>
      </w:r>
      <w:hyperlink r:id="rIdL71" w:history="1">
        <w:r>
          <w:rPr>
            <w:rStyle w:val="Hyperlink"/>
            <w:rFonts w:ascii="Times New Roman" w:hAnsi="Times New Roman" w:eastAsia="標楷體" w:cs="Times New Roman"/>
          </w:rPr>
          <w:t xml:space="preserve">Yalcin et al., 2022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直播情境的實驗已證實，高強度說服下消費者知覺 AI 主播的說服意圖較低，因而降低懷疑、提高購買意圖 (</w:t>
      </w:r>
      <w:hyperlink r:id="rIdL28" w:history="1">
        <w:r>
          <w:rPr>
            <w:rStyle w:val="Hyperlink"/>
            <w:rFonts w:ascii="Times New Roman" w:hAnsi="Times New Roman" w:eastAsia="標楷體" w:cs="Times New Roman"/>
          </w:rPr>
          <w:t xml:space="preserve">Lu &amp; Li, 2026</w:t>
        </w:r>
      </w:hyperlink>
      <w:r>
        <w:rPr>
          <w:rFonts w:ascii="Times New Roman" w:hAnsi="Times New Roman" w:eastAsia="標楷體" w:cs="Times New Roman"/>
        </w:rPr>
        <w:t xml:space="preserve">)。把這些研究連結到購後，可推論出一個尚未被檢驗的機制：真人主播的即時說服會提高購前期望，進而提高退貨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)；若 AI 主播被知覺為說服意圖較弱，消費者較少因「被說服」而做出超出需求的購買，購後後悔與退貨意圖也可能較低。這與 AI 直播助理能降低退貨的田野實驗結果方向一致 (</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H3：溫暖感與能力感中介主播類型對購買意圖的影響：AI 主播的溫暖感較低、能力感不低於真人主播。</w:t>
      </w:r>
    </w:p>
    <w:p>
      <w:pPr>
        <w:spacing w:before="0" w:after="0" w:line="440" w:lineRule="exact"/>
        <w:ind w:left="960" w:hanging="480"/>
        <w:jc w:val="both"/>
      </w:pPr>
      <w:r>
        <w:rPr>
          <w:rFonts w:ascii="Times New Roman" w:hAnsi="Times New Roman" w:eastAsia="標楷體" w:cs="Times New Roman"/>
          <w:b/>
          <w:bCs/>
        </w:rPr>
        <w:t xml:space="preserve">H4：相較於真人主播，AI 主播的說服意圖知覺較低，進而降低一週後的預期後悔與退貨意圖。</w:t>
      </w:r>
    </w:p>
    <w:p>
      <w:pPr>
        <w:pStyle w:val="Heading3"/>
        <w:keepNext/>
        <w:spacing w:before="120" w:after="40" w:line="440" w:lineRule="exact"/>
        <w:ind w:left="480" w:hanging="480"/>
      </w:pPr>
      <w:r>
        <w:rPr>
          <w:rFonts w:ascii="Times New Roman" w:hAnsi="Times New Roman" w:eastAsia="標楷體" w:cs="Times New Roman"/>
          <w:b/>
          <w:bCs/>
        </w:rPr>
        <w:t xml:space="preserve">（三）AI 身分的揭露</w:t>
      </w:r>
    </w:p>
    <w:p>
      <w:pPr>
        <w:spacing w:before="0" w:after="0" w:line="440" w:lineRule="exact"/>
        <w:ind w:firstLineChars="200" w:firstLine="480"/>
        <w:jc w:val="both"/>
      </w:pPr>
      <w:r>
        <w:rPr>
          <w:rFonts w:ascii="Times New Roman" w:hAnsi="Times New Roman" w:eastAsia="標楷體" w:cs="Times New Roman"/>
        </w:rPr>
        <w:t xml:space="preserve">在購買前揭露對方是聊天機器人，會使購買率大幅下降，原因是消費者認為機器人較不專業、較缺乏同理心 (</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)；讓聊天機器人更像人，則會使顧客轉向以公平與議價的心態互動 (</w:t>
      </w:r>
      <w:hyperlink r:id="rIdL72" w:history="1">
        <w:r>
          <w:rPr>
            <w:rStyle w:val="Hyperlink"/>
            <w:rFonts w:ascii="Times New Roman" w:hAnsi="Times New Roman" w:eastAsia="標楷體" w:cs="Times New Roman"/>
          </w:rPr>
          <w:t xml:space="preserve">Schanke et al., 2021</w:t>
        </w:r>
      </w:hyperlink>
      <w:r>
        <w:rPr>
          <w:rFonts w:ascii="Times New Roman" w:hAnsi="Times New Roman" w:eastAsia="標楷體" w:cs="Times New Roman"/>
        </w:rPr>
        <w:t xml:space="preserve">)。揭露有真人參與的混合式客服，會改變顧客的溝通方式 (</w:t>
      </w:r>
      <w:hyperlink r:id="rIdL39" w:history="1">
        <w:r>
          <w:rPr>
            <w:rStyle w:val="Hyperlink"/>
            <w:rFonts w:ascii="Times New Roman" w:hAnsi="Times New Roman" w:eastAsia="標楷體" w:cs="Times New Roman"/>
          </w:rPr>
          <w:t xml:space="preserve">Gnewuch et al., 2024</w:t>
        </w:r>
      </w:hyperlink>
      <w:r>
        <w:rPr>
          <w:rFonts w:ascii="Times New Roman" w:hAnsi="Times New Roman" w:eastAsia="標楷體" w:cs="Times New Roman"/>
        </w:rPr>
        <w:t xml:space="preserve">)。但揭露的效果並非一律負面：聊天機器人身分揭露會調節同理心、友善程度與信任的關係 (</w:t>
      </w:r>
      <w:hyperlink r:id="rIdL49" w:history="1">
        <w:r>
          <w:rPr>
            <w:rStyle w:val="Hyperlink"/>
            <w:rFonts w:ascii="Times New Roman" w:hAnsi="Times New Roman" w:eastAsia="標楷體" w:cs="Times New Roman"/>
          </w:rPr>
          <w:t xml:space="preserve">Cheng et al., 2022</w:t>
        </w:r>
      </w:hyperlink>
      <w:r>
        <w:rPr>
          <w:rFonts w:ascii="Times New Roman" w:hAnsi="Times New Roman" w:eastAsia="標楷體" w:cs="Times New Roman"/>
        </w:rPr>
        <w:t xml:space="preserve">)，在服務開始前揭露身分可提高真誠知覺、降低厭惡，進而提高失誤容忍度 (</w:t>
      </w:r>
      <w:hyperlink r:id="rIdL41" w:history="1">
        <w:r>
          <w:rPr>
            <w:rStyle w:val="Hyperlink"/>
            <w:rFonts w:ascii="Times New Roman" w:hAnsi="Times New Roman" w:eastAsia="標楷體" w:cs="Times New Roman"/>
          </w:rPr>
          <w:t xml:space="preserve">T. Li et al., 2025</w:t>
        </w:r>
      </w:hyperlink>
      <w:r>
        <w:rPr>
          <w:rFonts w:ascii="Times New Roman" w:hAnsi="Times New Roman" w:eastAsia="標楷體" w:cs="Times New Roman"/>
        </w:rPr>
        <w:t xml:space="preserve">)；揭露完全擬人化虛擬網紅的合成身分，也未影響網紅與品牌知覺 (</w:t>
      </w:r>
      <w:hyperlink r:id="rIdL40" w:history="1">
        <w:r>
          <w:rPr>
            <w:rStyle w:val="Hyperlink"/>
            <w:rFonts w:ascii="Times New Roman" w:hAnsi="Times New Roman" w:eastAsia="標楷體" w:cs="Times New Roman"/>
          </w:rPr>
          <w:t xml:space="preserve">De Cicco et al., 2024</w:t>
        </w:r>
      </w:hyperlink>
      <w:r>
        <w:rPr>
          <w:rFonts w:ascii="Times New Roman" w:hAnsi="Times New Roman" w:eastAsia="標楷體" w:cs="Times New Roman"/>
        </w:rPr>
        <w:t xml:space="preserve">)。在內容層面，品牌以生成式 AI 製作社群內容會降低品牌真實性，但若 AI 只是輔助人員，負面反應會減弱 (</w:t>
      </w:r>
      <w:hyperlink r:id="rIdL37" w:history="1">
        <w:r>
          <w:rPr>
            <w:rStyle w:val="Hyperlink"/>
            <w:rFonts w:ascii="Times New Roman" w:hAnsi="Times New Roman" w:eastAsia="標楷體" w:cs="Times New Roman"/>
          </w:rPr>
          <w:t xml:space="preserve">Brüns &amp; Meißner, 2024</w:t>
        </w:r>
      </w:hyperlink>
      <w:r>
        <w:rPr>
          <w:rFonts w:ascii="Times New Roman" w:hAnsi="Times New Roman" w:eastAsia="標楷體" w:cs="Times New Roman"/>
        </w:rPr>
        <w:t xml:space="preserve">)；消費者若相信情感性行銷訊息由 AI 撰寫，口碑與忠誠會下降，且由真實性與道德厭惡依序中介，此效果在事實性訊息中較弱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)。治理研究則指出，AI 主播的廣泛使用已帶來消費者保護的議題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)。據此，本研究以 AI 主播為對象，比較不標示、平台標示與主播自述三種揭露方式：</w:t>
      </w:r>
    </w:p>
    <w:p>
      <w:pPr>
        <w:spacing w:before="0" w:after="0" w:line="440" w:lineRule="exact"/>
        <w:ind w:left="960" w:hanging="480"/>
        <w:jc w:val="both"/>
      </w:pPr>
      <w:r>
        <w:rPr>
          <w:rFonts w:ascii="Times New Roman" w:hAnsi="Times New Roman" w:eastAsia="標楷體" w:cs="Times New Roman"/>
          <w:b/>
          <w:bCs/>
        </w:rPr>
        <w:t xml:space="preserve">H5：相較於不標示，揭露 AI 身分會降低信任與購買意圖。</w:t>
      </w:r>
    </w:p>
    <w:p>
      <w:pPr>
        <w:spacing w:before="0" w:after="0" w:line="440" w:lineRule="exact"/>
        <w:ind w:left="960" w:hanging="480"/>
        <w:jc w:val="both"/>
      </w:pPr>
      <w:r>
        <w:rPr>
          <w:rFonts w:ascii="Times New Roman" w:hAnsi="Times New Roman" w:eastAsia="標楷體" w:cs="Times New Roman"/>
          <w:b/>
          <w:bCs/>
        </w:rPr>
        <w:t xml:space="preserve">H6：主播自述「我是 AI 主播」的負面效果，小於平台加註「AI 生成」的標示。</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既有研究多以研究者設定的訊息類型比較 AI 與真人主播，依變數停留在購買意圖，揭露研究亦未進入直播情境。本研究第二階段以消費者價值鏈為基礎設計話術，並把購後預期與揭露方式納入，從此一缺口介入探討。</w:t>
      </w:r>
    </w:p>
    <w:p>
      <w:pPr>
        <w:keepNext/>
        <w:spacing w:before="120" w:after="40" w:line="440" w:lineRule="exact"/>
      </w:pPr>
      <w:r>
        <w:rPr>
          <w:rFonts w:ascii="Times New Roman" w:hAnsi="Times New Roman" w:eastAsia="標楷體" w:cs="Times New Roman"/>
          <w:b/>
          <w:bCs/>
          <w:u w:val="single"/>
        </w:rPr>
        <w:t xml:space="preserve">第三部分【推廣驗證】直播購物的購後路徑：結構方程模式</w:t>
      </w:r>
    </w:p>
    <w:p>
      <w:pPr>
        <w:spacing w:before="0" w:after="0" w:line="440" w:lineRule="exact"/>
        <w:ind w:firstLineChars="200" w:firstLine="480"/>
        <w:jc w:val="both"/>
      </w:pPr>
      <w:r>
        <w:rPr>
          <w:rFonts w:ascii="Times New Roman" w:hAnsi="Times New Roman" w:eastAsia="標楷體" w:cs="Times New Roman"/>
        </w:rPr>
        <w:t xml:space="preserve">第三階段以真實直播購買者的資料，驗證從主播知覺到購後結果的路徑，並比較不同主播類型與價值傾向的消費者。本階段採用期望確認、信任與社會知覺理論為理論基礎，以下就相關文獻分述之。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（一）主播知覺與信任</w:t>
      </w:r>
    </w:p>
    <w:p>
      <w:pPr>
        <w:spacing w:before="0" w:after="0" w:line="440" w:lineRule="exact"/>
        <w:ind w:firstLineChars="200" w:firstLine="480"/>
        <w:jc w:val="both"/>
      </w:pPr>
      <w:r>
        <w:rPr>
          <w:rFonts w:ascii="Times New Roman" w:hAnsi="Times New Roman" w:eastAsia="標楷體" w:cs="Times New Roman"/>
        </w:rPr>
        <w:t xml:space="preserve">信任是關係行銷的核心 (</w:t>
      </w:r>
      <w:hyperlink r:id="rIdL73" w:history="1">
        <w:r>
          <w:rPr>
            <w:rStyle w:val="Hyperlink"/>
            <w:rFonts w:ascii="Times New Roman" w:hAnsi="Times New Roman" w:eastAsia="標楷體" w:cs="Times New Roman"/>
          </w:rPr>
          <w:t xml:space="preserve">Morgan &amp; Hunt, 1994</w:t>
        </w:r>
      </w:hyperlink>
      <w:r>
        <w:rPr>
          <w:rFonts w:ascii="Times New Roman" w:hAnsi="Times New Roman" w:eastAsia="標楷體" w:cs="Times New Roman"/>
        </w:rPr>
        <w:t xml:space="preserve">)，在網路購物中與知覺有用性同等重要 (</w:t>
      </w:r>
      <w:hyperlink r:id="rIdL74" w:history="1">
        <w:r>
          <w:rPr>
            <w:rStyle w:val="Hyperlink"/>
            <w:rFonts w:ascii="Times New Roman" w:hAnsi="Times New Roman" w:eastAsia="標楷體" w:cs="Times New Roman"/>
          </w:rPr>
          <w:t xml:space="preserve">Gefen et al., 2003</w:t>
        </w:r>
      </w:hyperlink>
      <w:r>
        <w:rPr>
          <w:rFonts w:ascii="Times New Roman" w:hAnsi="Times New Roman" w:eastAsia="標楷體" w:cs="Times New Roman"/>
        </w:rPr>
        <w:t xml:space="preserve">)。直播研究顯示，消費者經由主播傳遞的價值建立對產品與賣家的信任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)，主播的示範與價值觀分享是降低不確定性的訊號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)。對 AI 主播而言，消費者的反感同時來自溫暖不足與能力不足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H1：主播溫暖感與能力感正向影響消費者對主播與商品的信任。</w:t>
      </w:r>
    </w:p>
    <w:p>
      <w:pPr>
        <w:pStyle w:val="Heading3"/>
        <w:keepNext/>
        <w:spacing w:before="120" w:after="40" w:line="440" w:lineRule="exact"/>
        <w:ind w:left="480" w:hanging="480"/>
      </w:pPr>
      <w:r>
        <w:rPr>
          <w:rFonts w:ascii="Times New Roman" w:hAnsi="Times New Roman" w:eastAsia="標楷體" w:cs="Times New Roman"/>
          <w:b/>
          <w:bCs/>
        </w:rPr>
        <w:t xml:space="preserve">（二）互動強度、期望確認與購後結果</w:t>
      </w:r>
    </w:p>
    <w:p>
      <w:pPr>
        <w:spacing w:before="0" w:after="0" w:line="440" w:lineRule="exact"/>
        <w:ind w:firstLineChars="200" w:firstLine="480"/>
        <w:jc w:val="both"/>
      </w:pPr>
      <w:r>
        <w:rPr>
          <w:rFonts w:ascii="Times New Roman" w:hAnsi="Times New Roman" w:eastAsia="標楷體" w:cs="Times New Roman"/>
        </w:rPr>
        <w:t xml:space="preserve">期望確認理論指出，滿意取決於購前期望與實際表現的比較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)。直播的高互動氣氛雖提高立即購買，卻經由資訊過載與期望落差降低購後滿意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)；即時互動的說服效果使購前期望超過實際表現，提高退貨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)。後悔會降低再購並提高轉換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)，退貨政策則同時影響購買與退貨 (</w:t>
      </w:r>
      <w:hyperlink r:id="rIdL68" w:history="1">
        <w:r>
          <w:rPr>
            <w:rStyle w:val="Hyperlink"/>
            <w:rFonts w:ascii="Times New Roman" w:hAnsi="Times New Roman" w:eastAsia="標楷體" w:cs="Times New Roman"/>
          </w:rPr>
          <w:t xml:space="preserve">Janakiraman et al., 2016</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H2：信任正向影響期望確認；感知互動強度正向影響購前期望，購前期望負向影響期望確認。</w:t>
      </w:r>
    </w:p>
    <w:p>
      <w:pPr>
        <w:spacing w:before="0" w:after="0" w:line="440" w:lineRule="exact"/>
        <w:ind w:left="960" w:hanging="480"/>
        <w:jc w:val="both"/>
      </w:pPr>
      <w:r>
        <w:rPr>
          <w:rFonts w:ascii="Times New Roman" w:hAnsi="Times New Roman" w:eastAsia="標楷體" w:cs="Times New Roman"/>
          <w:b/>
          <w:bCs/>
        </w:rPr>
        <w:t xml:space="preserve">H3：期望確認正向影響購後滿意；購後滿意負向影響退貨（行為與意圖）、正向影響再購意圖。</w:t>
      </w:r>
    </w:p>
    <w:p>
      <w:pPr>
        <w:pStyle w:val="Heading3"/>
        <w:keepNext/>
        <w:spacing w:before="120" w:after="40" w:line="440" w:lineRule="exact"/>
        <w:ind w:left="480" w:hanging="480"/>
      </w:pPr>
      <w:r>
        <w:rPr>
          <w:rFonts w:ascii="Times New Roman" w:hAnsi="Times New Roman" w:eastAsia="標楷體" w:cs="Times New Roman"/>
          <w:b/>
          <w:bCs/>
        </w:rPr>
        <w:t xml:space="preserve">（三）主播類型與價值傾向的群組差異</w:t>
      </w:r>
    </w:p>
    <w:p>
      <w:pPr>
        <w:spacing w:before="0" w:after="0" w:line="440" w:lineRule="exact"/>
        <w:ind w:firstLineChars="200" w:firstLine="480"/>
        <w:jc w:val="both"/>
      </w:pPr>
      <w:r>
        <w:rPr>
          <w:rFonts w:ascii="Times New Roman" w:hAnsi="Times New Roman" w:eastAsia="標楷體" w:cs="Times New Roman"/>
        </w:rPr>
        <w:t xml:space="preserve">AI 被視為較擅長實用性任務 (</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)，AI 服務則被知覺為較不溫暖 (</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)；因此，能力感對信任的影響在 AI 主播購買者中可能較強，溫暖感的影響在真人主播購買者中可能較強。消費者自身的價值傾向也可能改變路徑：重視功能價值者較依賴能力線索，重視情感社會價值者較依賴溫暖線索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 </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)。群組比較前須先檢驗測量恆等性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 </w:t>
      </w:r>
      <w:hyperlink r:id="rIdL75"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H4：主播類型調節 H1：AI 主播群組中能力感對信任的影響較強，真人主播群組中溫暖感對信任的影響較強。</w:t>
      </w:r>
    </w:p>
    <w:p>
      <w:pPr>
        <w:spacing w:before="0" w:after="0" w:line="440" w:lineRule="exact"/>
        <w:ind w:left="960" w:hanging="480"/>
        <w:jc w:val="both"/>
      </w:pPr>
      <w:r>
        <w:rPr>
          <w:rFonts w:ascii="Times New Roman" w:hAnsi="Times New Roman" w:eastAsia="標楷體" w:cs="Times New Roman"/>
          <w:b/>
          <w:bCs/>
        </w:rPr>
        <w:t xml:space="preserve">H5：價值傾向調節 H1：功能型消費者中能力感的影響較強，情感社會型消費者中溫暖感的影響較強。</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既有直播研究多以單一群體模型估計購買前的路徑，較少把退貨與再購納入，也較少比較 AI 與真人主播的購買者。本研究第三階段以購後路徑模型與多群組 SEM，從此一缺口介入探討。</w:t>
      </w:r>
    </w:p>
    <w:p>
      <w:pPr>
        <w:pStyle w:val="Heading1"/>
        <w:keepNext/>
        <w:spacing w:before="240" w:after="120" w:line="440" w:lineRule="exact"/>
      </w:pPr>
      <w:r>
        <w:rPr>
          <w:rFonts w:ascii="Times New Roman" w:hAnsi="Times New Roman" w:eastAsia="標楷體" w:cs="Times New Roman"/>
          <w:b/>
          <w:bCs/>
          <w:sz w:val="28"/>
          <w:szCs w:val="28"/>
        </w:rPr>
        <w:t xml:space="preserve">貳、研究方法、進行步驟及執行進度</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一、研究架構與研究假說</w:t>
      </w:r>
    </w:p>
    <w:p>
      <w:pPr>
        <w:pStyle w:val="Heading3"/>
        <w:keepNext/>
        <w:spacing w:before="120" w:after="40" w:line="440" w:lineRule="exact"/>
        <w:ind w:left="480" w:hanging="480"/>
      </w:pPr>
      <w:r>
        <w:rPr>
          <w:rFonts w:ascii="Times New Roman" w:hAnsi="Times New Roman" w:eastAsia="標楷體" w:cs="Times New Roman"/>
          <w:b/>
          <w:bCs/>
        </w:rPr>
        <w:t xml:space="preserve">（一）二年研究計畫架構圖</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本計畫以「研究層次」為縱軸、「時間構面」為橫軸：由第一階段的價值發現出發，經第二階段的因果檢驗，推廣到第三階段的真實購物路徑，藉以觀察消費者面對 AI 虛擬主播與真人主播時的心理與行為差異。三個階段共用品類庫與共同量表，最後轉譯為中小企業可用的決策工具。二年三階段研究計畫之架構概略圖如圖 2。</w:t>
      </w:r>
    </w:p>
    <w:p>
      <w:pPr>
        <w:keepNext/>
        <w:spacing w:before="120" w:after="0"/>
        <w:jc w:val="center"/>
      </w:pPr>
      <w:r>
        <mc:AlternateContent>
          <mc:Choice Requires="wpg">
            <w:drawing>
              <wp:inline distT="0" distB="0" distL="0" distR="0">
                <wp:extent cx="6096000" cy="7112000"/>
                <wp:effectExtent l="0" t="0" r="0" b="0"/>
                <wp:docPr id="158" name="圖 2　二年研究計畫架構概略圖"/>
                <wp:cNvGraphicFramePr/>
                <a:graphic>
                  <a:graphicData uri="http://schemas.microsoft.com/office/word/2010/wordprocessingGroup">
                    <wpg:wgp>
                      <wpg:cNvGrpSpPr/>
                      <wpg:grpSpPr>
                        <a:xfrm>
                          <a:off x="0" y="0"/>
                          <a:ext cx="6096000" cy="7112000"/>
                          <a:chOff x="0" y="0"/>
                          <a:chExt cx="6096000" cy="7112000"/>
                        </a:xfrm>
                      </wpg:grpSpPr>
                      <wps:wsp>
                        <wps:cNvPr id="124" name="Line 124"/>
                        <wps:cNvCnPr/>
                        <wps:spPr>
                          <a:xfrm flipV="1">
                            <a:off x="508000" y="101600"/>
                            <a:ext cx="0" cy="2921000"/>
                          </a:xfrm>
                          <a:prstGeom prst="line">
                            <a:avLst/>
                          </a:prstGeom>
                          <a:ln w="12700">
                            <a:solidFill>
                              <a:srgbClr val="404040"/>
                            </a:solidFill>
                            <a:tailEnd type="triangle" w="med" len="med"/>
                          </a:ln>
                        </wps:spPr>
                        <wps:bodyPr/>
                      </wps:wsp>
                      <wps:wsp>
                        <wps:cNvPr id="125" name="Line 125"/>
                        <wps:cNvCnPr/>
                        <wps:spPr>
                          <a:xfrm>
                            <a:off x="508000" y="3022600"/>
                            <a:ext cx="5461000" cy="0"/>
                          </a:xfrm>
                          <a:prstGeom prst="line">
                            <a:avLst/>
                          </a:prstGeom>
                          <a:ln w="12700">
                            <a:solidFill>
                              <a:srgbClr val="404040"/>
                            </a:solidFill>
                            <a:tailEnd type="triangle" w="med" len="med"/>
                          </a:ln>
                        </wps:spPr>
                        <wps:bodyPr/>
                      </wps:wsp>
                      <wps:wsp>
                        <wps:cNvPr id="126" name="Shape 126"/>
                        <wps:cNvSpPr/>
                        <wps:spPr>
                          <a:xfrm>
                            <a:off x="0" y="0"/>
                            <a:ext cx="482600" cy="5080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研究</w:t>
                              </w:r>
                            </w:p>
                            <w:p>
                              <w:pPr>
                                <w:spacing w:before="0" w:after="0" w:line="240" w:lineRule="exact"/>
                                <w:jc w:val="center"/>
                              </w:pPr>
                              <w:r>
                                <w:rPr>
                                  <w:rFonts w:ascii="Times New Roman" w:hAnsi="Times New Roman" w:eastAsia="標楷體" w:cs="Times New Roman"/>
                                  <w:b/>
                                  <w:bCs/>
                                  <w:sz w:val="17"/>
                                  <w:szCs w:val="17"/>
                                </w:rPr>
                                <w:t xml:space="preserve">層次</w:t>
                              </w:r>
                            </w:p>
                          </w:txbxContent>
                        </wps:txbx>
                        <wps:bodyPr rot="0" vert="horz" wrap="square" lIns="25400" tIns="12700" rIns="25400" bIns="12700" anchor="ctr" anchorCtr="0">
                          <a:noAutofit/>
                        </wps:bodyPr>
                      </wps:wsp>
                      <wps:wsp>
                        <wps:cNvPr id="127" name="Shape 127"/>
                        <wps:cNvSpPr/>
                        <wps:spPr>
                          <a:xfrm>
                            <a:off x="177800" y="5080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高</w:t>
                              </w:r>
                            </w:p>
                          </w:txbxContent>
                        </wps:txbx>
                        <wps:bodyPr rot="0" vert="horz" wrap="square" lIns="25400" tIns="12700" rIns="25400" bIns="12700" anchor="ctr" anchorCtr="0">
                          <a:noAutofit/>
                        </wps:bodyPr>
                      </wps:wsp>
                      <wps:wsp>
                        <wps:cNvPr id="128" name="Shape 128"/>
                        <wps:cNvSpPr/>
                        <wps:spPr>
                          <a:xfrm>
                            <a:off x="177800" y="26035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低</w:t>
                              </w:r>
                            </w:p>
                          </w:txbxContent>
                        </wps:txbx>
                        <wps:bodyPr rot="0" vert="horz" wrap="square" lIns="25400" tIns="12700" rIns="25400" bIns="12700" anchor="ctr" anchorCtr="0">
                          <a:noAutofit/>
                        </wps:bodyPr>
                      </wps:wsp>
                      <wps:wsp>
                        <wps:cNvPr id="129" name="Shape 129"/>
                        <wps:cNvSpPr/>
                        <wps:spPr>
                          <a:xfrm>
                            <a:off x="5334000" y="3048000"/>
                            <a:ext cx="762000" cy="203200"/>
                          </a:xfrm>
                          <a:prstGeom prst="rect">
                            <a:avLst/>
                          </a:prstGeom>
                          <a:noFill/>
                          <a:ln>
                            <a:noFill/>
                          </a:ln>
                        </wps:spPr>
                        <wps:txbx>
                          <w:txbxContent>
                            <w:p>
                              <w:pPr>
                                <w:spacing w:before="0" w:after="0" w:line="240" w:lineRule="exact"/>
                                <w:jc w:val="center"/>
                              </w:pPr>
                              <w:r>
                                <w:rPr>
                                  <w:rFonts w:ascii="Times New Roman" w:hAnsi="Times New Roman" w:eastAsia="標楷體" w:cs="Times New Roman"/>
                                  <w:sz w:val="17"/>
                                  <w:szCs w:val="17"/>
                                </w:rPr>
                                <w:t xml:space="preserve">時間構面</w:t>
                              </w:r>
                            </w:p>
                          </w:txbxContent>
                        </wps:txbx>
                        <wps:bodyPr rot="0" vert="horz" wrap="square" lIns="25400" tIns="12700" rIns="25400" bIns="12700" anchor="ctr" anchorCtr="0">
                          <a:noAutofit/>
                        </wps:bodyPr>
                      </wps:wsp>
                      <wps:wsp>
                        <wps:cNvPr id="130" name="Shape 130"/>
                        <wps:cNvSpPr/>
                        <wps:spPr>
                          <a:xfrm>
                            <a:off x="660400" y="177800"/>
                            <a:ext cx="4191000" cy="2768600"/>
                          </a:xfrm>
                          <a:prstGeom prst="ellipse">
                            <a:avLst/>
                          </a:prstGeom>
                          <a:noFill/>
                          <a:ln w="12700">
                            <a:solidFill>
                              <a:srgbClr val="404040"/>
                            </a:solidFill>
                          </a:ln>
                        </wps:spPr>
                        <wps:bodyPr rot="0" vert="horz" wrap="square" lIns="25400" tIns="12700" rIns="25400" bIns="12700" anchor="ctr" anchorCtr="0">
                          <a:noAutofit/>
                        </wps:bodyPr>
                      </wps:wsp>
                      <wps:wsp>
                        <wps:cNvPr id="131" name="Shape 131"/>
                        <wps:cNvSpPr/>
                        <wps:spPr>
                          <a:xfrm>
                            <a:off x="711200" y="1041400"/>
                            <a:ext cx="2997200" cy="1879600"/>
                          </a:xfrm>
                          <a:prstGeom prst="ellipse">
                            <a:avLst/>
                          </a:prstGeom>
                          <a:noFill/>
                          <a:ln w="12700">
                            <a:solidFill>
                              <a:srgbClr val="404040"/>
                            </a:solidFill>
                          </a:ln>
                        </wps:spPr>
                        <wps:bodyPr rot="0" vert="horz" wrap="square" lIns="25400" tIns="12700" rIns="25400" bIns="12700" anchor="ctr" anchorCtr="0">
                          <a:noAutofit/>
                        </wps:bodyPr>
                      </wps:wsp>
                      <wps:wsp>
                        <wps:cNvPr id="132" name="Shape 132"/>
                        <wps:cNvSpPr/>
                        <wps:spPr>
                          <a:xfrm>
                            <a:off x="762000" y="1854200"/>
                            <a:ext cx="1778000" cy="1041400"/>
                          </a:xfrm>
                          <a:prstGeom prst="ellipse">
                            <a:avLst/>
                          </a:prstGeom>
                          <a:noFill/>
                          <a:ln w="12700">
                            <a:solidFill>
                              <a:srgbClr val="404040"/>
                            </a:solidFill>
                          </a:ln>
                        </wps:spPr>
                        <wps:bodyPr rot="0" vert="horz" wrap="square" lIns="25400" tIns="12700" rIns="25400" bIns="12700" anchor="ctr" anchorCtr="0">
                          <a:noAutofit/>
                        </wps:bodyPr>
                      </wps:wsp>
                      <wps:wsp>
                        <wps:cNvPr id="133" name="Shape 133"/>
                        <wps:cNvSpPr/>
                        <wps:spPr>
                          <a:xfrm>
                            <a:off x="2159000" y="304800"/>
                            <a:ext cx="2413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第三階段【推廣】</w:t>
                              </w:r>
                            </w:p>
                            <w:p>
                              <w:pPr>
                                <w:spacing w:before="0" w:after="0" w:line="240" w:lineRule="exact"/>
                                <w:jc w:val="center"/>
                              </w:pPr>
                              <w:r>
                                <w:rPr>
                                  <w:rFonts w:ascii="Times New Roman" w:hAnsi="Times New Roman" w:eastAsia="標楷體" w:cs="Times New Roman"/>
                                  <w:sz w:val="17"/>
                                  <w:szCs w:val="17"/>
                                </w:rPr>
                                <w:t xml:space="preserve">以 SEM 與多群組 SEM 驗證</w:t>
                              </w:r>
                            </w:p>
                            <w:p>
                              <w:pPr>
                                <w:spacing w:before="0" w:after="0" w:line="240" w:lineRule="exact"/>
                                <w:jc w:val="center"/>
                              </w:pPr>
                              <w:r>
                                <w:rPr>
                                  <w:rFonts w:ascii="Times New Roman" w:hAnsi="Times New Roman" w:eastAsia="標楷體" w:cs="Times New Roman"/>
                                  <w:sz w:val="17"/>
                                  <w:szCs w:val="17"/>
                                </w:rPr>
                                <w:t xml:space="preserve">直播購物的購後路徑</w:t>
                              </w:r>
                            </w:p>
                          </w:txbxContent>
                        </wps:txbx>
                        <wps:bodyPr rot="0" vert="horz" wrap="square" lIns="25400" tIns="12700" rIns="25400" bIns="12700" anchor="ctr" anchorCtr="0">
                          <a:noAutofit/>
                        </wps:bodyPr>
                      </wps:wsp>
                      <wps:wsp>
                        <wps:cNvPr id="134" name="Shape 134"/>
                        <wps:cNvSpPr/>
                        <wps:spPr>
                          <a:xfrm>
                            <a:off x="1498600" y="1143000"/>
                            <a:ext cx="2032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第二階段【檢驗】</w:t>
                              </w:r>
                            </w:p>
                            <w:p>
                              <w:pPr>
                                <w:spacing w:before="0" w:after="0" w:line="240" w:lineRule="exact"/>
                                <w:jc w:val="center"/>
                              </w:pPr>
                              <w:r>
                                <w:rPr>
                                  <w:rFonts w:ascii="Times New Roman" w:hAnsi="Times New Roman" w:eastAsia="標楷體" w:cs="Times New Roman"/>
                                  <w:sz w:val="17"/>
                                  <w:szCs w:val="17"/>
                                </w:rPr>
                                <w:t xml:space="preserve">以實驗設計檢驗主播類型</w:t>
                              </w:r>
                            </w:p>
                            <w:p>
                              <w:pPr>
                                <w:spacing w:before="0" w:after="0" w:line="240" w:lineRule="exact"/>
                                <w:jc w:val="center"/>
                              </w:pPr>
                              <w:r>
                                <w:rPr>
                                  <w:rFonts w:ascii="Times New Roman" w:hAnsi="Times New Roman" w:eastAsia="標楷體" w:cs="Times New Roman"/>
                                  <w:sz w:val="17"/>
                                  <w:szCs w:val="17"/>
                                </w:rPr>
                                <w:t xml:space="preserve">× 話術 × 產品類型</w:t>
                              </w:r>
                            </w:p>
                          </w:txbxContent>
                        </wps:txbx>
                        <wps:bodyPr rot="0" vert="horz" wrap="square" lIns="25400" tIns="12700" rIns="25400" bIns="12700" anchor="ctr" anchorCtr="0">
                          <a:noAutofit/>
                        </wps:bodyPr>
                      </wps:wsp>
                      <wps:wsp>
                        <wps:cNvPr id="135" name="Shape 135"/>
                        <wps:cNvSpPr/>
                        <wps:spPr>
                          <a:xfrm>
                            <a:off x="838200" y="2032000"/>
                            <a:ext cx="1625600" cy="7112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第一階段【發現】</w:t>
                              </w:r>
                            </w:p>
                            <w:p>
                              <w:pPr>
                                <w:spacing w:before="0" w:after="0" w:line="240" w:lineRule="exact"/>
                                <w:jc w:val="center"/>
                              </w:pPr>
                              <w:r>
                                <w:rPr>
                                  <w:rFonts w:ascii="Times New Roman" w:hAnsi="Times New Roman" w:eastAsia="標楷體" w:cs="Times New Roman"/>
                                  <w:sz w:val="17"/>
                                  <w:szCs w:val="17"/>
                                </w:rPr>
                                <w:t xml:space="preserve">以 MEC 探索 AI 與</w:t>
                              </w:r>
                            </w:p>
                            <w:p>
                              <w:pPr>
                                <w:spacing w:before="0" w:after="0" w:line="240" w:lineRule="exact"/>
                                <w:jc w:val="center"/>
                              </w:pPr>
                              <w:r>
                                <w:rPr>
                                  <w:rFonts w:ascii="Times New Roman" w:hAnsi="Times New Roman" w:eastAsia="標楷體" w:cs="Times New Roman"/>
                                  <w:sz w:val="17"/>
                                  <w:szCs w:val="17"/>
                                </w:rPr>
                                <w:t xml:space="preserve">真人主播的價值鏈</w:t>
                              </w:r>
                            </w:p>
                          </w:txbxContent>
                        </wps:txbx>
                        <wps:bodyPr rot="0" vert="horz" wrap="square" lIns="25400" tIns="12700" rIns="25400" bIns="12700" anchor="ctr" anchorCtr="0">
                          <a:noAutofit/>
                        </wps:bodyPr>
                      </wps:wsp>
                      <wps:wsp>
                        <wps:cNvPr id="136" name="Shape 136"/>
                        <wps:cNvSpPr/>
                        <wps:spPr>
                          <a:xfrm>
                            <a:off x="4927600" y="1168400"/>
                            <a:ext cx="1066800" cy="838200"/>
                          </a:xfrm>
                          <a:prstGeom prst="rect">
                            <a:avLst/>
                          </a:prstGeom>
                          <a:solidFill>
                            <a:srgbClr val="FFFFFF"/>
                          </a:solidFill>
                          <a:ln w="1524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AI 虛擬主播與</w:t>
                              </w:r>
                            </w:p>
                            <w:p>
                              <w:pPr>
                                <w:spacing w:before="0" w:after="0" w:line="240" w:lineRule="exact"/>
                                <w:jc w:val="center"/>
                              </w:pPr>
                              <w:r>
                                <w:rPr>
                                  <w:rFonts w:ascii="Times New Roman" w:hAnsi="Times New Roman" w:eastAsia="標楷體" w:cs="Times New Roman"/>
                                  <w:b/>
                                  <w:bCs/>
                                  <w:sz w:val="17"/>
                                  <w:szCs w:val="17"/>
                                </w:rPr>
                                <w:t xml:space="preserve">真人主播的</w:t>
                              </w:r>
                            </w:p>
                            <w:p>
                              <w:pPr>
                                <w:spacing w:before="0" w:after="0" w:line="240" w:lineRule="exact"/>
                                <w:jc w:val="center"/>
                              </w:pPr>
                              <w:r>
                                <w:rPr>
                                  <w:rFonts w:ascii="Times New Roman" w:hAnsi="Times New Roman" w:eastAsia="標楷體" w:cs="Times New Roman"/>
                                  <w:b/>
                                  <w:bCs/>
                                  <w:sz w:val="17"/>
                                  <w:szCs w:val="17"/>
                                </w:rPr>
                                <w:t xml:space="preserve">價值說服與</w:t>
                              </w:r>
                            </w:p>
                            <w:p>
                              <w:pPr>
                                <w:spacing w:before="0" w:after="0" w:line="240" w:lineRule="exact"/>
                                <w:jc w:val="center"/>
                              </w:pPr>
                              <w:r>
                                <w:rPr>
                                  <w:rFonts w:ascii="Times New Roman" w:hAnsi="Times New Roman" w:eastAsia="標楷體" w:cs="Times New Roman"/>
                                  <w:b/>
                                  <w:bCs/>
                                  <w:sz w:val="17"/>
                                  <w:szCs w:val="17"/>
                                </w:rPr>
                                <w:t xml:space="preserve">購後後果</w:t>
                              </w:r>
                            </w:p>
                          </w:txbxContent>
                        </wps:txbx>
                        <wps:bodyPr rot="0" vert="horz" wrap="square" lIns="25400" tIns="12700" rIns="25400" bIns="12700" anchor="ctr" anchorCtr="0">
                          <a:noAutofit/>
                        </wps:bodyPr>
                      </wps:wsp>
                      <wps:wsp>
                        <wps:cNvPr id="137" name="Line 137"/>
                        <wps:cNvCnPr/>
                        <wps:spPr>
                          <a:xfrm>
                            <a:off x="4851400" y="1574800"/>
                            <a:ext cx="76200" cy="0"/>
                          </a:xfrm>
                          <a:prstGeom prst="line">
                            <a:avLst/>
                          </a:prstGeom>
                          <a:ln w="12700">
                            <a:solidFill>
                              <a:srgbClr val="404040"/>
                            </a:solidFill>
                            <a:tailEnd type="triangle" w="med" len="med"/>
                          </a:ln>
                        </wps:spPr>
                        <wps:bodyPr/>
                      </wps:wsp>
                      <wps:wsp>
                        <wps:cNvPr id="138" name="Shape 138"/>
                        <wps:cNvSpPr/>
                        <wps:spPr>
                          <a:xfrm>
                            <a:off x="5842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第一階段</w:t>
                              </w:r>
                            </w:p>
                            <w:p>
                              <w:pPr>
                                <w:spacing w:before="0" w:after="0" w:line="226" w:lineRule="exact"/>
                                <w:jc w:val="center"/>
                              </w:pPr>
                              <w:r>
                                <w:rPr>
                                  <w:rFonts w:ascii="Times New Roman" w:hAnsi="Times New Roman" w:eastAsia="標楷體" w:cs="Times New Roman"/>
                                  <w:sz w:val="16"/>
                                  <w:szCs w:val="16"/>
                                </w:rPr>
                                <w:t xml:space="preserve">2027.08–2028.01</w:t>
                              </w:r>
                            </w:p>
                          </w:txbxContent>
                        </wps:txbx>
                        <wps:bodyPr rot="0" vert="horz" wrap="square" lIns="25400" tIns="12700" rIns="25400" bIns="12700" anchor="ctr" anchorCtr="0">
                          <a:noAutofit/>
                        </wps:bodyPr>
                      </wps:wsp>
                      <wps:wsp>
                        <wps:cNvPr id="139" name="Shape 139"/>
                        <wps:cNvSpPr/>
                        <wps:spPr>
                          <a:xfrm>
                            <a:off x="21336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第二階段</w:t>
                              </w:r>
                            </w:p>
                            <w:p>
                              <w:pPr>
                                <w:spacing w:before="0" w:after="0" w:line="226" w:lineRule="exact"/>
                                <w:jc w:val="center"/>
                              </w:pPr>
                              <w:r>
                                <w:rPr>
                                  <w:rFonts w:ascii="Times New Roman" w:hAnsi="Times New Roman" w:eastAsia="標楷體" w:cs="Times New Roman"/>
                                  <w:sz w:val="16"/>
                                  <w:szCs w:val="16"/>
                                </w:rPr>
                                <w:t xml:space="preserve">2028.02–2028.10</w:t>
                              </w:r>
                            </w:p>
                          </w:txbxContent>
                        </wps:txbx>
                        <wps:bodyPr rot="0" vert="horz" wrap="square" lIns="25400" tIns="12700" rIns="25400" bIns="12700" anchor="ctr" anchorCtr="0">
                          <a:noAutofit/>
                        </wps:bodyPr>
                      </wps:wsp>
                      <wps:wsp>
                        <wps:cNvPr id="140" name="Shape 140"/>
                        <wps:cNvSpPr/>
                        <wps:spPr>
                          <a:xfrm>
                            <a:off x="36830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第三階段</w:t>
                              </w:r>
                            </w:p>
                            <w:p>
                              <w:pPr>
                                <w:spacing w:before="0" w:after="0" w:line="226" w:lineRule="exact"/>
                                <w:jc w:val="center"/>
                              </w:pPr>
                              <w:r>
                                <w:rPr>
                                  <w:rFonts w:ascii="Times New Roman" w:hAnsi="Times New Roman" w:eastAsia="標楷體" w:cs="Times New Roman"/>
                                  <w:sz w:val="16"/>
                                  <w:szCs w:val="16"/>
                                </w:rPr>
                                <w:t xml:space="preserve">2028.06–2029.04</w:t>
                              </w:r>
                            </w:p>
                          </w:txbxContent>
                        </wps:txbx>
                        <wps:bodyPr rot="0" vert="horz" wrap="square" lIns="25400" tIns="12700" rIns="25400" bIns="12700" anchor="ctr" anchorCtr="0">
                          <a:noAutofit/>
                        </wps:bodyPr>
                      </wps:wsp>
                      <wps:wsp>
                        <wps:cNvPr id="141" name="Line 141"/>
                        <wps:cNvCnPr/>
                        <wps:spPr>
                          <a:xfrm>
                            <a:off x="584200" y="3479800"/>
                            <a:ext cx="2590800" cy="0"/>
                          </a:xfrm>
                          <a:prstGeom prst="line">
                            <a:avLst/>
                          </a:prstGeom>
                          <a:ln w="12700">
                            <a:solidFill>
                              <a:srgbClr val="404040"/>
                            </a:solidFill>
                            <a:prstDash val="dash"/>
                          </a:ln>
                        </wps:spPr>
                        <wps:bodyPr/>
                      </wps:wsp>
                      <wps:wsp>
                        <wps:cNvPr id="142" name="Shape 142"/>
                        <wps:cNvSpPr/>
                        <wps:spPr>
                          <a:xfrm>
                            <a:off x="1397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第一年</w:t>
                              </w:r>
                            </w:p>
                          </w:txbxContent>
                        </wps:txbx>
                        <wps:bodyPr rot="0" vert="horz" wrap="square" lIns="25400" tIns="12700" rIns="25400" bIns="12700" anchor="ctr" anchorCtr="0">
                          <a:noAutofit/>
                        </wps:bodyPr>
                      </wps:wsp>
                      <wps:wsp>
                        <wps:cNvPr id="143" name="Line 143"/>
                        <wps:cNvCnPr/>
                        <wps:spPr>
                          <a:xfrm>
                            <a:off x="3251200" y="3479800"/>
                            <a:ext cx="2717800" cy="0"/>
                          </a:xfrm>
                          <a:prstGeom prst="line">
                            <a:avLst/>
                          </a:prstGeom>
                          <a:ln w="12700">
                            <a:solidFill>
                              <a:srgbClr val="404040"/>
                            </a:solidFill>
                            <a:prstDash val="dash"/>
                          </a:ln>
                        </wps:spPr>
                        <wps:bodyPr/>
                      </wps:wsp>
                      <wps:wsp>
                        <wps:cNvPr id="144" name="Shape 144"/>
                        <wps:cNvSpPr/>
                        <wps:spPr>
                          <a:xfrm>
                            <a:off x="4064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第二年</w:t>
                              </w:r>
                            </w:p>
                          </w:txbxContent>
                        </wps:txbx>
                        <wps:bodyPr rot="0" vert="horz" wrap="square" lIns="25400" tIns="12700" rIns="25400" bIns="12700" anchor="ctr" anchorCtr="0">
                          <a:noAutofit/>
                        </wps:bodyPr>
                      </wps:wsp>
                      <wps:wsp>
                        <wps:cNvPr id="145" name="Shape 145"/>
                        <wps:cNvSpPr/>
                        <wps:spPr>
                          <a:xfrm>
                            <a:off x="2857500" y="3606800"/>
                            <a:ext cx="381000" cy="279400"/>
                          </a:xfrm>
                          <a:prstGeom prst="downArrow">
                            <a:avLst/>
                          </a:prstGeom>
                          <a:solidFill>
                            <a:srgbClr val="D9D9D9"/>
                          </a:solidFill>
                          <a:ln w="12700">
                            <a:solidFill>
                              <a:srgbClr val="7F7F7F"/>
                            </a:solidFill>
                          </a:ln>
                        </wps:spPr>
                        <wps:bodyPr rot="0" vert="horz" wrap="square" lIns="25400" tIns="12700" rIns="25400" bIns="12700" anchor="ctr" anchorCtr="0">
                          <a:noAutofit/>
                        </wps:bodyPr>
                      </wps:wsp>
                      <wps:wsp>
                        <wps:cNvPr id="146" name="Shape 146"/>
                        <wps:cNvSpPr/>
                        <wps:spPr>
                          <a:xfrm>
                            <a:off x="1498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價值鏈改寫為</w:t>
                              </w:r>
                            </w:p>
                            <w:p>
                              <w:pPr>
                                <w:spacing w:before="0" w:after="0" w:line="226" w:lineRule="exact"/>
                                <w:jc w:val="center"/>
                              </w:pPr>
                              <w:r>
                                <w:rPr>
                                  <w:rFonts w:ascii="Times New Roman" w:hAnsi="Times New Roman" w:eastAsia="標楷體" w:cs="Times New Roman"/>
                                  <w:color w:val="1F4E79"/>
                                  <w:sz w:val="16"/>
                                  <w:szCs w:val="16"/>
                                </w:rPr>
                                <w:t xml:space="preserve">實驗話術</w:t>
                              </w:r>
                            </w:p>
                          </w:txbxContent>
                        </wps:txbx>
                        <wps:bodyPr rot="0" vert="horz" wrap="square" lIns="25400" tIns="12700" rIns="25400" bIns="12700" anchor="ctr" anchorCtr="0">
                          <a:noAutofit/>
                        </wps:bodyPr>
                      </wps:wsp>
                      <wps:wsp>
                        <wps:cNvPr id="147" name="Shape 147"/>
                        <wps:cNvSpPr/>
                        <wps:spPr>
                          <a:xfrm>
                            <a:off x="3530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價值傾向量表</w:t>
                              </w:r>
                            </w:p>
                            <w:p>
                              <w:pPr>
                                <w:spacing w:before="0" w:after="0" w:line="226" w:lineRule="exact"/>
                                <w:jc w:val="center"/>
                              </w:pPr>
                              <w:r>
                                <w:rPr>
                                  <w:rFonts w:ascii="Times New Roman" w:hAnsi="Times New Roman" w:eastAsia="標楷體" w:cs="Times New Roman"/>
                                  <w:color w:val="1F4E79"/>
                                  <w:sz w:val="16"/>
                                  <w:szCs w:val="16"/>
                                </w:rPr>
                                <w:t xml:space="preserve">成為分組變數</w:t>
                              </w:r>
                            </w:p>
                          </w:txbxContent>
                        </wps:txbx>
                        <wps:bodyPr rot="0" vert="horz" wrap="square" lIns="25400" tIns="12700" rIns="25400" bIns="12700" anchor="ctr" anchorCtr="0">
                          <a:noAutofit/>
                        </wps:bodyPr>
                      </wps:wsp>
                      <wps:wsp>
                        <wps:cNvPr id="148" name="Shape 148"/>
                        <wps:cNvSpPr/>
                        <wps:spPr>
                          <a:xfrm>
                            <a:off x="101600" y="4318000"/>
                            <a:ext cx="1803400" cy="1092200"/>
                          </a:xfrm>
                          <a:prstGeom prst="roundRect">
                            <a:avLst>
                              <a:gd name="adj" fmla="val 12000"/>
                            </a:avLst>
                          </a:prstGeom>
                          <a:solidFill>
                            <a:srgbClr val="FBE5D6"/>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第一階段【發現】</w:t>
                              </w:r>
                            </w:p>
                            <w:p>
                              <w:pPr>
                                <w:spacing w:before="0" w:after="0" w:line="240" w:lineRule="exact"/>
                                <w:jc w:val="left"/>
                              </w:pPr>
                              <w:r>
                                <w:rPr>
                                  <w:rFonts w:ascii="Times New Roman" w:hAnsi="Times New Roman" w:eastAsia="標楷體" w:cs="Times New Roman"/>
                                  <w:sz w:val="17"/>
                                  <w:szCs w:val="17"/>
                                </w:rPr>
                                <w:t xml:space="preserve">方法：MEC 軟式階梯訪談</w:t>
                              </w:r>
                            </w:p>
                            <w:p>
                              <w:pPr>
                                <w:spacing w:before="0" w:after="0" w:line="240" w:lineRule="exact"/>
                                <w:jc w:val="left"/>
                              </w:pPr>
                              <w:r>
                                <w:rPr>
                                  <w:rFonts w:ascii="Times New Roman" w:hAnsi="Times New Roman" w:eastAsia="標楷體" w:cs="Times New Roman"/>
                                  <w:sz w:val="17"/>
                                  <w:szCs w:val="17"/>
                                </w:rPr>
                                <w:t xml:space="preserve">對象：AI／真人主播購買者</w:t>
                              </w:r>
                            </w:p>
                            <w:p>
                              <w:pPr>
                                <w:spacing w:before="0" w:after="0" w:line="240" w:lineRule="exact"/>
                                <w:jc w:val="left"/>
                              </w:pPr>
                              <w:r>
                                <w:rPr>
                                  <w:rFonts w:ascii="Times New Roman" w:hAnsi="Times New Roman" w:eastAsia="標楷體" w:cs="Times New Roman"/>
                                  <w:sz w:val="17"/>
                                  <w:szCs w:val="17"/>
                                </w:rPr>
                                <w:t xml:space="preserve">分析：人工編碼、HVM</w:t>
                              </w:r>
                            </w:p>
                            <w:p>
                              <w:pPr>
                                <w:spacing w:before="0" w:after="0" w:line="240" w:lineRule="exact"/>
                                <w:jc w:val="left"/>
                              </w:pPr>
                              <w:r>
                                <w:rPr>
                                  <w:rFonts w:ascii="Times New Roman" w:hAnsi="Times New Roman" w:eastAsia="標楷體" w:cs="Times New Roman"/>
                                  <w:sz w:val="17"/>
                                  <w:szCs w:val="17"/>
                                </w:rPr>
                                <w:t xml:space="preserve">產出：價值鏈與價值訴求</w:t>
                              </w:r>
                            </w:p>
                          </w:txbxContent>
                        </wps:txbx>
                        <wps:bodyPr rot="0" vert="horz" wrap="square" lIns="25400" tIns="12700" rIns="25400" bIns="12700" anchor="t" anchorCtr="0">
                          <a:noAutofit/>
                        </wps:bodyPr>
                      </wps:wsp>
                      <wps:wsp>
                        <wps:cNvPr id="149" name="Shape 149"/>
                        <wps:cNvSpPr/>
                        <wps:spPr>
                          <a:xfrm>
                            <a:off x="2146300" y="4318000"/>
                            <a:ext cx="1803400" cy="1092200"/>
                          </a:xfrm>
                          <a:prstGeom prst="roundRect">
                            <a:avLst>
                              <a:gd name="adj" fmla="val 12000"/>
                            </a:avLst>
                          </a:prstGeom>
                          <a:solidFill>
                            <a:srgbClr val="E2F0D9"/>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第二階段【檢驗】</w:t>
                              </w:r>
                            </w:p>
                            <w:p>
                              <w:pPr>
                                <w:spacing w:before="0" w:after="0" w:line="240" w:lineRule="exact"/>
                                <w:jc w:val="left"/>
                              </w:pPr>
                              <w:r>
                                <w:rPr>
                                  <w:rFonts w:ascii="Times New Roman" w:hAnsi="Times New Roman" w:eastAsia="標楷體" w:cs="Times New Roman"/>
                                  <w:sz w:val="17"/>
                                  <w:szCs w:val="17"/>
                                </w:rPr>
                                <w:t xml:space="preserve">方法：2×2×2 實驗設計</w:t>
                              </w:r>
                            </w:p>
                            <w:p>
                              <w:pPr>
                                <w:spacing w:before="0" w:after="0" w:line="240" w:lineRule="exact"/>
                                <w:jc w:val="left"/>
                              </w:pPr>
                              <w:r>
                                <w:rPr>
                                  <w:rFonts w:ascii="Times New Roman" w:hAnsi="Times New Roman" w:eastAsia="標楷體" w:cs="Times New Roman"/>
                                  <w:sz w:val="17"/>
                                  <w:szCs w:val="17"/>
                                </w:rPr>
                                <w:t xml:space="preserve">＋AI 身分揭露實驗</w:t>
                              </w:r>
                            </w:p>
                            <w:p>
                              <w:pPr>
                                <w:spacing w:before="0" w:after="0" w:line="240" w:lineRule="exact"/>
                                <w:jc w:val="left"/>
                              </w:pPr>
                              <w:r>
                                <w:rPr>
                                  <w:rFonts w:ascii="Times New Roman" w:hAnsi="Times New Roman" w:eastAsia="標楷體" w:cs="Times New Roman"/>
                                  <w:sz w:val="17"/>
                                  <w:szCs w:val="17"/>
                                </w:rPr>
                                <w:t xml:space="preserve">結果：購買與購後預期</w:t>
                              </w:r>
                            </w:p>
                            <w:p>
                              <w:pPr>
                                <w:spacing w:before="0" w:after="0" w:line="240" w:lineRule="exact"/>
                                <w:jc w:val="left"/>
                              </w:pPr>
                              <w:r>
                                <w:rPr>
                                  <w:rFonts w:ascii="Times New Roman" w:hAnsi="Times New Roman" w:eastAsia="標楷體" w:cs="Times New Roman"/>
                                  <w:sz w:val="17"/>
                                  <w:szCs w:val="17"/>
                                </w:rPr>
                                <w:t xml:space="preserve">產出：主播 × 話術對照表</w:t>
                              </w:r>
                            </w:p>
                          </w:txbxContent>
                        </wps:txbx>
                        <wps:bodyPr rot="0" vert="horz" wrap="square" lIns="25400" tIns="12700" rIns="25400" bIns="12700" anchor="t" anchorCtr="0">
                          <a:noAutofit/>
                        </wps:bodyPr>
                      </wps:wsp>
                      <wps:wsp>
                        <wps:cNvPr id="150" name="Shape 150"/>
                        <wps:cNvSpPr/>
                        <wps:spPr>
                          <a:xfrm>
                            <a:off x="4191000" y="4318000"/>
                            <a:ext cx="1803400" cy="1092200"/>
                          </a:xfrm>
                          <a:prstGeom prst="roundRect">
                            <a:avLst>
                              <a:gd name="adj" fmla="val 12000"/>
                            </a:avLst>
                          </a:prstGeom>
                          <a:solidFill>
                            <a:srgbClr val="DEEBF7"/>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第三階段【推廣】</w:t>
                              </w:r>
                            </w:p>
                            <w:p>
                              <w:pPr>
                                <w:spacing w:before="0" w:after="0" w:line="240" w:lineRule="exact"/>
                                <w:jc w:val="left"/>
                              </w:pPr>
                              <w:r>
                                <w:rPr>
                                  <w:rFonts w:ascii="Times New Roman" w:hAnsi="Times New Roman" w:eastAsia="標楷體" w:cs="Times New Roman"/>
                                  <w:sz w:val="17"/>
                                  <w:szCs w:val="17"/>
                                </w:rPr>
                                <w:t xml:space="preserve">方法：SEM、多群組 SEM</w:t>
                              </w:r>
                            </w:p>
                            <w:p>
                              <w:pPr>
                                <w:spacing w:before="0" w:after="0" w:line="240" w:lineRule="exact"/>
                                <w:jc w:val="left"/>
                              </w:pPr>
                              <w:r>
                                <w:rPr>
                                  <w:rFonts w:ascii="Times New Roman" w:hAnsi="Times New Roman" w:eastAsia="標楷體" w:cs="Times New Roman"/>
                                  <w:sz w:val="17"/>
                                  <w:szCs w:val="17"/>
                                </w:rPr>
                                <w:t xml:space="preserve">對象：直播實際購買者</w:t>
                              </w:r>
                            </w:p>
                            <w:p>
                              <w:pPr>
                                <w:spacing w:before="0" w:after="0" w:line="240" w:lineRule="exact"/>
                                <w:jc w:val="left"/>
                              </w:pPr>
                              <w:r>
                                <w:rPr>
                                  <w:rFonts w:ascii="Times New Roman" w:hAnsi="Times New Roman" w:eastAsia="標楷體" w:cs="Times New Roman"/>
                                  <w:sz w:val="17"/>
                                  <w:szCs w:val="17"/>
                                </w:rPr>
                                <w:t xml:space="preserve">結果：滿意、退貨、再購</w:t>
                              </w:r>
                            </w:p>
                            <w:p>
                              <w:pPr>
                                <w:spacing w:before="0" w:after="0" w:line="240" w:lineRule="exact"/>
                                <w:jc w:val="left"/>
                              </w:pPr>
                              <w:r>
                                <w:rPr>
                                  <w:rFonts w:ascii="Times New Roman" w:hAnsi="Times New Roman" w:eastAsia="標楷體" w:cs="Times New Roman"/>
                                  <w:sz w:val="17"/>
                                  <w:szCs w:val="17"/>
                                </w:rPr>
                                <w:t xml:space="preserve">產出：購後路徑模型</w:t>
                              </w:r>
                            </w:p>
                          </w:txbxContent>
                        </wps:txbx>
                        <wps:bodyPr rot="0" vert="horz" wrap="square" lIns="25400" tIns="12700" rIns="25400" bIns="12700" anchor="t" anchorCtr="0">
                          <a:noAutofit/>
                        </wps:bodyPr>
                      </wps:wsp>
                      <wps:wsp>
                        <wps:cNvPr id="151" name="Line 151"/>
                        <wps:cNvCnPr/>
                        <wps:spPr>
                          <a:xfrm>
                            <a:off x="1905000" y="4864100"/>
                            <a:ext cx="241300" cy="0"/>
                          </a:xfrm>
                          <a:prstGeom prst="line">
                            <a:avLst/>
                          </a:prstGeom>
                          <a:ln w="12700">
                            <a:solidFill>
                              <a:srgbClr val="404040"/>
                            </a:solidFill>
                            <a:tailEnd type="triangle" w="med" len="med"/>
                          </a:ln>
                        </wps:spPr>
                        <wps:bodyPr/>
                      </wps:wsp>
                      <wps:wsp>
                        <wps:cNvPr id="152" name="Line 152"/>
                        <wps:cNvCnPr/>
                        <wps:spPr>
                          <a:xfrm>
                            <a:off x="3949700" y="4864100"/>
                            <a:ext cx="241300" cy="0"/>
                          </a:xfrm>
                          <a:prstGeom prst="line">
                            <a:avLst/>
                          </a:prstGeom>
                          <a:ln w="12700">
                            <a:solidFill>
                              <a:srgbClr val="404040"/>
                            </a:solidFill>
                            <a:tailEnd type="triangle" w="med" len="med"/>
                          </a:ln>
                        </wps:spPr>
                        <wps:bodyPr/>
                      </wps:wsp>
                      <wps:wsp>
                        <wps:cNvPr id="153" name="Line 153"/>
                        <wps:cNvCnPr/>
                        <wps:spPr>
                          <a:xfrm>
                            <a:off x="1003300" y="5410200"/>
                            <a:ext cx="0" cy="254000"/>
                          </a:xfrm>
                          <a:prstGeom prst="line">
                            <a:avLst/>
                          </a:prstGeom>
                          <a:ln w="12700">
                            <a:solidFill>
                              <a:srgbClr val="404040"/>
                            </a:solidFill>
                            <a:prstDash val="dash"/>
                          </a:ln>
                        </wps:spPr>
                        <wps:bodyPr/>
                      </wps:wsp>
                      <wps:wsp>
                        <wps:cNvPr id="154" name="Line 154"/>
                        <wps:cNvCnPr/>
                        <wps:spPr>
                          <a:xfrm>
                            <a:off x="3048000" y="5410200"/>
                            <a:ext cx="0" cy="254000"/>
                          </a:xfrm>
                          <a:prstGeom prst="line">
                            <a:avLst/>
                          </a:prstGeom>
                          <a:ln w="12700">
                            <a:solidFill>
                              <a:srgbClr val="404040"/>
                            </a:solidFill>
                            <a:prstDash val="dash"/>
                          </a:ln>
                        </wps:spPr>
                        <wps:bodyPr/>
                      </wps:wsp>
                      <wps:wsp>
                        <wps:cNvPr id="155" name="Line 155"/>
                        <wps:cNvCnPr/>
                        <wps:spPr>
                          <a:xfrm>
                            <a:off x="5092700" y="5410200"/>
                            <a:ext cx="0" cy="254000"/>
                          </a:xfrm>
                          <a:prstGeom prst="line">
                            <a:avLst/>
                          </a:prstGeom>
                          <a:ln w="12700">
                            <a:solidFill>
                              <a:srgbClr val="404040"/>
                            </a:solidFill>
                            <a:prstDash val="dash"/>
                          </a:ln>
                        </wps:spPr>
                        <wps:bodyPr/>
                      </wps:wsp>
                      <wps:wsp>
                        <wps:cNvPr id="156" name="Shape 156"/>
                        <wps:cNvSpPr/>
                        <wps:spPr>
                          <a:xfrm>
                            <a:off x="101600" y="5664200"/>
                            <a:ext cx="5892800" cy="660400"/>
                          </a:xfrm>
                          <a:prstGeom prst="roundRect">
                            <a:avLst>
                              <a:gd name="adj" fmla="val 12000"/>
                            </a:avLst>
                          </a:prstGeom>
                          <a:solidFill>
                            <a:srgbClr val="EDEDED"/>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共同基礎（三階段共用）</w:t>
                              </w:r>
                            </w:p>
                            <w:p>
                              <w:pPr>
                                <w:spacing w:before="0" w:after="0" w:line="240" w:lineRule="exact"/>
                                <w:jc w:val="left"/>
                              </w:pPr>
                              <w:r>
                                <w:rPr>
                                  <w:rFonts w:ascii="Times New Roman" w:hAnsi="Times New Roman" w:eastAsia="標楷體" w:cs="Times New Roman"/>
                                  <w:sz w:val="17"/>
                                  <w:szCs w:val="17"/>
                                </w:rPr>
                                <w:t xml:space="preserve">品類庫：運動鞋（錨定）、美妝保養、居家家具，各含享樂型與實用型｜共同量表：價值傾向、主播知覺</w:t>
                              </w:r>
                            </w:p>
                            <w:p>
                              <w:pPr>
                                <w:spacing w:before="0" w:after="0" w:line="240" w:lineRule="exact"/>
                                <w:jc w:val="left"/>
                              </w:pPr>
                              <w:r>
                                <w:rPr>
                                  <w:rFonts w:ascii="Times New Roman" w:hAnsi="Times New Roman" w:eastAsia="標楷體" w:cs="Times New Roman"/>
                                  <w:sz w:val="17"/>
                                  <w:szCs w:val="17"/>
                                </w:rPr>
                                <w:t xml:space="preserve">效度程序：預先註冊、操弄檢驗、刺激抽樣、共同方法變異檢查、測量恆等性</w:t>
                              </w:r>
                            </w:p>
                          </w:txbxContent>
                        </wps:txbx>
                        <wps:bodyPr rot="0" vert="horz" wrap="square" lIns="25400" tIns="12700" rIns="25400" bIns="12700" anchor="ctr" anchorCtr="0">
                          <a:noAutofit/>
                        </wps:bodyPr>
                      </wps:wsp>
                      <wps:wsp>
                        <wps:cNvPr id="157" name="Line 157"/>
                        <wps:cNvCnPr/>
                        <wps:spPr>
                          <a:xfrm>
                            <a:off x="3048000" y="6324600"/>
                            <a:ext cx="0" cy="203200"/>
                          </a:xfrm>
                          <a:prstGeom prst="line">
                            <a:avLst/>
                          </a:prstGeom>
                          <a:ln w="12700">
                            <a:solidFill>
                              <a:srgbClr val="404040"/>
                            </a:solidFill>
                            <a:tailEnd type="triangle" w="med" len="med"/>
                          </a:ln>
                        </wps:spPr>
                        <wps:bodyPr/>
                      </wps:wsp>
                      <wps:wsp>
                        <wps:cNvPr id="158" name="Shape 158"/>
                        <wps:cNvSpPr/>
                        <wps:spPr>
                          <a:xfrm>
                            <a:off x="101600" y="6527800"/>
                            <a:ext cx="5892800" cy="431800"/>
                          </a:xfrm>
                          <a:prstGeom prst="roundRect">
                            <a:avLst>
                              <a:gd name="adj" fmla="val 12000"/>
                            </a:avLst>
                          </a:prstGeom>
                          <a:solidFill>
                            <a:srgbClr val="FFF2CC"/>
                          </a:solidFill>
                          <a:ln w="16510">
                            <a:solidFill>
                              <a:srgbClr val="1F4E79"/>
                            </a:solidFill>
                          </a:ln>
                        </wps:spPr>
                        <wps:txbx>
                          <w:txbxContent>
                            <w:p>
                              <w:pPr>
                                <w:spacing w:before="0" w:after="0" w:line="254" w:lineRule="exact"/>
                                <w:jc w:val="center"/>
                              </w:pPr>
                              <w:r>
                                <w:rPr>
                                  <w:rFonts w:ascii="Times New Roman" w:hAnsi="Times New Roman" w:eastAsia="標楷體" w:cs="Times New Roman"/>
                                  <w:b/>
                                  <w:bCs/>
                                  <w:sz w:val="18"/>
                                  <w:szCs w:val="18"/>
                                </w:rPr>
                                <w:t xml:space="preserve">實務轉譯（主題五）：中小企業「主播類型 × 話術 × 品類」決策表、AI 主播揭露與退貨溝通指引</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2　二年研究計畫架構概略圖</w:t>
      </w:r>
    </w:p>
    <w:p>
      <w:pPr>
        <w:spacing w:before="0" w:after="0" w:line="440" w:lineRule="exact"/>
        <w:ind w:firstLineChars="200" w:firstLine="480"/>
        <w:jc w:val="both"/>
      </w:pPr>
      <w:r>
        <w:rPr>
          <w:rFonts w:ascii="Times New Roman" w:hAnsi="Times New Roman" w:eastAsia="標楷體" w:cs="Times New Roman"/>
          <w:b/>
          <w:bCs/>
        </w:rPr>
        <w:t xml:space="preserve">研究共同基礎。</w:t>
      </w:r>
      <w:r>
        <w:rPr>
          <w:rFonts w:ascii="Times New Roman" w:hAnsi="Times New Roman" w:eastAsia="標楷體" w:cs="Times New Roman"/>
        </w:rPr>
        <w:t xml:space="preserve">品類抽樣框架為：運動鞋（潮流聯名鞋 vs. 機能跑鞋，錨定案例、最大樣本）、美妝保養（彩妝 vs. 防曬機能保養）、居家家具（裝飾燈具 vs. 人體工學椅），每個品類內各有享樂型與實用型產品 (</w:t>
      </w:r>
      <w:hyperlink r:id="rIdL1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 </w:t>
      </w:r>
      <w:hyperlink r:id="rIdL76" w:history="1">
        <w:r>
          <w:rPr>
            <w:rStyle w:val="Hyperlink"/>
            <w:rFonts w:ascii="Times New Roman" w:hAnsi="Times New Roman" w:eastAsia="標楷體" w:cs="Times New Roman"/>
          </w:rPr>
          <w:t xml:space="preserve">Voss et al., 2003</w:t>
        </w:r>
      </w:hyperlink>
      <w:r>
        <w:rPr>
          <w:rFonts w:ascii="Times New Roman" w:hAnsi="Times New Roman" w:eastAsia="標楷體" w:cs="Times New Roman"/>
        </w:rPr>
        <w:t xml:space="preserve">)。所有受試者填寫共同量表：第一階段發展的價值傾向量表、主播溫暖與能力知覺、品類涉入 (</w:t>
      </w:r>
      <w:hyperlink r:id="rIdL77"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)、認知需求 (</w:t>
      </w:r>
      <w:hyperlink r:id="rIdL78" w:history="1">
        <w:r>
          <w:rPr>
            <w:rStyle w:val="Hyperlink"/>
            <w:rFonts w:ascii="Times New Roman" w:hAnsi="Times New Roman" w:eastAsia="標楷體" w:cs="Times New Roman"/>
          </w:rPr>
          <w:t xml:space="preserve">Cacioppo et al., 1984</w:t>
        </w:r>
      </w:hyperlink>
      <w:r>
        <w:rPr>
          <w:rFonts w:ascii="Times New Roman" w:hAnsi="Times New Roman" w:eastAsia="標楷體" w:cs="Times New Roman"/>
        </w:rPr>
        <w:t xml:space="preserve">) 與直播購物經驗。實驗刺激物一律使用虛構品牌；AI 主播與真人主播使用相同的外型設定、背景與腳本長度，僅以聲音與動作的呈現方式及開場自我介紹區分，以控制擬真程度的干擾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（二）第一階段研究架構概念呈現：【初步發現】AI 虛擬主播與真人主播之消費者價值鏈：方法目的鏈</w:t>
      </w:r>
    </w:p>
    <w:p>
      <w:pPr>
        <w:spacing w:before="0" w:after="0" w:line="440" w:lineRule="exact"/>
        <w:ind w:firstLineChars="200" w:firstLine="480"/>
        <w:jc w:val="both"/>
      </w:pPr>
      <w:r>
        <w:rPr>
          <w:rFonts w:ascii="Times New Roman" w:hAnsi="Times New Roman" w:eastAsia="標楷體" w:cs="Times New Roman"/>
        </w:rPr>
        <w:t xml:space="preserve">第一階段以方法目的鏈對直播購買者進行價值內涵探索（屬性、後果及價值），並比較向 AI 虛擬主播與向真人主播購買的兩組消費者。</w:t>
      </w:r>
    </w:p>
    <w:p>
      <w:pPr>
        <w:spacing w:before="0" w:after="0" w:line="440" w:lineRule="exact"/>
        <w:ind w:left="480" w:hanging="480"/>
        <w:jc w:val="both"/>
      </w:pPr>
      <w:r>
        <w:rPr>
          <w:rFonts w:ascii="Times New Roman" w:hAnsi="Times New Roman" w:eastAsia="標楷體" w:cs="Times New Roman"/>
        </w:rPr>
        <w:t xml:space="preserve">1. 主要框架：以「在直播中向主播購買（三品類）」為主題做 MEC（屬性 → 後果 → 價值），使萃取的屬性、後果與價值具跨品類代表性。</w:t>
      </w:r>
    </w:p>
    <w:p>
      <w:pPr>
        <w:spacing w:before="0" w:after="0" w:line="440" w:lineRule="exact"/>
        <w:ind w:left="480" w:hanging="480"/>
        <w:jc w:val="both"/>
      </w:pPr>
      <w:r>
        <w:rPr>
          <w:rFonts w:ascii="Times New Roman" w:hAnsi="Times New Roman" w:eastAsia="標楷體" w:cs="Times New Roman"/>
        </w:rPr>
        <w:t xml:space="preserve">2. 在每一組屬性的追問中，系統性詢問「收到商品後的滿意、後悔與退貨」相關後果，把購後結果放入後果層級，以回答 RQ3。</w:t>
      </w:r>
    </w:p>
    <w:p>
      <w:pPr>
        <w:spacing w:before="0" w:after="0" w:line="440" w:lineRule="exact"/>
        <w:ind w:left="480" w:hanging="480"/>
        <w:jc w:val="both"/>
      </w:pPr>
      <w:r>
        <w:rPr>
          <w:rFonts w:ascii="Times New Roman" w:hAnsi="Times New Roman" w:eastAsia="標楷體" w:cs="Times New Roman"/>
        </w:rPr>
        <w:t xml:space="preserve">3. 把「主播類型（AI vs. 真人）」視為比較的分組：兩組受訪者使用相同訪談大綱，以比較兩組的價值鏈（RQ1、RQ2）。訪談的開放式問題架構見表 5。</w:t>
      </w:r>
    </w:p>
    <w:p>
      <w:pPr>
        <w:keepNext/>
        <w:spacing w:before="120" w:after="80" w:line="360" w:lineRule="exact"/>
        <w:jc w:val="center"/>
      </w:pPr>
      <w:r>
        <w:rPr>
          <w:rFonts w:ascii="Times New Roman" w:hAnsi="Times New Roman" w:eastAsia="標楷體" w:cs="Times New Roman"/>
        </w:rPr>
        <w:t xml:space="preserve">表 5　第一階段依據屬性、後果及價值之訪談開放式問題架構</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700"/>
        <w:gridCol w:w="7938"/>
      </w:tblGrid>
      <w:tr>
        <w:trPr>
          <w:tblHeader/>
          <w:cantSplit/>
        </w:trPr>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79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開放式問題</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Attributes</w:t>
            </w:r>
          </w:p>
          <w:p>
            <w:pPr>
              <w:spacing w:before="20" w:after="20" w:line="300" w:lineRule="exact"/>
              <w:jc w:val="center"/>
            </w:pPr>
            <w:r>
              <w:rPr>
                <w:rFonts w:ascii="Times New Roman" w:hAnsi="Times New Roman" w:eastAsia="標楷體" w:cs="Times New Roman"/>
                <w:b/>
                <w:bCs/>
                <w:sz w:val="21"/>
                <w:szCs w:val="21"/>
              </w:rPr>
              <w:t xml:space="preserve">屬性</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您在那場直播中，主播的哪些表現或直播間的哪些功能最吸引您？</w:t>
            </w:r>
          </w:p>
          <w:p>
            <w:pPr>
              <w:spacing w:before="20" w:after="20" w:line="300" w:lineRule="exact"/>
              <w:jc w:val="left"/>
            </w:pPr>
            <w:r>
              <w:rPr>
                <w:rFonts w:ascii="Times New Roman" w:hAnsi="Times New Roman" w:eastAsia="標楷體" w:cs="Times New Roman"/>
                <w:sz w:val="21"/>
                <w:szCs w:val="21"/>
              </w:rPr>
              <w:t xml:space="preserve">2. 和其他直播主或一般網購頁面相比，這位主播有哪些不同？</w:t>
            </w:r>
          </w:p>
          <w:p>
            <w:pPr>
              <w:spacing w:before="20" w:after="20" w:line="300" w:lineRule="exact"/>
              <w:jc w:val="left"/>
            </w:pPr>
            <w:r>
              <w:rPr>
                <w:rFonts w:ascii="Times New Roman" w:hAnsi="Times New Roman" w:eastAsia="標楷體" w:cs="Times New Roman"/>
                <w:sz w:val="21"/>
                <w:szCs w:val="21"/>
              </w:rPr>
              <w:t xml:space="preserve">3. 您知道這位主播是 AI（或真人）嗎？這件事對您有什麼影響？</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Consequences</w:t>
            </w:r>
          </w:p>
          <w:p>
            <w:pPr>
              <w:spacing w:before="20" w:after="20" w:line="300" w:lineRule="exact"/>
              <w:jc w:val="center"/>
            </w:pPr>
            <w:r>
              <w:rPr>
                <w:rFonts w:ascii="Times New Roman" w:hAnsi="Times New Roman" w:eastAsia="標楷體" w:cs="Times New Roman"/>
                <w:b/>
                <w:bCs/>
                <w:sz w:val="21"/>
                <w:szCs w:val="21"/>
              </w:rPr>
              <w:t xml:space="preserve">後果</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剛剛提到的這些表現，為您帶來什麼樣的感受或結果？</w:t>
            </w:r>
          </w:p>
          <w:p>
            <w:pPr>
              <w:spacing w:before="20" w:after="20" w:line="300" w:lineRule="exact"/>
              <w:jc w:val="left"/>
            </w:pPr>
            <w:r>
              <w:rPr>
                <w:rFonts w:ascii="Times New Roman" w:hAnsi="Times New Roman" w:eastAsia="標楷體" w:cs="Times New Roman"/>
                <w:sz w:val="21"/>
                <w:szCs w:val="21"/>
              </w:rPr>
              <w:t xml:space="preserve">2. 收到商品後，實際使用的感覺和您在直播中的期待一樣嗎？</w:t>
            </w:r>
          </w:p>
          <w:p>
            <w:pPr>
              <w:spacing w:before="20" w:after="20" w:line="300" w:lineRule="exact"/>
              <w:jc w:val="left"/>
            </w:pPr>
            <w:r>
              <w:rPr>
                <w:rFonts w:ascii="Times New Roman" w:hAnsi="Times New Roman" w:eastAsia="標楷體" w:cs="Times New Roman"/>
                <w:sz w:val="21"/>
                <w:szCs w:val="21"/>
              </w:rPr>
              <w:t xml:space="preserve">3. 您有沒有想過退貨或後悔購買？為什麼？</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Values</w:t>
            </w:r>
          </w:p>
          <w:p>
            <w:pPr>
              <w:spacing w:before="20" w:after="20" w:line="300" w:lineRule="exact"/>
              <w:jc w:val="center"/>
            </w:pPr>
            <w:r>
              <w:rPr>
                <w:rFonts w:ascii="Times New Roman" w:hAnsi="Times New Roman" w:eastAsia="標楷體" w:cs="Times New Roman"/>
                <w:b/>
                <w:bCs/>
                <w:sz w:val="21"/>
                <w:szCs w:val="21"/>
              </w:rPr>
              <w:t xml:space="preserve">價值</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這樣的結果對您個人而言，最重要的意義是什麼？</w:t>
            </w:r>
          </w:p>
          <w:p>
            <w:pPr>
              <w:spacing w:before="20" w:after="20" w:line="300" w:lineRule="exact"/>
              <w:jc w:val="left"/>
            </w:pPr>
            <w:r>
              <w:rPr>
                <w:rFonts w:ascii="Times New Roman" w:hAnsi="Times New Roman" w:eastAsia="標楷體" w:cs="Times New Roman"/>
                <w:sz w:val="21"/>
                <w:szCs w:val="21"/>
              </w:rPr>
              <w:t xml:space="preserve">2. 如果這次「買對了」，這代表您是一個什麼樣的人？</w:t>
            </w:r>
          </w:p>
          <w:p>
            <w:pPr>
              <w:spacing w:before="20" w:after="20" w:line="300" w:lineRule="exact"/>
              <w:jc w:val="left"/>
            </w:pPr>
            <w:r>
              <w:rPr>
                <w:rFonts w:ascii="Times New Roman" w:hAnsi="Times New Roman" w:eastAsia="標楷體" w:cs="Times New Roman"/>
                <w:sz w:val="21"/>
                <w:szCs w:val="21"/>
              </w:rPr>
              <w:t xml:space="preserve">3. 若商品和直播中說的不同，會影響您重視的哪些事情？</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主播比較</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如果同一件商品改由 AI 主播（或真人主播）介紹，您的決定會不同嗎？</w:t>
            </w:r>
          </w:p>
          <w:p>
            <w:pPr>
              <w:spacing w:before="20" w:after="20" w:line="300" w:lineRule="exact"/>
              <w:jc w:val="left"/>
            </w:pPr>
            <w:r>
              <w:rPr>
                <w:rFonts w:ascii="Times New Roman" w:hAnsi="Times New Roman" w:eastAsia="標楷體" w:cs="Times New Roman"/>
                <w:sz w:val="21"/>
                <w:szCs w:val="21"/>
              </w:rPr>
              <w:t xml:space="preserve">2. 有沒有哪些事情，您比較相信 AI 主播說的、或比較相信真人主播說的？</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結尾</w:t>
            </w:r>
          </w:p>
          <w:p>
            <w:pPr>
              <w:spacing w:before="20" w:after="20" w:line="300" w:lineRule="exact"/>
              <w:jc w:val="center"/>
            </w:pPr>
            <w:r>
              <w:rPr>
                <w:rFonts w:ascii="Times New Roman" w:hAnsi="Times New Roman" w:eastAsia="標楷體" w:cs="Times New Roman"/>
                <w:b/>
                <w:bCs/>
                <w:sz w:val="21"/>
                <w:szCs w:val="21"/>
              </w:rPr>
              <w:t xml:space="preserve">價值驗證</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您認為主播做到哪些事，最會讓您真正購買又不後悔？</w:t>
            </w:r>
          </w:p>
          <w:p>
            <w:pPr>
              <w:spacing w:before="20" w:after="20" w:line="300" w:lineRule="exact"/>
              <w:jc w:val="left"/>
            </w:pPr>
            <w:r>
              <w:rPr>
                <w:rFonts w:ascii="Times New Roman" w:hAnsi="Times New Roman" w:eastAsia="標楷體" w:cs="Times New Roman"/>
                <w:sz w:val="21"/>
                <w:szCs w:val="21"/>
              </w:rPr>
              <w:t xml:space="preserve">2. 如果用一句話說明您對直播主播的期待，您會怎麼說？</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本計畫尚未進行正式訪談。</w:t>
      </w:r>
      <w:r>
        <w:rPr>
          <w:rFonts w:ascii="Times New Roman" w:hAnsi="Times New Roman" w:eastAsia="標楷體" w:cs="Times New Roman"/>
        </w:rPr>
        <w:t xml:space="preserve">為使編碼簿有明確起點，本計畫依據前述文獻預擬直播主播的初始屬性、後果與價值要素（表 6）。研究 1b 的訪談將以此為基礎進行開放編碼，新增、合併或刪除要素，產出正式編碼簿。</w:t>
      </w:r>
    </w:p>
    <w:p>
      <w:pPr>
        <w:keepNext/>
        <w:spacing w:before="120" w:after="80" w:line="360" w:lineRule="exact"/>
        <w:jc w:val="center"/>
      </w:pPr>
      <w:r>
        <w:rPr>
          <w:rFonts w:ascii="Times New Roman" w:hAnsi="Times New Roman" w:eastAsia="標楷體" w:cs="Times New Roman"/>
        </w:rPr>
        <w:t xml:space="preserve">表 6　依文獻預擬之直播主播屬性、後果及價值各層級要素（初始編碼簿）</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212"/>
        <w:gridCol w:w="3213"/>
        <w:gridCol w:w="3213"/>
      </w:tblGrid>
      <w:tr>
        <w:trPr>
          <w:tblHeader/>
          <w:cantSplit/>
        </w:trPr>
        <w:tc>
          <w:tcPr>
            <w:tcW w:w="3212"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屬性（A）</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後果（C）</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價值（V）</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A01 即時回答問題 (</w:t>
            </w:r>
            <w:hyperlink r:id="rIdL5" w:history="1">
              <w:r>
                <w:rPr>
                  <w:rStyle w:val="Hyperlink"/>
                  <w:rFonts w:ascii="Times New Roman" w:hAnsi="Times New Roman" w:eastAsia="標楷體" w:cs="Times New Roman"/>
                  <w:sz w:val="21"/>
                  <w:szCs w:val="21"/>
                </w:rPr>
                <w:t xml:space="preserve">Y. Liu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C01 降低產品不確定性 (</w:t>
            </w:r>
            <w:hyperlink r:id="rIdL2" w:history="1">
              <w:r>
                <w:rPr>
                  <w:rStyle w:val="Hyperlink"/>
                  <w:rFonts w:ascii="Times New Roman" w:hAnsi="Times New Roman" w:eastAsia="標楷體" w:cs="Times New Roman"/>
                  <w:sz w:val="21"/>
                  <w:szCs w:val="21"/>
                </w:rPr>
                <w:t xml:space="preserve">Lu &amp; Chen,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V01 精明消費（不浪費）</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A02 試用示範 (</w:t>
            </w:r>
            <w:hyperlink r:id="rIdL2" w:history="1">
              <w:r>
                <w:rPr>
                  <w:rStyle w:val="Hyperlink"/>
                  <w:rFonts w:ascii="Times New Roman" w:hAnsi="Times New Roman" w:eastAsia="標楷體" w:cs="Times New Roman"/>
                  <w:sz w:val="21"/>
                  <w:szCs w:val="21"/>
                </w:rPr>
                <w:t xml:space="preserve">Lu &amp; Chen,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C02 信任主播與賣家 (</w:t>
            </w:r>
            <w:hyperlink r:id="rIdL1" w:history="1">
              <w:r>
                <w:rPr>
                  <w:rStyle w:val="Hyperlink"/>
                  <w:rFonts w:ascii="Times New Roman" w:hAnsi="Times New Roman" w:eastAsia="標楷體" w:cs="Times New Roman"/>
                  <w:sz w:val="21"/>
                  <w:szCs w:val="21"/>
                </w:rPr>
                <w:t xml:space="preserve">Wongkitrungrueng &amp; Assarut, 2020</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V02 安全感</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A03 擬人外型與聲音 (</w:t>
            </w:r>
            <w:hyperlink r:id="rIdL60" w:history="1">
              <w:r>
                <w:rPr>
                  <w:rStyle w:val="Hyperlink"/>
                  <w:rFonts w:ascii="Times New Roman" w:hAnsi="Times New Roman" w:eastAsia="標楷體" w:cs="Times New Roman"/>
                  <w:sz w:val="21"/>
                  <w:szCs w:val="21"/>
                </w:rPr>
                <w:t xml:space="preserve">Blut et al.,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C03 被說服、衝動購買 (</w:t>
            </w:r>
            <w:hyperlink r:id="rIdL9" w:history="1">
              <w:r>
                <w:rPr>
                  <w:rStyle w:val="Hyperlink"/>
                  <w:rFonts w:ascii="Times New Roman" w:hAnsi="Times New Roman" w:eastAsia="標楷體" w:cs="Times New Roman"/>
                  <w:sz w:val="21"/>
                  <w:szCs w:val="21"/>
                </w:rPr>
                <w:t xml:space="preserve">Feng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V03 自主（不被推銷）</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A04 話術風格與促銷資訊 (</w:t>
            </w:r>
            <w:hyperlink r:id="rIdL50" w:history="1">
              <w:r>
                <w:rPr>
                  <w:rStyle w:val="Hyperlink"/>
                  <w:rFonts w:ascii="Times New Roman" w:hAnsi="Times New Roman" w:eastAsia="標楷體" w:cs="Times New Roman"/>
                  <w:sz w:val="21"/>
                  <w:szCs w:val="21"/>
                </w:rPr>
                <w:t xml:space="preserve">Ma et al., 2025</w:t>
              </w:r>
            </w:hyperlink>
            <w:r>
              <w:rPr>
                <w:rFonts w:ascii="Times New Roman" w:hAnsi="Times New Roman" w:eastAsia="標楷體" w:cs="Times New Roman"/>
                <w:sz w:val="21"/>
                <w:szCs w:val="21"/>
              </w:rPr>
              <w:t xml:space="preserve">; </w:t>
            </w:r>
            <w:hyperlink r:id="rIdL8" w:history="1">
              <w:r>
                <w:rPr>
                  <w:rStyle w:val="Hyperlink"/>
                  <w:rFonts w:ascii="Times New Roman" w:hAnsi="Times New Roman" w:eastAsia="標楷體" w:cs="Times New Roman"/>
                  <w:sz w:val="21"/>
                  <w:szCs w:val="21"/>
                </w:rPr>
                <w:t xml:space="preserve">Chang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C04 直播的樂趣與陪伴 (</w:t>
            </w:r>
            <w:hyperlink r:id="rIdL67" w:history="1">
              <w:r>
                <w:rPr>
                  <w:rStyle w:val="Hyperlink"/>
                  <w:rFonts w:ascii="Times New Roman" w:hAnsi="Times New Roman" w:eastAsia="標楷體" w:cs="Times New Roman"/>
                  <w:sz w:val="21"/>
                  <w:szCs w:val="21"/>
                </w:rPr>
                <w:t xml:space="preserve">Holbrook &amp; Hirschman, 1982</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V04 歸屬感</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A05 主播的溫暖與親和力 (</w:t>
            </w:r>
            <w:hyperlink r:id="rIdL25" w:history="1">
              <w:r>
                <w:rPr>
                  <w:rStyle w:val="Hyperlink"/>
                  <w:rFonts w:ascii="Times New Roman" w:hAnsi="Times New Roman" w:eastAsia="標楷體" w:cs="Times New Roman"/>
                  <w:sz w:val="21"/>
                  <w:szCs w:val="21"/>
                </w:rPr>
                <w:t xml:space="preserve">Lv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C05 購後滿意或後悔 (</w:t>
            </w:r>
            <w:hyperlink r:id="rIdL29" w:history="1">
              <w:r>
                <w:rPr>
                  <w:rStyle w:val="Hyperlink"/>
                  <w:rFonts w:ascii="Times New Roman" w:hAnsi="Times New Roman" w:eastAsia="標楷體" w:cs="Times New Roman"/>
                  <w:sz w:val="21"/>
                  <w:szCs w:val="21"/>
                </w:rPr>
                <w:t xml:space="preserve">Tsiros &amp; Mittal, 2000</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V05 自我表現</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A06 AI 身分標示 (</w:t>
            </w:r>
            <w:hyperlink r:id="rIdL4" w:history="1">
              <w:r>
                <w:rPr>
                  <w:rStyle w:val="Hyperlink"/>
                  <w:rFonts w:ascii="Times New Roman" w:hAnsi="Times New Roman" w:eastAsia="標楷體" w:cs="Times New Roman"/>
                  <w:sz w:val="21"/>
                  <w:szCs w:val="21"/>
                </w:rPr>
                <w:t xml:space="preserve">Meng, 2026</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C06 退貨與退貨成本 (</w:t>
            </w:r>
            <w:hyperlink r:id="rIdL69" w:history="1">
              <w:r>
                <w:rPr>
                  <w:rStyle w:val="Hyperlink"/>
                  <w:rFonts w:ascii="Times New Roman" w:hAnsi="Times New Roman" w:eastAsia="標楷體" w:cs="Times New Roman"/>
                  <w:sz w:val="21"/>
                  <w:szCs w:val="21"/>
                </w:rPr>
                <w:t xml:space="preserve">Duong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V06 新奇與探索</w:t>
            </w:r>
          </w:p>
        </w:tc>
      </w:tr>
      <w:tr>
        <w:trPr>
          <w:cantSplit/>
        </w:trPr>
        <w:tc>
          <w:tcPr>
            <w:tcW w:w="9638" w:type="dxa"/>
            <w:gridSpan w:val="3"/>
            <w:vAlign w:val="center"/>
          </w:tcPr>
          <w:p>
            <w:pPr>
              <w:spacing w:before="20" w:after="20" w:line="300" w:lineRule="exact"/>
              <w:jc w:val="left"/>
            </w:pPr>
            <w:r>
              <w:rPr>
                <w:rFonts w:ascii="Times New Roman" w:hAnsi="Times New Roman" w:eastAsia="標楷體" w:cs="Times New Roman"/>
                <w:sz w:val="21"/>
                <w:szCs w:val="21"/>
              </w:rPr>
              <w:t xml:space="preserve">註：要素依 </w:t>
            </w:r>
            <w:hyperlink r:id="rIdL12" w:history="1">
              <w:r>
                <w:rPr>
                  <w:rStyle w:val="Hyperlink"/>
                  <w:rFonts w:ascii="Times New Roman" w:hAnsi="Times New Roman" w:eastAsia="標楷體" w:cs="Times New Roman"/>
                  <w:sz w:val="21"/>
                  <w:szCs w:val="21"/>
                </w:rPr>
                <w:t xml:space="preserve">Gutman (1982)</w:t>
              </w:r>
            </w:hyperlink>
            <w:r>
              <w:rPr>
                <w:rFonts w:ascii="Times New Roman" w:hAnsi="Times New Roman" w:eastAsia="標楷體" w:cs="Times New Roman"/>
                <w:sz w:val="21"/>
                <w:szCs w:val="21"/>
              </w:rPr>
              <w:t xml:space="preserve"> 的三層級定義預擬，正式要素以研究 1b 的訪談與編碼結果為準。</w:t>
            </w:r>
          </w:p>
        </w:tc>
      </w:tr>
    </w:tbl>
    <w:p>
      <w:pPr>
        <w:spacing w:before="0" w:after="0" w:line="200" w:lineRule="exact"/>
      </w:pPr>
    </w:p>
    <w:p>
      <w:pPr>
        <w:pStyle w:val="Heading3"/>
        <w:keepNext/>
        <w:spacing w:before="120" w:after="40" w:line="440" w:lineRule="exact"/>
        <w:ind w:left="480" w:hanging="480"/>
      </w:pPr>
      <w:r>
        <w:rPr>
          <w:rFonts w:ascii="Times New Roman" w:hAnsi="Times New Roman" w:eastAsia="標楷體" w:cs="Times New Roman"/>
          <w:b/>
          <w:bCs/>
        </w:rPr>
        <w:t xml:space="preserve">（三）第二階段研究架構圖：【深入檢驗】主播類型 × 價值訴求話術 × 產品類型：實驗設計</w:t>
      </w:r>
    </w:p>
    <w:p>
      <w:pPr>
        <w:spacing w:before="0" w:after="0" w:line="440" w:lineRule="exact"/>
        <w:ind w:firstLineChars="200" w:firstLine="480"/>
        <w:jc w:val="both"/>
      </w:pPr>
      <w:r>
        <w:rPr>
          <w:rFonts w:ascii="Times New Roman" w:hAnsi="Times New Roman" w:eastAsia="標楷體" w:cs="Times New Roman"/>
        </w:rPr>
        <w:t xml:space="preserve">第二階段以主播類型、價值訴求話術與產品類型三個操弄變數，檢驗其對溫暖感、能力感與說服意圖知覺的影響，進而影響購買意圖與一週後的預期後悔及退貨意圖；另以單因子實驗檢驗 AI 身分揭露方式，如圖 3 所示。</w:t>
      </w:r>
    </w:p>
    <w:p>
      <w:pPr>
        <w:keepNext/>
        <w:spacing w:before="120" w:after="0"/>
        <w:jc w:val="center"/>
      </w:pPr>
      <w:r>
        <mc:AlternateContent>
          <mc:Choice Requires="wpg">
            <w:drawing>
              <wp:inline distT="0" distB="0" distL="0" distR="0">
                <wp:extent cx="6096000" cy="3810000"/>
                <wp:effectExtent l="0" t="0" r="0" b="0"/>
                <wp:docPr id="188" name="圖 3　第二階段研究架構圖"/>
                <wp:cNvGraphicFramePr/>
                <a:graphic>
                  <a:graphicData uri="http://schemas.microsoft.com/office/word/2010/wordprocessingGroup">
                    <wpg:wgp>
                      <wpg:cNvGrpSpPr/>
                      <wpg:grpSpPr>
                        <a:xfrm>
                          <a:off x="0" y="0"/>
                          <a:ext cx="6096000" cy="3810000"/>
                          <a:chOff x="0" y="0"/>
                          <a:chExt cx="6096000" cy="3810000"/>
                        </a:xfrm>
                      </wpg:grpSpPr>
                      <wps:wsp>
                        <wps:cNvPr id="160" name="Shape 160"/>
                        <wps:cNvSpPr/>
                        <wps:spPr>
                          <a:xfrm>
                            <a:off x="50800" y="330200"/>
                            <a:ext cx="1574800" cy="2489200"/>
                          </a:xfrm>
                          <a:prstGeom prst="rect">
                            <a:avLst/>
                          </a:prstGeom>
                          <a:noFill/>
                          <a:ln w="12700">
                            <a:solidFill>
                              <a:srgbClr val="2E75B6"/>
                            </a:solidFill>
                            <a:prstDash val="dash"/>
                          </a:ln>
                        </wps:spPr>
                        <wps:bodyPr rot="0" vert="horz" wrap="square" lIns="25400" tIns="12700" rIns="25400" bIns="12700" anchor="ctr" anchorCtr="0">
                          <a:noAutofit/>
                        </wps:bodyPr>
                      </wps:wsp>
                      <wps:wsp>
                        <wps:cNvPr id="161" name="Shape 161"/>
                        <wps:cNvSpPr/>
                        <wps:spPr>
                          <a:xfrm>
                            <a:off x="50800" y="101600"/>
                            <a:ext cx="1574800" cy="203200"/>
                          </a:xfrm>
                          <a:prstGeom prst="rect">
                            <a:avLst/>
                          </a:prstGeom>
                          <a:noFill/>
                          <a:ln>
                            <a:noFill/>
                          </a:ln>
                        </wps:spPr>
                        <wps:txbx>
                          <w:txbxContent>
                            <w:p>
                              <w:pPr>
                                <w:spacing w:before="0" w:after="0" w:line="226" w:lineRule="exact"/>
                                <w:jc w:val="center"/>
                              </w:pPr>
                              <w:r>
                                <w:rPr>
                                  <w:rFonts w:ascii="Times New Roman" w:hAnsi="Times New Roman" w:eastAsia="標楷體" w:cs="Times New Roman"/>
                                  <w:b/>
                                  <w:bCs/>
                                  <w:color w:val="2E75B6"/>
                                  <w:sz w:val="16"/>
                                  <w:szCs w:val="16"/>
                                </w:rPr>
                                <w:t xml:space="preserve">操弄變數（2×2×2，受試者間）</w:t>
                              </w:r>
                            </w:p>
                          </w:txbxContent>
                        </wps:txbx>
                        <wps:bodyPr rot="0" vert="horz" wrap="square" lIns="25400" tIns="12700" rIns="25400" bIns="12700" anchor="ctr" anchorCtr="0">
                          <a:noAutofit/>
                        </wps:bodyPr>
                      </wps:wsp>
                      <wps:wsp>
                        <wps:cNvPr id="162" name="Shape 162"/>
                        <wps:cNvSpPr/>
                        <wps:spPr>
                          <a:xfrm>
                            <a:off x="177800" y="4572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主播類型</w:t>
                              </w:r>
                            </w:p>
                            <w:p>
                              <w:pPr>
                                <w:spacing w:before="0" w:after="0" w:line="240" w:lineRule="exact"/>
                                <w:jc w:val="center"/>
                              </w:pPr>
                              <w:r>
                                <w:rPr>
                                  <w:rFonts w:ascii="Times New Roman" w:hAnsi="Times New Roman" w:eastAsia="標楷體" w:cs="Times New Roman"/>
                                  <w:sz w:val="17"/>
                                  <w:szCs w:val="17"/>
                                </w:rPr>
                                <w:t xml:space="preserve">AI 虛擬主播／</w:t>
                              </w:r>
                            </w:p>
                            <w:p>
                              <w:pPr>
                                <w:spacing w:before="0" w:after="0" w:line="240" w:lineRule="exact"/>
                                <w:jc w:val="center"/>
                              </w:pPr>
                              <w:r>
                                <w:rPr>
                                  <w:rFonts w:ascii="Times New Roman" w:hAnsi="Times New Roman" w:eastAsia="標楷體" w:cs="Times New Roman"/>
                                  <w:sz w:val="17"/>
                                  <w:szCs w:val="17"/>
                                </w:rPr>
                                <w:t xml:space="preserve">真人主播</w:t>
                              </w:r>
                            </w:p>
                          </w:txbxContent>
                        </wps:txbx>
                        <wps:bodyPr rot="0" vert="horz" wrap="square" lIns="25400" tIns="12700" rIns="25400" bIns="12700" anchor="ctr" anchorCtr="0">
                          <a:noAutofit/>
                        </wps:bodyPr>
                      </wps:wsp>
                      <wps:wsp>
                        <wps:cNvPr id="163" name="Shape 163"/>
                        <wps:cNvSpPr/>
                        <wps:spPr>
                          <a:xfrm>
                            <a:off x="177800" y="12446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價值訴求話術</w:t>
                              </w:r>
                            </w:p>
                            <w:p>
                              <w:pPr>
                                <w:spacing w:before="0" w:after="0" w:line="240" w:lineRule="exact"/>
                                <w:jc w:val="center"/>
                              </w:pPr>
                              <w:r>
                                <w:rPr>
                                  <w:rFonts w:ascii="Times New Roman" w:hAnsi="Times New Roman" w:eastAsia="標楷體" w:cs="Times New Roman"/>
                                  <w:sz w:val="17"/>
                                  <w:szCs w:val="17"/>
                                </w:rPr>
                                <w:t xml:space="preserve">功能價值／</w:t>
                              </w:r>
                            </w:p>
                            <w:p>
                              <w:pPr>
                                <w:spacing w:before="0" w:after="0" w:line="240" w:lineRule="exact"/>
                                <w:jc w:val="center"/>
                              </w:pPr>
                              <w:r>
                                <w:rPr>
                                  <w:rFonts w:ascii="Times New Roman" w:hAnsi="Times New Roman" w:eastAsia="標楷體" w:cs="Times New Roman"/>
                                  <w:sz w:val="17"/>
                                  <w:szCs w:val="17"/>
                                </w:rPr>
                                <w:t xml:space="preserve">情感社會價值</w:t>
                              </w:r>
                            </w:p>
                          </w:txbxContent>
                        </wps:txbx>
                        <wps:bodyPr rot="0" vert="horz" wrap="square" lIns="25400" tIns="12700" rIns="25400" bIns="12700" anchor="ctr" anchorCtr="0">
                          <a:noAutofit/>
                        </wps:bodyPr>
                      </wps:wsp>
                      <wps:wsp>
                        <wps:cNvPr id="164" name="Shape 164"/>
                        <wps:cNvSpPr/>
                        <wps:spPr>
                          <a:xfrm>
                            <a:off x="177800" y="20320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產品類型</w:t>
                              </w:r>
                            </w:p>
                            <w:p>
                              <w:pPr>
                                <w:spacing w:before="0" w:after="0" w:line="240" w:lineRule="exact"/>
                                <w:jc w:val="center"/>
                              </w:pPr>
                              <w:r>
                                <w:rPr>
                                  <w:rFonts w:ascii="Times New Roman" w:hAnsi="Times New Roman" w:eastAsia="標楷體" w:cs="Times New Roman"/>
                                  <w:sz w:val="17"/>
                                  <w:szCs w:val="17"/>
                                </w:rPr>
                                <w:t xml:space="preserve">享樂型／實用型</w:t>
                              </w:r>
                            </w:p>
                            <w:p>
                              <w:pPr>
                                <w:spacing w:before="0" w:after="0" w:line="240" w:lineRule="exact"/>
                                <w:jc w:val="center"/>
                              </w:pPr>
                              <w:r>
                                <w:rPr>
                                  <w:rFonts w:ascii="Times New Roman" w:hAnsi="Times New Roman" w:eastAsia="標楷體" w:cs="Times New Roman"/>
                                  <w:sz w:val="17"/>
                                  <w:szCs w:val="17"/>
                                </w:rPr>
                                <w:t xml:space="preserve">（三品類各一組）</w:t>
                              </w:r>
                            </w:p>
                          </w:txbxContent>
                        </wps:txbx>
                        <wps:bodyPr rot="0" vert="horz" wrap="square" lIns="25400" tIns="12700" rIns="25400" bIns="12700" anchor="ctr" anchorCtr="0">
                          <a:noAutofit/>
                        </wps:bodyPr>
                      </wps:wsp>
                      <wps:wsp>
                        <wps:cNvPr id="165" name="Shape 165"/>
                        <wps:cNvSpPr/>
                        <wps:spPr>
                          <a:xfrm>
                            <a:off x="2159000" y="431800"/>
                            <a:ext cx="1219200" cy="4064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溫暖感</w:t>
                              </w:r>
                            </w:p>
                          </w:txbxContent>
                        </wps:txbx>
                        <wps:bodyPr rot="0" vert="horz" wrap="square" lIns="25400" tIns="12700" rIns="25400" bIns="12700" anchor="ctr" anchorCtr="0">
                          <a:noAutofit/>
                        </wps:bodyPr>
                      </wps:wsp>
                      <wps:wsp>
                        <wps:cNvPr id="166" name="Shape 166"/>
                        <wps:cNvSpPr/>
                        <wps:spPr>
                          <a:xfrm>
                            <a:off x="2159000" y="1041400"/>
                            <a:ext cx="1219200" cy="4064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能力感</w:t>
                              </w:r>
                            </w:p>
                          </w:txbxContent>
                        </wps:txbx>
                        <wps:bodyPr rot="0" vert="horz" wrap="square" lIns="25400" tIns="12700" rIns="25400" bIns="12700" anchor="ctr" anchorCtr="0">
                          <a:noAutofit/>
                        </wps:bodyPr>
                      </wps:wsp>
                      <wps:wsp>
                        <wps:cNvPr id="167" name="Shape 167"/>
                        <wps:cNvSpPr/>
                        <wps:spPr>
                          <a:xfrm>
                            <a:off x="2159000" y="1905000"/>
                            <a:ext cx="12192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說服意圖知覺</w:t>
                              </w:r>
                            </w:p>
                          </w:txbxContent>
                        </wps:txbx>
                        <wps:bodyPr rot="0" vert="horz" wrap="square" lIns="25400" tIns="12700" rIns="25400" bIns="12700" anchor="ctr" anchorCtr="0">
                          <a:noAutofit/>
                        </wps:bodyPr>
                      </wps:wsp>
                      <wps:wsp>
                        <wps:cNvPr id="168" name="Shape 168"/>
                        <wps:cNvSpPr/>
                        <wps:spPr>
                          <a:xfrm>
                            <a:off x="4038600" y="635000"/>
                            <a:ext cx="2006600" cy="558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購買意圖</w:t>
                              </w:r>
                            </w:p>
                            <w:p>
                              <w:pPr>
                                <w:spacing w:before="0" w:after="0" w:line="240" w:lineRule="exact"/>
                                <w:jc w:val="center"/>
                              </w:pPr>
                              <w:r>
                                <w:rPr>
                                  <w:rFonts w:ascii="Times New Roman" w:hAnsi="Times New Roman" w:eastAsia="標楷體" w:cs="Times New Roman"/>
                                  <w:sz w:val="17"/>
                                  <w:szCs w:val="17"/>
                                </w:rPr>
                                <w:t xml:space="preserve">加入購物車（行為）</w:t>
                              </w:r>
                            </w:p>
                          </w:txbxContent>
                        </wps:txbx>
                        <wps:bodyPr rot="0" vert="horz" wrap="square" lIns="25400" tIns="12700" rIns="25400" bIns="12700" anchor="ctr" anchorCtr="0">
                          <a:noAutofit/>
                        </wps:bodyPr>
                      </wps:wsp>
                      <wps:wsp>
                        <wps:cNvPr id="169" name="Shape 169"/>
                        <wps:cNvSpPr/>
                        <wps:spPr>
                          <a:xfrm>
                            <a:off x="4038600" y="1828800"/>
                            <a:ext cx="2006600" cy="6096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一週後預期後悔</w:t>
                              </w:r>
                            </w:p>
                            <w:p>
                              <w:pPr>
                                <w:spacing w:before="0" w:after="0" w:line="240" w:lineRule="exact"/>
                                <w:jc w:val="center"/>
                              </w:pPr>
                              <w:r>
                                <w:rPr>
                                  <w:rFonts w:ascii="Times New Roman" w:hAnsi="Times New Roman" w:eastAsia="標楷體" w:cs="Times New Roman"/>
                                  <w:sz w:val="17"/>
                                  <w:szCs w:val="17"/>
                                </w:rPr>
                                <w:t xml:space="preserve">退貨意圖</w:t>
                              </w:r>
                            </w:p>
                          </w:txbxContent>
                        </wps:txbx>
                        <wps:bodyPr rot="0" vert="horz" wrap="square" lIns="25400" tIns="12700" rIns="25400" bIns="12700" anchor="ctr" anchorCtr="0">
                          <a:noAutofit/>
                        </wps:bodyPr>
                      </wps:wsp>
                      <wps:wsp>
                        <wps:cNvPr id="170" name="Line 170"/>
                        <wps:cNvCnPr/>
                        <wps:spPr>
                          <a:xfrm flipV="1">
                            <a:off x="1498600" y="660400"/>
                            <a:ext cx="673100" cy="127000"/>
                          </a:xfrm>
                          <a:prstGeom prst="line">
                            <a:avLst/>
                          </a:prstGeom>
                          <a:ln w="12700">
                            <a:solidFill>
                              <a:srgbClr val="404040"/>
                            </a:solidFill>
                            <a:tailEnd type="triangle" w="med" len="med"/>
                          </a:ln>
                        </wps:spPr>
                        <wps:bodyPr/>
                      </wps:wsp>
                      <wps:wsp>
                        <wps:cNvPr id="171" name="Line 171"/>
                        <wps:cNvCnPr/>
                        <wps:spPr>
                          <a:xfrm>
                            <a:off x="1498600" y="838200"/>
                            <a:ext cx="673100" cy="381000"/>
                          </a:xfrm>
                          <a:prstGeom prst="line">
                            <a:avLst/>
                          </a:prstGeom>
                          <a:ln w="12700">
                            <a:solidFill>
                              <a:srgbClr val="404040"/>
                            </a:solidFill>
                            <a:tailEnd type="triangle" w="med" len="med"/>
                          </a:ln>
                        </wps:spPr>
                        <wps:bodyPr/>
                      </wps:wsp>
                      <wps:wsp>
                        <wps:cNvPr id="172" name="Line 172"/>
                        <wps:cNvCnPr/>
                        <wps:spPr>
                          <a:xfrm>
                            <a:off x="1498600" y="889000"/>
                            <a:ext cx="685800" cy="1193800"/>
                          </a:xfrm>
                          <a:prstGeom prst="line">
                            <a:avLst/>
                          </a:prstGeom>
                          <a:ln w="12700">
                            <a:solidFill>
                              <a:srgbClr val="404040"/>
                            </a:solidFill>
                            <a:tailEnd type="triangle" w="med" len="med"/>
                          </a:ln>
                        </wps:spPr>
                        <wps:bodyPr/>
                      </wps:wsp>
                      <wps:wsp>
                        <wps:cNvPr id="173" name="Shape 173"/>
                        <wps:cNvSpPr/>
                        <wps:spPr>
                          <a:xfrm>
                            <a:off x="1778000" y="1524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74" name="Line 174"/>
                        <wps:cNvCnPr/>
                        <wps:spPr>
                          <a:xfrm>
                            <a:off x="3378200" y="635000"/>
                            <a:ext cx="660400" cy="203200"/>
                          </a:xfrm>
                          <a:prstGeom prst="line">
                            <a:avLst/>
                          </a:prstGeom>
                          <a:ln w="12700">
                            <a:solidFill>
                              <a:srgbClr val="404040"/>
                            </a:solidFill>
                            <a:tailEnd type="triangle" w="med" len="med"/>
                          </a:ln>
                        </wps:spPr>
                        <wps:bodyPr/>
                      </wps:wsp>
                      <wps:wsp>
                        <wps:cNvPr id="175" name="Line 175"/>
                        <wps:cNvCnPr/>
                        <wps:spPr>
                          <a:xfrm flipV="1">
                            <a:off x="3378200" y="965200"/>
                            <a:ext cx="660400" cy="279400"/>
                          </a:xfrm>
                          <a:prstGeom prst="line">
                            <a:avLst/>
                          </a:prstGeom>
                          <a:ln w="12700">
                            <a:solidFill>
                              <a:srgbClr val="404040"/>
                            </a:solidFill>
                            <a:tailEnd type="triangle" w="med" len="med"/>
                          </a:ln>
                        </wps:spPr>
                        <wps:bodyPr/>
                      </wps:wsp>
                      <wps:wsp>
                        <wps:cNvPr id="176" name="Shape 176"/>
                        <wps:cNvSpPr/>
                        <wps:spPr>
                          <a:xfrm>
                            <a:off x="3505200" y="508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177" name="Line 177"/>
                        <wps:cNvCnPr/>
                        <wps:spPr>
                          <a:xfrm>
                            <a:off x="3378200" y="2133600"/>
                            <a:ext cx="660400" cy="0"/>
                          </a:xfrm>
                          <a:prstGeom prst="line">
                            <a:avLst/>
                          </a:prstGeom>
                          <a:ln w="12700">
                            <a:solidFill>
                              <a:srgbClr val="404040"/>
                            </a:solidFill>
                            <a:tailEnd type="triangle" w="med" len="med"/>
                          </a:ln>
                        </wps:spPr>
                        <wps:bodyPr/>
                      </wps:wsp>
                      <wps:wsp>
                        <wps:cNvPr id="178" name="Shape 178"/>
                        <wps:cNvSpPr/>
                        <wps:spPr>
                          <a:xfrm>
                            <a:off x="3581400" y="21844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79" name="Line 179"/>
                        <wps:cNvCnPr/>
                        <wps:spPr>
                          <a:xfrm>
                            <a:off x="1498600" y="1574800"/>
                            <a:ext cx="406400" cy="0"/>
                          </a:xfrm>
                          <a:prstGeom prst="line">
                            <a:avLst/>
                          </a:prstGeom>
                          <a:ln w="12700">
                            <a:solidFill>
                              <a:srgbClr val="404040"/>
                            </a:solidFill>
                          </a:ln>
                        </wps:spPr>
                        <wps:bodyPr/>
                      </wps:wsp>
                      <wps:wsp>
                        <wps:cNvPr id="180" name="Line 180"/>
                        <wps:cNvCnPr/>
                        <wps:spPr>
                          <a:xfrm flipV="1">
                            <a:off x="1905000" y="254000"/>
                            <a:ext cx="0" cy="1320800"/>
                          </a:xfrm>
                          <a:prstGeom prst="line">
                            <a:avLst/>
                          </a:prstGeom>
                          <a:ln w="12700">
                            <a:solidFill>
                              <a:srgbClr val="404040"/>
                            </a:solidFill>
                          </a:ln>
                        </wps:spPr>
                        <wps:bodyPr/>
                      </wps:wsp>
                      <wps:wsp>
                        <wps:cNvPr id="181" name="Line 181"/>
                        <wps:cNvCnPr/>
                        <wps:spPr>
                          <a:xfrm>
                            <a:off x="1905000" y="254000"/>
                            <a:ext cx="3124200" cy="0"/>
                          </a:xfrm>
                          <a:prstGeom prst="line">
                            <a:avLst/>
                          </a:prstGeom>
                          <a:ln w="12700">
                            <a:solidFill>
                              <a:srgbClr val="404040"/>
                            </a:solidFill>
                          </a:ln>
                        </wps:spPr>
                        <wps:bodyPr/>
                      </wps:wsp>
                      <wps:wsp>
                        <wps:cNvPr id="182" name="Line 182"/>
                        <wps:cNvCnPr/>
                        <wps:spPr>
                          <a:xfrm>
                            <a:off x="5029200" y="254000"/>
                            <a:ext cx="0" cy="381000"/>
                          </a:xfrm>
                          <a:prstGeom prst="line">
                            <a:avLst/>
                          </a:prstGeom>
                          <a:ln w="12700">
                            <a:solidFill>
                              <a:srgbClr val="404040"/>
                            </a:solidFill>
                            <a:tailEnd type="triangle" w="med" len="med"/>
                          </a:ln>
                        </wps:spPr>
                        <wps:bodyPr/>
                      </wps:wsp>
                      <wps:wsp>
                        <wps:cNvPr id="183" name="Shape 183"/>
                        <wps:cNvSpPr/>
                        <wps:spPr>
                          <a:xfrm>
                            <a:off x="2921000" y="50800"/>
                            <a:ext cx="2032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H1：主播類型 × 話術交互作用</w:t>
                              </w:r>
                            </w:p>
                          </w:txbxContent>
                        </wps:txbx>
                        <wps:bodyPr rot="0" vert="horz" wrap="square" lIns="25400" tIns="12700" rIns="25400" bIns="12700" anchor="ctr" anchorCtr="0">
                          <a:noAutofit/>
                        </wps:bodyPr>
                      </wps:wsp>
                      <wps:wsp>
                        <wps:cNvPr id="184" name="Line 184"/>
                        <wps:cNvCnPr/>
                        <wps:spPr>
                          <a:xfrm flipV="1">
                            <a:off x="1498600" y="1524000"/>
                            <a:ext cx="2311400" cy="838200"/>
                          </a:xfrm>
                          <a:prstGeom prst="line">
                            <a:avLst/>
                          </a:prstGeom>
                          <a:ln w="12700">
                            <a:solidFill>
                              <a:srgbClr val="404040"/>
                            </a:solidFill>
                            <a:prstDash val="dash"/>
                            <a:tailEnd type="triangle" w="med" len="med"/>
                          </a:ln>
                        </wps:spPr>
                        <wps:bodyPr/>
                      </wps:wsp>
                      <wps:wsp>
                        <wps:cNvPr id="185" name="Line 185"/>
                        <wps:cNvCnPr/>
                        <wps:spPr>
                          <a:xfrm flipV="1">
                            <a:off x="3810000" y="1041400"/>
                            <a:ext cx="228600" cy="482600"/>
                          </a:xfrm>
                          <a:prstGeom prst="line">
                            <a:avLst/>
                          </a:prstGeom>
                          <a:ln w="12700">
                            <a:solidFill>
                              <a:srgbClr val="404040"/>
                            </a:solidFill>
                            <a:prstDash val="dash"/>
                            <a:tailEnd type="triangle" w="med" len="med"/>
                          </a:ln>
                        </wps:spPr>
                        <wps:bodyPr/>
                      </wps:wsp>
                      <wps:wsp>
                        <wps:cNvPr id="186" name="Shape 186"/>
                        <wps:cNvSpPr/>
                        <wps:spPr>
                          <a:xfrm>
                            <a:off x="3251200" y="16256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187" name="Shape 187"/>
                        <wps:cNvSpPr/>
                        <wps:spPr>
                          <a:xfrm>
                            <a:off x="1219200" y="2997200"/>
                            <a:ext cx="4191000" cy="711200"/>
                          </a:xfrm>
                          <a:prstGeom prst="rect">
                            <a:avLst/>
                          </a:prstGeom>
                          <a:noFill/>
                          <a:ln w="12700">
                            <a:solidFill>
                              <a:srgbClr val="C55A11"/>
                            </a:solidFill>
                            <a:prstDash val="dash"/>
                          </a:ln>
                        </wps:spPr>
                        <wps:txbx>
                          <w:txbxContent>
                            <w:p>
                              <w:pPr>
                                <w:spacing w:before="0" w:after="0" w:line="240" w:lineRule="exact"/>
                                <w:jc w:val="center"/>
                              </w:pPr>
                              <w:r>
                                <w:rPr>
                                  <w:rFonts w:ascii="Times New Roman" w:hAnsi="Times New Roman" w:eastAsia="標楷體" w:cs="Times New Roman"/>
                                  <w:b/>
                                  <w:bCs/>
                                  <w:sz w:val="17"/>
                                  <w:szCs w:val="17"/>
                                </w:rPr>
                                <w:t xml:space="preserve">研究 2c：AI 身分揭露（僅 AI 主播）</w:t>
                              </w:r>
                            </w:p>
                            <w:p>
                              <w:pPr>
                                <w:spacing w:before="0" w:after="0" w:line="240" w:lineRule="exact"/>
                                <w:jc w:val="center"/>
                              </w:pPr>
                              <w:r>
                                <w:rPr>
                                  <w:rFonts w:ascii="Times New Roman" w:hAnsi="Times New Roman" w:eastAsia="標楷體" w:cs="Times New Roman"/>
                                  <w:sz w:val="17"/>
                                  <w:szCs w:val="17"/>
                                </w:rPr>
                                <w:t xml:space="preserve">不標示／平台標示「AI 生成」／主播自述「我是 AI 主播」</w:t>
                              </w:r>
                            </w:p>
                            <w:p>
                              <w:pPr>
                                <w:spacing w:before="0" w:after="0" w:line="240" w:lineRule="exact"/>
                                <w:jc w:val="center"/>
                              </w:pPr>
                              <w:r>
                                <w:rPr>
                                  <w:rFonts w:ascii="Times New Roman" w:hAnsi="Times New Roman" w:eastAsia="標楷體" w:cs="Times New Roman"/>
                                  <w:sz w:val="17"/>
                                  <w:szCs w:val="17"/>
                                </w:rPr>
                                <w:t xml:space="preserve">→ 信任、購買意圖（H5、H6）</w:t>
                              </w:r>
                            </w:p>
                          </w:txbxContent>
                        </wps:txbx>
                        <wps:bodyPr rot="0" vert="horz" wrap="square" lIns="25400" tIns="12700" rIns="25400" bIns="12700" anchor="ctr" anchorCtr="0">
                          <a:noAutofit/>
                        </wps:bodyPr>
                      </wps:wsp>
                      <wps:wsp>
                        <wps:cNvPr id="188" name="Line 188"/>
                        <wps:cNvCnPr/>
                        <wps:spPr>
                          <a:xfrm flipV="1">
                            <a:off x="4191000" y="2438400"/>
                            <a:ext cx="381000" cy="558800"/>
                          </a:xfrm>
                          <a:prstGeom prst="line">
                            <a:avLst/>
                          </a:prstGeom>
                          <a:ln w="12700">
                            <a:solidFill>
                              <a:srgbClr val="C55A11"/>
                            </a:solidFill>
                            <a:prstDash val="dash"/>
                            <a:tailEnd type="triangle" w="med" len="med"/>
                          </a:ln>
                        </wps:spPr>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3　第二階段研究架構圖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H1：主播類型 × 價值訴求話術有交互作用：AI 主播配功能價值話術、真人主播配情感社會價值話術時，購買意圖較高</w:t>
      </w:r>
    </w:p>
    <w:p>
      <w:pPr>
        <w:spacing w:before="0" w:after="0" w:line="440" w:lineRule="exact"/>
        <w:ind w:left="960" w:hanging="480"/>
        <w:jc w:val="both"/>
      </w:pPr>
      <w:r>
        <w:rPr>
          <w:rFonts w:ascii="Times New Roman" w:hAnsi="Times New Roman" w:eastAsia="標楷體" w:cs="Times New Roman"/>
          <w:b/>
          <w:bCs/>
        </w:rPr>
        <w:t xml:space="preserve">H2：產品類型調節 H1：享樂型產品下 AI 主播的劣勢較大；此模式跨品類成立</w:t>
      </w:r>
    </w:p>
    <w:p>
      <w:pPr>
        <w:spacing w:before="0" w:after="0" w:line="440" w:lineRule="exact"/>
        <w:ind w:left="960" w:hanging="480"/>
        <w:jc w:val="both"/>
      </w:pPr>
      <w:r>
        <w:rPr>
          <w:rFonts w:ascii="Times New Roman" w:hAnsi="Times New Roman" w:eastAsia="標楷體" w:cs="Times New Roman"/>
          <w:b/>
          <w:bCs/>
        </w:rPr>
        <w:t xml:space="preserve">H3：溫暖感與能力感中介主播類型對購買意圖的影響</w:t>
      </w:r>
    </w:p>
    <w:p>
      <w:pPr>
        <w:spacing w:before="0" w:after="0" w:line="440" w:lineRule="exact"/>
        <w:ind w:left="960" w:hanging="480"/>
        <w:jc w:val="both"/>
      </w:pPr>
      <w:r>
        <w:rPr>
          <w:rFonts w:ascii="Times New Roman" w:hAnsi="Times New Roman" w:eastAsia="標楷體" w:cs="Times New Roman"/>
          <w:b/>
          <w:bCs/>
        </w:rPr>
        <w:t xml:space="preserve">H4：AI 主播的說服意圖知覺較低，進而降低一週後的預期後悔與退貨意圖</w:t>
      </w:r>
    </w:p>
    <w:p>
      <w:pPr>
        <w:spacing w:before="0" w:after="0" w:line="440" w:lineRule="exact"/>
        <w:ind w:left="960" w:hanging="480"/>
        <w:jc w:val="both"/>
      </w:pPr>
      <w:r>
        <w:rPr>
          <w:rFonts w:ascii="Times New Roman" w:hAnsi="Times New Roman" w:eastAsia="標楷體" w:cs="Times New Roman"/>
          <w:b/>
          <w:bCs/>
        </w:rPr>
        <w:t xml:space="preserve">H5：揭露 AI 身分會降低信任與購買意圖</w:t>
      </w:r>
    </w:p>
    <w:p>
      <w:pPr>
        <w:spacing w:before="0" w:after="0" w:line="440" w:lineRule="exact"/>
        <w:ind w:left="960" w:hanging="480"/>
        <w:jc w:val="both"/>
      </w:pPr>
      <w:r>
        <w:rPr>
          <w:rFonts w:ascii="Times New Roman" w:hAnsi="Times New Roman" w:eastAsia="標楷體" w:cs="Times New Roman"/>
          <w:b/>
          <w:bCs/>
        </w:rPr>
        <w:t xml:space="preserve">H6：主播自述的負面效果小於平台標示</w:t>
      </w:r>
    </w:p>
    <w:p>
      <w:pPr>
        <w:pStyle w:val="Heading3"/>
        <w:keepNext/>
        <w:spacing w:before="120" w:after="40" w:line="440" w:lineRule="exact"/>
        <w:ind w:left="480" w:hanging="480"/>
      </w:pPr>
      <w:r>
        <w:rPr>
          <w:rFonts w:ascii="Times New Roman" w:hAnsi="Times New Roman" w:eastAsia="標楷體" w:cs="Times New Roman"/>
          <w:b/>
          <w:bCs/>
        </w:rPr>
        <w:t xml:space="preserve">（四）第三階段研究架構圖：【推廣驗證】直播購物的購後路徑：結構方程模式</w:t>
      </w:r>
    </w:p>
    <w:p>
      <w:pPr>
        <w:spacing w:before="0" w:after="0" w:line="440" w:lineRule="exact"/>
        <w:ind w:firstLineChars="200" w:firstLine="480"/>
        <w:jc w:val="both"/>
      </w:pPr>
      <w:r>
        <w:rPr>
          <w:rFonts w:ascii="Times New Roman" w:hAnsi="Times New Roman" w:eastAsia="標楷體" w:cs="Times New Roman"/>
        </w:rPr>
        <w:t xml:space="preserve">第三階段以直播實際購買者的調查資料，建構「主播溫暖感與能力感 → 信任 → 期望確認 → 購後滿意 → 退貨與再購」的路徑模型，並納入感知互動強度與購前期望；再以多群組 SEM 比較主播類型與價值傾向，如圖 4。</w:t>
      </w:r>
    </w:p>
    <w:p>
      <w:pPr>
        <w:keepNext/>
        <w:spacing w:before="120" w:after="0"/>
        <w:jc w:val="center"/>
      </w:pPr>
      <w:r>
        <mc:AlternateContent>
          <mc:Choice Requires="wpg">
            <w:drawing>
              <wp:inline distT="0" distB="0" distL="0" distR="0">
                <wp:extent cx="6096000" cy="4191000"/>
                <wp:effectExtent l="0" t="0" r="0" b="0"/>
                <wp:docPr id="215" name="圖 4　第三階段研究架構圖"/>
                <wp:cNvGraphicFramePr/>
                <a:graphic>
                  <a:graphicData uri="http://schemas.microsoft.com/office/word/2010/wordprocessingGroup">
                    <wpg:wgp>
                      <wpg:cNvGrpSpPr/>
                      <wpg:grpSpPr>
                        <a:xfrm>
                          <a:off x="0" y="0"/>
                          <a:ext cx="6096000" cy="4191000"/>
                          <a:chOff x="0" y="0"/>
                          <a:chExt cx="6096000" cy="4191000"/>
                        </a:xfrm>
                      </wpg:grpSpPr>
                      <wps:wsp>
                        <wps:cNvPr id="190" name="Shape 190"/>
                        <wps:cNvSpPr/>
                        <wps:spPr>
                          <a:xfrm>
                            <a:off x="50800" y="508000"/>
                            <a:ext cx="1219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主播溫暖感</w:t>
                              </w:r>
                            </w:p>
                          </w:txbxContent>
                        </wps:txbx>
                        <wps:bodyPr rot="0" vert="horz" wrap="square" lIns="25400" tIns="12700" rIns="25400" bIns="12700" anchor="ctr" anchorCtr="0">
                          <a:noAutofit/>
                        </wps:bodyPr>
                      </wps:wsp>
                      <wps:wsp>
                        <wps:cNvPr id="191" name="Shape 191"/>
                        <wps:cNvSpPr/>
                        <wps:spPr>
                          <a:xfrm>
                            <a:off x="50800" y="1219200"/>
                            <a:ext cx="1219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主播能力感</w:t>
                              </w:r>
                            </w:p>
                          </w:txbxContent>
                        </wps:txbx>
                        <wps:bodyPr rot="0" vert="horz" wrap="square" lIns="25400" tIns="12700" rIns="25400" bIns="12700" anchor="ctr" anchorCtr="0">
                          <a:noAutofit/>
                        </wps:bodyPr>
                      </wps:wsp>
                      <wps:wsp>
                        <wps:cNvPr id="192" name="Shape 192"/>
                        <wps:cNvSpPr/>
                        <wps:spPr>
                          <a:xfrm>
                            <a:off x="50800" y="2235200"/>
                            <a:ext cx="1219200" cy="508000"/>
                          </a:xfrm>
                          <a:prstGeom prst="ellipse">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sz w:val="17"/>
                                  <w:szCs w:val="17"/>
                                </w:rPr>
                                <w:t xml:space="preserve">感知互動強度</w:t>
                              </w:r>
                            </w:p>
                            <w:p>
                              <w:pPr>
                                <w:spacing w:before="0" w:after="0" w:line="240" w:lineRule="exact"/>
                                <w:jc w:val="center"/>
                              </w:pPr>
                              <w:r>
                                <w:rPr>
                                  <w:rFonts w:ascii="Times New Roman" w:hAnsi="Times New Roman" w:eastAsia="標楷體" w:cs="Times New Roman"/>
                                  <w:sz w:val="17"/>
                                  <w:szCs w:val="17"/>
                                </w:rPr>
                                <w:t xml:space="preserve">（熱烈氣氛）</w:t>
                              </w:r>
                            </w:p>
                          </w:txbxContent>
                        </wps:txbx>
                        <wps:bodyPr rot="0" vert="horz" wrap="square" lIns="25400" tIns="12700" rIns="25400" bIns="12700" anchor="ctr" anchorCtr="0">
                          <a:noAutofit/>
                        </wps:bodyPr>
                      </wps:wsp>
                      <wps:wsp>
                        <wps:cNvPr id="193" name="Shape 193"/>
                        <wps:cNvSpPr/>
                        <wps:spPr>
                          <a:xfrm>
                            <a:off x="1727200" y="838200"/>
                            <a:ext cx="10668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信任</w:t>
                              </w:r>
                            </w:p>
                          </w:txbxContent>
                        </wps:txbx>
                        <wps:bodyPr rot="0" vert="horz" wrap="square" lIns="25400" tIns="12700" rIns="25400" bIns="12700" anchor="ctr" anchorCtr="0">
                          <a:noAutofit/>
                        </wps:bodyPr>
                      </wps:wsp>
                      <wps:wsp>
                        <wps:cNvPr id="194" name="Shape 194"/>
                        <wps:cNvSpPr/>
                        <wps:spPr>
                          <a:xfrm>
                            <a:off x="1727200" y="2235200"/>
                            <a:ext cx="10668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購前期望</w:t>
                              </w:r>
                            </w:p>
                          </w:txbxContent>
                        </wps:txbx>
                        <wps:bodyPr rot="0" vert="horz" wrap="square" lIns="25400" tIns="12700" rIns="25400" bIns="12700" anchor="ctr" anchorCtr="0">
                          <a:noAutofit/>
                        </wps:bodyPr>
                      </wps:wsp>
                      <wps:wsp>
                        <wps:cNvPr id="195" name="Shape 195"/>
                        <wps:cNvSpPr/>
                        <wps:spPr>
                          <a:xfrm>
                            <a:off x="3225800" y="1498600"/>
                            <a:ext cx="10922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期望確認</w:t>
                              </w:r>
                            </w:p>
                          </w:txbxContent>
                        </wps:txbx>
                        <wps:bodyPr rot="0" vert="horz" wrap="square" lIns="25400" tIns="12700" rIns="25400" bIns="12700" anchor="ctr" anchorCtr="0">
                          <a:noAutofit/>
                        </wps:bodyPr>
                      </wps:wsp>
                      <wps:wsp>
                        <wps:cNvPr id="196" name="Shape 196"/>
                        <wps:cNvSpPr/>
                        <wps:spPr>
                          <a:xfrm>
                            <a:off x="4724400" y="762000"/>
                            <a:ext cx="13208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購後滿意</w:t>
                              </w:r>
                            </w:p>
                          </w:txbxContent>
                        </wps:txbx>
                        <wps:bodyPr rot="0" vert="horz" wrap="square" lIns="25400" tIns="12700" rIns="25400" bIns="12700" anchor="ctr" anchorCtr="0">
                          <a:noAutofit/>
                        </wps:bodyPr>
                      </wps:wsp>
                      <wps:wsp>
                        <wps:cNvPr id="197" name="Shape 197"/>
                        <wps:cNvSpPr/>
                        <wps:spPr>
                          <a:xfrm>
                            <a:off x="4978400" y="1625600"/>
                            <a:ext cx="1066800" cy="5080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退貨行為／</w:t>
                              </w:r>
                            </w:p>
                            <w:p>
                              <w:pPr>
                                <w:spacing w:before="0" w:after="0" w:line="240" w:lineRule="exact"/>
                                <w:jc w:val="center"/>
                              </w:pPr>
                              <w:r>
                                <w:rPr>
                                  <w:rFonts w:ascii="Times New Roman" w:hAnsi="Times New Roman" w:eastAsia="標楷體" w:cs="Times New Roman"/>
                                  <w:sz w:val="17"/>
                                  <w:szCs w:val="17"/>
                                </w:rPr>
                                <w:t xml:space="preserve">退貨意圖</w:t>
                              </w:r>
                            </w:p>
                          </w:txbxContent>
                        </wps:txbx>
                        <wps:bodyPr rot="0" vert="horz" wrap="square" lIns="25400" tIns="12700" rIns="25400" bIns="12700" anchor="ctr" anchorCtr="0">
                          <a:noAutofit/>
                        </wps:bodyPr>
                      </wps:wsp>
                      <wps:wsp>
                        <wps:cNvPr id="198" name="Shape 198"/>
                        <wps:cNvSpPr/>
                        <wps:spPr>
                          <a:xfrm>
                            <a:off x="4978400" y="2489200"/>
                            <a:ext cx="1066800" cy="431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再購意圖</w:t>
                              </w:r>
                            </w:p>
                          </w:txbxContent>
                        </wps:txbx>
                        <wps:bodyPr rot="0" vert="horz" wrap="square" lIns="25400" tIns="12700" rIns="25400" bIns="12700" anchor="ctr" anchorCtr="0">
                          <a:noAutofit/>
                        </wps:bodyPr>
                      </wps:wsp>
                      <wps:wsp>
                        <wps:cNvPr id="199" name="Line 199"/>
                        <wps:cNvCnPr/>
                        <wps:spPr>
                          <a:xfrm>
                            <a:off x="1270000" y="723900"/>
                            <a:ext cx="469900" cy="266700"/>
                          </a:xfrm>
                          <a:prstGeom prst="line">
                            <a:avLst/>
                          </a:prstGeom>
                          <a:ln w="12700">
                            <a:solidFill>
                              <a:srgbClr val="404040"/>
                            </a:solidFill>
                            <a:tailEnd type="triangle" w="med" len="med"/>
                          </a:ln>
                        </wps:spPr>
                        <wps:bodyPr/>
                      </wps:wsp>
                      <wps:wsp>
                        <wps:cNvPr id="200" name="Line 200"/>
                        <wps:cNvCnPr/>
                        <wps:spPr>
                          <a:xfrm flipV="1">
                            <a:off x="1270000" y="1143000"/>
                            <a:ext cx="469900" cy="292100"/>
                          </a:xfrm>
                          <a:prstGeom prst="line">
                            <a:avLst/>
                          </a:prstGeom>
                          <a:ln w="12700">
                            <a:solidFill>
                              <a:srgbClr val="404040"/>
                            </a:solidFill>
                            <a:tailEnd type="triangle" w="med" len="med"/>
                          </a:ln>
                        </wps:spPr>
                        <wps:bodyPr/>
                      </wps:wsp>
                      <wps:wsp>
                        <wps:cNvPr id="201" name="Shape 201"/>
                        <wps:cNvSpPr/>
                        <wps:spPr>
                          <a:xfrm>
                            <a:off x="1371600" y="5842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w:t>
                              </w:r>
                            </w:p>
                          </w:txbxContent>
                        </wps:txbx>
                        <wps:bodyPr rot="0" vert="horz" wrap="square" lIns="25400" tIns="12700" rIns="25400" bIns="12700" anchor="ctr" anchorCtr="0">
                          <a:noAutofit/>
                        </wps:bodyPr>
                      </wps:wsp>
                      <wps:wsp>
                        <wps:cNvPr id="202" name="Line 202"/>
                        <wps:cNvCnPr/>
                        <wps:spPr>
                          <a:xfrm>
                            <a:off x="1270000" y="2489200"/>
                            <a:ext cx="457200" cy="0"/>
                          </a:xfrm>
                          <a:prstGeom prst="line">
                            <a:avLst/>
                          </a:prstGeom>
                          <a:ln w="12700">
                            <a:solidFill>
                              <a:srgbClr val="404040"/>
                            </a:solidFill>
                            <a:tailEnd type="triangle" w="med" len="med"/>
                          </a:ln>
                        </wps:spPr>
                        <wps:bodyPr/>
                      </wps:wsp>
                      <wps:wsp>
                        <wps:cNvPr id="203" name="Shape 203"/>
                        <wps:cNvSpPr/>
                        <wps:spPr>
                          <a:xfrm>
                            <a:off x="1371600" y="2540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204" name="Line 204"/>
                        <wps:cNvCnPr/>
                        <wps:spPr>
                          <a:xfrm>
                            <a:off x="2794000" y="1066800"/>
                            <a:ext cx="533400" cy="508000"/>
                          </a:xfrm>
                          <a:prstGeom prst="line">
                            <a:avLst/>
                          </a:prstGeom>
                          <a:ln w="12700">
                            <a:solidFill>
                              <a:srgbClr val="404040"/>
                            </a:solidFill>
                            <a:tailEnd type="triangle" w="med" len="med"/>
                          </a:ln>
                        </wps:spPr>
                        <wps:bodyPr/>
                      </wps:wsp>
                      <wps:wsp>
                        <wps:cNvPr id="205" name="Line 205"/>
                        <wps:cNvCnPr/>
                        <wps:spPr>
                          <a:xfrm flipV="1">
                            <a:off x="2794000" y="1930400"/>
                            <a:ext cx="533400" cy="558800"/>
                          </a:xfrm>
                          <a:prstGeom prst="line">
                            <a:avLst/>
                          </a:prstGeom>
                          <a:ln w="12700">
                            <a:solidFill>
                              <a:srgbClr val="404040"/>
                            </a:solidFill>
                            <a:tailEnd type="triangle" w="med" len="med"/>
                          </a:ln>
                        </wps:spPr>
                        <wps:bodyPr/>
                      </wps:wsp>
                      <wps:wsp>
                        <wps:cNvPr id="206" name="Shape 206"/>
                        <wps:cNvSpPr/>
                        <wps:spPr>
                          <a:xfrm>
                            <a:off x="2844800" y="2108200"/>
                            <a:ext cx="381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207" name="Line 207"/>
                        <wps:cNvCnPr/>
                        <wps:spPr>
                          <a:xfrm flipV="1">
                            <a:off x="4318000" y="1117600"/>
                            <a:ext cx="482600" cy="558800"/>
                          </a:xfrm>
                          <a:prstGeom prst="line">
                            <a:avLst/>
                          </a:prstGeom>
                          <a:ln w="12700">
                            <a:solidFill>
                              <a:srgbClr val="404040"/>
                            </a:solidFill>
                            <a:tailEnd type="triangle" w="med" len="med"/>
                          </a:ln>
                        </wps:spPr>
                        <wps:bodyPr/>
                      </wps:wsp>
                      <wps:wsp>
                        <wps:cNvPr id="208" name="Shape 208"/>
                        <wps:cNvSpPr/>
                        <wps:spPr>
                          <a:xfrm>
                            <a:off x="4368800" y="11684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209" name="Line 209"/>
                        <wps:cNvCnPr/>
                        <wps:spPr>
                          <a:xfrm>
                            <a:off x="5511800" y="1219200"/>
                            <a:ext cx="0" cy="406400"/>
                          </a:xfrm>
                          <a:prstGeom prst="line">
                            <a:avLst/>
                          </a:prstGeom>
                          <a:ln w="12700">
                            <a:solidFill>
                              <a:srgbClr val="404040"/>
                            </a:solidFill>
                            <a:tailEnd type="triangle" w="med" len="med"/>
                          </a:ln>
                        </wps:spPr>
                        <wps:bodyPr/>
                      </wps:wsp>
                      <wps:wsp>
                        <wps:cNvPr id="210" name="Line 210"/>
                        <wps:cNvCnPr/>
                        <wps:spPr>
                          <a:xfrm>
                            <a:off x="4826000" y="1219200"/>
                            <a:ext cx="0" cy="1485900"/>
                          </a:xfrm>
                          <a:prstGeom prst="line">
                            <a:avLst/>
                          </a:prstGeom>
                          <a:ln w="12700">
                            <a:solidFill>
                              <a:srgbClr val="404040"/>
                            </a:solidFill>
                          </a:ln>
                        </wps:spPr>
                        <wps:bodyPr/>
                      </wps:wsp>
                      <wps:wsp>
                        <wps:cNvPr id="211" name="Line 211"/>
                        <wps:cNvCnPr/>
                        <wps:spPr>
                          <a:xfrm>
                            <a:off x="4826000" y="2705100"/>
                            <a:ext cx="152400" cy="0"/>
                          </a:xfrm>
                          <a:prstGeom prst="line">
                            <a:avLst/>
                          </a:prstGeom>
                          <a:ln w="12700">
                            <a:solidFill>
                              <a:srgbClr val="404040"/>
                            </a:solidFill>
                            <a:tailEnd type="triangle" w="med" len="med"/>
                          </a:ln>
                        </wps:spPr>
                        <wps:bodyPr/>
                      </wps:wsp>
                      <wps:wsp>
                        <wps:cNvPr id="212" name="Shape 212"/>
                        <wps:cNvSpPr/>
                        <wps:spPr>
                          <a:xfrm>
                            <a:off x="5562600" y="1320800"/>
                            <a:ext cx="381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213" name="Shape 213"/>
                        <wps:cNvSpPr/>
                        <wps:spPr>
                          <a:xfrm>
                            <a:off x="50800" y="3149600"/>
                            <a:ext cx="2921000" cy="889000"/>
                          </a:xfrm>
                          <a:prstGeom prst="rect">
                            <a:avLst/>
                          </a:prstGeom>
                          <a:noFill/>
                          <a:ln w="12700">
                            <a:solidFill>
                              <a:srgbClr val="C55A11"/>
                            </a:solidFill>
                            <a:prstDash val="dash"/>
                          </a:ln>
                        </wps:spPr>
                        <wps:txbx>
                          <w:txbxContent>
                            <w:p>
                              <w:pPr>
                                <w:spacing w:before="0" w:after="0" w:line="240" w:lineRule="exact"/>
                                <w:jc w:val="left"/>
                              </w:pPr>
                              <w:r>
                                <w:rPr>
                                  <w:rFonts w:ascii="Times New Roman" w:hAnsi="Times New Roman" w:eastAsia="標楷體" w:cs="Times New Roman"/>
                                  <w:b/>
                                  <w:bCs/>
                                  <w:sz w:val="17"/>
                                  <w:szCs w:val="17"/>
                                </w:rPr>
                                <w:t xml:space="preserve">多群組 SEM（H4、H5）</w:t>
                              </w:r>
                            </w:p>
                            <w:p>
                              <w:pPr>
                                <w:spacing w:before="0" w:after="0" w:line="240" w:lineRule="exact"/>
                                <w:jc w:val="left"/>
                              </w:pPr>
                              <w:r>
                                <w:rPr>
                                  <w:rFonts w:ascii="Times New Roman" w:hAnsi="Times New Roman" w:eastAsia="標楷體" w:cs="Times New Roman"/>
                                  <w:sz w:val="17"/>
                                  <w:szCs w:val="17"/>
                                </w:rPr>
                                <w:t xml:space="preserve">① 主播類型：AI 虛擬主播／真人主播</w:t>
                              </w:r>
                            </w:p>
                            <w:p>
                              <w:pPr>
                                <w:spacing w:before="0" w:after="0" w:line="240" w:lineRule="exact"/>
                                <w:jc w:val="left"/>
                              </w:pPr>
                              <w:r>
                                <w:rPr>
                                  <w:rFonts w:ascii="Times New Roman" w:hAnsi="Times New Roman" w:eastAsia="標楷體" w:cs="Times New Roman"/>
                                  <w:sz w:val="17"/>
                                  <w:szCs w:val="17"/>
                                </w:rPr>
                                <w:t xml:space="preserve">② 價值傾向：功能型／情感社會型（第一階段量表）</w:t>
                              </w:r>
                            </w:p>
                          </w:txbxContent>
                        </wps:txbx>
                        <wps:bodyPr rot="0" vert="horz" wrap="square" lIns="25400" tIns="12700" rIns="25400" bIns="12700" anchor="ctr" anchorCtr="0">
                          <a:noAutofit/>
                        </wps:bodyPr>
                      </wps:wsp>
                      <wps:wsp>
                        <wps:cNvPr id="214" name="Line 214"/>
                        <wps:cNvCnPr/>
                        <wps:spPr>
                          <a:xfrm flipV="1">
                            <a:off x="1498600" y="1244600"/>
                            <a:ext cx="0" cy="1905000"/>
                          </a:xfrm>
                          <a:prstGeom prst="line">
                            <a:avLst/>
                          </a:prstGeom>
                          <a:ln w="12700">
                            <a:solidFill>
                              <a:srgbClr val="C55A11"/>
                            </a:solidFill>
                            <a:prstDash val="dash"/>
                            <a:tailEnd type="triangle" w="med" len="med"/>
                          </a:ln>
                        </wps:spPr>
                        <wps:bodyPr/>
                      </wps:wsp>
                      <wps:wsp>
                        <wps:cNvPr id="215" name="Shape 215"/>
                        <wps:cNvSpPr/>
                        <wps:spPr>
                          <a:xfrm>
                            <a:off x="3175000" y="3225800"/>
                            <a:ext cx="2870200" cy="812800"/>
                          </a:xfrm>
                          <a:prstGeom prst="rect">
                            <a:avLst/>
                          </a:prstGeom>
                          <a:noFill/>
                          <a:ln w="12700">
                            <a:solidFill>
                              <a:srgbClr val="7F7F7F"/>
                            </a:solidFill>
                            <a:prstDash val="dash"/>
                          </a:ln>
                        </wps:spPr>
                        <wps:txbx>
                          <w:txbxContent>
                            <w:p>
                              <w:pPr>
                                <w:spacing w:before="0" w:after="0" w:line="226" w:lineRule="exact"/>
                                <w:jc w:val="left"/>
                              </w:pPr>
                              <w:r>
                                <w:rPr>
                                  <w:rFonts w:ascii="Times New Roman" w:hAnsi="Times New Roman" w:eastAsia="標楷體" w:cs="Times New Roman"/>
                                  <w:sz w:val="16"/>
                                  <w:szCs w:val="16"/>
                                </w:rPr>
                                <w:t xml:space="preserve">理論基礎</w:t>
                              </w:r>
                            </w:p>
                            <w:p>
                              <w:pPr>
                                <w:spacing w:before="0" w:after="0" w:line="226" w:lineRule="exact"/>
                                <w:jc w:val="left"/>
                              </w:pPr>
                              <w:r>
                                <w:rPr>
                                  <w:rFonts w:ascii="Times New Roman" w:hAnsi="Times New Roman" w:eastAsia="標楷體" w:cs="Times New Roman"/>
                                  <w:sz w:val="16"/>
                                  <w:szCs w:val="16"/>
                                </w:rPr>
                                <w:t xml:space="preserve">溫暖與能力：Fiske et al. (2007)</w:t>
                              </w:r>
                            </w:p>
                            <w:p>
                              <w:pPr>
                                <w:spacing w:before="0" w:after="0" w:line="226" w:lineRule="exact"/>
                                <w:jc w:val="left"/>
                              </w:pPr>
                              <w:r>
                                <w:rPr>
                                  <w:rFonts w:ascii="Times New Roman" w:hAnsi="Times New Roman" w:eastAsia="標楷體" w:cs="Times New Roman"/>
                                  <w:sz w:val="16"/>
                                  <w:szCs w:val="16"/>
                                </w:rPr>
                                <w:t xml:space="preserve">期望確認：Oliver (1980)</w:t>
                              </w:r>
                            </w:p>
                            <w:p>
                              <w:pPr>
                                <w:spacing w:before="0" w:after="0" w:line="226" w:lineRule="exact"/>
                                <w:jc w:val="left"/>
                              </w:pPr>
                              <w:r>
                                <w:rPr>
                                  <w:rFonts w:ascii="Times New Roman" w:hAnsi="Times New Roman" w:eastAsia="標楷體" w:cs="Times New Roman"/>
                                  <w:sz w:val="16"/>
                                  <w:szCs w:val="16"/>
                                </w:rPr>
                                <w:t xml:space="preserve">直播信任：Wongkitrungrueng &amp; Assarut (2020)</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4　第三階段研究架構圖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H1：主播溫暖感與能力感正向影響信任</w:t>
      </w:r>
    </w:p>
    <w:p>
      <w:pPr>
        <w:spacing w:before="0" w:after="0" w:line="440" w:lineRule="exact"/>
        <w:ind w:left="960" w:hanging="480"/>
        <w:jc w:val="both"/>
      </w:pPr>
      <w:r>
        <w:rPr>
          <w:rFonts w:ascii="Times New Roman" w:hAnsi="Times New Roman" w:eastAsia="標楷體" w:cs="Times New Roman"/>
          <w:b/>
          <w:bCs/>
        </w:rPr>
        <w:t xml:space="preserve">H2：信任正向影響期望確認；感知互動強度提高購前期望，購前期望負向影響期望確認</w:t>
      </w:r>
    </w:p>
    <w:p>
      <w:pPr>
        <w:spacing w:before="0" w:after="0" w:line="440" w:lineRule="exact"/>
        <w:ind w:left="960" w:hanging="480"/>
        <w:jc w:val="both"/>
      </w:pPr>
      <w:r>
        <w:rPr>
          <w:rFonts w:ascii="Times New Roman" w:hAnsi="Times New Roman" w:eastAsia="標楷體" w:cs="Times New Roman"/>
          <w:b/>
          <w:bCs/>
        </w:rPr>
        <w:t xml:space="preserve">H3：期望確認提高購後滿意；購後滿意降低退貨、提高再購意圖</w:t>
      </w:r>
    </w:p>
    <w:p>
      <w:pPr>
        <w:spacing w:before="0" w:after="0" w:line="440" w:lineRule="exact"/>
        <w:ind w:left="960" w:hanging="480"/>
        <w:jc w:val="both"/>
      </w:pPr>
      <w:r>
        <w:rPr>
          <w:rFonts w:ascii="Times New Roman" w:hAnsi="Times New Roman" w:eastAsia="標楷體" w:cs="Times New Roman"/>
          <w:b/>
          <w:bCs/>
        </w:rPr>
        <w:t xml:space="preserve">H4：主播類型調節 H1：AI 主播群組中能力感的影響較強，真人主播群組中溫暖感的影響較強</w:t>
      </w:r>
    </w:p>
    <w:p>
      <w:pPr>
        <w:spacing w:before="0" w:after="0" w:line="440" w:lineRule="exact"/>
        <w:ind w:left="960" w:hanging="480"/>
        <w:jc w:val="both"/>
      </w:pPr>
      <w:r>
        <w:rPr>
          <w:rFonts w:ascii="Times New Roman" w:hAnsi="Times New Roman" w:eastAsia="標楷體" w:cs="Times New Roman"/>
          <w:b/>
          <w:bCs/>
        </w:rPr>
        <w:t xml:space="preserve">H5：價值傾向調節 H1：功能型消費者中能力感的影響較強，情感社會型消費者中溫暖感的影響較強</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二、研究方法、實驗設計、問卷設計與變數操作型定義</w:t>
      </w:r>
    </w:p>
    <w:p>
      <w:pPr>
        <w:pStyle w:val="Heading3"/>
        <w:keepNext/>
        <w:spacing w:before="120" w:after="40" w:line="440" w:lineRule="exact"/>
        <w:ind w:left="480" w:hanging="480"/>
      </w:pPr>
      <w:r>
        <w:rPr>
          <w:rFonts w:ascii="Times New Roman" w:hAnsi="Times New Roman" w:eastAsia="標楷體" w:cs="Times New Roman"/>
          <w:b/>
          <w:bCs/>
        </w:rPr>
        <w:t xml:space="preserve">（一）第一階段【AI 虛擬主播與真人主播之消費者價值鏈：方法目的鏈】：執行時間 2027.08–2028.01（量表發展至 2028.03）</w:t>
      </w:r>
    </w:p>
    <w:p>
      <w:pPr>
        <w:spacing w:before="0" w:after="0" w:line="440" w:lineRule="exact"/>
        <w:ind w:firstLineChars="200" w:firstLine="480"/>
        <w:jc w:val="both"/>
      </w:pPr>
      <w:r>
        <w:rPr>
          <w:rFonts w:ascii="Times New Roman" w:hAnsi="Times New Roman" w:eastAsia="標楷體" w:cs="Times New Roman"/>
        </w:rPr>
        <w:t xml:space="preserve">第一階段以方法目的鏈為基礎架構，以人工軟式階梯訪談蒐集資料，以內容分析法形成受訪者階梯，以涵意矩陣描繪要素間的關係，建構兩組主播購買者的階梯價值圖，再據以發展價值傾向量表。</w:t>
      </w:r>
    </w:p>
    <w:p>
      <w:pPr>
        <w:keepNext/>
        <w:spacing w:before="0" w:after="0" w:line="440" w:lineRule="exact"/>
      </w:pPr>
      <w:r>
        <w:rPr>
          <w:rFonts w:ascii="Times New Roman" w:hAnsi="Times New Roman" w:eastAsia="標楷體" w:cs="Times New Roman"/>
          <w:b/>
          <w:bCs/>
        </w:rPr>
        <w:t xml:space="preserve">1. 階梯訪談法與訪談對象</w:t>
      </w:r>
    </w:p>
    <w:p>
      <w:pPr>
        <w:spacing w:before="0" w:after="0" w:line="440" w:lineRule="exact"/>
        <w:ind w:firstLineChars="200" w:firstLine="480"/>
        <w:jc w:val="both"/>
      </w:pPr>
      <w:r>
        <w:rPr>
          <w:rFonts w:ascii="Times New Roman" w:hAnsi="Times New Roman" w:eastAsia="標楷體" w:cs="Times New Roman"/>
        </w:rPr>
        <w:t xml:space="preserve">階梯法可分為軟式與硬式兩種：硬式階梯法限制受訪者逐層回答，軟式階梯法則讓受訪者自由回答，能獲得較豐富的個人脈絡 (</w:t>
      </w:r>
      <w:hyperlink r:id="rIdL18"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)。本研究採軟式階梯訪談，分為三個研究：</w:t>
      </w:r>
    </w:p>
    <w:p>
      <w:pPr>
        <w:spacing w:before="0" w:after="0" w:line="440" w:lineRule="exact"/>
        <w:ind w:left="480" w:hanging="480"/>
        <w:jc w:val="both"/>
      </w:pPr>
      <w:r>
        <w:rPr>
          <w:rFonts w:ascii="Times New Roman" w:hAnsi="Times New Roman" w:eastAsia="標楷體" w:cs="Times New Roman"/>
        </w:rPr>
        <w:t xml:space="preserve">(1) 研究 1a：訪談大綱前導（2027.08–2027.09）。以 6 位直播購買者進行前導訪談，修訂表 5 與表 7 的用語與追問順序。</w:t>
      </w:r>
    </w:p>
    <w:p>
      <w:pPr>
        <w:spacing w:before="0" w:after="0" w:line="440" w:lineRule="exact"/>
        <w:ind w:left="480" w:hanging="480"/>
        <w:jc w:val="both"/>
      </w:pPr>
      <w:r>
        <w:rPr>
          <w:rFonts w:ascii="Times New Roman" w:hAnsi="Times New Roman" w:eastAsia="標楷體" w:cs="Times New Roman"/>
        </w:rPr>
        <w:t xml:space="preserve">(2) 研究 1b：軟式階梯訪談（2027.09–2027.12）。立意抽樣 48 位過去 6 個月內曾在直播中購買者：向 AI 虛擬主播購買 24 位、向真人主播購買 24 位；每組依品類分為運動鞋 12、美妝 6、家具 6，男女各半。由受過訓練的訪談員進行，每次約 50–60 分鐘。若某一組的新要素在最後 4 場訪談中不再出現，視為達到飽和；未達飽和則每組追加至多 6 位。</w:t>
      </w:r>
    </w:p>
    <w:p>
      <w:pPr>
        <w:spacing w:before="0" w:after="0" w:line="440" w:lineRule="exact"/>
        <w:ind w:left="480" w:hanging="480"/>
        <w:jc w:val="both"/>
      </w:pPr>
      <w:r>
        <w:rPr>
          <w:rFonts w:ascii="Times New Roman" w:hAnsi="Times New Roman" w:eastAsia="標楷體" w:cs="Times New Roman"/>
        </w:rPr>
        <w:t xml:space="preserve">(3) 研究 1e：價值傾向量表發展（2028.01–2028.03）。依階梯價值圖的核心價值鏈撰寫題項，以約 300 位直播購物者進行探索性與驗證性因素分析，產出功能型與情感社會型兩個構面（實際構面以資料為準）。</w:t>
      </w:r>
    </w:p>
    <w:p>
      <w:pPr>
        <w:keepNext/>
        <w:spacing w:before="0" w:after="0" w:line="440" w:lineRule="exact"/>
      </w:pPr>
      <w:r>
        <w:rPr>
          <w:rFonts w:ascii="Times New Roman" w:hAnsi="Times New Roman" w:eastAsia="標楷體" w:cs="Times New Roman"/>
          <w:b/>
          <w:bCs/>
        </w:rPr>
        <w:t xml:space="preserve">2. 訪談題目</w:t>
      </w:r>
    </w:p>
    <w:p>
      <w:pPr>
        <w:spacing w:before="0" w:after="0" w:line="440" w:lineRule="exact"/>
        <w:ind w:firstLineChars="200" w:firstLine="480"/>
        <w:jc w:val="both"/>
      </w:pPr>
      <w:r>
        <w:rPr>
          <w:rFonts w:ascii="Times New Roman" w:hAnsi="Times New Roman" w:eastAsia="標楷體" w:cs="Times New Roman"/>
        </w:rPr>
        <w:t xml:space="preserve">第一階段訪談題目的層級、目的與探問脈絡如表 7。訪談前向受訪者說明研究目的、資料保密方式與訪談時間；訪談中以不打斷受訪者為原則，接續其回答向上追問，直到受訪者無法再說明為止。</w:t>
      </w:r>
    </w:p>
    <w:p>
      <w:pPr>
        <w:keepNext/>
        <w:spacing w:before="120" w:after="80" w:line="360" w:lineRule="exact"/>
        <w:jc w:val="center"/>
      </w:pPr>
      <w:r>
        <w:rPr>
          <w:rFonts w:ascii="Times New Roman" w:hAnsi="Times New Roman" w:eastAsia="標楷體" w:cs="Times New Roman"/>
        </w:rPr>
        <w:t xml:space="preserve">表 7　方法目的鏈訪談題目：直播主播（含 AI／真人主播與跨品類探問）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250"/>
        <w:gridCol w:w="1500"/>
        <w:gridCol w:w="2550"/>
        <w:gridCol w:w="2238"/>
        <w:gridCol w:w="2100"/>
      </w:tblGrid>
      <w:tr>
        <w:trPr>
          <w:tblHeader/>
          <w:cantSplit/>
        </w:trPr>
        <w:tc>
          <w:tcPr>
            <w:tcW w:w="1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訪談目的</w:t>
            </w:r>
          </w:p>
        </w:tc>
        <w:tc>
          <w:tcPr>
            <w:tcW w:w="25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核心訪談題目（主問題）</w:t>
            </w:r>
          </w:p>
        </w:tc>
        <w:tc>
          <w:tcPr>
            <w:tcW w:w="2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延伸探問（深入原因）</w:t>
            </w:r>
          </w:p>
        </w:tc>
        <w:tc>
          <w:tcPr>
            <w:tcW w:w="21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跨品類／主播比較探問</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A 層級</w:t>
            </w:r>
          </w:p>
          <w:p>
            <w:pPr>
              <w:spacing w:before="20" w:after="20" w:line="300" w:lineRule="exact"/>
              <w:jc w:val="center"/>
            </w:pPr>
            <w:r>
              <w:rPr>
                <w:rFonts w:ascii="Times New Roman" w:hAnsi="Times New Roman" w:eastAsia="標楷體" w:cs="Times New Roman"/>
                <w:b/>
                <w:bCs/>
                <w:sz w:val="21"/>
                <w:szCs w:val="21"/>
              </w:rPr>
              <w:t xml:space="preserve">屬性</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了解受訪者對主播與直播間可感知特徵的認知（外型、互動、資訊、話術）</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1.「那場直播中，主播哪些表現最讓您印象深刻？」</w:t>
            </w:r>
          </w:p>
          <w:p>
            <w:pPr>
              <w:spacing w:before="20" w:after="20" w:line="300" w:lineRule="exact"/>
              <w:jc w:val="left"/>
            </w:pPr>
            <w:r>
              <w:rPr>
                <w:rFonts w:ascii="Times New Roman" w:hAnsi="Times New Roman" w:eastAsia="標楷體" w:cs="Times New Roman"/>
                <w:sz w:val="21"/>
                <w:szCs w:val="21"/>
              </w:rPr>
              <w:t xml:space="preserve">2.「一位好的直播主播，應該具備哪些條件？」</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為什麼這個表現吸引您？</w:t>
            </w:r>
          </w:p>
          <w:p>
            <w:pPr>
              <w:spacing w:before="20" w:after="20" w:line="300" w:lineRule="exact"/>
              <w:jc w:val="left"/>
            </w:pPr>
            <w:r>
              <w:rPr>
                <w:rFonts w:ascii="Times New Roman" w:hAnsi="Times New Roman" w:eastAsia="標楷體" w:cs="Times New Roman"/>
                <w:sz w:val="21"/>
                <w:szCs w:val="21"/>
              </w:rPr>
              <w:t xml:space="preserve">- 哪些表現讓您開始懷疑主播說的話？</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換成其他品類（鞋、彩妝、家具），您最在意的主播表現會改變嗎？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C 層級</w:t>
            </w:r>
          </w:p>
          <w:p>
            <w:pPr>
              <w:spacing w:before="20" w:after="20" w:line="300" w:lineRule="exact"/>
              <w:jc w:val="center"/>
            </w:pPr>
            <w:r>
              <w:rPr>
                <w:rFonts w:ascii="Times New Roman" w:hAnsi="Times New Roman" w:eastAsia="標楷體" w:cs="Times New Roman"/>
                <w:b/>
                <w:bCs/>
                <w:sz w:val="21"/>
                <w:szCs w:val="21"/>
              </w:rPr>
              <w:t xml:space="preserve">後果</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探索主播表現帶來的功能性或心理後果（信任、樂趣、被說服、購後感受）</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3.「這些表現帶給您哪些感受或結果？」</w:t>
            </w:r>
          </w:p>
          <w:p>
            <w:pPr>
              <w:spacing w:before="20" w:after="20" w:line="300" w:lineRule="exact"/>
              <w:jc w:val="left"/>
            </w:pPr>
            <w:r>
              <w:rPr>
                <w:rFonts w:ascii="Times New Roman" w:hAnsi="Times New Roman" w:eastAsia="標楷體" w:cs="Times New Roman"/>
                <w:sz w:val="21"/>
                <w:szCs w:val="21"/>
              </w:rPr>
              <w:t xml:space="preserve">4.「收到商品後，和您的期待相比如何？」</w:t>
            </w:r>
          </w:p>
          <w:p>
            <w:pPr>
              <w:spacing w:before="20" w:after="20" w:line="300" w:lineRule="exact"/>
              <w:jc w:val="left"/>
            </w:pPr>
            <w:r>
              <w:rPr>
                <w:rFonts w:ascii="Times New Roman" w:hAnsi="Times New Roman" w:eastAsia="標楷體" w:cs="Times New Roman"/>
                <w:sz w:val="21"/>
                <w:szCs w:val="21"/>
              </w:rPr>
              <w:t xml:space="preserve">5.「您有沒有退貨或後悔？為什麼？」</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它讓您更確定商品適合您嗎？</w:t>
            </w:r>
          </w:p>
          <w:p>
            <w:pPr>
              <w:spacing w:before="20" w:after="20" w:line="300" w:lineRule="exact"/>
              <w:jc w:val="left"/>
            </w:pPr>
            <w:r>
              <w:rPr>
                <w:rFonts w:ascii="Times New Roman" w:hAnsi="Times New Roman" w:eastAsia="標楷體" w:cs="Times New Roman"/>
                <w:sz w:val="21"/>
                <w:szCs w:val="21"/>
              </w:rPr>
              <w:t xml:space="preserve">- 您覺得自己是被說服的嗎？</w:t>
            </w:r>
          </w:p>
          <w:p>
            <w:pPr>
              <w:spacing w:before="20" w:after="20" w:line="300" w:lineRule="exact"/>
              <w:jc w:val="left"/>
            </w:pPr>
            <w:r>
              <w:rPr>
                <w:rFonts w:ascii="Times New Roman" w:hAnsi="Times New Roman" w:eastAsia="標楷體" w:cs="Times New Roman"/>
                <w:sz w:val="21"/>
                <w:szCs w:val="21"/>
              </w:rPr>
              <w:t xml:space="preserve">- 直播本身好玩嗎？</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在哪一個品類中，您最在意主播是不是真人？為什麼？</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V 層級</w:t>
            </w:r>
          </w:p>
          <w:p>
            <w:pPr>
              <w:spacing w:before="20" w:after="20" w:line="300" w:lineRule="exact"/>
              <w:jc w:val="center"/>
            </w:pPr>
            <w:r>
              <w:rPr>
                <w:rFonts w:ascii="Times New Roman" w:hAnsi="Times New Roman" w:eastAsia="標楷體" w:cs="Times New Roman"/>
                <w:b/>
                <w:bCs/>
                <w:sz w:val="21"/>
                <w:szCs w:val="21"/>
              </w:rPr>
              <w:t xml:space="preserve">價值</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探索主播觸及的深層個人價值（精明、安全、自主、歸屬、自我表現）</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6.「這些結果對您個人最重要的意義是什麼？」</w:t>
            </w:r>
          </w:p>
          <w:p>
            <w:pPr>
              <w:spacing w:before="20" w:after="20" w:line="300" w:lineRule="exact"/>
              <w:jc w:val="left"/>
            </w:pPr>
            <w:r>
              <w:rPr>
                <w:rFonts w:ascii="Times New Roman" w:hAnsi="Times New Roman" w:eastAsia="標楷體" w:cs="Times New Roman"/>
                <w:sz w:val="21"/>
                <w:szCs w:val="21"/>
              </w:rPr>
              <w:t xml:space="preserve">7.「回想一次滿意的直播購物，是哪些價值促使您這麼做？」</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這與您的生活信念有關嗎？</w:t>
            </w:r>
          </w:p>
          <w:p>
            <w:pPr>
              <w:spacing w:before="20" w:after="20" w:line="300" w:lineRule="exact"/>
              <w:jc w:val="left"/>
            </w:pPr>
            <w:r>
              <w:rPr>
                <w:rFonts w:ascii="Times New Roman" w:hAnsi="Times New Roman" w:eastAsia="標楷體" w:cs="Times New Roman"/>
                <w:sz w:val="21"/>
                <w:szCs w:val="21"/>
              </w:rPr>
              <w:t xml:space="preserve">- 這是為了自己，還是在意別人的眼光？</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AI 主播與真人主播觸動的價值相同嗎？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收尾題</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整合主播類型、購買與退貨連結</w:t>
            </w:r>
          </w:p>
        </w:tc>
        <w:tc>
          <w:tcPr>
            <w:tcW w:w="6888" w:type="dxa"/>
            <w:gridSpan w:val="3"/>
            <w:vAlign w:val="center"/>
          </w:tcPr>
          <w:p>
            <w:pPr>
              <w:spacing w:before="20" w:after="20" w:line="300" w:lineRule="exact"/>
              <w:jc w:val="left"/>
            </w:pPr>
            <w:r>
              <w:rPr>
                <w:rFonts w:ascii="Times New Roman" w:hAnsi="Times New Roman" w:eastAsia="標楷體" w:cs="Times New Roman"/>
                <w:sz w:val="21"/>
                <w:szCs w:val="21"/>
              </w:rPr>
              <w:t xml:space="preserve">8.「如果同一場直播改由 AI 主播（或真人主播）進行，您會怎麼做？」</w:t>
            </w:r>
          </w:p>
          <w:p>
            <w:pPr>
              <w:spacing w:before="20" w:after="20" w:line="300" w:lineRule="exact"/>
              <w:jc w:val="left"/>
            </w:pPr>
            <w:r>
              <w:rPr>
                <w:rFonts w:ascii="Times New Roman" w:hAnsi="Times New Roman" w:eastAsia="標楷體" w:cs="Times New Roman"/>
                <w:sz w:val="21"/>
                <w:szCs w:val="21"/>
              </w:rPr>
              <w:t xml:space="preserve">9.「以上談到的因素，哪些最可能影響您未來在直播中購買或退貨？」</w:t>
            </w:r>
          </w:p>
          <w:p>
            <w:pPr>
              <w:spacing w:before="20" w:after="20" w:line="300" w:lineRule="exact"/>
              <w:jc w:val="left"/>
            </w:pPr>
            <w:r>
              <w:rPr>
                <w:rFonts w:ascii="Times New Roman" w:hAnsi="Times New Roman" w:eastAsia="標楷體" w:cs="Times New Roman"/>
                <w:sz w:val="21"/>
                <w:szCs w:val="21"/>
              </w:rPr>
              <w:t xml:space="preserve">10.「如果用一句話說明您對直播主播的期望，您會怎麼說？」</w:t>
            </w:r>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3. 訪談程序</w:t>
      </w:r>
    </w:p>
    <w:p>
      <w:pPr>
        <w:spacing w:before="0" w:after="0" w:line="440" w:lineRule="exact"/>
        <w:ind w:firstLineChars="200" w:firstLine="480"/>
        <w:jc w:val="both"/>
      </w:pPr>
      <w:r>
        <w:rPr>
          <w:rFonts w:ascii="Times New Roman" w:hAnsi="Times New Roman" w:eastAsia="標楷體" w:cs="Times New Roman"/>
        </w:rPr>
        <w:t xml:space="preserve">訪談程序分為四步：(1) 篩選：以篩選題確認受訪者過去 6 個月內曾在直播中購買，並請其提供購買紀錄截圖以確認主播類型（AI 或真人），以品類涉入量表 (</w:t>
      </w:r>
      <w:hyperlink r:id="rIdL77"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 排除涉入極低者；(2) 情境喚起：請受訪者回想該次直播與收貨後的經驗，必要時重看直播回放；(3) 階梯追問：依表 7 由屬性層級開始，每個屬性以「這對您為什麼重要」向上追問，直到受訪者無法再說明為止；(4) 收尾：詢問主播比較題與基本資料。</w:t>
      </w:r>
    </w:p>
    <w:p>
      <w:pPr>
        <w:keepNext/>
        <w:spacing w:before="0" w:after="0" w:line="440" w:lineRule="exact"/>
      </w:pPr>
      <w:r>
        <w:rPr>
          <w:rFonts w:ascii="Times New Roman" w:hAnsi="Times New Roman" w:eastAsia="標楷體" w:cs="Times New Roman"/>
          <w:b/>
          <w:bCs/>
        </w:rPr>
        <w:t xml:space="preserve">4. 資料分析方法</w:t>
      </w:r>
    </w:p>
    <w:p>
      <w:pPr>
        <w:spacing w:before="0" w:after="0" w:line="440" w:lineRule="exact"/>
        <w:ind w:firstLineChars="200" w:firstLine="480"/>
        <w:jc w:val="both"/>
      </w:pPr>
      <w:r>
        <w:rPr>
          <w:rFonts w:ascii="Times New Roman" w:hAnsi="Times New Roman" w:eastAsia="標楷體" w:cs="Times New Roman"/>
          <w:b/>
          <w:bCs/>
        </w:rPr>
        <w:t xml:space="preserve">(1) 內容分析與編碼（研究 1c，2027.11–2028.01）。</w:t>
      </w:r>
      <w:r>
        <w:rPr>
          <w:rFonts w:ascii="Times New Roman" w:hAnsi="Times New Roman" w:eastAsia="標楷體" w:cs="Times New Roman"/>
        </w:rPr>
        <w:t xml:space="preserve">內容分析法可將訪談資料客觀、系統化地分類 (</w:t>
      </w:r>
      <w:hyperlink r:id="rIdL65"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)。由兩位編碼員依表 6 的初始編碼簿獨立編碼，依要素的「源引」與「延至」關係判定其屬於 A、C 或 V 層級，並以 Cohen 的 kappa (</w:t>
      </w:r>
      <w:hyperlink r:id="rIdL79" w:history="1">
        <w:r>
          <w:rPr>
            <w:rStyle w:val="Hyperlink"/>
            <w:rFonts w:ascii="Times New Roman" w:hAnsi="Times New Roman" w:eastAsia="標楷體" w:cs="Times New Roman"/>
          </w:rPr>
          <w:t xml:space="preserve">Cohen, 1960</w:t>
        </w:r>
      </w:hyperlink>
      <w:r>
        <w:rPr>
          <w:rFonts w:ascii="Times New Roman" w:hAnsi="Times New Roman" w:eastAsia="標楷體" w:cs="Times New Roman"/>
        </w:rPr>
        <w:t xml:space="preserve">) 與 </w:t>
      </w:r>
      <w:hyperlink r:id="rIdL66"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 的信度指標檢驗一致性；kappa 低於 .70 的要素經討論後重新定義並重編。依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 的建議，事先註冊編碼層級（以基本層級為主、必要時合併至上位層級）與彙總規則。</w:t>
      </w:r>
    </w:p>
    <w:p>
      <w:pPr>
        <w:spacing w:before="0" w:after="0" w:line="440" w:lineRule="exact"/>
        <w:ind w:firstLineChars="200" w:firstLine="480"/>
        <w:jc w:val="both"/>
      </w:pPr>
      <w:r>
        <w:rPr>
          <w:rFonts w:ascii="Times New Roman" w:hAnsi="Times New Roman" w:eastAsia="標楷體" w:cs="Times New Roman"/>
          <w:b/>
          <w:bCs/>
        </w:rPr>
        <w:t xml:space="preserve">(2) 涵意矩陣與階梯價值圖（研究 1d，2027.12–2028.01）。</w:t>
      </w:r>
      <w:r>
        <w:rPr>
          <w:rFonts w:ascii="Times New Roman" w:hAnsi="Times New Roman" w:eastAsia="標楷體" w:cs="Times New Roman"/>
        </w:rPr>
        <w:t xml:space="preserve">以涵意矩陣計算要素之間的直接與間接連結次數，再以截斷值繪製階梯價值圖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64"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)。截斷值以「保留至少三分之二的有效連結」為原則事先訂定，並報告不同截斷值（3、4、5）下的階梯價值圖，以檢查結論的穩健性。AI 主播組與真人主播組分別繪製，再比較兩張圖的共通與特有價值鏈。</w:t>
      </w:r>
    </w:p>
    <w:p>
      <w:pPr>
        <w:spacing w:before="0" w:after="0" w:line="440" w:lineRule="exact"/>
        <w:ind w:firstLineChars="200" w:firstLine="480"/>
        <w:jc w:val="both"/>
      </w:pPr>
      <w:r>
        <w:rPr>
          <w:rFonts w:ascii="Times New Roman" w:hAnsi="Times New Roman" w:eastAsia="標楷體" w:cs="Times New Roman"/>
          <w:b/>
          <w:bCs/>
        </w:rPr>
        <w:t xml:space="preserve">(3) 價值傾向量表（研究 1e，2028.01–2028.03）。</w:t>
      </w:r>
      <w:r>
        <w:rPr>
          <w:rFonts w:ascii="Times New Roman" w:hAnsi="Times New Roman" w:eastAsia="標楷體" w:cs="Times New Roman"/>
        </w:rPr>
        <w:t xml:space="preserve">以核心價值鏈撰寫題項，經專家內容效度檢查後施測，以探索性因素分析確認構面，再以驗證性因素分析檢驗信效度 (</w:t>
      </w:r>
      <w:hyperlink r:id="rIdL80" w:history="1">
        <w:r>
          <w:rPr>
            <w:rStyle w:val="Hyperlink"/>
            <w:rFonts w:ascii="Times New Roman" w:hAnsi="Times New Roman" w:eastAsia="標楷體" w:cs="Times New Roman"/>
          </w:rPr>
          <w:t xml:space="preserve">Fornell &amp; Larcker, 1981</w:t>
        </w:r>
      </w:hyperlink>
      <w:r>
        <w:rPr>
          <w:rFonts w:ascii="Times New Roman" w:hAnsi="Times New Roman" w:eastAsia="標楷體" w:cs="Times New Roman"/>
        </w:rPr>
        <w:t xml:space="preserve">; </w:t>
      </w:r>
      <w:hyperlink r:id="rIdL81" w:history="1">
        <w:r>
          <w:rPr>
            <w:rStyle w:val="Hyperlink"/>
            <w:rFonts w:ascii="Times New Roman" w:hAnsi="Times New Roman" w:eastAsia="標楷體" w:cs="Times New Roman"/>
          </w:rPr>
          <w:t xml:space="preserve">Hu &amp; Bentler, 1999</w:t>
        </w:r>
      </w:hyperlink>
      <w:r>
        <w:rPr>
          <w:rFonts w:ascii="Times New Roman" w:hAnsi="Times New Roman" w:eastAsia="標楷體" w:cs="Times New Roman"/>
        </w:rPr>
        <w:t xml:space="preserve">)。</w:t>
      </w:r>
    </w:p>
    <w:p>
      <w:pPr>
        <w:keepNext/>
        <w:spacing w:before="0" w:after="0" w:line="440" w:lineRule="exact"/>
      </w:pPr>
      <w:r>
        <w:rPr>
          <w:rFonts w:ascii="Times New Roman" w:hAnsi="Times New Roman" w:eastAsia="標楷體" w:cs="Times New Roman"/>
          <w:b/>
          <w:bCs/>
        </w:rPr>
        <w:t xml:space="preserve">5. 預計分析脈絡</w:t>
      </w:r>
    </w:p>
    <w:p>
      <w:pPr>
        <w:spacing w:before="0" w:after="0" w:line="440" w:lineRule="exact"/>
        <w:ind w:firstLineChars="200" w:firstLine="480"/>
        <w:jc w:val="both"/>
      </w:pPr>
      <w:r>
        <w:rPr>
          <w:rFonts w:ascii="Times New Roman" w:hAnsi="Times New Roman" w:eastAsia="標楷體" w:cs="Times New Roman"/>
        </w:rPr>
        <w:t xml:space="preserve">分析脈絡由三個層次展開：首先，描繪兩組主播購買者的屬性、後果與價值要素及其分布（RQ1）；其次，比較兩張階梯價值圖的共通與特有價值鏈，並檢查品類差異（RQ2）；最後，定位購後滿意、後悔與退貨在價值鏈中的位置（RQ3），並將核心價值鏈轉為第二階段的話術與第三階段的價值傾向量表（RQ4）。</w:t>
      </w:r>
    </w:p>
    <w:p>
      <w:pPr>
        <w:pStyle w:val="Heading3"/>
        <w:keepNext/>
        <w:spacing w:before="120" w:after="40" w:line="440" w:lineRule="exact"/>
        <w:ind w:left="480" w:hanging="480"/>
      </w:pPr>
      <w:r>
        <w:rPr>
          <w:rFonts w:ascii="Times New Roman" w:hAnsi="Times New Roman" w:eastAsia="標楷體" w:cs="Times New Roman"/>
          <w:b/>
          <w:bCs/>
        </w:rPr>
        <w:t xml:space="preserve">（二）第二階段【主播類型 × 價值訴求話術 × 產品類型：實驗設計】：執行時間 2028.02–2028.10</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一階段的階梯價值圖，在本階段被改寫為兩種價值訴求話術；第一階段的價值傾向量表，則作為話術操弄檢驗與共變數。第一階段回答「消費者為什麼向某類主播購買」，本階段則以控制實驗回答「什麼樣的主播配上什麼樣的話術，會造成什麼樣的購買與購後預期」，使研究由描述性的價值結構推進到因果推論。</w:t>
      </w:r>
    </w:p>
    <w:p>
      <w:pPr>
        <w:keepNext/>
        <w:spacing w:before="0" w:after="0" w:line="440" w:lineRule="exact"/>
      </w:pPr>
      <w:r>
        <w:rPr>
          <w:rFonts w:ascii="Times New Roman" w:hAnsi="Times New Roman" w:eastAsia="標楷體" w:cs="Times New Roman"/>
          <w:b/>
          <w:bCs/>
        </w:rPr>
        <w:t xml:space="preserve">2. 研究設計與實驗分組</w:t>
      </w:r>
    </w:p>
    <w:p>
      <w:pPr>
        <w:spacing w:before="0" w:after="0" w:line="440" w:lineRule="exact"/>
        <w:ind w:left="480" w:hanging="480"/>
        <w:jc w:val="both"/>
      </w:pPr>
      <w:r>
        <w:rPr>
          <w:rFonts w:ascii="Times New Roman" w:hAnsi="Times New Roman" w:eastAsia="標楷體" w:cs="Times New Roman"/>
        </w:rPr>
        <w:t xml:space="preserve">(1) 研究 2a：錨定實驗——運動鞋（2028.02–2028.04 刺激物製作與前測；2028.05–2028.06 正式）。2（主播類型：AI 虛擬主播 vs. 真人主播）× 2（話術：功能價值 vs. 情感社會價值）× 2（產品類型：潮流聯名鞋 vs. 機能跑鞋）受試者間設計，N = 480（每格 60 人）。</w:t>
      </w:r>
    </w:p>
    <w:p>
      <w:pPr>
        <w:spacing w:before="0" w:after="0" w:line="440" w:lineRule="exact"/>
        <w:ind w:left="480" w:hanging="480"/>
        <w:jc w:val="both"/>
      </w:pPr>
      <w:r>
        <w:rPr>
          <w:rFonts w:ascii="Times New Roman" w:hAnsi="Times New Roman" w:eastAsia="標楷體" w:cs="Times New Roman"/>
        </w:rPr>
        <w:t xml:space="preserve">(2) 研究 2b：跨品類複製——美妝與家具（2028.07–2028.09）。兩個品類各自套用相同設計，每種產品類型各使用 2 個產品例子以進行刺激抽樣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)；N = 960（每品類 480）。</w:t>
      </w:r>
    </w:p>
    <w:p>
      <w:pPr>
        <w:spacing w:before="0" w:after="0" w:line="440" w:lineRule="exact"/>
        <w:ind w:left="480" w:hanging="480"/>
        <w:jc w:val="both"/>
      </w:pPr>
      <w:r>
        <w:rPr>
          <w:rFonts w:ascii="Times New Roman" w:hAnsi="Times New Roman" w:eastAsia="標楷體" w:cs="Times New Roman"/>
        </w:rPr>
        <w:t xml:space="preserve">(3) 研究 2c：AI 身分揭露（2028.07–2028.09）。僅使用 AI 主播，3（揭露方式：不標示、平台加註「AI 生成」、主播開場自述「我是 AI 主播」）× 2（產品類型）受試者間設計，以運動鞋為品類，N = 360（每格 60 人）。</w:t>
      </w:r>
    </w:p>
    <w:p>
      <w:pPr>
        <w:spacing w:before="0" w:after="0" w:line="440" w:lineRule="exact"/>
        <w:ind w:firstLineChars="200" w:firstLine="480"/>
        <w:jc w:val="both"/>
      </w:pPr>
      <w:r>
        <w:rPr>
          <w:rFonts w:ascii="Times New Roman" w:hAnsi="Times New Roman" w:eastAsia="標楷體" w:cs="Times New Roman"/>
        </w:rPr>
        <w:t xml:space="preserve">樣本數方面，三因子交互作用以 f = 0.15、α = .05、檢定力 .80 估算 (</w:t>
      </w:r>
      <w:hyperlink r:id="rIdL82" w:history="1">
        <w:r>
          <w:rPr>
            <w:rStyle w:val="Hyperlink"/>
            <w:rFonts w:ascii="Times New Roman" w:hAnsi="Times New Roman" w:eastAsia="標楷體" w:cs="Times New Roman"/>
          </w:rPr>
          <w:t xml:space="preserve">Faul et al., 2007</w:t>
        </w:r>
      </w:hyperlink>
      <w:r>
        <w:rPr>
          <w:rFonts w:ascii="Times New Roman" w:hAnsi="Times New Roman" w:eastAsia="標楷體" w:cs="Times New Roman"/>
        </w:rPr>
        <w:t xml:space="preserve">)，每品類需約 350 人，預留 30% 淘汰後每品類 480 人；研究 2c 以中小效果量（f = 0.20）估算每格約 45 人，預留淘汰後每格 60 人。</w:t>
      </w:r>
    </w:p>
    <w:p>
      <w:pPr>
        <w:keepNext/>
        <w:spacing w:before="0" w:after="0" w:line="440" w:lineRule="exact"/>
      </w:pPr>
      <w:r>
        <w:rPr>
          <w:rFonts w:ascii="Times New Roman" w:hAnsi="Times New Roman" w:eastAsia="標楷體" w:cs="Times New Roman"/>
          <w:b/>
          <w:bCs/>
        </w:rPr>
        <w:t xml:space="preserve">3. 刺激物製作與實驗步驟</w:t>
      </w:r>
    </w:p>
    <w:p>
      <w:pPr>
        <w:spacing w:before="0" w:after="0" w:line="440" w:lineRule="exact"/>
        <w:ind w:firstLineChars="200" w:firstLine="480"/>
        <w:jc w:val="both"/>
      </w:pPr>
      <w:r>
        <w:rPr>
          <w:rFonts w:ascii="Times New Roman" w:hAnsi="Times New Roman" w:eastAsia="標楷體" w:cs="Times New Roman"/>
        </w:rPr>
        <w:t xml:space="preserve">刺激物為 90 秒的模擬直播片段。每個品類的享樂型與實用型產品，各以同一組商品畫面錄製四個版本：AI 主播與真人主播各配兩種話術。AI 主播以商用數位人技術生成，真人主播由專業主播錄製，兩者使用相同的服裝、背景、鏡位與腳本長度；話術僅在價值訴求上不同，資訊量與促銷條件相同。前測（每品類約 40 人）檢驗主播類型、話術與產品類型三個操弄是否成立，並確認兩類主播的外型吸引力與聲音清晰度無顯著差異。正式實驗依下列步驟進行：</w:t>
      </w:r>
    </w:p>
    <w:p>
      <w:pPr>
        <w:spacing w:before="0" w:after="0" w:line="440" w:lineRule="exact"/>
        <w:ind w:left="480" w:hanging="480"/>
        <w:jc w:val="both"/>
      </w:pPr>
      <w:r>
        <w:rPr>
          <w:rFonts w:ascii="Times New Roman" w:hAnsi="Times New Roman" w:eastAsia="標楷體" w:cs="Times New Roman"/>
        </w:rPr>
        <w:t xml:space="preserve">第一步驟：受試者由線上樣本供應商的連結進入實驗網站，閱讀知情同意說明後按下「開始」。</w:t>
      </w:r>
    </w:p>
    <w:p>
      <w:pPr>
        <w:spacing w:before="0" w:after="0" w:line="440" w:lineRule="exact"/>
        <w:ind w:left="480" w:hanging="480"/>
        <w:jc w:val="both"/>
      </w:pPr>
      <w:r>
        <w:rPr>
          <w:rFonts w:ascii="Times New Roman" w:hAnsi="Times New Roman" w:eastAsia="標楷體" w:cs="Times New Roman"/>
        </w:rPr>
        <w:t xml:space="preserve">第二步驟：篩選題詢問「過去三個月是否觀看過直播購物」與「是否有網路購物經驗」，兩者皆為「是」者進入下一步，否則結束實驗。</w:t>
      </w:r>
    </w:p>
    <w:p>
      <w:pPr>
        <w:spacing w:before="0" w:after="0" w:line="440" w:lineRule="exact"/>
        <w:ind w:left="480" w:hanging="480"/>
        <w:jc w:val="both"/>
      </w:pPr>
      <w:r>
        <w:rPr>
          <w:rFonts w:ascii="Times New Roman" w:hAnsi="Times New Roman" w:eastAsia="標楷體" w:cs="Times New Roman"/>
        </w:rPr>
        <w:t xml:space="preserve">第三步驟：填寫共同量表，包含第一階段產出的價值傾向量表。</w:t>
      </w:r>
    </w:p>
    <w:p>
      <w:pPr>
        <w:spacing w:before="0" w:after="0" w:line="440" w:lineRule="exact"/>
        <w:ind w:left="480" w:hanging="480"/>
        <w:jc w:val="both"/>
      </w:pPr>
      <w:r>
        <w:rPr>
          <w:rFonts w:ascii="Times New Roman" w:hAnsi="Times New Roman" w:eastAsia="標楷體" w:cs="Times New Roman"/>
        </w:rPr>
        <w:t xml:space="preserve">第四步驟：隨機分派至 8 格之一，在模擬手機直播間中觀看直播片段，可點擊「加入購物車」或「離開直播間」；系統記錄觀看秒數與是否加入購物車。</w:t>
      </w:r>
    </w:p>
    <w:p>
      <w:pPr>
        <w:spacing w:before="0" w:after="0" w:line="440" w:lineRule="exact"/>
        <w:ind w:left="480" w:hanging="480"/>
        <w:jc w:val="both"/>
      </w:pPr>
      <w:r>
        <w:rPr>
          <w:rFonts w:ascii="Times New Roman" w:hAnsi="Times New Roman" w:eastAsia="標楷體" w:cs="Times New Roman"/>
        </w:rPr>
        <w:t xml:space="preserve">第五步驟：填答溫暖感、能力感、說服意圖知覺、購買意圖與操弄檢驗題項；一週後以電子郵件邀請填答「想像收到商品」情境下的預期後悔與退貨意圖，最後說明實驗目的。</w:t>
      </w:r>
    </w:p>
    <w:p>
      <w:pPr>
        <w:keepNext/>
        <w:spacing w:before="0" w:after="0" w:line="440" w:lineRule="exact"/>
      </w:pPr>
      <w:r>
        <w:rPr>
          <w:rFonts w:ascii="Times New Roman" w:hAnsi="Times New Roman" w:eastAsia="標楷體" w:cs="Times New Roman"/>
          <w:b/>
          <w:bCs/>
        </w:rPr>
        <w:t xml:space="preserve">4. 變數操作型定義及衡量</w:t>
      </w:r>
    </w:p>
    <w:p>
      <w:pPr>
        <w:keepNext/>
        <w:spacing w:before="120" w:after="80" w:line="360" w:lineRule="exact"/>
        <w:jc w:val="center"/>
      </w:pPr>
      <w:r>
        <w:rPr>
          <w:rFonts w:ascii="Times New Roman" w:hAnsi="Times New Roman" w:eastAsia="標楷體" w:cs="Times New Roman"/>
        </w:rPr>
        <w:t xml:space="preserve">表 8　第二階段實驗變數操作型定義與衡量方式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500"/>
        <w:gridCol w:w="3300"/>
        <w:gridCol w:w="3238"/>
        <w:gridCol w:w="1600"/>
      </w:tblGrid>
      <w:tr>
        <w:trPr>
          <w:tblHeader/>
          <w:cantSplit/>
        </w:trPr>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3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3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操弄／衡量方式</w:t>
            </w:r>
          </w:p>
        </w:tc>
        <w:tc>
          <w:tcPr>
            <w:tcW w:w="16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主播類型</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直播主播為 AI 生成的數位人或真人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AI 虛擬主播 vs. 真人主播；以「這位主播是真人」單題做操弄檢驗</w:t>
            </w:r>
          </w:p>
        </w:tc>
        <w:tc>
          <w:tcPr>
            <w:tcW w:w="1600" w:type="dxa"/>
            <w:vAlign w:val="center"/>
          </w:tcPr>
          <w:p>
            <w:pPr>
              <w:spacing w:before="20" w:after="20" w:line="300" w:lineRule="exact"/>
              <w:jc w:val="left"/>
            </w:pPr>
            <w:hyperlink r:id="rIdL5" w:history="1">
              <w:r>
                <w:rPr>
                  <w:rStyle w:val="Hyperlink"/>
                  <w:rFonts w:ascii="Times New Roman" w:hAnsi="Times New Roman" w:eastAsia="標楷體" w:cs="Times New Roman"/>
                  <w:sz w:val="21"/>
                  <w:szCs w:val="21"/>
                </w:rPr>
                <w:t xml:space="preserve">Y. Liu et al. (2025)</w:t>
              </w:r>
            </w:hyperlink>
          </w:p>
          <w:p>
            <w:pPr>
              <w:spacing w:before="20" w:after="20" w:line="300" w:lineRule="exact"/>
              <w:jc w:val="left"/>
            </w:pPr>
            <w:hyperlink r:id="rIdL23" w:history="1">
              <w:r>
                <w:rPr>
                  <w:rStyle w:val="Hyperlink"/>
                  <w:rFonts w:ascii="Times New Roman" w:hAnsi="Times New Roman" w:eastAsia="標楷體" w:cs="Times New Roman"/>
                  <w:sz w:val="21"/>
                  <w:szCs w:val="21"/>
                </w:rPr>
                <w:t xml:space="preserve">Gong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價值訴求話術</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主播話術強調的價值類型</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功能價值話術 vs. 情感社會價值話術（依第一階段階梯價值圖撰寫）；以價值傾向題項做操弄檢驗</w:t>
            </w:r>
          </w:p>
        </w:tc>
        <w:tc>
          <w:tcPr>
            <w:tcW w:w="1600" w:type="dxa"/>
            <w:vAlign w:val="center"/>
          </w:tcPr>
          <w:p>
            <w:pPr>
              <w:spacing w:before="20" w:after="20" w:line="300" w:lineRule="exact"/>
              <w:jc w:val="left"/>
            </w:pPr>
            <w:hyperlink r:id="rIdL12" w:history="1">
              <w:r>
                <w:rPr>
                  <w:rStyle w:val="Hyperlink"/>
                  <w:rFonts w:ascii="Times New Roman" w:hAnsi="Times New Roman" w:eastAsia="標楷體" w:cs="Times New Roman"/>
                  <w:sz w:val="21"/>
                  <w:szCs w:val="21"/>
                </w:rPr>
                <w:t xml:space="preserve">Gutman (1982)</w:t>
              </w:r>
            </w:hyperlink>
          </w:p>
          <w:p>
            <w:pPr>
              <w:spacing w:before="20" w:after="20" w:line="300" w:lineRule="exact"/>
              <w:jc w:val="left"/>
            </w:pPr>
            <w:hyperlink r:id="rIdL19" w:history="1">
              <w:r>
                <w:rPr>
                  <w:rStyle w:val="Hyperlink"/>
                  <w:rFonts w:ascii="Times New Roman" w:hAnsi="Times New Roman" w:eastAsia="標楷體" w:cs="Times New Roman"/>
                  <w:sz w:val="21"/>
                  <w:szCs w:val="21"/>
                </w:rPr>
                <w:t xml:space="preserve">Sheth et al. (1991)</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產品類型</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產品主要提供享樂或實用利益</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每品類各一組享樂型與實用型產品；以 HED/UT 量表做操弄檢驗</w:t>
            </w:r>
          </w:p>
        </w:tc>
        <w:tc>
          <w:tcPr>
            <w:tcW w:w="1600" w:type="dxa"/>
            <w:vAlign w:val="center"/>
          </w:tcPr>
          <w:p>
            <w:pPr>
              <w:spacing w:before="20" w:after="20" w:line="300" w:lineRule="exact"/>
              <w:jc w:val="left"/>
            </w:pPr>
            <w:hyperlink r:id="rIdL15" w:history="1">
              <w:r>
                <w:rPr>
                  <w:rStyle w:val="Hyperlink"/>
                  <w:rFonts w:ascii="Times New Roman" w:hAnsi="Times New Roman" w:eastAsia="標楷體" w:cs="Times New Roman"/>
                  <w:sz w:val="21"/>
                  <w:szCs w:val="21"/>
                </w:rPr>
                <w:t xml:space="preserve">Dhar &amp; Wertenbroch (2000)</w:t>
              </w:r>
            </w:hyperlink>
          </w:p>
          <w:p>
            <w:pPr>
              <w:spacing w:before="20" w:after="20" w:line="300" w:lineRule="exact"/>
              <w:jc w:val="left"/>
            </w:pPr>
            <w:hyperlink r:id="rIdL76" w:history="1">
              <w:r>
                <w:rPr>
                  <w:rStyle w:val="Hyperlink"/>
                  <w:rFonts w:ascii="Times New Roman" w:hAnsi="Times New Roman" w:eastAsia="標楷體" w:cs="Times New Roman"/>
                  <w:sz w:val="21"/>
                  <w:szCs w:val="21"/>
                </w:rPr>
                <w:t xml:space="preserve">Voss et al. (2003)</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溫暖感與能力感</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受試者對主播溫暖與能力的知覺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溫暖：親切、友善、真誠；能力：專業、熟練、有能力（語意差異七點）</w:t>
            </w:r>
          </w:p>
        </w:tc>
        <w:tc>
          <w:tcPr>
            <w:tcW w:w="16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25" w:history="1">
              <w:r>
                <w:rPr>
                  <w:rStyle w:val="Hyperlink"/>
                  <w:rFonts w:ascii="Times New Roman" w:hAnsi="Times New Roman" w:eastAsia="標楷體" w:cs="Times New Roman"/>
                  <w:sz w:val="21"/>
                  <w:szCs w:val="21"/>
                </w:rPr>
                <w:t xml:space="preserve">Lv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說服意圖知覺</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受試者察覺主播試圖說服自己購買的程度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「這位主播很想說服我購買」「這位主播的話帶有推銷目的」（Likert 七點）</w:t>
            </w:r>
          </w:p>
        </w:tc>
        <w:tc>
          <w:tcPr>
            <w:tcW w:w="1600" w:type="dxa"/>
            <w:vAlign w:val="center"/>
          </w:tcPr>
          <w:p>
            <w:pPr>
              <w:spacing w:before="20" w:after="20" w:line="300" w:lineRule="exact"/>
              <w:jc w:val="left"/>
            </w:pPr>
            <w:hyperlink r:id="rIdL26" w:history="1">
              <w:r>
                <w:rPr>
                  <w:rStyle w:val="Hyperlink"/>
                  <w:rFonts w:ascii="Times New Roman" w:hAnsi="Times New Roman" w:eastAsia="標楷體" w:cs="Times New Roman"/>
                  <w:sz w:val="21"/>
                  <w:szCs w:val="21"/>
                </w:rPr>
                <w:t xml:space="preserve">Friestad &amp; Wright (1994)</w:t>
              </w:r>
            </w:hyperlink>
          </w:p>
          <w:p>
            <w:pPr>
              <w:spacing w:before="20" w:after="20" w:line="300" w:lineRule="exact"/>
              <w:jc w:val="left"/>
            </w:pPr>
            <w:hyperlink r:id="rIdL27" w:history="1">
              <w:r>
                <w:rPr>
                  <w:rStyle w:val="Hyperlink"/>
                  <w:rFonts w:ascii="Times New Roman" w:hAnsi="Times New Roman" w:eastAsia="標楷體" w:cs="Times New Roman"/>
                  <w:sz w:val="21"/>
                  <w:szCs w:val="21"/>
                </w:rPr>
                <w:t xml:space="preserve">Garvey et al. (2023)</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購買意圖與行為</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購買直播商品的傾向與行為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購買意圖兩題（Likert 七點）；是否點擊「加入購物車」（行為資料）</w:t>
            </w:r>
          </w:p>
        </w:tc>
        <w:tc>
          <w:tcPr>
            <w:tcW w:w="1600" w:type="dxa"/>
            <w:vAlign w:val="center"/>
          </w:tcPr>
          <w:p>
            <w:pPr>
              <w:spacing w:before="20" w:after="20" w:line="300" w:lineRule="exact"/>
              <w:jc w:val="left"/>
            </w:pPr>
            <w:hyperlink r:id="rIdL83" w:history="1">
              <w:r>
                <w:rPr>
                  <w:rStyle w:val="Hyperlink"/>
                  <w:rFonts w:ascii="Times New Roman" w:hAnsi="Times New Roman" w:eastAsia="標楷體" w:cs="Times New Roman"/>
                  <w:sz w:val="21"/>
                  <w:szCs w:val="21"/>
                </w:rPr>
                <w:t xml:space="preserve">Dodds et al. (1991)</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預期後悔與退貨意圖</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想像收到商品後，對購買決定的後悔與退貨的可能性</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一週後追蹤：後悔三題、退貨意圖兩題（Likert 七點）</w:t>
            </w:r>
          </w:p>
        </w:tc>
        <w:tc>
          <w:tcPr>
            <w:tcW w:w="1600" w:type="dxa"/>
            <w:vAlign w:val="center"/>
          </w:tcPr>
          <w:p>
            <w:pPr>
              <w:spacing w:before="20" w:after="20" w:line="300" w:lineRule="exact"/>
              <w:jc w:val="left"/>
            </w:pPr>
            <w:hyperlink r:id="rIdL29" w:history="1">
              <w:r>
                <w:rPr>
                  <w:rStyle w:val="Hyperlink"/>
                  <w:rFonts w:ascii="Times New Roman" w:hAnsi="Times New Roman" w:eastAsia="標楷體" w:cs="Times New Roman"/>
                  <w:sz w:val="21"/>
                  <w:szCs w:val="21"/>
                </w:rPr>
                <w:t xml:space="preserve">Tsiros &amp; Mittal (2000)</w:t>
              </w:r>
            </w:hyperlink>
          </w:p>
          <w:p>
            <w:pPr>
              <w:spacing w:before="20" w:after="20" w:line="300" w:lineRule="exact"/>
              <w:jc w:val="left"/>
            </w:pPr>
            <w:hyperlink r:id="rIdL9" w:history="1">
              <w:r>
                <w:rPr>
                  <w:rStyle w:val="Hyperlink"/>
                  <w:rFonts w:ascii="Times New Roman" w:hAnsi="Times New Roman" w:eastAsia="標楷體" w:cs="Times New Roman"/>
                  <w:sz w:val="21"/>
                  <w:szCs w:val="21"/>
                </w:rPr>
                <w:t xml:space="preserve">Feng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信任（研究 2c）</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相信主播所說內容與賣家會履行承諾的程度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三題（Likert 七點）</w:t>
            </w:r>
          </w:p>
        </w:tc>
        <w:tc>
          <w:tcPr>
            <w:tcW w:w="16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Gefen et al. (2003)</w:t>
              </w:r>
            </w:hyperlink>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本階段的分析分為四步：(1) 操弄檢驗：以 t 檢定確認三個操弄成立，未通過注意力檢核者依預先註冊的排除規則剔除。(2) 主要效果與交互作用：以線性混合模型檢驗 H1 與 H2，固定效果為三個操弄變數及其交互作用，隨機效果為品類與產品例子，使結論可推廣到刺激之外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)；加入購物車以混合邏輯斯迴歸分析。(3) 中介效果：依 </w:t>
      </w:r>
      <w:hyperlink r:id="rIdL84" w:history="1">
        <w:r>
          <w:rPr>
            <w:rStyle w:val="Hyperlink"/>
            <w:rFonts w:ascii="Times New Roman" w:hAnsi="Times New Roman" w:eastAsia="標楷體" w:cs="Times New Roman"/>
          </w:rPr>
          <w:t xml:space="preserve">Zhao et al. (2010)</w:t>
        </w:r>
      </w:hyperlink>
      <w:r>
        <w:rPr>
          <w:rFonts w:ascii="Times New Roman" w:hAnsi="Times New Roman" w:eastAsia="標楷體" w:cs="Times New Roman"/>
        </w:rPr>
        <w:t xml:space="preserve"> 的建議，以拔靴法檢驗溫暖感、能力感（H3）與說服意圖知覺（H4）的間接效果。(4) 揭露實驗：以變異數分析與事先註冊的對比檢定 H5 與 H6；多重比較以 Benjamini–Hochberg 法校正 (</w:t>
      </w:r>
      <w:hyperlink r:id="rIdL85" w:history="1">
        <w:r>
          <w:rPr>
            <w:rStyle w:val="Hyperlink"/>
            <w:rFonts w:ascii="Times New Roman" w:hAnsi="Times New Roman" w:eastAsia="標楷體" w:cs="Times New Roman"/>
          </w:rPr>
          <w:t xml:space="preserve">Benjamini &amp; Hochberg, 1995</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（三）第三階段【直播購物的購後路徑：結構方程模式】：執行時間 2028.06–2029.04</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二階段以實驗確認主播類型與話術的因果效果，但實驗的購後結果是「預期」而非實際行為，情境也較人工。因此，第三階段以真實直播購買者的資料建構購後路徑模型，並以三個月後的實際退貨回報，檢驗第二階段的發現在真實購物中是否成立；第一階段的價值傾向量表，則在本階段作為多群組比較的分組依據。</w:t>
      </w:r>
    </w:p>
    <w:p>
      <w:pPr>
        <w:keepNext/>
        <w:spacing w:before="0" w:after="0" w:line="440" w:lineRule="exact"/>
      </w:pPr>
      <w:r>
        <w:rPr>
          <w:rFonts w:ascii="Times New Roman" w:hAnsi="Times New Roman" w:eastAsia="標楷體" w:cs="Times New Roman"/>
          <w:b/>
          <w:bCs/>
        </w:rPr>
        <w:t xml:space="preserve">2. 研究設計</w:t>
      </w:r>
    </w:p>
    <w:p>
      <w:pPr>
        <w:spacing w:before="0" w:after="0" w:line="440" w:lineRule="exact"/>
        <w:ind w:left="480" w:hanging="480"/>
        <w:jc w:val="both"/>
      </w:pPr>
      <w:r>
        <w:rPr>
          <w:rFonts w:ascii="Times New Roman" w:hAnsi="Times New Roman" w:eastAsia="標楷體" w:cs="Times New Roman"/>
        </w:rPr>
        <w:t xml:space="preserve">(1) 研究 3a：直播購買者調查（2028.10–2028.12）。招募約 800 位過去 3 個月內曾在直播中購買的台灣消費者，向 AI 虛擬主播與真人主播購買者各約 400 位，三個品類依 2:1:1 配額。受訪者回想最近一次直播購物，回答主播知覺、信任、購前期望、期望確認、購後滿意與再購意圖。</w:t>
      </w:r>
    </w:p>
    <w:p>
      <w:pPr>
        <w:spacing w:before="0" w:after="0" w:line="440" w:lineRule="exact"/>
        <w:ind w:left="480" w:hanging="480"/>
        <w:jc w:val="both"/>
      </w:pPr>
      <w:r>
        <w:rPr>
          <w:rFonts w:ascii="Times New Roman" w:hAnsi="Times New Roman" w:eastAsia="標楷體" w:cs="Times New Roman"/>
        </w:rPr>
        <w:t xml:space="preserve">(2) 研究 3b：三個月退貨追蹤（2029.01–2029.03）。三個月後請同一批受訪者回報是否退貨、退貨原因與後悔程度，以實際行為檢驗 H3。</w:t>
      </w:r>
    </w:p>
    <w:p>
      <w:pPr>
        <w:spacing w:before="0" w:after="0" w:line="440" w:lineRule="exact"/>
        <w:ind w:firstLineChars="200" w:firstLine="480"/>
        <w:jc w:val="both"/>
      </w:pPr>
      <w:r>
        <w:rPr>
          <w:rFonts w:ascii="Times New Roman" w:hAnsi="Times New Roman" w:eastAsia="標楷體" w:cs="Times New Roman"/>
        </w:rPr>
        <w:t xml:space="preserve">受訪者由台灣線上樣本供應商招募（2028.06–2028.08 向 2–3 家詢價），以 Qualtrics 施測，設注意力檢核題與最短作答時間。主播類型以受訪者提供的購買紀錄或直播截圖確認。前測於 2028.09 進行（約 80 人），確認量表的信效度。</w:t>
      </w:r>
    </w:p>
    <w:p>
      <w:pPr>
        <w:keepNext/>
        <w:spacing w:before="0" w:after="0" w:line="440" w:lineRule="exact"/>
      </w:pPr>
      <w:r>
        <w:rPr>
          <w:rFonts w:ascii="Times New Roman" w:hAnsi="Times New Roman" w:eastAsia="標楷體" w:cs="Times New Roman"/>
          <w:b/>
          <w:bCs/>
        </w:rPr>
        <w:t xml:space="preserve">3. 調查步驟</w:t>
      </w:r>
    </w:p>
    <w:p>
      <w:pPr>
        <w:spacing w:before="0" w:after="0" w:line="440" w:lineRule="exact"/>
        <w:ind w:firstLineChars="200" w:firstLine="480"/>
        <w:jc w:val="both"/>
      </w:pPr>
      <w:r>
        <w:rPr>
          <w:rFonts w:ascii="Times New Roman" w:hAnsi="Times New Roman" w:eastAsia="標楷體" w:cs="Times New Roman"/>
        </w:rPr>
        <w:t xml:space="preserve">研究 3a 的調查程序如下：(1) 受訪者閱讀知情同意說明並通過篩選題（過去 3 個月曾在直播中購買）；(2) 上傳或描述購買紀錄，確認主播類型與品類；(3) 以回憶引導語描述該次直播與收貨經驗；(4) 填答主播溫暖感、能力感、感知互動強度、信任、購前期望、期望確認、購後滿意、再購意圖與共同量表；(5) 填寫基本資料並同意三個月後的追蹤聯繫。購買紀錄截圖僅用於確認主播類型，確認後即刪除。</w:t>
      </w:r>
    </w:p>
    <w:p>
      <w:pPr>
        <w:keepNext/>
        <w:spacing w:before="0" w:after="0" w:line="440" w:lineRule="exact"/>
      </w:pPr>
      <w:r>
        <w:rPr>
          <w:rFonts w:ascii="Times New Roman" w:hAnsi="Times New Roman" w:eastAsia="標楷體" w:cs="Times New Roman"/>
          <w:b/>
          <w:bCs/>
        </w:rPr>
        <w:t xml:space="preserve">4. 問卷設計與衡量問項</w:t>
      </w:r>
    </w:p>
    <w:p>
      <w:pPr>
        <w:spacing w:before="0" w:after="0" w:line="440" w:lineRule="exact"/>
        <w:ind w:firstLineChars="200" w:firstLine="480"/>
        <w:jc w:val="both"/>
      </w:pPr>
      <w:r>
        <w:rPr>
          <w:rFonts w:ascii="Times New Roman" w:hAnsi="Times New Roman" w:eastAsia="標楷體" w:cs="Times New Roman"/>
        </w:rPr>
        <w:t xml:space="preserve">研究變數的操作型定義與預計衡量問項如表 9。問項依據過去文獻，再根據本研究情境調整，並經前測修訂；除另行說明者外，均使用 Likert 七點量表（1 = 非常不同意，7 = 非常同意）。</w:t>
      </w:r>
    </w:p>
    <w:p>
      <w:pPr>
        <w:keepNext/>
        <w:spacing w:before="120" w:after="80" w:line="360" w:lineRule="exact"/>
        <w:jc w:val="center"/>
      </w:pPr>
      <w:r>
        <w:rPr>
          <w:rFonts w:ascii="Times New Roman" w:hAnsi="Times New Roman" w:eastAsia="標楷體" w:cs="Times New Roman"/>
        </w:rPr>
        <w:t xml:space="preserve">表 9　第三階段研究變數操作型定義與預計衡量問項</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50"/>
        <w:gridCol w:w="2250"/>
        <w:gridCol w:w="4238"/>
        <w:gridCol w:w="1800"/>
      </w:tblGrid>
      <w:tr>
        <w:trPr>
          <w:tblHeader/>
          <w:cantSplit/>
        </w:trPr>
        <w:tc>
          <w:tcPr>
            <w:tcW w:w="13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2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4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問項</w:t>
            </w:r>
          </w:p>
        </w:tc>
        <w:tc>
          <w:tcPr>
            <w:tcW w:w="18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主播溫暖感</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受訪者知覺主播親切、友善與真誠的程度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這位主播讓人覺得親切。</w:t>
            </w:r>
          </w:p>
          <w:p>
            <w:pPr>
              <w:spacing w:before="20" w:after="20" w:line="300" w:lineRule="exact"/>
              <w:jc w:val="left"/>
            </w:pPr>
            <w:r>
              <w:rPr>
                <w:rFonts w:ascii="Times New Roman" w:hAnsi="Times New Roman" w:eastAsia="標楷體" w:cs="Times New Roman"/>
                <w:sz w:val="21"/>
                <w:szCs w:val="21"/>
              </w:rPr>
              <w:t xml:space="preserve">2. 這位主播是真誠的。</w:t>
            </w:r>
          </w:p>
          <w:p>
            <w:pPr>
              <w:spacing w:before="20" w:after="20" w:line="300" w:lineRule="exact"/>
              <w:jc w:val="left"/>
            </w:pPr>
            <w:r>
              <w:rPr>
                <w:rFonts w:ascii="Times New Roman" w:hAnsi="Times New Roman" w:eastAsia="標楷體" w:cs="Times New Roman"/>
                <w:sz w:val="21"/>
                <w:szCs w:val="21"/>
              </w:rPr>
              <w:t xml:space="preserve">3. 這位主播對觀眾很友善。</w:t>
            </w:r>
          </w:p>
        </w:tc>
        <w:tc>
          <w:tcPr>
            <w:tcW w:w="18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25" w:history="1">
              <w:r>
                <w:rPr>
                  <w:rStyle w:val="Hyperlink"/>
                  <w:rFonts w:ascii="Times New Roman" w:hAnsi="Times New Roman" w:eastAsia="標楷體" w:cs="Times New Roman"/>
                  <w:sz w:val="21"/>
                  <w:szCs w:val="21"/>
                </w:rPr>
                <w:t xml:space="preserve">Lv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主播能力感</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受訪者知覺主播專業與熟練的程度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這位主播對商品很專業。</w:t>
            </w:r>
          </w:p>
          <w:p>
            <w:pPr>
              <w:spacing w:before="20" w:after="20" w:line="300" w:lineRule="exact"/>
              <w:jc w:val="left"/>
            </w:pPr>
            <w:r>
              <w:rPr>
                <w:rFonts w:ascii="Times New Roman" w:hAnsi="Times New Roman" w:eastAsia="標楷體" w:cs="Times New Roman"/>
                <w:sz w:val="21"/>
                <w:szCs w:val="21"/>
              </w:rPr>
              <w:t xml:space="preserve">2. 這位主播能清楚回答問題。</w:t>
            </w:r>
          </w:p>
          <w:p>
            <w:pPr>
              <w:spacing w:before="20" w:after="20" w:line="300" w:lineRule="exact"/>
              <w:jc w:val="left"/>
            </w:pPr>
            <w:r>
              <w:rPr>
                <w:rFonts w:ascii="Times New Roman" w:hAnsi="Times New Roman" w:eastAsia="標楷體" w:cs="Times New Roman"/>
                <w:sz w:val="21"/>
                <w:szCs w:val="21"/>
              </w:rPr>
              <w:t xml:space="preserve">3. 這位主播的介紹很有條理。</w:t>
            </w:r>
          </w:p>
        </w:tc>
        <w:tc>
          <w:tcPr>
            <w:tcW w:w="18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86" w:history="1">
              <w:r>
                <w:rPr>
                  <w:rStyle w:val="Hyperlink"/>
                  <w:rFonts w:ascii="Times New Roman" w:hAnsi="Times New Roman" w:eastAsia="標楷體" w:cs="Times New Roman"/>
                  <w:sz w:val="21"/>
                  <w:szCs w:val="21"/>
                </w:rPr>
                <w:t xml:space="preserve">Ohanian (1990)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感知互動強度</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受訪者知覺直播間互動與氣氛的熱烈程度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直播間的互動非常熱烈。</w:t>
            </w:r>
          </w:p>
          <w:p>
            <w:pPr>
              <w:spacing w:before="20" w:after="20" w:line="300" w:lineRule="exact"/>
              <w:jc w:val="left"/>
            </w:pPr>
            <w:r>
              <w:rPr>
                <w:rFonts w:ascii="Times New Roman" w:hAnsi="Times New Roman" w:eastAsia="標楷體" w:cs="Times New Roman"/>
                <w:sz w:val="21"/>
                <w:szCs w:val="21"/>
              </w:rPr>
              <w:t xml:space="preserve">2. 主播不斷回應觀眾留言。</w:t>
            </w:r>
          </w:p>
          <w:p>
            <w:pPr>
              <w:spacing w:before="20" w:after="20" w:line="300" w:lineRule="exact"/>
              <w:jc w:val="left"/>
            </w:pPr>
            <w:r>
              <w:rPr>
                <w:rFonts w:ascii="Times New Roman" w:hAnsi="Times New Roman" w:eastAsia="標楷體" w:cs="Times New Roman"/>
                <w:sz w:val="21"/>
                <w:szCs w:val="21"/>
              </w:rPr>
              <w:t xml:space="preserve">3. 直播間氣氛讓人很想跟著下單。</w:t>
            </w:r>
          </w:p>
        </w:tc>
        <w:tc>
          <w:tcPr>
            <w:tcW w:w="1800" w:type="dxa"/>
            <w:vAlign w:val="center"/>
          </w:tcPr>
          <w:p>
            <w:pPr>
              <w:spacing w:before="20" w:after="20" w:line="300" w:lineRule="exact"/>
              <w:jc w:val="left"/>
            </w:pPr>
            <w:hyperlink r:id="rIdL10" w:history="1">
              <w:r>
                <w:rPr>
                  <w:rStyle w:val="Hyperlink"/>
                  <w:rFonts w:ascii="Times New Roman" w:hAnsi="Times New Roman" w:eastAsia="標楷體" w:cs="Times New Roman"/>
                  <w:sz w:val="21"/>
                  <w:szCs w:val="21"/>
                </w:rPr>
                <w:t xml:space="preserve">Fan et al. (2025)</w:t>
              </w:r>
            </w:hyperlink>
          </w:p>
          <w:p>
            <w:pPr>
              <w:spacing w:before="20" w:after="20" w:line="300" w:lineRule="exact"/>
              <w:jc w:val="left"/>
            </w:pPr>
            <w:hyperlink r:id="rIdL9" w:history="1">
              <w:r>
                <w:rPr>
                  <w:rStyle w:val="Hyperlink"/>
                  <w:rFonts w:ascii="Times New Roman" w:hAnsi="Times New Roman" w:eastAsia="標楷體" w:cs="Times New Roman"/>
                  <w:sz w:val="21"/>
                  <w:szCs w:val="21"/>
                </w:rPr>
                <w:t xml:space="preserve">Feng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信任</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相信主播所說內容與賣家會履行承諾的程度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我相信主播對商品的介紹。</w:t>
            </w:r>
          </w:p>
          <w:p>
            <w:pPr>
              <w:spacing w:before="20" w:after="20" w:line="300" w:lineRule="exact"/>
              <w:jc w:val="left"/>
            </w:pPr>
            <w:r>
              <w:rPr>
                <w:rFonts w:ascii="Times New Roman" w:hAnsi="Times New Roman" w:eastAsia="標楷體" w:cs="Times New Roman"/>
                <w:sz w:val="21"/>
                <w:szCs w:val="21"/>
              </w:rPr>
              <w:t xml:space="preserve">2. 我相信這個賣家會依說明出貨。</w:t>
            </w:r>
          </w:p>
          <w:p>
            <w:pPr>
              <w:spacing w:before="20" w:after="20" w:line="300" w:lineRule="exact"/>
              <w:jc w:val="left"/>
            </w:pPr>
            <w:r>
              <w:rPr>
                <w:rFonts w:ascii="Times New Roman" w:hAnsi="Times New Roman" w:eastAsia="標楷體" w:cs="Times New Roman"/>
                <w:sz w:val="21"/>
                <w:szCs w:val="21"/>
              </w:rPr>
              <w:t xml:space="preserve">3. 整體而言，我對這次購物感到放心。</w:t>
            </w:r>
          </w:p>
        </w:tc>
        <w:tc>
          <w:tcPr>
            <w:tcW w:w="18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Gefen et al. (2003)</w:t>
              </w:r>
            </w:hyperlink>
          </w:p>
          <w:p>
            <w:pPr>
              <w:spacing w:before="20" w:after="20" w:line="300" w:lineRule="exact"/>
              <w:jc w:val="left"/>
            </w:pPr>
            <w:hyperlink r:id="rIdL1" w:history="1">
              <w:r>
                <w:rPr>
                  <w:rStyle w:val="Hyperlink"/>
                  <w:rFonts w:ascii="Times New Roman" w:hAnsi="Times New Roman" w:eastAsia="標楷體" w:cs="Times New Roman"/>
                  <w:sz w:val="21"/>
                  <w:szCs w:val="21"/>
                </w:rPr>
                <w:t xml:space="preserve">Wongkitrungrueng &amp; Assarut (2020)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購前期望與</w:t>
            </w:r>
          </w:p>
          <w:p>
            <w:pPr>
              <w:spacing w:before="20" w:after="20" w:line="300" w:lineRule="exact"/>
              <w:jc w:val="left"/>
            </w:pPr>
            <w:r>
              <w:rPr>
                <w:rFonts w:ascii="Times New Roman" w:hAnsi="Times New Roman" w:eastAsia="標楷體" w:cs="Times New Roman"/>
                <w:b/>
                <w:bCs/>
                <w:sz w:val="21"/>
                <w:szCs w:val="21"/>
              </w:rPr>
              <w:t xml:space="preserve">期望確認</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購買前對商品表現的期待，以及收貨後與期待相符的程度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購前期望：「看完直播，我對這件商品的期待很高。」</w:t>
            </w:r>
          </w:p>
          <w:p>
            <w:pPr>
              <w:spacing w:before="20" w:after="20" w:line="300" w:lineRule="exact"/>
              <w:jc w:val="left"/>
            </w:pPr>
            <w:r>
              <w:rPr>
                <w:rFonts w:ascii="Times New Roman" w:hAnsi="Times New Roman" w:eastAsia="標楷體" w:cs="Times New Roman"/>
                <w:sz w:val="21"/>
                <w:szCs w:val="21"/>
              </w:rPr>
              <w:t xml:space="preserve">期望確認：「商品的實際表現和我的期待相符。」「商品比我預期的好。」</w:t>
            </w:r>
          </w:p>
        </w:tc>
        <w:tc>
          <w:tcPr>
            <w:tcW w:w="1800" w:type="dxa"/>
            <w:vAlign w:val="center"/>
          </w:tcPr>
          <w:p>
            <w:pPr>
              <w:spacing w:before="20" w:after="20" w:line="300" w:lineRule="exact"/>
              <w:jc w:val="left"/>
            </w:pPr>
            <w:hyperlink r:id="rIdL30" w:history="1">
              <w:r>
                <w:rPr>
                  <w:rStyle w:val="Hyperlink"/>
                  <w:rFonts w:ascii="Times New Roman" w:hAnsi="Times New Roman" w:eastAsia="標楷體" w:cs="Times New Roman"/>
                  <w:sz w:val="21"/>
                  <w:szCs w:val="21"/>
                </w:rPr>
                <w:t xml:space="preserve">Oliver (1980)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購後滿意與後悔</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收貨使用後的整體評價與對購買決定的後悔</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滿意三題；後悔：「我希望當初沒有買這件商品。」「如果重來，我會做不同的選擇。」</w:t>
            </w:r>
          </w:p>
        </w:tc>
        <w:tc>
          <w:tcPr>
            <w:tcW w:w="1800" w:type="dxa"/>
            <w:vAlign w:val="center"/>
          </w:tcPr>
          <w:p>
            <w:pPr>
              <w:spacing w:before="20" w:after="20" w:line="300" w:lineRule="exact"/>
              <w:jc w:val="left"/>
            </w:pPr>
            <w:hyperlink r:id="rIdL30" w:history="1">
              <w:r>
                <w:rPr>
                  <w:rStyle w:val="Hyperlink"/>
                  <w:rFonts w:ascii="Times New Roman" w:hAnsi="Times New Roman" w:eastAsia="標楷體" w:cs="Times New Roman"/>
                  <w:sz w:val="21"/>
                  <w:szCs w:val="21"/>
                </w:rPr>
                <w:t xml:space="preserve">Oliver (1980)</w:t>
              </w:r>
            </w:hyperlink>
          </w:p>
          <w:p>
            <w:pPr>
              <w:spacing w:before="20" w:after="20" w:line="300" w:lineRule="exact"/>
              <w:jc w:val="left"/>
            </w:pPr>
            <w:hyperlink r:id="rIdL29" w:history="1">
              <w:r>
                <w:rPr>
                  <w:rStyle w:val="Hyperlink"/>
                  <w:rFonts w:ascii="Times New Roman" w:hAnsi="Times New Roman" w:eastAsia="標楷體" w:cs="Times New Roman"/>
                  <w:sz w:val="21"/>
                  <w:szCs w:val="21"/>
                </w:rPr>
                <w:t xml:space="preserve">Tsiros &amp; Mittal (2000)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退貨與再購</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實際退貨行為與未來再向該主播購買的傾向</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退貨行為：三個月後回報是否退貨（是／否）；退貨意圖兩題；再購意圖兩題</w:t>
            </w:r>
          </w:p>
        </w:tc>
        <w:tc>
          <w:tcPr>
            <w:tcW w:w="1800" w:type="dxa"/>
            <w:vAlign w:val="center"/>
          </w:tcPr>
          <w:p>
            <w:pPr>
              <w:spacing w:before="20" w:after="20" w:line="300" w:lineRule="exact"/>
              <w:jc w:val="left"/>
            </w:pPr>
            <w:hyperlink r:id="rIdL68" w:history="1">
              <w:r>
                <w:rPr>
                  <w:rStyle w:val="Hyperlink"/>
                  <w:rFonts w:ascii="Times New Roman" w:hAnsi="Times New Roman" w:eastAsia="標楷體" w:cs="Times New Roman"/>
                  <w:sz w:val="21"/>
                  <w:szCs w:val="21"/>
                </w:rPr>
                <w:t xml:space="preserve">Janakiraman et al. (2016)</w:t>
              </w:r>
            </w:hyperlink>
          </w:p>
          <w:p>
            <w:pPr>
              <w:spacing w:before="20" w:after="20" w:line="300" w:lineRule="exact"/>
              <w:jc w:val="left"/>
            </w:pPr>
            <w:hyperlink r:id="rIdL69" w:history="1">
              <w:r>
                <w:rPr>
                  <w:rStyle w:val="Hyperlink"/>
                  <w:rFonts w:ascii="Times New Roman" w:hAnsi="Times New Roman" w:eastAsia="標楷體" w:cs="Times New Roman"/>
                  <w:sz w:val="21"/>
                  <w:szCs w:val="21"/>
                </w:rPr>
                <w:t xml:space="preserve">Duong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價值傾向</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消費者在直播購物中重視功能價值或情感社會價值的程度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第一階段研究 1e 發展之量表</w:t>
            </w:r>
          </w:p>
        </w:tc>
        <w:tc>
          <w:tcPr>
            <w:tcW w:w="1800" w:type="dxa"/>
            <w:vAlign w:val="center"/>
          </w:tcPr>
          <w:p>
            <w:pPr>
              <w:spacing w:before="20" w:after="20" w:line="300" w:lineRule="exact"/>
              <w:jc w:val="left"/>
            </w:pPr>
            <w:r>
              <w:rPr>
                <w:rFonts w:ascii="Times New Roman" w:hAnsi="Times New Roman" w:eastAsia="標楷體" w:cs="Times New Roman"/>
                <w:sz w:val="21"/>
                <w:szCs w:val="21"/>
              </w:rPr>
              <w:t xml:space="preserve">本計畫第一階段</w:t>
            </w:r>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研究 3c（2029.02–2029.04）的分析步驟如下：(1) 以敘述統計描述樣本結構，並以 Harman 單因子檢定與標記變數法檢查共同方法變異 (</w:t>
      </w:r>
      <w:hyperlink r:id="rIdL87" w:history="1">
        <w:r>
          <w:rPr>
            <w:rStyle w:val="Hyperlink"/>
            <w:rFonts w:ascii="Times New Roman" w:hAnsi="Times New Roman" w:eastAsia="標楷體" w:cs="Times New Roman"/>
          </w:rPr>
          <w:t xml:space="preserve">Podsakoff et al., 2003</w:t>
        </w:r>
      </w:hyperlink>
      <w:r>
        <w:rPr>
          <w:rFonts w:ascii="Times New Roman" w:hAnsi="Times New Roman" w:eastAsia="標楷體" w:cs="Times New Roman"/>
        </w:rPr>
        <w:t xml:space="preserve">)。(2) 依兩階段法先以驗證性因素分析檢驗測量模式 (</w:t>
      </w:r>
      <w:hyperlink r:id="rIdL14"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)，以組合信度、平均變異萃取量與區別效度檢驗信效度 (</w:t>
      </w:r>
      <w:hyperlink r:id="rIdL80" w:history="1">
        <w:r>
          <w:rPr>
            <w:rStyle w:val="Hyperlink"/>
            <w:rFonts w:ascii="Times New Roman" w:hAnsi="Times New Roman" w:eastAsia="標楷體" w:cs="Times New Roman"/>
          </w:rPr>
          <w:t xml:space="preserve">Fornell &amp; Larcker, 1981</w:t>
        </w:r>
      </w:hyperlink>
      <w:r>
        <w:rPr>
          <w:rFonts w:ascii="Times New Roman" w:hAnsi="Times New Roman" w:eastAsia="標楷體" w:cs="Times New Roman"/>
        </w:rPr>
        <w:t xml:space="preserve">)，並以 CFI、TLI、RMSEA、SRMR 評估適配度 (</w:t>
      </w:r>
      <w:hyperlink r:id="rIdL81" w:history="1">
        <w:r>
          <w:rPr>
            <w:rStyle w:val="Hyperlink"/>
            <w:rFonts w:ascii="Times New Roman" w:hAnsi="Times New Roman" w:eastAsia="標楷體" w:cs="Times New Roman"/>
          </w:rPr>
          <w:t xml:space="preserve">Hu &amp; Bentler, 1999</w:t>
        </w:r>
      </w:hyperlink>
      <w:r>
        <w:rPr>
          <w:rFonts w:ascii="Times New Roman" w:hAnsi="Times New Roman" w:eastAsia="標楷體" w:cs="Times New Roman"/>
        </w:rPr>
        <w:t xml:space="preserve">)。(3) 估計結構模式，檢驗 H1–H3；退貨行為為二元變數，以 WLSMV 估計。(4) 多群組 SEM：先依序檢驗形貌、量尺與純量恆等性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)，若以 PLS-SEM 估計則以 MICOM 程序檢驗 (</w:t>
      </w:r>
      <w:hyperlink r:id="rIdL75"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 </w:t>
      </w:r>
      <w:hyperlink r:id="rIdL88" w:history="1">
        <w:r>
          <w:rPr>
            <w:rStyle w:val="Hyperlink"/>
            <w:rFonts w:ascii="Times New Roman" w:hAnsi="Times New Roman" w:eastAsia="標楷體" w:cs="Times New Roman"/>
          </w:rPr>
          <w:t xml:space="preserve">Hair et al., 2019</w:t>
        </w:r>
      </w:hyperlink>
      <w:r>
        <w:rPr>
          <w:rFonts w:ascii="Times New Roman" w:hAnsi="Times New Roman" w:eastAsia="標楷體" w:cs="Times New Roman"/>
        </w:rPr>
        <w:t xml:space="preserve">)，再以路徑係數差異檢定 H4 與 H5。</w:t>
      </w:r>
    </w:p>
    <w:p>
      <w:pPr>
        <w:pStyle w:val="Heading3"/>
        <w:keepNext/>
        <w:spacing w:before="120" w:after="40" w:line="440" w:lineRule="exact"/>
        <w:ind w:left="480" w:hanging="480"/>
      </w:pPr>
      <w:r>
        <w:rPr>
          <w:rFonts w:ascii="Times New Roman" w:hAnsi="Times New Roman" w:eastAsia="標楷體" w:cs="Times New Roman"/>
          <w:b/>
          <w:bCs/>
        </w:rPr>
        <w:t xml:space="preserve">（四）三階段共同之研究效度與開放科學程序</w:t>
      </w:r>
    </w:p>
    <w:p>
      <w:pPr>
        <w:spacing w:before="0" w:after="0" w:line="440" w:lineRule="exact"/>
        <w:ind w:firstLineChars="200" w:firstLine="480"/>
        <w:jc w:val="both"/>
      </w:pPr>
      <w:r>
        <w:rPr>
          <w:rFonts w:ascii="Times New Roman" w:hAnsi="Times New Roman" w:eastAsia="標楷體" w:cs="Times New Roman"/>
        </w:rPr>
        <w:t xml:space="preserve">本計畫不使用資料探勘，但仍需防範「多重檢定與彈性分析」造成的偽陽性結果 (</w:t>
      </w:r>
      <w:hyperlink r:id="rIdL89" w:history="1">
        <w:r>
          <w:rPr>
            <w:rStyle w:val="Hyperlink"/>
            <w:rFonts w:ascii="Times New Roman" w:hAnsi="Times New Roman" w:eastAsia="標楷體" w:cs="Times New Roman"/>
          </w:rPr>
          <w:t xml:space="preserve">Simmons et al., 2011</w:t>
        </w:r>
      </w:hyperlink>
      <w:r>
        <w:rPr>
          <w:rFonts w:ascii="Times New Roman" w:hAnsi="Times New Roman" w:eastAsia="標楷體" w:cs="Times New Roman"/>
        </w:rPr>
        <w:t xml:space="preserve">)。三個階段共用表 10 的效度與開放科學程序；任何偏離預先註冊的分析，皆於論文中標示為探索性分析。</w:t>
      </w:r>
    </w:p>
    <w:p>
      <w:pPr>
        <w:keepNext/>
        <w:spacing w:before="120" w:after="80" w:line="360" w:lineRule="exact"/>
        <w:jc w:val="center"/>
      </w:pPr>
      <w:r>
        <w:rPr>
          <w:rFonts w:ascii="Times New Roman" w:hAnsi="Times New Roman" w:eastAsia="標楷體" w:cs="Times New Roman"/>
        </w:rPr>
        <w:t xml:space="preserve">表 10　三階段共同之研究效度與開放科學程序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900"/>
        <w:gridCol w:w="4000"/>
        <w:gridCol w:w="2300"/>
        <w:gridCol w:w="1438"/>
      </w:tblGrid>
      <w:tr>
        <w:trPr>
          <w:tblHeader/>
          <w:cantSplit/>
        </w:trPr>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程序</w:t>
            </w:r>
          </w:p>
        </w:tc>
        <w:tc>
          <w:tcPr>
            <w:tcW w:w="40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主要做法</w:t>
            </w:r>
          </w:p>
        </w:tc>
        <w:tc>
          <w:tcPr>
            <w:tcW w:w="2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判定標準／產出</w:t>
            </w:r>
          </w:p>
        </w:tc>
        <w:tc>
          <w:tcPr>
            <w:tcW w:w="14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時點</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1 預先註冊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在 OSF 公開研究問題、假說、樣本數、排除規則與分析計畫 (</w:t>
            </w:r>
            <w:hyperlink r:id="rIdL42" w:history="1">
              <w:r>
                <w:rPr>
                  <w:rStyle w:val="Hyperlink"/>
                  <w:rFonts w:ascii="Times New Roman" w:hAnsi="Times New Roman" w:eastAsia="標楷體" w:cs="Times New Roman"/>
                  <w:sz w:val="21"/>
                  <w:szCs w:val="21"/>
                </w:rPr>
                <w:t xml:space="preserve">Nosek et al., 2018</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每階段 1 份註冊文件（含時間戳記）</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各階段資料蒐集前</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 編碼信度</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兩位編碼員獨立編碼，事先註冊編碼層級與截斷值 (</w:t>
            </w:r>
            <w:hyperlink r:id="rIdL34" w:history="1">
              <w:r>
                <w:rPr>
                  <w:rStyle w:val="Hyperlink"/>
                  <w:rFonts w:ascii="Times New Roman" w:hAnsi="Times New Roman" w:eastAsia="標楷體" w:cs="Times New Roman"/>
                  <w:sz w:val="21"/>
                  <w:szCs w:val="21"/>
                </w:rPr>
                <w:t xml:space="preserve">Kilwinger &amp; van Dam, 2021</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kappa ≥ .70；Perreault &amp; Leigh 信度 ≥ .80</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第一階段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3 操弄檢驗與刺激抽樣</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前測確認操弄成立；每條件使用多個產品例子，分析時視為隨機效果 (</w:t>
            </w:r>
            <w:hyperlink r:id="rIdL13" w:history="1">
              <w:r>
                <w:rPr>
                  <w:rStyle w:val="Hyperlink"/>
                  <w:rFonts w:ascii="Times New Roman" w:hAnsi="Times New Roman" w:eastAsia="標楷體" w:cs="Times New Roman"/>
                  <w:sz w:val="21"/>
                  <w:szCs w:val="21"/>
                </w:rPr>
                <w:t xml:space="preserve">Wells &amp; Windschitl, 1999</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操弄檢驗 p &lt; .05；隨機效果模型</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第二階段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4 注意力與資料品質</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注意力檢核題、最短作答時間、重複填答檢查</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事先註冊之排除規則</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第二、三階段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5 共同方法變異</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程序面：分離量測、匿名作答；統計面：Harman 單因子與標記變數法 (</w:t>
            </w:r>
            <w:hyperlink r:id="rIdL87" w:history="1">
              <w:r>
                <w:rPr>
                  <w:rStyle w:val="Hyperlink"/>
                  <w:rFonts w:ascii="Times New Roman" w:hAnsi="Times New Roman" w:eastAsia="標楷體" w:cs="Times New Roman"/>
                  <w:sz w:val="21"/>
                  <w:szCs w:val="21"/>
                </w:rPr>
                <w:t xml:space="preserve">Podsakoff et al., 2003</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單一因子解釋變異 &lt; 50%</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6 測量恆等性</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群組比較前檢驗形貌、量尺與純量恆等性 (</w:t>
            </w:r>
            <w:hyperlink r:id="rIdL31" w:history="1">
              <w:r>
                <w:rPr>
                  <w:rStyle w:val="Hyperlink"/>
                  <w:rFonts w:ascii="Times New Roman" w:hAnsi="Times New Roman" w:eastAsia="標楷體" w:cs="Times New Roman"/>
                  <w:sz w:val="21"/>
                  <w:szCs w:val="21"/>
                </w:rPr>
                <w:t xml:space="preserve">Cheung &amp; Rensvold, 2002</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ΔCFI ≤ .01</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7 多重比較與透明報告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Benjamini–Hochberg 校正 (</w:t>
            </w:r>
            <w:hyperlink r:id="rIdL85" w:history="1">
              <w:r>
                <w:rPr>
                  <w:rStyle w:val="Hyperlink"/>
                  <w:rFonts w:ascii="Times New Roman" w:hAnsi="Times New Roman" w:eastAsia="標楷體" w:cs="Times New Roman"/>
                  <w:sz w:val="21"/>
                  <w:szCs w:val="21"/>
                </w:rPr>
                <w:t xml:space="preserve">Benjamini &amp; Hochberg, 1995</w:t>
              </w:r>
            </w:hyperlink>
            <w:r>
              <w:rPr>
                <w:rFonts w:ascii="Times New Roman" w:hAnsi="Times New Roman" w:eastAsia="標楷體" w:cs="Times New Roman"/>
                <w:sz w:val="21"/>
                <w:szCs w:val="21"/>
              </w:rPr>
              <w:t xml:space="preserve">)；公開去識別化資料與分析程式</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區分驗證性與探索性結果</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論文撰寫期</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三、研究進行步驟，以及二年時程之必要性、貢獻性</w:t>
      </w:r>
    </w:p>
    <w:p>
      <w:pPr>
        <w:spacing w:before="0" w:after="0" w:line="440" w:lineRule="exact"/>
        <w:ind w:firstLineChars="200" w:firstLine="480"/>
        <w:jc w:val="both"/>
      </w:pPr>
      <w:r>
        <w:rPr>
          <w:rFonts w:ascii="Times New Roman" w:hAnsi="Times New Roman" w:eastAsia="標楷體" w:cs="Times New Roman"/>
        </w:rPr>
        <w:t xml:space="preserve">本研究計畫規劃為二年期，是基於研究問題本身的層次性，以及方法設計由發現、檢驗到推廣之必要性所做的安排。首先，第一階段以軟式階梯訪談萃取兩類主播購買者的價值鏈，並發展價值傾向量表。由於價值涉及高度抽象的內在信念，訪談、編碼與量表發展不宜壓縮；其產出的價值鏈與量表，是後兩階段的必要內容。</w:t>
      </w:r>
    </w:p>
    <w:p>
      <w:pPr>
        <w:spacing w:before="0" w:after="0" w:line="440" w:lineRule="exact"/>
        <w:ind w:firstLineChars="200" w:firstLine="480"/>
        <w:jc w:val="both"/>
      </w:pPr>
      <w:r>
        <w:rPr>
          <w:rFonts w:ascii="Times New Roman" w:hAnsi="Times New Roman" w:eastAsia="標楷體" w:cs="Times New Roman"/>
        </w:rPr>
        <w:t xml:space="preserve">其次，第二階段的實驗需要以第一階段的價值鏈撰寫話術，再製作三品類共 24 支以上的直播刺激片段並完成前測，才能進行正式實驗與一週後追蹤。最後，第三階段需要第一階段的價值傾向量表作為分組依據，並需三個月的退貨追蹤期，才能以實際行為檢驗購後路徑。三個階段環環相扣，每一階段皆具獨立且不可替代的功能，又為下一階段提供必要的理論與實證基礎。</w:t>
      </w:r>
    </w:p>
    <w:p>
      <w:pPr>
        <w:spacing w:before="0" w:after="0" w:line="440" w:lineRule="exact"/>
        <w:ind w:firstLineChars="200" w:firstLine="480"/>
        <w:jc w:val="both"/>
      </w:pPr>
      <w:r>
        <w:rPr>
          <w:rFonts w:ascii="Times New Roman" w:hAnsi="Times New Roman" w:eastAsia="標楷體" w:cs="Times New Roman"/>
        </w:rPr>
        <w:t xml:space="preserve">綜上所述，本計畫遵循「發現 → 檢驗 → 推廣」的研究邏輯，採二年期規劃實屬研究問題本質與學術貢獻所必須。最後，將三階段結果作逐次及統合的比較、分析、整合及詮釋，並轉譯為中小企業決策表與揭露指引。本研究計畫之進行步驟見圖 5，各工作項目的執行進度見表 11。</w:t>
      </w:r>
    </w:p>
    <w:p>
      <w:pPr>
        <w:keepNext/>
        <w:spacing w:before="120" w:after="0"/>
        <w:jc w:val="center"/>
      </w:pPr>
      <w:r>
        <mc:AlternateContent>
          <mc:Choice Requires="wpg">
            <w:drawing>
              <wp:inline distT="0" distB="0" distL="0" distR="0">
                <wp:extent cx="6096000" cy="5969000"/>
                <wp:effectExtent l="0" t="0" r="0" b="0"/>
                <wp:docPr id="255" name="圖 5　二年三階段研究之進行步驟圖"/>
                <wp:cNvGraphicFramePr/>
                <a:graphic>
                  <a:graphicData uri="http://schemas.microsoft.com/office/word/2010/wordprocessingGroup">
                    <wpg:wgp>
                      <wpg:cNvGrpSpPr/>
                      <wpg:grpSpPr>
                        <a:xfrm>
                          <a:off x="0" y="0"/>
                          <a:ext cx="6096000" cy="5969000"/>
                          <a:chOff x="0" y="0"/>
                          <a:chExt cx="6096000" cy="5969000"/>
                        </a:xfrm>
                      </wpg:grpSpPr>
                      <wps:wsp>
                        <wps:cNvPr id="217" name="Shape 217"/>
                        <wps:cNvSpPr/>
                        <wps:spPr>
                          <a:xfrm>
                            <a:off x="457200" y="50800"/>
                            <a:ext cx="5588000" cy="508000"/>
                          </a:xfrm>
                          <a:prstGeom prst="roundRect">
                            <a:avLst>
                              <a:gd name="adj" fmla="val 12000"/>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系統性文獻回顧與研究共同基礎</w:t>
                              </w:r>
                            </w:p>
                            <w:p>
                              <w:pPr>
                                <w:spacing w:before="0" w:after="0" w:line="240" w:lineRule="exact"/>
                                <w:jc w:val="center"/>
                              </w:pPr>
                              <w:r>
                                <w:rPr>
                                  <w:rFonts w:ascii="Times New Roman" w:hAnsi="Times New Roman" w:eastAsia="標楷體" w:cs="Times New Roman"/>
                                  <w:sz w:val="17"/>
                                  <w:szCs w:val="17"/>
                                </w:rPr>
                                <w:t xml:space="preserve">正式資料庫檢索・倫理審查（IRB）・品類庫・共同量表・預先註冊（2027.08–2027.10）</w:t>
                              </w:r>
                            </w:p>
                          </w:txbxContent>
                        </wps:txbx>
                        <wps:bodyPr rot="0" vert="horz" wrap="square" lIns="25400" tIns="12700" rIns="25400" bIns="12700" anchor="ctr" anchorCtr="0">
                          <a:noAutofit/>
                        </wps:bodyPr>
                      </wps:wsp>
                      <wps:wsp>
                        <wps:cNvPr id="218" name="Shape 218"/>
                        <wps:cNvSpPr/>
                        <wps:spPr>
                          <a:xfrm>
                            <a:off x="50800" y="660400"/>
                            <a:ext cx="330200" cy="4064000"/>
                          </a:xfrm>
                          <a:prstGeom prst="rect">
                            <a:avLst/>
                          </a:prstGeom>
                          <a:solidFill>
                            <a:srgbClr val="F2F2F2"/>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預</w:t>
                              </w:r>
                            </w:p>
                            <w:p>
                              <w:pPr>
                                <w:spacing w:before="0" w:after="0" w:line="240" w:lineRule="exact"/>
                                <w:jc w:val="center"/>
                              </w:pPr>
                              <w:r>
                                <w:rPr>
                                  <w:rFonts w:ascii="Times New Roman" w:hAnsi="Times New Roman" w:eastAsia="標楷體" w:cs="Times New Roman"/>
                                  <w:b/>
                                  <w:bCs/>
                                  <w:sz w:val="17"/>
                                  <w:szCs w:val="17"/>
                                </w:rPr>
                                <w:t xml:space="preserve">先</w:t>
                              </w:r>
                            </w:p>
                            <w:p>
                              <w:pPr>
                                <w:spacing w:before="0" w:after="0" w:line="240" w:lineRule="exact"/>
                                <w:jc w:val="center"/>
                              </w:pPr>
                              <w:r>
                                <w:rPr>
                                  <w:rFonts w:ascii="Times New Roman" w:hAnsi="Times New Roman" w:eastAsia="標楷體" w:cs="Times New Roman"/>
                                  <w:b/>
                                  <w:bCs/>
                                  <w:sz w:val="17"/>
                                  <w:szCs w:val="17"/>
                                </w:rPr>
                                <w:t xml:space="preserve">註</w:t>
                              </w:r>
                            </w:p>
                            <w:p>
                              <w:pPr>
                                <w:spacing w:before="0" w:after="0" w:line="240" w:lineRule="exact"/>
                                <w:jc w:val="center"/>
                              </w:pPr>
                              <w:r>
                                <w:rPr>
                                  <w:rFonts w:ascii="Times New Roman" w:hAnsi="Times New Roman" w:eastAsia="標楷體" w:cs="Times New Roman"/>
                                  <w:b/>
                                  <w:bCs/>
                                  <w:sz w:val="17"/>
                                  <w:szCs w:val="17"/>
                                </w:rPr>
                                <w:t xml:space="preserve">冊</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操</w:t>
                              </w:r>
                            </w:p>
                            <w:p>
                              <w:pPr>
                                <w:spacing w:before="0" w:after="0" w:line="240" w:lineRule="exact"/>
                                <w:jc w:val="center"/>
                              </w:pPr>
                              <w:r>
                                <w:rPr>
                                  <w:rFonts w:ascii="Times New Roman" w:hAnsi="Times New Roman" w:eastAsia="標楷體" w:cs="Times New Roman"/>
                                  <w:b/>
                                  <w:bCs/>
                                  <w:sz w:val="17"/>
                                  <w:szCs w:val="17"/>
                                </w:rPr>
                                <w:t xml:space="preserve">弄</w:t>
                              </w:r>
                            </w:p>
                            <w:p>
                              <w:pPr>
                                <w:spacing w:before="0" w:after="0" w:line="240" w:lineRule="exact"/>
                                <w:jc w:val="center"/>
                              </w:pPr>
                              <w:r>
                                <w:rPr>
                                  <w:rFonts w:ascii="Times New Roman" w:hAnsi="Times New Roman" w:eastAsia="標楷體" w:cs="Times New Roman"/>
                                  <w:b/>
                                  <w:bCs/>
                                  <w:sz w:val="17"/>
                                  <w:szCs w:val="17"/>
                                </w:rPr>
                                <w:t xml:space="preserve">檢</w:t>
                              </w:r>
                            </w:p>
                            <w:p>
                              <w:pPr>
                                <w:spacing w:before="0" w:after="0" w:line="240" w:lineRule="exact"/>
                                <w:jc w:val="center"/>
                              </w:pPr>
                              <w:r>
                                <w:rPr>
                                  <w:rFonts w:ascii="Times New Roman" w:hAnsi="Times New Roman" w:eastAsia="標楷體" w:cs="Times New Roman"/>
                                  <w:b/>
                                  <w:bCs/>
                                  <w:sz w:val="17"/>
                                  <w:szCs w:val="17"/>
                                </w:rPr>
                                <w:t xml:space="preserve">驗</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測</w:t>
                              </w:r>
                            </w:p>
                            <w:p>
                              <w:pPr>
                                <w:spacing w:before="0" w:after="0" w:line="240" w:lineRule="exact"/>
                                <w:jc w:val="center"/>
                              </w:pPr>
                              <w:r>
                                <w:rPr>
                                  <w:rFonts w:ascii="Times New Roman" w:hAnsi="Times New Roman" w:eastAsia="標楷體" w:cs="Times New Roman"/>
                                  <w:b/>
                                  <w:bCs/>
                                  <w:sz w:val="17"/>
                                  <w:szCs w:val="17"/>
                                </w:rPr>
                                <w:t xml:space="preserve">量</w:t>
                              </w:r>
                            </w:p>
                            <w:p>
                              <w:pPr>
                                <w:spacing w:before="0" w:after="0" w:line="240" w:lineRule="exact"/>
                                <w:jc w:val="center"/>
                              </w:pPr>
                              <w:r>
                                <w:rPr>
                                  <w:rFonts w:ascii="Times New Roman" w:hAnsi="Times New Roman" w:eastAsia="標楷體" w:cs="Times New Roman"/>
                                  <w:b/>
                                  <w:bCs/>
                                  <w:sz w:val="17"/>
                                  <w:szCs w:val="17"/>
                                </w:rPr>
                                <w:t xml:space="preserve">恆</w:t>
                              </w:r>
                            </w:p>
                            <w:p>
                              <w:pPr>
                                <w:spacing w:before="0" w:after="0" w:line="240" w:lineRule="exact"/>
                                <w:jc w:val="center"/>
                              </w:pPr>
                              <w:r>
                                <w:rPr>
                                  <w:rFonts w:ascii="Times New Roman" w:hAnsi="Times New Roman" w:eastAsia="標楷體" w:cs="Times New Roman"/>
                                  <w:b/>
                                  <w:bCs/>
                                  <w:sz w:val="17"/>
                                  <w:szCs w:val="17"/>
                                </w:rPr>
                                <w:t xml:space="preserve">等</w:t>
                              </w:r>
                            </w:p>
                            <w:p>
                              <w:pPr>
                                <w:spacing w:before="0" w:after="0" w:line="240" w:lineRule="exact"/>
                                <w:jc w:val="center"/>
                              </w:pPr>
                              <w:r>
                                <w:rPr>
                                  <w:rFonts w:ascii="Times New Roman" w:hAnsi="Times New Roman" w:eastAsia="標楷體" w:cs="Times New Roman"/>
                                  <w:b/>
                                  <w:bCs/>
                                  <w:sz w:val="17"/>
                                  <w:szCs w:val="17"/>
                                </w:rPr>
                                <w:t xml:space="preserve">性</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開</w:t>
                              </w:r>
                            </w:p>
                            <w:p>
                              <w:pPr>
                                <w:spacing w:before="0" w:after="0" w:line="240" w:lineRule="exact"/>
                                <w:jc w:val="center"/>
                              </w:pPr>
                              <w:r>
                                <w:rPr>
                                  <w:rFonts w:ascii="Times New Roman" w:hAnsi="Times New Roman" w:eastAsia="標楷體" w:cs="Times New Roman"/>
                                  <w:b/>
                                  <w:bCs/>
                                  <w:sz w:val="17"/>
                                  <w:szCs w:val="17"/>
                                </w:rPr>
                                <w:t xml:space="preserve">放</w:t>
                              </w:r>
                            </w:p>
                            <w:p>
                              <w:pPr>
                                <w:spacing w:before="0" w:after="0" w:line="240" w:lineRule="exact"/>
                                <w:jc w:val="center"/>
                              </w:pPr>
                              <w:r>
                                <w:rPr>
                                  <w:rFonts w:ascii="Times New Roman" w:hAnsi="Times New Roman" w:eastAsia="標楷體" w:cs="Times New Roman"/>
                                  <w:b/>
                                  <w:bCs/>
                                  <w:sz w:val="17"/>
                                  <w:szCs w:val="17"/>
                                </w:rPr>
                                <w:t xml:space="preserve">資</w:t>
                              </w:r>
                            </w:p>
                            <w:p>
                              <w:pPr>
                                <w:spacing w:before="0" w:after="0" w:line="240" w:lineRule="exact"/>
                                <w:jc w:val="center"/>
                              </w:pPr>
                              <w:r>
                                <w:rPr>
                                  <w:rFonts w:ascii="Times New Roman" w:hAnsi="Times New Roman" w:eastAsia="標楷體" w:cs="Times New Roman"/>
                                  <w:b/>
                                  <w:bCs/>
                                  <w:sz w:val="17"/>
                                  <w:szCs w:val="17"/>
                                </w:rPr>
                                <w:t xml:space="preserve">料</w:t>
                              </w:r>
                            </w:p>
                          </w:txbxContent>
                        </wps:txbx>
                        <wps:bodyPr rot="0" vert="horz" wrap="square" lIns="25400" tIns="12700" rIns="25400" bIns="12700" anchor="ctr" anchorCtr="0">
                          <a:noAutofit/>
                        </wps:bodyPr>
                      </wps:wsp>
                      <wps:wsp>
                        <wps:cNvPr id="219" name="Shape 219"/>
                        <wps:cNvSpPr/>
                        <wps:spPr>
                          <a:xfrm>
                            <a:off x="457200" y="660400"/>
                            <a:ext cx="1778000" cy="2794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第一階段【發現】</w:t>
                              </w:r>
                            </w:p>
                          </w:txbxContent>
                        </wps:txbx>
                        <wps:bodyPr rot="0" vert="horz" wrap="square" lIns="25400" tIns="12700" rIns="25400" bIns="12700" anchor="ctr" anchorCtr="0">
                          <a:noAutofit/>
                        </wps:bodyPr>
                      </wps:wsp>
                      <wps:wsp>
                        <wps:cNvPr id="220" name="Shape 220"/>
                        <wps:cNvSpPr/>
                        <wps:spPr>
                          <a:xfrm>
                            <a:off x="45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1a 訪談大綱與前導訪談</w:t>
                              </w:r>
                            </w:p>
                            <w:p>
                              <w:pPr>
                                <w:spacing w:before="0" w:after="0" w:line="240" w:lineRule="exact"/>
                                <w:jc w:val="center"/>
                              </w:pPr>
                              <w:r>
                                <w:rPr>
                                  <w:rFonts w:ascii="Times New Roman" w:hAnsi="Times New Roman" w:eastAsia="標楷體" w:cs="Times New Roman"/>
                                  <w:sz w:val="17"/>
                                  <w:szCs w:val="17"/>
                                </w:rPr>
                                <w:t xml:space="preserve">N = 6｜2027.08–2027.09</w:t>
                              </w:r>
                            </w:p>
                          </w:txbxContent>
                        </wps:txbx>
                        <wps:bodyPr rot="0" vert="horz" wrap="square" lIns="25400" tIns="12700" rIns="25400" bIns="12700" anchor="ctr" anchorCtr="0">
                          <a:noAutofit/>
                        </wps:bodyPr>
                      </wps:wsp>
                      <wps:wsp>
                        <wps:cNvPr id="221" name="Line 221"/>
                        <wps:cNvCnPr/>
                        <wps:spPr>
                          <a:xfrm>
                            <a:off x="1346200" y="1549400"/>
                            <a:ext cx="0" cy="228600"/>
                          </a:xfrm>
                          <a:prstGeom prst="line">
                            <a:avLst/>
                          </a:prstGeom>
                          <a:ln w="12700">
                            <a:solidFill>
                              <a:srgbClr val="404040"/>
                            </a:solidFill>
                            <a:tailEnd type="triangle" w="med" len="med"/>
                          </a:ln>
                        </wps:spPr>
                        <wps:bodyPr/>
                      </wps:wsp>
                      <wps:wsp>
                        <wps:cNvPr id="222" name="Shape 222"/>
                        <wps:cNvSpPr/>
                        <wps:spPr>
                          <a:xfrm>
                            <a:off x="45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1b 軟式階梯訪談</w:t>
                              </w:r>
                            </w:p>
                            <w:p>
                              <w:pPr>
                                <w:spacing w:before="0" w:after="0" w:line="240" w:lineRule="exact"/>
                                <w:jc w:val="center"/>
                              </w:pPr>
                              <w:r>
                                <w:rPr>
                                  <w:rFonts w:ascii="Times New Roman" w:hAnsi="Times New Roman" w:eastAsia="標楷體" w:cs="Times New Roman"/>
                                  <w:sz w:val="17"/>
                                  <w:szCs w:val="17"/>
                                </w:rPr>
                                <w:t xml:space="preserve">N = 48｜2027.09–2027.12</w:t>
                              </w:r>
                            </w:p>
                          </w:txbxContent>
                        </wps:txbx>
                        <wps:bodyPr rot="0" vert="horz" wrap="square" lIns="25400" tIns="12700" rIns="25400" bIns="12700" anchor="ctr" anchorCtr="0">
                          <a:noAutofit/>
                        </wps:bodyPr>
                      </wps:wsp>
                      <wps:wsp>
                        <wps:cNvPr id="223" name="Line 223"/>
                        <wps:cNvCnPr/>
                        <wps:spPr>
                          <a:xfrm>
                            <a:off x="1346200" y="2260600"/>
                            <a:ext cx="0" cy="228600"/>
                          </a:xfrm>
                          <a:prstGeom prst="line">
                            <a:avLst/>
                          </a:prstGeom>
                          <a:ln w="12700">
                            <a:solidFill>
                              <a:srgbClr val="404040"/>
                            </a:solidFill>
                            <a:tailEnd type="triangle" w="med" len="med"/>
                          </a:ln>
                        </wps:spPr>
                        <wps:bodyPr/>
                      </wps:wsp>
                      <wps:wsp>
                        <wps:cNvPr id="224" name="Shape 224"/>
                        <wps:cNvSpPr/>
                        <wps:spPr>
                          <a:xfrm>
                            <a:off x="45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1c 人工編碼與信度</w:t>
                              </w:r>
                            </w:p>
                            <w:p>
                              <w:pPr>
                                <w:spacing w:before="0" w:after="0" w:line="240" w:lineRule="exact"/>
                                <w:jc w:val="center"/>
                              </w:pPr>
                              <w:r>
                                <w:rPr>
                                  <w:rFonts w:ascii="Times New Roman" w:hAnsi="Times New Roman" w:eastAsia="標楷體" w:cs="Times New Roman"/>
                                  <w:sz w:val="17"/>
                                  <w:szCs w:val="17"/>
                                </w:rPr>
                                <w:t xml:space="preserve">2027.11–2028.01</w:t>
                              </w:r>
                            </w:p>
                          </w:txbxContent>
                        </wps:txbx>
                        <wps:bodyPr rot="0" vert="horz" wrap="square" lIns="25400" tIns="12700" rIns="25400" bIns="12700" anchor="ctr" anchorCtr="0">
                          <a:noAutofit/>
                        </wps:bodyPr>
                      </wps:wsp>
                      <wps:wsp>
                        <wps:cNvPr id="225" name="Line 225"/>
                        <wps:cNvCnPr/>
                        <wps:spPr>
                          <a:xfrm>
                            <a:off x="1346200" y="2971800"/>
                            <a:ext cx="0" cy="228600"/>
                          </a:xfrm>
                          <a:prstGeom prst="line">
                            <a:avLst/>
                          </a:prstGeom>
                          <a:ln w="12700">
                            <a:solidFill>
                              <a:srgbClr val="404040"/>
                            </a:solidFill>
                            <a:tailEnd type="triangle" w="med" len="med"/>
                          </a:ln>
                        </wps:spPr>
                        <wps:bodyPr/>
                      </wps:wsp>
                      <wps:wsp>
                        <wps:cNvPr id="226" name="Shape 226"/>
                        <wps:cNvSpPr/>
                        <wps:spPr>
                          <a:xfrm>
                            <a:off x="45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1d 涵意矩陣與 HVM</w:t>
                              </w:r>
                            </w:p>
                            <w:p>
                              <w:pPr>
                                <w:spacing w:before="0" w:after="0" w:line="240" w:lineRule="exact"/>
                                <w:jc w:val="center"/>
                              </w:pPr>
                              <w:r>
                                <w:rPr>
                                  <w:rFonts w:ascii="Times New Roman" w:hAnsi="Times New Roman" w:eastAsia="標楷體" w:cs="Times New Roman"/>
                                  <w:sz w:val="17"/>
                                  <w:szCs w:val="17"/>
                                </w:rPr>
                                <w:t xml:space="preserve">2027.12–2028.01</w:t>
                              </w:r>
                            </w:p>
                          </w:txbxContent>
                        </wps:txbx>
                        <wps:bodyPr rot="0" vert="horz" wrap="square" lIns="25400" tIns="12700" rIns="25400" bIns="12700" anchor="ctr" anchorCtr="0">
                          <a:noAutofit/>
                        </wps:bodyPr>
                      </wps:wsp>
                      <wps:wsp>
                        <wps:cNvPr id="227" name="Line 227"/>
                        <wps:cNvCnPr/>
                        <wps:spPr>
                          <a:xfrm>
                            <a:off x="1346200" y="3683000"/>
                            <a:ext cx="0" cy="228600"/>
                          </a:xfrm>
                          <a:prstGeom prst="line">
                            <a:avLst/>
                          </a:prstGeom>
                          <a:ln w="12700">
                            <a:solidFill>
                              <a:srgbClr val="404040"/>
                            </a:solidFill>
                            <a:tailEnd type="triangle" w="med" len="med"/>
                          </a:ln>
                        </wps:spPr>
                        <wps:bodyPr/>
                      </wps:wsp>
                      <wps:wsp>
                        <wps:cNvPr id="228" name="Shape 228"/>
                        <wps:cNvSpPr/>
                        <wps:spPr>
                          <a:xfrm>
                            <a:off x="45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1e 價值傾向量表發展</w:t>
                              </w:r>
                            </w:p>
                            <w:p>
                              <w:pPr>
                                <w:spacing w:before="0" w:after="0" w:line="240" w:lineRule="exact"/>
                                <w:jc w:val="center"/>
                              </w:pPr>
                              <w:r>
                                <w:rPr>
                                  <w:rFonts w:ascii="Times New Roman" w:hAnsi="Times New Roman" w:eastAsia="標楷體" w:cs="Times New Roman"/>
                                  <w:sz w:val="17"/>
                                  <w:szCs w:val="17"/>
                                </w:rPr>
                                <w:t xml:space="preserve">N ≈ 300｜2028.01–2028.03</w:t>
                              </w:r>
                            </w:p>
                          </w:txbxContent>
                        </wps:txbx>
                        <wps:bodyPr rot="0" vert="horz" wrap="square" lIns="25400" tIns="12700" rIns="25400" bIns="12700" anchor="ctr" anchorCtr="0">
                          <a:noAutofit/>
                        </wps:bodyPr>
                      </wps:wsp>
                      <wps:wsp>
                        <wps:cNvPr id="229" name="Line 229"/>
                        <wps:cNvCnPr/>
                        <wps:spPr>
                          <a:xfrm>
                            <a:off x="1346200" y="4394200"/>
                            <a:ext cx="0" cy="330200"/>
                          </a:xfrm>
                          <a:prstGeom prst="line">
                            <a:avLst/>
                          </a:prstGeom>
                          <a:ln w="12700">
                            <a:solidFill>
                              <a:srgbClr val="404040"/>
                            </a:solidFill>
                            <a:tailEnd type="triangle" w="med" len="med"/>
                          </a:ln>
                        </wps:spPr>
                        <wps:bodyPr/>
                      </wps:wsp>
                      <wps:wsp>
                        <wps:cNvPr id="230" name="Shape 230"/>
                        <wps:cNvSpPr/>
                        <wps:spPr>
                          <a:xfrm>
                            <a:off x="2362200" y="660400"/>
                            <a:ext cx="1778000" cy="279400"/>
                          </a:xfrm>
                          <a:prstGeom prst="rect">
                            <a:avLst/>
                          </a:prstGeom>
                          <a:solidFill>
                            <a:srgbClr val="E2F0D9"/>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第二階段【檢驗】</w:t>
                              </w:r>
                            </w:p>
                          </w:txbxContent>
                        </wps:txbx>
                        <wps:bodyPr rot="0" vert="horz" wrap="square" lIns="25400" tIns="12700" rIns="25400" bIns="12700" anchor="ctr" anchorCtr="0">
                          <a:noAutofit/>
                        </wps:bodyPr>
                      </wps:wsp>
                      <wps:wsp>
                        <wps:cNvPr id="231" name="Shape 231"/>
                        <wps:cNvSpPr/>
                        <wps:spPr>
                          <a:xfrm>
                            <a:off x="2362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刺激物製作與前測</w:t>
                              </w:r>
                            </w:p>
                            <w:p>
                              <w:pPr>
                                <w:spacing w:before="0" w:after="0" w:line="240" w:lineRule="exact"/>
                                <w:jc w:val="center"/>
                              </w:pPr>
                              <w:r>
                                <w:rPr>
                                  <w:rFonts w:ascii="Times New Roman" w:hAnsi="Times New Roman" w:eastAsia="標楷體" w:cs="Times New Roman"/>
                                  <w:sz w:val="17"/>
                                  <w:szCs w:val="17"/>
                                </w:rPr>
                                <w:t xml:space="preserve">三品類｜2028.02–2028.04</w:t>
                              </w:r>
                            </w:p>
                          </w:txbxContent>
                        </wps:txbx>
                        <wps:bodyPr rot="0" vert="horz" wrap="square" lIns="25400" tIns="12700" rIns="25400" bIns="12700" anchor="ctr" anchorCtr="0">
                          <a:noAutofit/>
                        </wps:bodyPr>
                      </wps:wsp>
                      <wps:wsp>
                        <wps:cNvPr id="232" name="Line 232"/>
                        <wps:cNvCnPr/>
                        <wps:spPr>
                          <a:xfrm>
                            <a:off x="3251200" y="1549400"/>
                            <a:ext cx="0" cy="228600"/>
                          </a:xfrm>
                          <a:prstGeom prst="line">
                            <a:avLst/>
                          </a:prstGeom>
                          <a:ln w="12700">
                            <a:solidFill>
                              <a:srgbClr val="404040"/>
                            </a:solidFill>
                            <a:tailEnd type="triangle" w="med" len="med"/>
                          </a:ln>
                        </wps:spPr>
                        <wps:bodyPr/>
                      </wps:wsp>
                      <wps:wsp>
                        <wps:cNvPr id="233" name="Shape 233"/>
                        <wps:cNvSpPr/>
                        <wps:spPr>
                          <a:xfrm>
                            <a:off x="2362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2a 錨定實驗：運動鞋</w:t>
                              </w:r>
                            </w:p>
                            <w:p>
                              <w:pPr>
                                <w:spacing w:before="0" w:after="0" w:line="240" w:lineRule="exact"/>
                                <w:jc w:val="center"/>
                              </w:pPr>
                              <w:r>
                                <w:rPr>
                                  <w:rFonts w:ascii="Times New Roman" w:hAnsi="Times New Roman" w:eastAsia="標楷體" w:cs="Times New Roman"/>
                                  <w:sz w:val="17"/>
                                  <w:szCs w:val="17"/>
                                </w:rPr>
                                <w:t xml:space="preserve">N = 480｜2028.05–2028.06</w:t>
                              </w:r>
                            </w:p>
                          </w:txbxContent>
                        </wps:txbx>
                        <wps:bodyPr rot="0" vert="horz" wrap="square" lIns="25400" tIns="12700" rIns="25400" bIns="12700" anchor="ctr" anchorCtr="0">
                          <a:noAutofit/>
                        </wps:bodyPr>
                      </wps:wsp>
                      <wps:wsp>
                        <wps:cNvPr id="234" name="Line 234"/>
                        <wps:cNvCnPr/>
                        <wps:spPr>
                          <a:xfrm>
                            <a:off x="3251200" y="2260600"/>
                            <a:ext cx="0" cy="228600"/>
                          </a:xfrm>
                          <a:prstGeom prst="line">
                            <a:avLst/>
                          </a:prstGeom>
                          <a:ln w="12700">
                            <a:solidFill>
                              <a:srgbClr val="404040"/>
                            </a:solidFill>
                            <a:tailEnd type="triangle" w="med" len="med"/>
                          </a:ln>
                        </wps:spPr>
                        <wps:bodyPr/>
                      </wps:wsp>
                      <wps:wsp>
                        <wps:cNvPr id="235" name="Shape 235"/>
                        <wps:cNvSpPr/>
                        <wps:spPr>
                          <a:xfrm>
                            <a:off x="2362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2b 跨品類複製</w:t>
                              </w:r>
                            </w:p>
                            <w:p>
                              <w:pPr>
                                <w:spacing w:before="0" w:after="0" w:line="240" w:lineRule="exact"/>
                                <w:jc w:val="center"/>
                              </w:pPr>
                              <w:r>
                                <w:rPr>
                                  <w:rFonts w:ascii="Times New Roman" w:hAnsi="Times New Roman" w:eastAsia="標楷體" w:cs="Times New Roman"/>
                                  <w:sz w:val="17"/>
                                  <w:szCs w:val="17"/>
                                </w:rPr>
                                <w:t xml:space="preserve">N = 960｜2028.07–2028.09</w:t>
                              </w:r>
                            </w:p>
                          </w:txbxContent>
                        </wps:txbx>
                        <wps:bodyPr rot="0" vert="horz" wrap="square" lIns="25400" tIns="12700" rIns="25400" bIns="12700" anchor="ctr" anchorCtr="0">
                          <a:noAutofit/>
                        </wps:bodyPr>
                      </wps:wsp>
                      <wps:wsp>
                        <wps:cNvPr id="236" name="Line 236"/>
                        <wps:cNvCnPr/>
                        <wps:spPr>
                          <a:xfrm>
                            <a:off x="3251200" y="2971800"/>
                            <a:ext cx="0" cy="228600"/>
                          </a:xfrm>
                          <a:prstGeom prst="line">
                            <a:avLst/>
                          </a:prstGeom>
                          <a:ln w="12700">
                            <a:solidFill>
                              <a:srgbClr val="404040"/>
                            </a:solidFill>
                            <a:tailEnd type="triangle" w="med" len="med"/>
                          </a:ln>
                        </wps:spPr>
                        <wps:bodyPr/>
                      </wps:wsp>
                      <wps:wsp>
                        <wps:cNvPr id="237" name="Shape 237"/>
                        <wps:cNvSpPr/>
                        <wps:spPr>
                          <a:xfrm>
                            <a:off x="2362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2c AI 身分揭露實驗</w:t>
                              </w:r>
                            </w:p>
                            <w:p>
                              <w:pPr>
                                <w:spacing w:before="0" w:after="0" w:line="240" w:lineRule="exact"/>
                                <w:jc w:val="center"/>
                              </w:pPr>
                              <w:r>
                                <w:rPr>
                                  <w:rFonts w:ascii="Times New Roman" w:hAnsi="Times New Roman" w:eastAsia="標楷體" w:cs="Times New Roman"/>
                                  <w:sz w:val="17"/>
                                  <w:szCs w:val="17"/>
                                </w:rPr>
                                <w:t xml:space="preserve">N = 360｜2028.07–2028.09</w:t>
                              </w:r>
                            </w:p>
                          </w:txbxContent>
                        </wps:txbx>
                        <wps:bodyPr rot="0" vert="horz" wrap="square" lIns="25400" tIns="12700" rIns="25400" bIns="12700" anchor="ctr" anchorCtr="0">
                          <a:noAutofit/>
                        </wps:bodyPr>
                      </wps:wsp>
                      <wps:wsp>
                        <wps:cNvPr id="238" name="Line 238"/>
                        <wps:cNvCnPr/>
                        <wps:spPr>
                          <a:xfrm>
                            <a:off x="3251200" y="3683000"/>
                            <a:ext cx="0" cy="228600"/>
                          </a:xfrm>
                          <a:prstGeom prst="line">
                            <a:avLst/>
                          </a:prstGeom>
                          <a:ln w="12700">
                            <a:solidFill>
                              <a:srgbClr val="404040"/>
                            </a:solidFill>
                            <a:tailEnd type="triangle" w="med" len="med"/>
                          </a:ln>
                        </wps:spPr>
                        <wps:bodyPr/>
                      </wps:wsp>
                      <wps:wsp>
                        <wps:cNvPr id="239" name="Shape 239"/>
                        <wps:cNvSpPr/>
                        <wps:spPr>
                          <a:xfrm>
                            <a:off x="2362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一週後追蹤與分析</w:t>
                              </w:r>
                            </w:p>
                            <w:p>
                              <w:pPr>
                                <w:spacing w:before="0" w:after="0" w:line="240" w:lineRule="exact"/>
                                <w:jc w:val="center"/>
                              </w:pPr>
                              <w:r>
                                <w:rPr>
                                  <w:rFonts w:ascii="Times New Roman" w:hAnsi="Times New Roman" w:eastAsia="標楷體" w:cs="Times New Roman"/>
                                  <w:sz w:val="17"/>
                                  <w:szCs w:val="17"/>
                                </w:rPr>
                                <w:t xml:space="preserve">2028.06–2028.10</w:t>
                              </w:r>
                            </w:p>
                          </w:txbxContent>
                        </wps:txbx>
                        <wps:bodyPr rot="0" vert="horz" wrap="square" lIns="25400" tIns="12700" rIns="25400" bIns="12700" anchor="ctr" anchorCtr="0">
                          <a:noAutofit/>
                        </wps:bodyPr>
                      </wps:wsp>
                      <wps:wsp>
                        <wps:cNvPr id="240" name="Line 240"/>
                        <wps:cNvCnPr/>
                        <wps:spPr>
                          <a:xfrm>
                            <a:off x="3251200" y="4394200"/>
                            <a:ext cx="0" cy="330200"/>
                          </a:xfrm>
                          <a:prstGeom prst="line">
                            <a:avLst/>
                          </a:prstGeom>
                          <a:ln w="12700">
                            <a:solidFill>
                              <a:srgbClr val="404040"/>
                            </a:solidFill>
                            <a:tailEnd type="triangle" w="med" len="med"/>
                          </a:ln>
                        </wps:spPr>
                        <wps:bodyPr/>
                      </wps:wsp>
                      <wps:wsp>
                        <wps:cNvPr id="241" name="Shape 241"/>
                        <wps:cNvSpPr/>
                        <wps:spPr>
                          <a:xfrm>
                            <a:off x="4267200" y="660400"/>
                            <a:ext cx="1778000" cy="279400"/>
                          </a:xfrm>
                          <a:prstGeom prst="rect">
                            <a:avLst/>
                          </a:prstGeom>
                          <a:solidFill>
                            <a:srgbClr val="DEEBF7"/>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第三階段【推廣】</w:t>
                              </w:r>
                            </w:p>
                          </w:txbxContent>
                        </wps:txbx>
                        <wps:bodyPr rot="0" vert="horz" wrap="square" lIns="25400" tIns="12700" rIns="25400" bIns="12700" anchor="ctr" anchorCtr="0">
                          <a:noAutofit/>
                        </wps:bodyPr>
                      </wps:wsp>
                      <wps:wsp>
                        <wps:cNvPr id="242" name="Shape 242"/>
                        <wps:cNvSpPr/>
                        <wps:spPr>
                          <a:xfrm>
                            <a:off x="426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量表與問卷設計</w:t>
                              </w:r>
                            </w:p>
                            <w:p>
                              <w:pPr>
                                <w:spacing w:before="0" w:after="0" w:line="240" w:lineRule="exact"/>
                                <w:jc w:val="center"/>
                              </w:pPr>
                              <w:r>
                                <w:rPr>
                                  <w:rFonts w:ascii="Times New Roman" w:hAnsi="Times New Roman" w:eastAsia="標楷體" w:cs="Times New Roman"/>
                                  <w:sz w:val="17"/>
                                  <w:szCs w:val="17"/>
                                </w:rPr>
                                <w:t xml:space="preserve">2028.06–2028.08</w:t>
                              </w:r>
                            </w:p>
                          </w:txbxContent>
                        </wps:txbx>
                        <wps:bodyPr rot="0" vert="horz" wrap="square" lIns="25400" tIns="12700" rIns="25400" bIns="12700" anchor="ctr" anchorCtr="0">
                          <a:noAutofit/>
                        </wps:bodyPr>
                      </wps:wsp>
                      <wps:wsp>
                        <wps:cNvPr id="243" name="Line 243"/>
                        <wps:cNvCnPr/>
                        <wps:spPr>
                          <a:xfrm>
                            <a:off x="5156200" y="1549400"/>
                            <a:ext cx="0" cy="228600"/>
                          </a:xfrm>
                          <a:prstGeom prst="line">
                            <a:avLst/>
                          </a:prstGeom>
                          <a:ln w="12700">
                            <a:solidFill>
                              <a:srgbClr val="404040"/>
                            </a:solidFill>
                            <a:tailEnd type="triangle" w="med" len="med"/>
                          </a:ln>
                        </wps:spPr>
                        <wps:bodyPr/>
                      </wps:wsp>
                      <wps:wsp>
                        <wps:cNvPr id="244" name="Shape 244"/>
                        <wps:cNvSpPr/>
                        <wps:spPr>
                          <a:xfrm>
                            <a:off x="426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前測與修訂</w:t>
                              </w:r>
                            </w:p>
                            <w:p>
                              <w:pPr>
                                <w:spacing w:before="0" w:after="0" w:line="240" w:lineRule="exact"/>
                                <w:jc w:val="center"/>
                              </w:pPr>
                              <w:r>
                                <w:rPr>
                                  <w:rFonts w:ascii="Times New Roman" w:hAnsi="Times New Roman" w:eastAsia="標楷體" w:cs="Times New Roman"/>
                                  <w:sz w:val="17"/>
                                  <w:szCs w:val="17"/>
                                </w:rPr>
                                <w:t xml:space="preserve">N ≈ 80｜2028.09</w:t>
                              </w:r>
                            </w:p>
                          </w:txbxContent>
                        </wps:txbx>
                        <wps:bodyPr rot="0" vert="horz" wrap="square" lIns="25400" tIns="12700" rIns="25400" bIns="12700" anchor="ctr" anchorCtr="0">
                          <a:noAutofit/>
                        </wps:bodyPr>
                      </wps:wsp>
                      <wps:wsp>
                        <wps:cNvPr id="245" name="Line 245"/>
                        <wps:cNvCnPr/>
                        <wps:spPr>
                          <a:xfrm>
                            <a:off x="5156200" y="2260600"/>
                            <a:ext cx="0" cy="228600"/>
                          </a:xfrm>
                          <a:prstGeom prst="line">
                            <a:avLst/>
                          </a:prstGeom>
                          <a:ln w="12700">
                            <a:solidFill>
                              <a:srgbClr val="404040"/>
                            </a:solidFill>
                            <a:tailEnd type="triangle" w="med" len="med"/>
                          </a:ln>
                        </wps:spPr>
                        <wps:bodyPr/>
                      </wps:wsp>
                      <wps:wsp>
                        <wps:cNvPr id="246" name="Shape 246"/>
                        <wps:cNvSpPr/>
                        <wps:spPr>
                          <a:xfrm>
                            <a:off x="426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3a 直播購買者調查</w:t>
                              </w:r>
                            </w:p>
                            <w:p>
                              <w:pPr>
                                <w:spacing w:before="0" w:after="0" w:line="240" w:lineRule="exact"/>
                                <w:jc w:val="center"/>
                              </w:pPr>
                              <w:r>
                                <w:rPr>
                                  <w:rFonts w:ascii="Times New Roman" w:hAnsi="Times New Roman" w:eastAsia="標楷體" w:cs="Times New Roman"/>
                                  <w:sz w:val="17"/>
                                  <w:szCs w:val="17"/>
                                </w:rPr>
                                <w:t xml:space="preserve">N ≈ 800｜2028.10–2028.12</w:t>
                              </w:r>
                            </w:p>
                          </w:txbxContent>
                        </wps:txbx>
                        <wps:bodyPr rot="0" vert="horz" wrap="square" lIns="25400" tIns="12700" rIns="25400" bIns="12700" anchor="ctr" anchorCtr="0">
                          <a:noAutofit/>
                        </wps:bodyPr>
                      </wps:wsp>
                      <wps:wsp>
                        <wps:cNvPr id="247" name="Line 247"/>
                        <wps:cNvCnPr/>
                        <wps:spPr>
                          <a:xfrm>
                            <a:off x="5156200" y="2971800"/>
                            <a:ext cx="0" cy="228600"/>
                          </a:xfrm>
                          <a:prstGeom prst="line">
                            <a:avLst/>
                          </a:prstGeom>
                          <a:ln w="12700">
                            <a:solidFill>
                              <a:srgbClr val="404040"/>
                            </a:solidFill>
                            <a:tailEnd type="triangle" w="med" len="med"/>
                          </a:ln>
                        </wps:spPr>
                        <wps:bodyPr/>
                      </wps:wsp>
                      <wps:wsp>
                        <wps:cNvPr id="248" name="Shape 248"/>
                        <wps:cNvSpPr/>
                        <wps:spPr>
                          <a:xfrm>
                            <a:off x="426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3b 三個月退貨追蹤</w:t>
                              </w:r>
                            </w:p>
                            <w:p>
                              <w:pPr>
                                <w:spacing w:before="0" w:after="0" w:line="240" w:lineRule="exact"/>
                                <w:jc w:val="center"/>
                              </w:pPr>
                              <w:r>
                                <w:rPr>
                                  <w:rFonts w:ascii="Times New Roman" w:hAnsi="Times New Roman" w:eastAsia="標楷體" w:cs="Times New Roman"/>
                                  <w:sz w:val="17"/>
                                  <w:szCs w:val="17"/>
                                </w:rPr>
                                <w:t xml:space="preserve">2029.01–2029.03</w:t>
                              </w:r>
                            </w:p>
                          </w:txbxContent>
                        </wps:txbx>
                        <wps:bodyPr rot="0" vert="horz" wrap="square" lIns="25400" tIns="12700" rIns="25400" bIns="12700" anchor="ctr" anchorCtr="0">
                          <a:noAutofit/>
                        </wps:bodyPr>
                      </wps:wsp>
                      <wps:wsp>
                        <wps:cNvPr id="249" name="Line 249"/>
                        <wps:cNvCnPr/>
                        <wps:spPr>
                          <a:xfrm>
                            <a:off x="5156200" y="3683000"/>
                            <a:ext cx="0" cy="228600"/>
                          </a:xfrm>
                          <a:prstGeom prst="line">
                            <a:avLst/>
                          </a:prstGeom>
                          <a:ln w="12700">
                            <a:solidFill>
                              <a:srgbClr val="404040"/>
                            </a:solidFill>
                            <a:tailEnd type="triangle" w="med" len="med"/>
                          </a:ln>
                        </wps:spPr>
                        <wps:bodyPr/>
                      </wps:wsp>
                      <wps:wsp>
                        <wps:cNvPr id="250" name="Shape 250"/>
                        <wps:cNvSpPr/>
                        <wps:spPr>
                          <a:xfrm>
                            <a:off x="426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3c 多群組 SEM</w:t>
                              </w:r>
                            </w:p>
                            <w:p>
                              <w:pPr>
                                <w:spacing w:before="0" w:after="0" w:line="240" w:lineRule="exact"/>
                                <w:jc w:val="center"/>
                              </w:pPr>
                              <w:r>
                                <w:rPr>
                                  <w:rFonts w:ascii="Times New Roman" w:hAnsi="Times New Roman" w:eastAsia="標楷體" w:cs="Times New Roman"/>
                                  <w:sz w:val="17"/>
                                  <w:szCs w:val="17"/>
                                </w:rPr>
                                <w:t xml:space="preserve">2029.02–2029.04</w:t>
                              </w:r>
                            </w:p>
                          </w:txbxContent>
                        </wps:txbx>
                        <wps:bodyPr rot="0" vert="horz" wrap="square" lIns="25400" tIns="12700" rIns="25400" bIns="12700" anchor="ctr" anchorCtr="0">
                          <a:noAutofit/>
                        </wps:bodyPr>
                      </wps:wsp>
                      <wps:wsp>
                        <wps:cNvPr id="251" name="Line 251"/>
                        <wps:cNvCnPr/>
                        <wps:spPr>
                          <a:xfrm>
                            <a:off x="5156200" y="4394200"/>
                            <a:ext cx="0" cy="330200"/>
                          </a:xfrm>
                          <a:prstGeom prst="line">
                            <a:avLst/>
                          </a:prstGeom>
                          <a:ln w="12700">
                            <a:solidFill>
                              <a:srgbClr val="404040"/>
                            </a:solidFill>
                            <a:tailEnd type="triangle" w="med" len="med"/>
                          </a:ln>
                        </wps:spPr>
                        <wps:bodyPr/>
                      </wps:wsp>
                      <wps:wsp>
                        <wps:cNvPr id="252" name="Line 252"/>
                        <wps:cNvCnPr/>
                        <wps:spPr>
                          <a:xfrm flipV="1">
                            <a:off x="2235200" y="1447800"/>
                            <a:ext cx="127000" cy="2705100"/>
                          </a:xfrm>
                          <a:prstGeom prst="line">
                            <a:avLst/>
                          </a:prstGeom>
                          <a:ln w="12700">
                            <a:solidFill>
                              <a:srgbClr val="C55A11"/>
                            </a:solidFill>
                            <a:prstDash val="dash"/>
                            <a:tailEnd type="triangle" w="med" len="med"/>
                          </a:ln>
                        </wps:spPr>
                        <wps:bodyPr/>
                      </wps:wsp>
                      <wps:wsp>
                        <wps:cNvPr id="253" name="Shape 253"/>
                        <wps:cNvSpPr/>
                        <wps:spPr>
                          <a:xfrm>
                            <a:off x="457200" y="4724400"/>
                            <a:ext cx="5588000" cy="533400"/>
                          </a:xfrm>
                          <a:prstGeom prst="roundRect">
                            <a:avLst>
                              <a:gd name="adj" fmla="val 12000"/>
                            </a:avLst>
                          </a:prstGeom>
                          <a:solidFill>
                            <a:srgbClr val="FFF2CC"/>
                          </a:solidFill>
                          <a:ln w="16510">
                            <a:solidFill>
                              <a:srgbClr val="1F4E79"/>
                            </a:solidFill>
                          </a:ln>
                        </wps:spPr>
                        <wps:txbx>
                          <w:txbxContent>
                            <w:p>
                              <w:pPr>
                                <w:spacing w:before="0" w:after="0" w:line="240" w:lineRule="exact"/>
                                <w:jc w:val="center"/>
                              </w:pPr>
                              <w:r>
                                <w:rPr>
                                  <w:rFonts w:ascii="Times New Roman" w:hAnsi="Times New Roman" w:eastAsia="標楷體" w:cs="Times New Roman"/>
                                  <w:b/>
                                  <w:bCs/>
                                  <w:sz w:val="17"/>
                                  <w:szCs w:val="17"/>
                                </w:rPr>
                                <w:t xml:space="preserve">研究總結（2029.04–2029.07）：三階段結果的比較、整合及詮釋</w:t>
                              </w:r>
                            </w:p>
                            <w:p>
                              <w:pPr>
                                <w:spacing w:before="0" w:after="0" w:line="240" w:lineRule="exact"/>
                                <w:jc w:val="center"/>
                              </w:pPr>
                              <w:r>
                                <w:rPr>
                                  <w:rFonts w:ascii="Times New Roman" w:hAnsi="Times New Roman" w:eastAsia="標楷體" w:cs="Times New Roman"/>
                                  <w:sz w:val="17"/>
                                  <w:szCs w:val="17"/>
                                </w:rPr>
                                <w:t xml:space="preserve">中小企業決策表・AI 主播揭露與退貨溝通指引・三篇期刊投稿</w:t>
                              </w:r>
                            </w:p>
                          </w:txbxContent>
                        </wps:txbx>
                        <wps:bodyPr rot="0" vert="horz" wrap="square" lIns="25400" tIns="12700" rIns="25400" bIns="12700" anchor="ctr" anchorCtr="0">
                          <a:noAutofit/>
                        </wps:bodyPr>
                      </wps:wsp>
                      <wps:wsp>
                        <wps:cNvPr id="254" name="Shape 254"/>
                        <wps:cNvSpPr/>
                        <wps:spPr>
                          <a:xfrm>
                            <a:off x="457200" y="5359400"/>
                            <a:ext cx="5588000" cy="508000"/>
                          </a:xfrm>
                          <a:prstGeom prst="rect">
                            <a:avLst/>
                          </a:prstGeom>
                          <a:noFill/>
                          <a:ln w="12700">
                            <a:solidFill>
                              <a:srgbClr val="7F7F7F"/>
                            </a:solidFill>
                            <a:prstDash val="dash"/>
                          </a:ln>
                        </wps:spPr>
                        <wps:txbx>
                          <w:txbxContent>
                            <w:p>
                              <w:pPr>
                                <w:spacing w:before="0" w:after="0" w:line="240" w:lineRule="exact"/>
                                <w:jc w:val="center"/>
                              </w:pPr>
                              <w:r>
                                <w:rPr>
                                  <w:rFonts w:ascii="Times New Roman" w:hAnsi="Times New Roman" w:eastAsia="標楷體" w:cs="Times New Roman"/>
                                  <w:sz w:val="17"/>
                                  <w:szCs w:val="17"/>
                                </w:rPr>
                                <w:t xml:space="preserve">虛線箭頭：第一階段價值鏈改寫為第二階段話術；價值傾向量表用於第二階段操弄檢驗與第三階段分組</w:t>
                              </w:r>
                            </w:p>
                            <w:p>
                              <w:pPr>
                                <w:spacing w:before="0" w:after="0" w:line="240" w:lineRule="exact"/>
                                <w:jc w:val="center"/>
                              </w:pPr>
                              <w:r>
                                <w:rPr>
                                  <w:rFonts w:ascii="Times New Roman" w:hAnsi="Times New Roman" w:eastAsia="標楷體" w:cs="Times New Roman"/>
                                  <w:sz w:val="17"/>
                                  <w:szCs w:val="17"/>
                                </w:rPr>
                                <w:t xml:space="preserve">滾動式檢討：期中報告（2028.07）更新文獻回顧與市場資料；各階段結果討論後，修正下一階段設計</w:t>
                              </w:r>
                            </w:p>
                          </w:txbxContent>
                        </wps:txbx>
                        <wps:bodyPr rot="0" vert="horz" wrap="square" lIns="25400" tIns="12700" rIns="25400" bIns="12700" anchor="ctr" anchorCtr="0">
                          <a:noAutofit/>
                        </wps:bodyPr>
                      </wps:wsp>
                      <wps:wsp>
                        <wps:cNvPr id="255" name="Line 255"/>
                        <wps:cNvCnPr/>
                        <wps:spPr>
                          <a:xfrm>
                            <a:off x="3251200" y="5257800"/>
                            <a:ext cx="0" cy="101600"/>
                          </a:xfrm>
                          <a:prstGeom prst="line">
                            <a:avLst/>
                          </a:prstGeom>
                          <a:ln w="12700">
                            <a:solidFill>
                              <a:srgbClr val="404040"/>
                            </a:solidFill>
                          </a:ln>
                        </wps:spPr>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5　二年三階段研究之進行步驟圖</w:t>
      </w:r>
    </w:p>
    <w:p>
      <w:pPr>
        <w:keepNext/>
        <w:spacing w:before="120" w:after="80" w:line="360" w:lineRule="exact"/>
        <w:jc w:val="center"/>
      </w:pPr>
      <w:r>
        <w:rPr>
          <w:rFonts w:ascii="Times New Roman" w:hAnsi="Times New Roman" w:eastAsia="標楷體" w:cs="Times New Roman"/>
        </w:rPr>
        <w:t xml:space="preserve">表 11　二年期工作項目與執行進度</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638"/>
        <w:gridCol w:w="750"/>
        <w:gridCol w:w="750"/>
        <w:gridCol w:w="750"/>
        <w:gridCol w:w="750"/>
        <w:gridCol w:w="750"/>
        <w:gridCol w:w="750"/>
        <w:gridCol w:w="750"/>
        <w:gridCol w:w="750"/>
      </w:tblGrid>
      <w:tr>
        <w:trPr>
          <w:tblHeader/>
          <w:cantSplit/>
        </w:trPr>
        <w:tc>
          <w:tcPr>
            <w:tcW w:w="3638" w:type="dxa"/>
            <w:vMerge w:val="restart"/>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工作項目</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第一年（2027.08–2028.07）</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第二年（2028.08–2029.07）</w:t>
            </w:r>
          </w:p>
        </w:tc>
      </w:tr>
      <w:tr>
        <w:trPr>
          <w:tblHeader/>
          <w:cantSplit/>
        </w:trPr>
        <w:tc>
          <w:tcPr>
            <w:tcW w:w="3638" w:type="dxa"/>
            <w:vMerge/>
            <w:shd w:val="clear" w:color="auto" w:fill="DDEBF7"/>
            <w:vAlign w:val="center"/>
          </w:tcPr>
          <w:p>
            <w:pPr>
              <w:keepNext/>
              <w:spacing w:before="20" w:after="20" w:line="300" w:lineRule="exact"/>
              <w:jc w:val="center"/>
            </w:pP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共同：正式文獻回顧、倫理審查、預先註冊</w:t>
            </w:r>
          </w:p>
        </w:tc>
        <w:tc>
          <w:tcPr>
            <w:tcW w:w="750" w:type="dxa"/>
            <w:shd w:val="clear" w:color="auto" w:fill="EDEDED"/>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1a：訪談大綱前導（N = 6）</w:t>
            </w: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1b：軟式階梯訪談（N = 48）</w:t>
            </w: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1c、1d：編碼、涵意矩陣與 HVM</w:t>
            </w: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1e：價值傾向量表（N ≈ 300）</w:t>
            </w: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二：三品類刺激物與前測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2a：運動鞋實驗（N = 480）</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2b、2c：跨品類複製與揭露實驗</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二：一週後追蹤與分析</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三：量表、問卷設計與前測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3a：直播購買者調查（N ≈ 800）</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3b：三個月退貨追蹤</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3c：SEM 與多群組 SEM</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整合：中小企業決策表與揭露指引</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整合：論文撰寫與投稿</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里程碑：第一階段價值鏈與量表完成（2028.03.31）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里程碑：期中報告（2028.07.31）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里程碑：結案報告（2029.07.31）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9638" w:type="dxa"/>
            <w:gridSpan w:val="9"/>
            <w:vAlign w:val="center"/>
          </w:tcPr>
          <w:p>
            <w:pPr>
              <w:spacing w:before="20" w:after="20" w:line="300" w:lineRule="exact"/>
              <w:jc w:val="left"/>
            </w:pPr>
            <w:r>
              <w:rPr>
                <w:rFonts w:ascii="Times New Roman" w:hAnsi="Times New Roman" w:eastAsia="標楷體" w:cs="Times New Roman"/>
                <w:sz w:val="19"/>
                <w:szCs w:val="19"/>
              </w:rPr>
              <w:t xml:space="preserve">註：Q1 為 8–10 月，Q2 為 11–1 月，Q3 為 2–4 月，Q4 為 5–7 月；色塊依階段區分，灰色為共同與整合工作。</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四、研究可能遭遇困難及解決途徑</w:t>
      </w:r>
    </w:p>
    <w:p>
      <w:pPr>
        <w:spacing w:before="0" w:after="0" w:line="440" w:lineRule="exact"/>
        <w:ind w:firstLineChars="200" w:firstLine="480"/>
        <w:jc w:val="both"/>
      </w:pPr>
      <w:r>
        <w:rPr>
          <w:rFonts w:ascii="Times New Roman" w:hAnsi="Times New Roman" w:eastAsia="標楷體" w:cs="Times New Roman"/>
        </w:rPr>
        <w:t xml:space="preserve">在計畫提案階段即考量可能遭遇的困難及解決途徑，有助於降低執行風險，提高達成預期成果的機率。本計畫預劃之困難與解決途徑如下：</w:t>
      </w:r>
    </w:p>
    <w:p>
      <w:pPr>
        <w:keepNext/>
        <w:spacing w:before="0" w:after="0" w:line="440" w:lineRule="exact"/>
      </w:pPr>
      <w:r>
        <w:rPr>
          <w:rFonts w:ascii="Times New Roman" w:hAnsi="Times New Roman" w:eastAsia="標楷體" w:cs="Times New Roman"/>
          <w:b/>
          <w:bCs/>
        </w:rPr>
        <w:t xml:space="preserve">1. 向 AI 主播購買的受訪者不易招募或難以確認主播類型</w:t>
      </w:r>
    </w:p>
    <w:p>
      <w:pPr>
        <w:spacing w:before="0" w:after="0" w:line="440" w:lineRule="exact"/>
        <w:ind w:firstLineChars="200" w:firstLine="480"/>
        <w:jc w:val="both"/>
      </w:pPr>
      <w:r>
        <w:rPr>
          <w:rFonts w:ascii="Times New Roman" w:hAnsi="Times New Roman" w:eastAsia="標楷體" w:cs="Times New Roman"/>
        </w:rPr>
        <w:t xml:space="preserve">解決途徑：(1) 以購買紀錄或直播截圖確認主播類型，並透過線上樣本供應商與直播社群同步招募。(2) 若 AI 主播購買者不足，第一階段放寬為「觀看 AI 主播直播並曾考慮購買」者，並於分析時區分。(3) 第三階段若 AI 主播購買者不足 400 人，改以「AI 主播 vs. 真人主播」的情境實驗補足群組比較。</w:t>
      </w:r>
    </w:p>
    <w:p>
      <w:pPr>
        <w:keepNext/>
        <w:spacing w:before="0" w:after="0" w:line="440" w:lineRule="exact"/>
      </w:pPr>
      <w:r>
        <w:rPr>
          <w:rFonts w:ascii="Times New Roman" w:hAnsi="Times New Roman" w:eastAsia="標楷體" w:cs="Times New Roman"/>
          <w:b/>
          <w:bCs/>
        </w:rPr>
        <w:t xml:space="preserve">2. AI 主播與真人主播的刺激物難以只在「主播類型」上不同</w:t>
      </w:r>
    </w:p>
    <w:p>
      <w:pPr>
        <w:spacing w:before="0" w:after="0" w:line="440" w:lineRule="exact"/>
        <w:ind w:firstLineChars="200" w:firstLine="480"/>
        <w:jc w:val="both"/>
      </w:pPr>
      <w:r>
        <w:rPr>
          <w:rFonts w:ascii="Times New Roman" w:hAnsi="Times New Roman" w:eastAsia="標楷體" w:cs="Times New Roman"/>
        </w:rPr>
        <w:t xml:space="preserve">解決途徑：(1) 兩類主播使用相同的服裝、背景、鏡位、腳本長度與促銷條件。(2) 前測檢驗外型吸引力、聲音清晰度與擬真程度，差異過大時調整數位人設定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)。(3) 每個條件使用多個產品例子，避免結論只反映單一刺激物的特性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w:t>
      </w:r>
    </w:p>
    <w:p>
      <w:pPr>
        <w:keepNext/>
        <w:spacing w:before="0" w:after="0" w:line="440" w:lineRule="exact"/>
      </w:pPr>
      <w:r>
        <w:rPr>
          <w:rFonts w:ascii="Times New Roman" w:hAnsi="Times New Roman" w:eastAsia="標楷體" w:cs="Times New Roman"/>
          <w:b/>
          <w:bCs/>
        </w:rPr>
        <w:t xml:space="preserve">3. 實驗的購後結果僅為預期，與實際退貨可能不一致</w:t>
      </w:r>
    </w:p>
    <w:p>
      <w:pPr>
        <w:spacing w:before="0" w:after="0" w:line="440" w:lineRule="exact"/>
        <w:ind w:firstLineChars="200" w:firstLine="480"/>
        <w:jc w:val="both"/>
      </w:pPr>
      <w:r>
        <w:rPr>
          <w:rFonts w:ascii="Times New Roman" w:hAnsi="Times New Roman" w:eastAsia="標楷體" w:cs="Times New Roman"/>
        </w:rPr>
        <w:t xml:space="preserve">解決途徑：第二階段的預期後悔與退貨意圖僅用於檢驗因果機制；第三階段以三個月後的實際退貨回報加以驗證，並於報告中說明兩者的差異。</w:t>
      </w:r>
    </w:p>
    <w:p>
      <w:pPr>
        <w:keepNext/>
        <w:spacing w:before="0" w:after="0" w:line="440" w:lineRule="exact"/>
      </w:pPr>
      <w:r>
        <w:rPr>
          <w:rFonts w:ascii="Times New Roman" w:hAnsi="Times New Roman" w:eastAsia="標楷體" w:cs="Times New Roman"/>
          <w:b/>
          <w:bCs/>
        </w:rPr>
        <w:t xml:space="preserve">4. 樣本規模、回收品質與成本不足</w:t>
      </w:r>
    </w:p>
    <w:p>
      <w:pPr>
        <w:spacing w:before="0" w:after="0" w:line="440" w:lineRule="exact"/>
        <w:ind w:firstLineChars="200" w:firstLine="480"/>
        <w:jc w:val="both"/>
      </w:pPr>
      <w:r>
        <w:rPr>
          <w:rFonts w:ascii="Times New Roman" w:hAnsi="Times New Roman" w:eastAsia="標楷體" w:cs="Times New Roman"/>
        </w:rPr>
        <w:t xml:space="preserve">解決途徑：(1) 向 2–3 家樣本供應商詢價，設注意力檢核題與最短作答時間。(2) 經費不足時先縮減研究 2b 的複製品類，保留研究 2a、2c 與第三階段。(3) 各品類前測 3–4 個候選產品，選出享樂／實用知覺差異最大、喜好度相近者，避免操弄失敗。</w:t>
      </w:r>
    </w:p>
    <w:p>
      <w:pPr>
        <w:keepNext/>
        <w:spacing w:before="0" w:after="0" w:line="440" w:lineRule="exact"/>
      </w:pPr>
      <w:r>
        <w:rPr>
          <w:rFonts w:ascii="Times New Roman" w:hAnsi="Times New Roman" w:eastAsia="標楷體" w:cs="Times New Roman"/>
          <w:b/>
          <w:bCs/>
        </w:rPr>
        <w:t xml:space="preserve">5. 計畫執行進度延誤與市場變化</w:t>
      </w:r>
    </w:p>
    <w:p>
      <w:pPr>
        <w:spacing w:before="0" w:after="0" w:line="440" w:lineRule="exact"/>
        <w:ind w:firstLineChars="200" w:firstLine="480"/>
        <w:jc w:val="both"/>
      </w:pPr>
      <w:r>
        <w:rPr>
          <w:rFonts w:ascii="Times New Roman" w:hAnsi="Times New Roman" w:eastAsia="標楷體" w:cs="Times New Roman"/>
        </w:rPr>
        <w:t xml:space="preserve">解決途徑：(1) 先完成核心研究（1b–1e、2a、2c、3a–3c），2b 為延伸研究，必要時可移至後續計畫。(2) 制定彈性時間表並預留緩衝；每月檢視進度，採滾動式規劃。(3) 計畫開始（2027.08）與期中報告（2028.07）各更新一次系統性文獻回顧與 AI 主播的法規與平台規範，揭露方式的操弄內容於前測時依當時的平台規範校準。</w:t>
      </w:r>
    </w:p>
    <w:p>
      <w:pPr>
        <w:keepNext/>
        <w:spacing w:before="0" w:after="0" w:line="440" w:lineRule="exact"/>
      </w:pPr>
      <w:r>
        <w:rPr>
          <w:rFonts w:ascii="Times New Roman" w:hAnsi="Times New Roman" w:eastAsia="標楷體" w:cs="Times New Roman"/>
          <w:b/>
          <w:bCs/>
        </w:rPr>
        <w:t xml:space="preserve">6. 研究倫理與個資</w:t>
      </w:r>
    </w:p>
    <w:p>
      <w:pPr>
        <w:spacing w:before="0" w:after="0" w:line="440" w:lineRule="exact"/>
        <w:ind w:firstLineChars="200" w:firstLine="480"/>
        <w:jc w:val="both"/>
      </w:pPr>
      <w:r>
        <w:rPr>
          <w:rFonts w:ascii="Times New Roman" w:hAnsi="Times New Roman" w:eastAsia="標楷體" w:cs="Times New Roman"/>
        </w:rPr>
        <w:t xml:space="preserve">三個階段皆涉及人類受試者，將於計畫開始前取得人類研究倫理審查委員會（IRB）核准。受訪者經告知同意後參與，可隨時退出；逐字稿與調查資料去識別化保存，購買紀錄截圖於確認主播類型後即刪除。實驗使用虛構品牌，AI 主播的數位人形象取得授權，真人主播簽署肖像使用同意書；實驗結束後告知受試者影片中主播的實際身分與實驗目的。</w:t>
      </w:r>
    </w:p>
    <w:p>
      <w:pPr>
        <w:pStyle w:val="Heading1"/>
        <w:keepNext/>
        <w:spacing w:before="240" w:after="120" w:line="440" w:lineRule="exact"/>
      </w:pPr>
      <w:r>
        <w:rPr>
          <w:rFonts w:ascii="Times New Roman" w:hAnsi="Times New Roman" w:eastAsia="標楷體" w:cs="Times New Roman"/>
          <w:b/>
          <w:bCs/>
          <w:sz w:val="28"/>
          <w:szCs w:val="28"/>
        </w:rPr>
        <w:t xml:space="preserve">參、預期完成之工作項目及成果</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一、預期完成之工作項目及研究成果</w:t>
      </w:r>
    </w:p>
    <w:p>
      <w:pPr>
        <w:spacing w:before="0" w:after="0" w:line="440" w:lineRule="exact"/>
        <w:ind w:firstLineChars="200" w:firstLine="480"/>
        <w:jc w:val="both"/>
      </w:pPr>
      <w:r>
        <w:rPr>
          <w:rFonts w:ascii="Times New Roman" w:hAnsi="Times New Roman" w:eastAsia="標楷體" w:cs="Times New Roman"/>
        </w:rPr>
        <w:t xml:space="preserve">本研究計畫「誰來賣、怎麼說、買了會不會退——AI 虛擬主播與真人主播的價值說服與購後後果：方法目的鏈、實驗設計與結構方程模式之二年期研究」，分二年三階段進行：</w:t>
      </w:r>
    </w:p>
    <w:p>
      <w:pPr>
        <w:spacing w:before="0" w:after="0" w:line="440" w:lineRule="exact"/>
        <w:ind w:left="960" w:hanging="480"/>
        <w:jc w:val="both"/>
      </w:pPr>
      <w:r>
        <w:rPr>
          <w:rFonts w:ascii="Times New Roman" w:hAnsi="Times New Roman" w:eastAsia="標楷體" w:cs="Times New Roman"/>
        </w:rPr>
        <w:t xml:space="preserve">（一）第一階段預期完成之工作項目：以軟式階梯訪談探索 AI 虛擬主播與真人主播購買者的價值鏈，完成兩組階梯價值圖與比較、購後後果在價值鏈中的定位，以及價值傾向量表。此階段聚焦於認知與價值層面。</w:t>
      </w:r>
    </w:p>
    <w:p>
      <w:pPr>
        <w:spacing w:before="0" w:after="0" w:line="440" w:lineRule="exact"/>
        <w:ind w:left="960" w:hanging="480"/>
        <w:jc w:val="both"/>
      </w:pPr>
      <w:r>
        <w:rPr>
          <w:rFonts w:ascii="Times New Roman" w:hAnsi="Times New Roman" w:eastAsia="標楷體" w:cs="Times New Roman"/>
        </w:rPr>
        <w:t xml:space="preserve">（二）第二階段預期完成之工作項目：以跨品類實驗檢驗主播類型、價值訴求話術與產品類型的交互作用，說服意圖知覺對預期後悔與退貨意圖的中介效果，以及 AI 身分揭露方式的影響，提出「主播類型 × 話術 × 品類」決策表。此階段聚焦於心理機制與購買行為。</w:t>
      </w:r>
    </w:p>
    <w:p>
      <w:pPr>
        <w:spacing w:before="0" w:after="0" w:line="440" w:lineRule="exact"/>
        <w:ind w:left="960" w:hanging="480"/>
        <w:jc w:val="both"/>
      </w:pPr>
      <w:r>
        <w:rPr>
          <w:rFonts w:ascii="Times New Roman" w:hAnsi="Times New Roman" w:eastAsia="標楷體" w:cs="Times New Roman"/>
        </w:rPr>
        <w:t xml:space="preserve">（三）第三階段預期完成之工作項目：以直播購買者調查與三個月退貨追蹤建構購後路徑模型，並以多群組 SEM 比較主播類型與價值傾向，提出退貨溝通建議。此階段聚焦於真實情境中的購後結果。</w:t>
      </w:r>
    </w:p>
    <w:p>
      <w:pPr>
        <w:spacing w:before="0" w:after="0" w:line="440" w:lineRule="exact"/>
        <w:ind w:firstLineChars="200" w:firstLine="480"/>
        <w:jc w:val="both"/>
      </w:pPr>
      <w:r>
        <w:rPr>
          <w:rFonts w:ascii="Times New Roman" w:hAnsi="Times New Roman" w:eastAsia="標楷體" w:cs="Times New Roman"/>
        </w:rPr>
        <w:t xml:space="preserve">本計畫將於第二年綜整三階段的結果，以不同的方法與觀點比較、整合和詮釋 AI 主播的說服機制與購後後果。預期成果與完成時間如表 12。</w:t>
      </w:r>
    </w:p>
    <w:p>
      <w:pPr>
        <w:keepNext/>
        <w:spacing w:before="120" w:after="80" w:line="360" w:lineRule="exact"/>
        <w:jc w:val="center"/>
      </w:pPr>
      <w:r>
        <w:rPr>
          <w:rFonts w:ascii="Times New Roman" w:hAnsi="Times New Roman" w:eastAsia="標楷體" w:cs="Times New Roman"/>
        </w:rPr>
        <w:t xml:space="preserve">表 12　預期成果與績效指標</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6238"/>
        <w:gridCol w:w="1500"/>
        <w:gridCol w:w="1900"/>
      </w:tblGrid>
      <w:tr>
        <w:trPr>
          <w:tblHeader/>
          <w:cantSplit/>
        </w:trPr>
        <w:tc>
          <w:tcPr>
            <w:tcW w:w="6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成果</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數量</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完成時間</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系統性文獻回顧（正式版）與預先註冊文件（每階段 1 份）</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2027.10</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AI 與真人主播購買者之階梯價值圖與比較報告</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2028.01</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直播購物價值傾向量表（含信效度報告）</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2028.03</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直播刺激物資料庫（三品類、AI 與真人主播、兩種話術）</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2028.04</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「主播類型 × 話術 × 品類」決策表</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2028.10</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直播購物購後路徑模型與退貨溝通建議</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2029.04</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中小企業 AI 主播導入指南；AI 主播揭露指引</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各 1</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公開資料集（去識別化）</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國際研討會論文</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2028.08–2029.07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期刊投稿（JAMS／IJRM；JM／JMR／JCR；ISR／JRCS）</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培育碩博士研究助理</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3–4 名</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計畫全期</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本研究計畫透過多階段研究設計，系統性比較 AI 虛擬主播與真人主播的說服機制與購後後果，提出一套兼具理論深度與實務意涵的分析架構。研究結果不僅為 AI 銷售代理的研究提供跨方法的實證基礎，也為平台、品牌與中小企業在導入 AI 主播時，提供兼顧銷售、退貨與消費者信任的具體方向。</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二、對於參與之工作人員，預期可獲之訓練</w:t>
      </w:r>
    </w:p>
    <w:p>
      <w:pPr>
        <w:pStyle w:val="Heading3"/>
        <w:keepNext/>
        <w:spacing w:before="120" w:after="40" w:line="440" w:lineRule="exact"/>
        <w:ind w:left="480" w:hanging="480"/>
      </w:pPr>
      <w:r>
        <w:rPr>
          <w:rFonts w:ascii="Times New Roman" w:hAnsi="Times New Roman" w:eastAsia="標楷體" w:cs="Times New Roman"/>
          <w:b/>
          <w:bCs/>
        </w:rPr>
        <w:t xml:space="preserve">(一) 對於計畫主持人而言，可整合質化與量化研究方法，並延伸至 AI 行銷與直播電商的跨領域研究。</w:t>
      </w:r>
    </w:p>
    <w:p>
      <w:pPr>
        <w:spacing w:before="0" w:after="0" w:line="440" w:lineRule="exact"/>
        <w:ind w:firstLineChars="200" w:firstLine="480"/>
        <w:jc w:val="both"/>
      </w:pPr>
      <w:r>
        <w:rPr>
          <w:rFonts w:ascii="Times New Roman" w:hAnsi="Times New Roman" w:eastAsia="標楷體" w:cs="Times New Roman"/>
        </w:rPr>
        <w:t xml:space="preserve">計畫主持人的學術專長在於電子商務與數位行銷中的消費者行為研究，有助於研究架構與假設之建構，以及訪談、實驗與問卷之設計。透過本計畫的執行，計畫主持人將更深入鑽研 AI 銷售代理、說服知識與購後行為的理論，並以二年三階段的系統觀點，詮釋消費者面對 AI 主播時的心理與行為。</w:t>
      </w:r>
    </w:p>
    <w:p>
      <w:pPr>
        <w:pStyle w:val="Heading3"/>
        <w:keepNext/>
        <w:spacing w:before="120" w:after="40" w:line="440" w:lineRule="exact"/>
        <w:ind w:left="480" w:hanging="480"/>
      </w:pPr>
      <w:r>
        <w:rPr>
          <w:rFonts w:ascii="Times New Roman" w:hAnsi="Times New Roman" w:eastAsia="標楷體" w:cs="Times New Roman"/>
          <w:b/>
          <w:bCs/>
        </w:rPr>
        <w:t xml:space="preserve">(二) 對於參與之研究助理而言，除了學習數位行銷之相關知識，亦可熟悉質化與量化研究方法。</w:t>
      </w:r>
    </w:p>
    <w:p>
      <w:pPr>
        <w:spacing w:before="0" w:after="0" w:line="440" w:lineRule="exact"/>
        <w:ind w:firstLineChars="200" w:firstLine="480"/>
        <w:jc w:val="both"/>
      </w:pPr>
      <w:r>
        <w:rPr>
          <w:rFonts w:ascii="Times New Roman" w:hAnsi="Times New Roman" w:eastAsia="標楷體" w:cs="Times New Roman"/>
        </w:rPr>
        <w:t xml:space="preserve">研究助理將參與系統性文獻回顧、階梯訪談、編碼、實驗刺激物製作與資料蒐集，並接受 SPSS、R 或 SmartPLS 的資料分析訓練，包括內容分析信度、線性混合模型、中介分析與多群組 SEM；同時學習預先註冊、開放資料等開放科學實務，以備將來獨立或共同研究之能力。</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三、對學術研究、國家發展及其他預期貢獻</w:t>
      </w:r>
    </w:p>
    <w:p>
      <w:pPr>
        <w:pStyle w:val="Heading3"/>
        <w:keepNext/>
        <w:spacing w:before="120" w:after="40" w:line="440" w:lineRule="exact"/>
        <w:ind w:left="480" w:hanging="480"/>
      </w:pPr>
      <w:r>
        <w:rPr>
          <w:rFonts w:ascii="Times New Roman" w:hAnsi="Times New Roman" w:eastAsia="標楷體" w:cs="Times New Roman"/>
          <w:b/>
          <w:bCs/>
        </w:rPr>
        <w:t xml:space="preserve">（一）學術研究績效</w:t>
      </w:r>
    </w:p>
    <w:p>
      <w:pPr>
        <w:spacing w:before="0" w:after="0" w:line="440" w:lineRule="exact"/>
        <w:ind w:firstLineChars="200" w:firstLine="480"/>
        <w:jc w:val="both"/>
      </w:pPr>
      <w:r>
        <w:rPr>
          <w:rFonts w:ascii="Times New Roman" w:hAnsi="Times New Roman" w:eastAsia="標楷體" w:cs="Times New Roman"/>
        </w:rPr>
        <w:t xml:space="preserve">本計畫結合方法目的鏈、實驗設計與結構方程模式，歷經價值發現、因果檢驗與模型推廣三個階段，三個階段各自形成可投稿國際期刊的貢獻：第一階段以價值鏈比較 AI 與真人主播的購買者，並發展價值傾向量表（目標期刊 JAMS 或 IJRM）；第二階段提出並檢驗「AI 主播因說服意圖知覺較低而減少退貨」的機制與揭露方式的影響（目標期刊 JM、JMR 或 JCR）；第三階段以實際退貨行為驗證直播購物的購後路徑（目標期刊 ISR 或 JRCS）。研究程序、問卷與去識別化資料將公開，使本計畫得以延展為長期且具累積性的研究脈絡。</w:t>
      </w:r>
    </w:p>
    <w:p>
      <w:pPr>
        <w:pStyle w:val="Heading3"/>
        <w:keepNext/>
        <w:spacing w:before="120" w:after="40" w:line="440" w:lineRule="exact"/>
        <w:ind w:left="480" w:hanging="480"/>
      </w:pPr>
      <w:r>
        <w:rPr>
          <w:rFonts w:ascii="Times New Roman" w:hAnsi="Times New Roman" w:eastAsia="標楷體" w:cs="Times New Roman"/>
          <w:b/>
          <w:bCs/>
        </w:rPr>
        <w:t xml:space="preserve">（二）實務應用與國家發展績效</w:t>
      </w:r>
    </w:p>
    <w:p>
      <w:pPr>
        <w:spacing w:before="0" w:after="0" w:line="440" w:lineRule="exact"/>
        <w:ind w:firstLineChars="200" w:firstLine="480"/>
        <w:jc w:val="both"/>
      </w:pPr>
      <w:r>
        <w:rPr>
          <w:rFonts w:ascii="Times New Roman" w:hAnsi="Times New Roman" w:eastAsia="標楷體" w:cs="Times New Roman"/>
        </w:rPr>
        <w:t xml:space="preserve">本計畫的「主播類型 × 話術 × 品類」決策表，可讓資源受限的中小企業以低成本判斷何時採用 AI 主播、如何撰寫話術，回應主題五的電商市場發展需求 (</w:t>
      </w:r>
      <w:hyperlink r:id="rIdL43"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)。研究成果可協助平台與品牌兼顧直播轉換與退貨成本，以降低退貨減少逆向物流。此外，本計畫的 AI 主播揭露指引，可作為平台規範與消費者保護政策的參考，促進 AI 在行銷中的負責任應用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 </w:t>
      </w:r>
      <w:hyperlink r:id="rIdL4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w:t>
      </w:r>
    </w:p>
    <w:p>
      <w:pPr>
        <w:pStyle w:val="Heading1"/>
        <w:keepNext/>
        <w:spacing w:before="240" w:after="120" w:line="440" w:lineRule="exact"/>
      </w:pPr>
      <w:r>
        <w:rPr>
          <w:rFonts w:ascii="Times New Roman" w:hAnsi="Times New Roman" w:eastAsia="標楷體" w:cs="Times New Roman"/>
          <w:b/>
          <w:bCs/>
          <w:sz w:val="28"/>
          <w:szCs w:val="28"/>
        </w:rPr>
        <w:t xml:space="preserve">肆、參考文獻</w:t>
      </w:r>
    </w:p>
    <w:p>
      <w:pPr>
        <w:spacing w:before="0" w:after="0" w:line="400" w:lineRule="exact"/>
        <w:ind w:left="480" w:hanging="480"/>
        <w:jc w:val="both"/>
      </w:pPr>
      <w:r>
        <w:rPr>
          <w:rFonts w:ascii="Times New Roman" w:hAnsi="Times New Roman" w:eastAsia="標楷體" w:cs="Times New Roman"/>
        </w:rPr>
        <w:t xml:space="preserve">Anderson, J. C., &amp; Gerbing, D. W. (1988). </w:t>
      </w:r>
      <w:hyperlink r:id="rIdL14" w:history="1">
        <w:r>
          <w:rPr>
            <w:rStyle w:val="Hyperlink"/>
            <w:rFonts w:ascii="Times New Roman" w:hAnsi="Times New Roman" w:eastAsia="標楷體" w:cs="Times New Roman"/>
          </w:rPr>
          <w:t xml:space="preserve">Structural equation modeling in practice: A review and recommended two-step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Bulletin, 103</w:t>
      </w:r>
      <w:r>
        <w:rPr>
          <w:rFonts w:ascii="Times New Roman" w:hAnsi="Times New Roman" w:eastAsia="標楷體" w:cs="Times New Roman"/>
        </w:rPr>
        <w:t xml:space="preserve">(3), 411–423.</w:t>
      </w:r>
    </w:p>
    <w:p>
      <w:pPr>
        <w:spacing w:before="0" w:after="0" w:line="400" w:lineRule="exact"/>
        <w:ind w:left="480" w:hanging="480"/>
        <w:jc w:val="both"/>
      </w:pPr>
      <w:r>
        <w:rPr>
          <w:rFonts w:ascii="Times New Roman" w:hAnsi="Times New Roman" w:eastAsia="標楷體" w:cs="Times New Roman"/>
        </w:rPr>
        <w:t xml:space="preserve">Audrezet, A., Koles, B., Moulard, J. G., Ameen, N., &amp; McKenna, B. (2025). </w:t>
      </w:r>
      <w:hyperlink r:id="rIdL57" w:history="1">
        <w:r>
          <w:rPr>
            <w:rStyle w:val="Hyperlink"/>
            <w:rFonts w:ascii="Times New Roman" w:hAnsi="Times New Roman" w:eastAsia="標楷體" w:cs="Times New Roman"/>
          </w:rPr>
          <w:t xml:space="preserve">Virtual influencers: Definition and future research directions.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200</w:t>
      </w:r>
      <w:r>
        <w:rPr>
          <w:rFonts w:ascii="Times New Roman" w:hAnsi="Times New Roman" w:eastAsia="標楷體" w:cs="Times New Roman"/>
        </w:rPr>
        <w:t xml:space="preserve">, 115647.</w:t>
      </w:r>
    </w:p>
    <w:p>
      <w:pPr>
        <w:spacing w:before="0" w:after="0" w:line="400" w:lineRule="exact"/>
        <w:ind w:left="480" w:hanging="480"/>
        <w:jc w:val="both"/>
      </w:pPr>
      <w:r>
        <w:rPr>
          <w:rFonts w:ascii="Times New Roman" w:hAnsi="Times New Roman" w:eastAsia="標楷體" w:cs="Times New Roman"/>
        </w:rPr>
        <w:t xml:space="preserve">Benjamini, Y., &amp; Hochberg, Y. (1995). </w:t>
      </w:r>
      <w:hyperlink r:id="rIdL85" w:history="1">
        <w:r>
          <w:rPr>
            <w:rStyle w:val="Hyperlink"/>
            <w:rFonts w:ascii="Times New Roman" w:hAnsi="Times New Roman" w:eastAsia="標楷體" w:cs="Times New Roman"/>
          </w:rPr>
          <w:t xml:space="preserve">Controlling the false discovery rate: A practical and powerful approach to multiple testing.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Royal Statistical Society: Series B, 57</w:t>
      </w:r>
      <w:r>
        <w:rPr>
          <w:rFonts w:ascii="Times New Roman" w:hAnsi="Times New Roman" w:eastAsia="標楷體" w:cs="Times New Roman"/>
        </w:rPr>
        <w:t xml:space="preserve">(1), 289–300.</w:t>
      </w:r>
    </w:p>
    <w:p>
      <w:pPr>
        <w:spacing w:before="0" w:after="0" w:line="400" w:lineRule="exact"/>
        <w:ind w:left="480" w:hanging="480"/>
        <w:jc w:val="both"/>
      </w:pPr>
      <w:r>
        <w:rPr>
          <w:rFonts w:ascii="Times New Roman" w:hAnsi="Times New Roman" w:eastAsia="標楷體" w:cs="Times New Roman"/>
        </w:rPr>
        <w:t xml:space="preserve">Bhattacharjee, D. R., Kuanr, A., Pradhan, D., &amp; Moharana, T. R. (2025). </w:t>
      </w:r>
      <w:hyperlink r:id="rIdL70" w:history="1">
        <w:r>
          <w:rPr>
            <w:rStyle w:val="Hyperlink"/>
            <w:rFonts w:ascii="Times New Roman" w:hAnsi="Times New Roman" w:eastAsia="標楷體" w:cs="Times New Roman"/>
          </w:rPr>
          <w:t xml:space="preserve">Fun or warm: How conversational style boosts customer engagement.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104293.</w:t>
      </w:r>
    </w:p>
    <w:p>
      <w:pPr>
        <w:spacing w:before="0" w:after="0" w:line="400" w:lineRule="exact"/>
        <w:ind w:left="480" w:hanging="480"/>
        <w:jc w:val="both"/>
      </w:pPr>
      <w:r>
        <w:rPr>
          <w:rFonts w:ascii="Times New Roman" w:hAnsi="Times New Roman" w:eastAsia="標楷體" w:cs="Times New Roman"/>
        </w:rPr>
        <w:t xml:space="preserve">Blut, M., Wang, C., Wünderlich, N. V., &amp; Brock, C. (2021). </w:t>
      </w:r>
      <w:hyperlink r:id="rIdL60" w:history="1">
        <w:r>
          <w:rPr>
            <w:rStyle w:val="Hyperlink"/>
            <w:rFonts w:ascii="Times New Roman" w:hAnsi="Times New Roman" w:eastAsia="標楷體" w:cs="Times New Roman"/>
          </w:rPr>
          <w:t xml:space="preserve">Understanding anthropomorphism in service provision: A meta-analysis of physical robots, chatbots, and other AI.</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49</w:t>
      </w:r>
      <w:r>
        <w:rPr>
          <w:rFonts w:ascii="Times New Roman" w:hAnsi="Times New Roman" w:eastAsia="標楷體" w:cs="Times New Roman"/>
        </w:rPr>
        <w:t xml:space="preserve">(4), 632–658.</w:t>
      </w:r>
    </w:p>
    <w:p>
      <w:pPr>
        <w:spacing w:before="0" w:after="0" w:line="400" w:lineRule="exact"/>
        <w:ind w:left="480" w:hanging="480"/>
        <w:jc w:val="both"/>
      </w:pPr>
      <w:r>
        <w:rPr>
          <w:rFonts w:ascii="Times New Roman" w:hAnsi="Times New Roman" w:eastAsia="標楷體" w:cs="Times New Roman"/>
        </w:rPr>
        <w:t xml:space="preserve">Brüns, J. D., &amp; Meißner, M. (2024). </w:t>
      </w:r>
      <w:hyperlink r:id="rIdL37" w:history="1">
        <w:r>
          <w:rPr>
            <w:rStyle w:val="Hyperlink"/>
            <w:rFonts w:ascii="Times New Roman" w:hAnsi="Times New Roman" w:eastAsia="標楷體" w:cs="Times New Roman"/>
          </w:rPr>
          <w:t xml:space="preserve">Do you create your content yourself? Using generative artificial intelligence for social media content creation diminishes perceived brand authenticity.</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79</w:t>
      </w:r>
      <w:r>
        <w:rPr>
          <w:rFonts w:ascii="Times New Roman" w:hAnsi="Times New Roman" w:eastAsia="標楷體" w:cs="Times New Roman"/>
        </w:rPr>
        <w:t xml:space="preserve">, 103790.</w:t>
      </w:r>
    </w:p>
    <w:p>
      <w:pPr>
        <w:spacing w:before="0" w:after="0" w:line="400" w:lineRule="exact"/>
        <w:ind w:left="480" w:hanging="480"/>
        <w:jc w:val="both"/>
      </w:pPr>
      <w:r>
        <w:rPr>
          <w:rFonts w:ascii="Times New Roman" w:hAnsi="Times New Roman" w:eastAsia="標楷體" w:cs="Times New Roman"/>
        </w:rPr>
        <w:t xml:space="preserve">Cacioppo, J. T., Petty, R. E., &amp; Kao, C. F. (1984). </w:t>
      </w:r>
      <w:hyperlink r:id="rIdL78" w:history="1">
        <w:r>
          <w:rPr>
            <w:rStyle w:val="Hyperlink"/>
            <w:rFonts w:ascii="Times New Roman" w:hAnsi="Times New Roman" w:eastAsia="標楷體" w:cs="Times New Roman"/>
          </w:rPr>
          <w:t xml:space="preserve">The efficient assessment of need for cognition.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Personality Assessment, 48</w:t>
      </w:r>
      <w:r>
        <w:rPr>
          <w:rFonts w:ascii="Times New Roman" w:hAnsi="Times New Roman" w:eastAsia="標楷體" w:cs="Times New Roman"/>
        </w:rPr>
        <w:t xml:space="preserve">(3), 306–307.</w:t>
      </w:r>
    </w:p>
    <w:p>
      <w:pPr>
        <w:spacing w:before="0" w:after="0" w:line="400" w:lineRule="exact"/>
        <w:ind w:left="480" w:hanging="480"/>
        <w:jc w:val="both"/>
      </w:pPr>
      <w:r>
        <w:rPr>
          <w:rFonts w:ascii="Times New Roman" w:hAnsi="Times New Roman" w:eastAsia="標楷體" w:cs="Times New Roman"/>
        </w:rPr>
        <w:t xml:space="preserve">Castelo, N., Bos, M. W., &amp; Lehmann, D. R. (2019). </w:t>
      </w:r>
      <w:hyperlink r:id="rIdL21" w:history="1">
        <w:r>
          <w:rPr>
            <w:rStyle w:val="Hyperlink"/>
            <w:rFonts w:ascii="Times New Roman" w:hAnsi="Times New Roman" w:eastAsia="標楷體" w:cs="Times New Roman"/>
          </w:rPr>
          <w:t xml:space="preserve">Task-dependent algorithm aversion.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56</w:t>
      </w:r>
      <w:r>
        <w:rPr>
          <w:rFonts w:ascii="Times New Roman" w:hAnsi="Times New Roman" w:eastAsia="標楷體" w:cs="Times New Roman"/>
        </w:rPr>
        <w:t xml:space="preserve">(5), 809–825.</w:t>
      </w:r>
    </w:p>
    <w:p>
      <w:pPr>
        <w:spacing w:before="0" w:after="0" w:line="400" w:lineRule="exact"/>
        <w:ind w:left="480" w:hanging="480"/>
        <w:jc w:val="both"/>
      </w:pPr>
      <w:r>
        <w:rPr>
          <w:rFonts w:ascii="Times New Roman" w:hAnsi="Times New Roman" w:eastAsia="標楷體" w:cs="Times New Roman"/>
        </w:rPr>
        <w:t xml:space="preserve">Chang, Y., Wang, H., &amp; Guo, Z. (2025). </w:t>
      </w:r>
      <w:hyperlink r:id="rIdL8" w:history="1">
        <w:r>
          <w:rPr>
            <w:rStyle w:val="Hyperlink"/>
            <w:rFonts w:ascii="Times New Roman" w:hAnsi="Times New Roman" w:eastAsia="標楷體" w:cs="Times New Roman"/>
          </w:rPr>
          <w:t xml:space="preserve">Artificial intelligence in live streaming: How can virtual streamers bring more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84</w:t>
      </w:r>
      <w:r>
        <w:rPr>
          <w:rFonts w:ascii="Times New Roman" w:hAnsi="Times New Roman" w:eastAsia="標楷體" w:cs="Times New Roman"/>
        </w:rPr>
        <w:t xml:space="preserve">, 104247.</w:t>
      </w:r>
    </w:p>
    <w:p>
      <w:pPr>
        <w:spacing w:before="0" w:after="0" w:line="400" w:lineRule="exact"/>
        <w:ind w:left="480" w:hanging="480"/>
        <w:jc w:val="both"/>
      </w:pPr>
      <w:r>
        <w:rPr>
          <w:rFonts w:ascii="Times New Roman" w:hAnsi="Times New Roman" w:eastAsia="標楷體" w:cs="Times New Roman"/>
        </w:rPr>
        <w:t xml:space="preserve">Chen, Y., Zhang, Y., Fan, H., &amp; Guo, Y. (2026). </w:t>
      </w:r>
      <w:hyperlink r:id="rIdL6" w:history="1">
        <w:r>
          <w:rPr>
            <w:rStyle w:val="Hyperlink"/>
            <w:rFonts w:ascii="Times New Roman" w:hAnsi="Times New Roman" w:eastAsia="標楷體" w:cs="Times New Roman"/>
          </w:rPr>
          <w:t xml:space="preserve">Can AI streamers drive purchases in food delivery e-commerce live streaming? Evidence from an O2O platform.</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90</w:t>
      </w:r>
      <w:r>
        <w:rPr>
          <w:rFonts w:ascii="Times New Roman" w:hAnsi="Times New Roman" w:eastAsia="標楷體" w:cs="Times New Roman"/>
        </w:rPr>
        <w:t xml:space="preserve">, 104683.</w:t>
      </w:r>
    </w:p>
    <w:p>
      <w:pPr>
        <w:spacing w:before="0" w:after="0" w:line="400" w:lineRule="exact"/>
        <w:ind w:left="480" w:hanging="480"/>
        <w:jc w:val="both"/>
      </w:pPr>
      <w:r>
        <w:rPr>
          <w:rFonts w:ascii="Times New Roman" w:hAnsi="Times New Roman" w:eastAsia="標楷體" w:cs="Times New Roman"/>
        </w:rPr>
        <w:t xml:space="preserve">Cheng, X., Bao, Y., Zarifis, A., Gong, W., &amp; Mou, J. (2022). </w:t>
      </w:r>
      <w:hyperlink r:id="rIdL49" w:history="1">
        <w:r>
          <w:rPr>
            <w:rStyle w:val="Hyperlink"/>
            <w:rFonts w:ascii="Times New Roman" w:hAnsi="Times New Roman" w:eastAsia="標楷體" w:cs="Times New Roman"/>
          </w:rPr>
          <w:t xml:space="preserve">Exploring consumers’ response to text-based chatbots in e-commerce: The moderating role of task complexity and chatbot disclosure.</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Internet Research, 32</w:t>
      </w:r>
      <w:r>
        <w:rPr>
          <w:rFonts w:ascii="Times New Roman" w:hAnsi="Times New Roman" w:eastAsia="標楷體" w:cs="Times New Roman"/>
        </w:rPr>
        <w:t xml:space="preserve">(2), 496–517.</w:t>
      </w:r>
    </w:p>
    <w:p>
      <w:pPr>
        <w:spacing w:before="0" w:after="0" w:line="400" w:lineRule="exact"/>
        <w:ind w:left="480" w:hanging="480"/>
        <w:jc w:val="both"/>
      </w:pPr>
      <w:r>
        <w:rPr>
          <w:rFonts w:ascii="Times New Roman" w:hAnsi="Times New Roman" w:eastAsia="標楷體" w:cs="Times New Roman"/>
        </w:rPr>
        <w:t xml:space="preserve">Cheung, G. W., &amp; Rensvold, R. B. (2002). </w:t>
      </w:r>
      <w:hyperlink r:id="rIdL31" w:history="1">
        <w:r>
          <w:rPr>
            <w:rStyle w:val="Hyperlink"/>
            <w:rFonts w:ascii="Times New Roman" w:hAnsi="Times New Roman" w:eastAsia="標楷體" w:cs="Times New Roman"/>
          </w:rPr>
          <w:t xml:space="preserve">Evaluating goodness-of-fit indexes for testing measurement invariance.</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9</w:t>
      </w:r>
      <w:r>
        <w:rPr>
          <w:rFonts w:ascii="Times New Roman" w:hAnsi="Times New Roman" w:eastAsia="標楷體" w:cs="Times New Roman"/>
        </w:rPr>
        <w:t xml:space="preserve">(2), 233–255.</w:t>
      </w:r>
    </w:p>
    <w:p>
      <w:pPr>
        <w:spacing w:before="0" w:after="0" w:line="400" w:lineRule="exact"/>
        <w:ind w:left="480" w:hanging="480"/>
        <w:jc w:val="both"/>
      </w:pPr>
      <w:r>
        <w:rPr>
          <w:rFonts w:ascii="Times New Roman" w:hAnsi="Times New Roman" w:eastAsia="標楷體" w:cs="Times New Roman"/>
        </w:rPr>
        <w:t xml:space="preserve">Cohen, J. (1960). </w:t>
      </w:r>
      <w:hyperlink r:id="rIdL79" w:history="1">
        <w:r>
          <w:rPr>
            <w:rStyle w:val="Hyperlink"/>
            <w:rFonts w:ascii="Times New Roman" w:hAnsi="Times New Roman" w:eastAsia="標楷體" w:cs="Times New Roman"/>
          </w:rPr>
          <w:t xml:space="preserve">A coefficient of agreement for nominal scales.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Educational and Psychological Measurement, 20</w:t>
      </w:r>
      <w:r>
        <w:rPr>
          <w:rFonts w:ascii="Times New Roman" w:hAnsi="Times New Roman" w:eastAsia="標楷體" w:cs="Times New Roman"/>
        </w:rPr>
        <w:t xml:space="preserve">(1), 37–46.</w:t>
      </w:r>
    </w:p>
    <w:p>
      <w:pPr>
        <w:spacing w:before="0" w:after="0" w:line="400" w:lineRule="exact"/>
        <w:ind w:left="480" w:hanging="480"/>
        <w:jc w:val="both"/>
      </w:pPr>
      <w:r>
        <w:rPr>
          <w:rFonts w:ascii="Times New Roman" w:hAnsi="Times New Roman" w:eastAsia="標楷體" w:cs="Times New Roman"/>
        </w:rPr>
        <w:t xml:space="preserve">Crolic, C., Thomaz, F., Hadi, R., &amp; Stephen, A. T. (2022). </w:t>
      </w:r>
      <w:hyperlink r:id="rIdL46" w:history="1">
        <w:r>
          <w:rPr>
            <w:rStyle w:val="Hyperlink"/>
            <w:rFonts w:ascii="Times New Roman" w:hAnsi="Times New Roman" w:eastAsia="標楷體" w:cs="Times New Roman"/>
          </w:rPr>
          <w:t xml:space="preserve">Blame the bot: Anthropomorphism and anger in customer–chatbot interactions.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86</w:t>
      </w:r>
      <w:r>
        <w:rPr>
          <w:rFonts w:ascii="Times New Roman" w:hAnsi="Times New Roman" w:eastAsia="標楷體" w:cs="Times New Roman"/>
        </w:rPr>
        <w:t xml:space="preserve">(1), 132–148.</w:t>
      </w:r>
    </w:p>
    <w:p>
      <w:pPr>
        <w:spacing w:before="0" w:after="0" w:line="400" w:lineRule="exact"/>
        <w:ind w:left="480" w:hanging="480"/>
        <w:jc w:val="both"/>
      </w:pPr>
      <w:r>
        <w:rPr>
          <w:rFonts w:ascii="Times New Roman" w:hAnsi="Times New Roman" w:eastAsia="標楷體" w:cs="Times New Roman"/>
        </w:rPr>
        <w:t xml:space="preserve">De Cicco, R., Iacobucci, S., Cannito, L., Onesti, G., Ceccato, I., &amp; Palumbo, R. (2024). </w:t>
      </w:r>
      <w:hyperlink r:id="rIdL40" w:history="1">
        <w:r>
          <w:rPr>
            <w:rStyle w:val="Hyperlink"/>
            <w:rFonts w:ascii="Times New Roman" w:hAnsi="Times New Roman" w:eastAsia="標楷體" w:cs="Times New Roman"/>
          </w:rPr>
          <w:t xml:space="preserve">Virtual vs. human influencer: Effects on users’ perceptions and brand outcomes.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77</w:t>
      </w:r>
      <w:r>
        <w:rPr>
          <w:rFonts w:ascii="Times New Roman" w:hAnsi="Times New Roman" w:eastAsia="標楷體" w:cs="Times New Roman"/>
        </w:rPr>
        <w:t xml:space="preserve">, 102488.</w:t>
      </w:r>
    </w:p>
    <w:p>
      <w:pPr>
        <w:spacing w:before="0" w:after="0" w:line="400" w:lineRule="exact"/>
        <w:ind w:left="480" w:hanging="480"/>
        <w:jc w:val="both"/>
      </w:pPr>
      <w:r>
        <w:rPr>
          <w:rFonts w:ascii="Times New Roman" w:hAnsi="Times New Roman" w:eastAsia="標楷體" w:cs="Times New Roman"/>
        </w:rPr>
        <w:t xml:space="preserve">Dhar, R., &amp; Wertenbroch, K. (2000). </w:t>
      </w:r>
      <w:hyperlink r:id="rIdL15" w:history="1">
        <w:r>
          <w:rPr>
            <w:rStyle w:val="Hyperlink"/>
            <w:rFonts w:ascii="Times New Roman" w:hAnsi="Times New Roman" w:eastAsia="標楷體" w:cs="Times New Roman"/>
          </w:rPr>
          <w:t xml:space="preserve">Consumer choice between hedonic and utilitarian goods.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37</w:t>
      </w:r>
      <w:r>
        <w:rPr>
          <w:rFonts w:ascii="Times New Roman" w:hAnsi="Times New Roman" w:eastAsia="標楷體" w:cs="Times New Roman"/>
        </w:rPr>
        <w:t xml:space="preserve">(1), 60–71.</w:t>
      </w:r>
    </w:p>
    <w:p>
      <w:pPr>
        <w:spacing w:before="0" w:after="0" w:line="400" w:lineRule="exact"/>
        <w:ind w:left="480" w:hanging="480"/>
        <w:jc w:val="both"/>
      </w:pPr>
      <w:r>
        <w:rPr>
          <w:rFonts w:ascii="Times New Roman" w:hAnsi="Times New Roman" w:eastAsia="標楷體" w:cs="Times New Roman"/>
        </w:rPr>
        <w:t xml:space="preserve">Dodds, W. B., Monroe, K. B., &amp; Grewal, D. (1991). </w:t>
      </w:r>
      <w:hyperlink r:id="rIdL83" w:history="1">
        <w:r>
          <w:rPr>
            <w:rStyle w:val="Hyperlink"/>
            <w:rFonts w:ascii="Times New Roman" w:hAnsi="Times New Roman" w:eastAsia="標楷體" w:cs="Times New Roman"/>
          </w:rPr>
          <w:t xml:space="preserve">Effects of price, brand, and store information on buyers' product evaluations.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28</w:t>
      </w:r>
      <w:r>
        <w:rPr>
          <w:rFonts w:ascii="Times New Roman" w:hAnsi="Times New Roman" w:eastAsia="標楷體" w:cs="Times New Roman"/>
        </w:rPr>
        <w:t xml:space="preserve">(3), 307–319.</w:t>
      </w:r>
    </w:p>
    <w:p>
      <w:pPr>
        <w:spacing w:before="0" w:after="0" w:line="400" w:lineRule="exact"/>
        <w:ind w:left="480" w:hanging="480"/>
        <w:jc w:val="both"/>
      </w:pPr>
      <w:r>
        <w:rPr>
          <w:rFonts w:ascii="Times New Roman" w:hAnsi="Times New Roman" w:eastAsia="標楷體" w:cs="Times New Roman"/>
        </w:rPr>
        <w:t xml:space="preserve">Duong, Q. H., et al. (2025). </w:t>
      </w:r>
      <w:hyperlink r:id="rIdL69" w:history="1">
        <w:r>
          <w:rPr>
            <w:rStyle w:val="Hyperlink"/>
            <w:rFonts w:ascii="Times New Roman" w:hAnsi="Times New Roman" w:eastAsia="標楷體" w:cs="Times New Roman"/>
          </w:rPr>
          <w:t xml:space="preserve">Striking the right balance: Customising return policy leniency for managing customer online return proclivity and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104315.</w:t>
      </w:r>
    </w:p>
    <w:p>
      <w:pPr>
        <w:spacing w:before="0" w:after="0" w:line="400" w:lineRule="exact"/>
        <w:ind w:left="480" w:hanging="480"/>
        <w:jc w:val="both"/>
      </w:pPr>
      <w:r>
        <w:rPr>
          <w:rFonts w:ascii="Times New Roman" w:hAnsi="Times New Roman" w:eastAsia="標楷體" w:cs="Times New Roman"/>
        </w:rPr>
        <w:t xml:space="preserve">Fan, X., Tao, W., Yu, H., &amp; Wang, Z. (2025). </w:t>
      </w:r>
      <w:hyperlink r:id="rIdL10" w:history="1">
        <w:r>
          <w:rPr>
            <w:rStyle w:val="Hyperlink"/>
            <w:rFonts w:ascii="Times New Roman" w:hAnsi="Times New Roman" w:eastAsia="標楷體" w:cs="Times New Roman"/>
          </w:rPr>
          <w:t xml:space="preserve">The higher the better? A study on the dark side of high engagement atmosphere in live streaming sales on consumer post-purchase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104303.</w:t>
      </w:r>
    </w:p>
    <w:p>
      <w:pPr>
        <w:spacing w:before="0" w:after="0" w:line="400" w:lineRule="exact"/>
        <w:ind w:left="480" w:hanging="480"/>
        <w:jc w:val="both"/>
      </w:pPr>
      <w:r>
        <w:rPr>
          <w:rFonts w:ascii="Times New Roman" w:hAnsi="Times New Roman" w:eastAsia="標楷體" w:cs="Times New Roman"/>
        </w:rPr>
        <w:t xml:space="preserve">Faul, F., Erdfelder, E., Lang, A.-G., &amp; Buchner, A. (2007). </w:t>
      </w:r>
      <w:hyperlink r:id="rIdL82" w:history="1">
        <w:r>
          <w:rPr>
            <w:rStyle w:val="Hyperlink"/>
            <w:rFonts w:ascii="Times New Roman" w:hAnsi="Times New Roman" w:eastAsia="標楷體" w:cs="Times New Roman"/>
          </w:rPr>
          <w:t xml:space="preserve">G*Power 3: A flexible statistical power analysis program for the social, behavioral, and biomedical sciences.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Behavior Research Methods, 39</w:t>
      </w:r>
      <w:r>
        <w:rPr>
          <w:rFonts w:ascii="Times New Roman" w:hAnsi="Times New Roman" w:eastAsia="標楷體" w:cs="Times New Roman"/>
        </w:rPr>
        <w:t xml:space="preserve">(2), 175–191.</w:t>
      </w:r>
    </w:p>
    <w:p>
      <w:pPr>
        <w:spacing w:before="0" w:after="0" w:line="400" w:lineRule="exact"/>
        <w:ind w:left="480" w:hanging="480"/>
        <w:jc w:val="both"/>
      </w:pPr>
      <w:r>
        <w:rPr>
          <w:rFonts w:ascii="Times New Roman" w:hAnsi="Times New Roman" w:eastAsia="標楷體" w:cs="Times New Roman"/>
        </w:rPr>
        <w:t xml:space="preserve">Feng, X., Rong, Y., Tian, X., Wang, M., &amp; Yao, Y. (2025). </w:t>
      </w:r>
      <w:hyperlink r:id="rIdL9" w:history="1">
        <w:r>
          <w:rPr>
            <w:rStyle w:val="Hyperlink"/>
            <w:rFonts w:ascii="Times New Roman" w:hAnsi="Times New Roman" w:eastAsia="標楷體" w:cs="Times New Roman"/>
          </w:rPr>
          <w:t xml:space="preserve">When persuasion is too persuasive: An empirical analysis of product returns in livestream e-commerce.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Production and Operations Management, 34</w:t>
      </w:r>
      <w:r>
        <w:rPr>
          <w:rFonts w:ascii="Times New Roman" w:hAnsi="Times New Roman" w:eastAsia="標楷體" w:cs="Times New Roman"/>
        </w:rPr>
        <w:t xml:space="preserve">(12), 3978–3997.</w:t>
      </w:r>
    </w:p>
    <w:p>
      <w:pPr>
        <w:spacing w:before="0" w:after="0" w:line="400" w:lineRule="exact"/>
        <w:ind w:left="480" w:hanging="480"/>
        <w:jc w:val="both"/>
      </w:pPr>
      <w:r>
        <w:rPr>
          <w:rFonts w:ascii="Times New Roman" w:hAnsi="Times New Roman" w:eastAsia="標楷體" w:cs="Times New Roman"/>
        </w:rPr>
        <w:t xml:space="preserve">Fiske, S. T., Cuddy, A. J. C., &amp; Glick, P. (2007). </w:t>
      </w:r>
      <w:hyperlink r:id="rIdL24" w:history="1">
        <w:r>
          <w:rPr>
            <w:rStyle w:val="Hyperlink"/>
            <w:rFonts w:ascii="Times New Roman" w:hAnsi="Times New Roman" w:eastAsia="標楷體" w:cs="Times New Roman"/>
          </w:rPr>
          <w:t xml:space="preserve">Universal dimensions of social cognition: Warmth and competence.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Trends in Cognitive Sciences, 11</w:t>
      </w:r>
      <w:r>
        <w:rPr>
          <w:rFonts w:ascii="Times New Roman" w:hAnsi="Times New Roman" w:eastAsia="標楷體" w:cs="Times New Roman"/>
        </w:rPr>
        <w:t xml:space="preserve">(2), 77–83.</w:t>
      </w:r>
    </w:p>
    <w:p>
      <w:pPr>
        <w:spacing w:before="0" w:after="0" w:line="400" w:lineRule="exact"/>
        <w:ind w:left="480" w:hanging="480"/>
        <w:jc w:val="both"/>
      </w:pPr>
      <w:r>
        <w:rPr>
          <w:rFonts w:ascii="Times New Roman" w:hAnsi="Times New Roman" w:eastAsia="標楷體" w:cs="Times New Roman"/>
        </w:rPr>
        <w:t xml:space="preserve">Fornell, C., &amp; Larcker, D. F. (1981). </w:t>
      </w:r>
      <w:hyperlink r:id="rIdL80" w:history="1">
        <w:r>
          <w:rPr>
            <w:rStyle w:val="Hyperlink"/>
            <w:rFonts w:ascii="Times New Roman" w:hAnsi="Times New Roman" w:eastAsia="標楷體" w:cs="Times New Roman"/>
          </w:rPr>
          <w:t xml:space="preserve">Evaluating structural equation models with unobservable variables and measurement error.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18</w:t>
      </w:r>
      <w:r>
        <w:rPr>
          <w:rFonts w:ascii="Times New Roman" w:hAnsi="Times New Roman" w:eastAsia="標楷體" w:cs="Times New Roman"/>
        </w:rPr>
        <w:t xml:space="preserve">(1), 39–50.</w:t>
      </w:r>
    </w:p>
    <w:p>
      <w:pPr>
        <w:spacing w:before="0" w:after="0" w:line="400" w:lineRule="exact"/>
        <w:ind w:left="480" w:hanging="480"/>
        <w:jc w:val="both"/>
      </w:pPr>
      <w:r>
        <w:rPr>
          <w:rFonts w:ascii="Times New Roman" w:hAnsi="Times New Roman" w:eastAsia="標楷體" w:cs="Times New Roman"/>
        </w:rPr>
        <w:t xml:space="preserve">Franke, C., Groeppel-Klein, A., &amp; Müller, K. (2023). </w:t>
      </w:r>
      <w:hyperlink r:id="rIdL55" w:history="1">
        <w:r>
          <w:rPr>
            <w:rStyle w:val="Hyperlink"/>
            <w:rFonts w:ascii="Times New Roman" w:hAnsi="Times New Roman" w:eastAsia="標楷體" w:cs="Times New Roman"/>
          </w:rPr>
          <w:t xml:space="preserve">Consumers' responses to virtual influencers as advertising endorsers: Novel and effective or uncanny and deceiving?.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52</w:t>
      </w:r>
      <w:r>
        <w:rPr>
          <w:rFonts w:ascii="Times New Roman" w:hAnsi="Times New Roman" w:eastAsia="標楷體" w:cs="Times New Roman"/>
        </w:rPr>
        <w:t xml:space="preserve">(4), 523–539.</w:t>
      </w:r>
    </w:p>
    <w:p>
      <w:pPr>
        <w:spacing w:before="0" w:after="0" w:line="400" w:lineRule="exact"/>
        <w:ind w:left="480" w:hanging="480"/>
        <w:jc w:val="both"/>
      </w:pPr>
      <w:r>
        <w:rPr>
          <w:rFonts w:ascii="Times New Roman" w:hAnsi="Times New Roman" w:eastAsia="標楷體" w:cs="Times New Roman"/>
        </w:rPr>
        <w:t xml:space="preserve">Friestad, M., &amp; Wright, P. (1994). </w:t>
      </w:r>
      <w:hyperlink r:id="rIdL26" w:history="1">
        <w:r>
          <w:rPr>
            <w:rStyle w:val="Hyperlink"/>
            <w:rFonts w:ascii="Times New Roman" w:hAnsi="Times New Roman" w:eastAsia="標楷體" w:cs="Times New Roman"/>
          </w:rPr>
          <w:t xml:space="preserve">The persuasion knowledge model: How people cope with persuasion attempts.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21</w:t>
      </w:r>
      <w:r>
        <w:rPr>
          <w:rFonts w:ascii="Times New Roman" w:hAnsi="Times New Roman" w:eastAsia="標楷體" w:cs="Times New Roman"/>
        </w:rPr>
        <w:t xml:space="preserve">(1), 1–31.</w:t>
      </w:r>
    </w:p>
    <w:p>
      <w:pPr>
        <w:spacing w:before="0" w:after="0" w:line="400" w:lineRule="exact"/>
        <w:ind w:left="480" w:hanging="480"/>
        <w:jc w:val="both"/>
      </w:pPr>
      <w:r>
        <w:rPr>
          <w:rFonts w:ascii="Times New Roman" w:hAnsi="Times New Roman" w:eastAsia="標楷體" w:cs="Times New Roman"/>
        </w:rPr>
        <w:t xml:space="preserve">Garvey, A. M., Kim, T., &amp; Duhachek, A. (2023). </w:t>
      </w:r>
      <w:hyperlink r:id="rIdL27" w:history="1">
        <w:r>
          <w:rPr>
            <w:rStyle w:val="Hyperlink"/>
            <w:rFonts w:ascii="Times New Roman" w:hAnsi="Times New Roman" w:eastAsia="標楷體" w:cs="Times New Roman"/>
          </w:rPr>
          <w:t xml:space="preserve">Bad news? Send an AI. Good news? Send a human.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87</w:t>
      </w:r>
      <w:r>
        <w:rPr>
          <w:rFonts w:ascii="Times New Roman" w:hAnsi="Times New Roman" w:eastAsia="標楷體" w:cs="Times New Roman"/>
        </w:rPr>
        <w:t xml:space="preserve">(1), 10–25.</w:t>
      </w:r>
    </w:p>
    <w:p>
      <w:pPr>
        <w:spacing w:before="0" w:after="0" w:line="400" w:lineRule="exact"/>
        <w:ind w:left="480" w:hanging="480"/>
        <w:jc w:val="both"/>
      </w:pPr>
      <w:r>
        <w:rPr>
          <w:rFonts w:ascii="Times New Roman" w:hAnsi="Times New Roman" w:eastAsia="標楷體" w:cs="Times New Roman"/>
        </w:rPr>
        <w:t xml:space="preserve">Gefen, D., Karahanna, E., &amp; Straub, D. W. (2003). </w:t>
      </w:r>
      <w:hyperlink r:id="rIdL74" w:history="1">
        <w:r>
          <w:rPr>
            <w:rStyle w:val="Hyperlink"/>
            <w:rFonts w:ascii="Times New Roman" w:hAnsi="Times New Roman" w:eastAsia="標楷體" w:cs="Times New Roman"/>
          </w:rPr>
          <w:t xml:space="preserve">Trust and TAM in online shopping: An integrated model.</w:t>
        </w:r>
      </w:hyperlink>
      <w:r>
        <w:rPr>
          <w:rFonts w:ascii="Times New Roman" w:hAnsi="Times New Roman" w:eastAsia="標楷體" w:cs="Times New Roman"/>
        </w:rPr>
        <w:t xml:space="preserve"> </w:t>
      </w:r>
      <w:r>
        <w:rPr>
          <w:rFonts w:ascii="Times New Roman" w:hAnsi="Times New Roman" w:eastAsia="標楷體" w:cs="Times New Roman"/>
          <w:i/>
          <w:iCs/>
        </w:rPr>
        <w:t xml:space="preserve">MIS Quarterly, 27</w:t>
      </w:r>
      <w:r>
        <w:rPr>
          <w:rFonts w:ascii="Times New Roman" w:hAnsi="Times New Roman" w:eastAsia="標楷體" w:cs="Times New Roman"/>
        </w:rPr>
        <w:t xml:space="preserve">(1), 51–90.</w:t>
      </w:r>
    </w:p>
    <w:p>
      <w:pPr>
        <w:spacing w:before="0" w:after="0" w:line="400" w:lineRule="exact"/>
        <w:ind w:left="480" w:hanging="480"/>
        <w:jc w:val="both"/>
      </w:pPr>
      <w:r>
        <w:rPr>
          <w:rFonts w:ascii="Times New Roman" w:hAnsi="Times New Roman" w:eastAsia="標楷體" w:cs="Times New Roman"/>
        </w:rPr>
        <w:t xml:space="preserve">Gnewuch, U., Morana, S., Hinz, O., Kellner, R., &amp; Maedche, A. (2024). </w:t>
      </w:r>
      <w:hyperlink r:id="rIdL39" w:history="1">
        <w:r>
          <w:rPr>
            <w:rStyle w:val="Hyperlink"/>
            <w:rFonts w:ascii="Times New Roman" w:hAnsi="Times New Roman" w:eastAsia="標楷體" w:cs="Times New Roman"/>
          </w:rPr>
          <w:t xml:space="preserve">More than a bot? The impact of disclosing human involvement on customer interactions with hybrid service agents.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 35</w:t>
      </w:r>
      <w:r>
        <w:rPr>
          <w:rFonts w:ascii="Times New Roman" w:hAnsi="Times New Roman" w:eastAsia="標楷體" w:cs="Times New Roman"/>
        </w:rPr>
        <w:t xml:space="preserve">(3), 936–955.</w:t>
      </w:r>
    </w:p>
    <w:p>
      <w:pPr>
        <w:spacing w:before="0" w:after="0" w:line="400" w:lineRule="exact"/>
        <w:ind w:left="480" w:hanging="480"/>
        <w:jc w:val="both"/>
      </w:pPr>
      <w:r>
        <w:rPr>
          <w:rFonts w:ascii="Times New Roman" w:hAnsi="Times New Roman" w:eastAsia="標楷體" w:cs="Times New Roman"/>
        </w:rPr>
        <w:t xml:space="preserve">Gong, Y., Huang, R., Chen, Z., Liu, Y., &amp; Tan, Y. (2025). </w:t>
      </w:r>
      <w:hyperlink r:id="rIdL23" w:history="1">
        <w:r>
          <w:rPr>
            <w:rStyle w:val="Hyperlink"/>
            <w:rFonts w:ascii="Times New Roman" w:hAnsi="Times New Roman" w:eastAsia="標楷體" w:cs="Times New Roman"/>
          </w:rPr>
          <w:t xml:space="preserve">Are assertive messages more effective in live marketing? Matching effects of anchor type and message assertiveness on purchase intention.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104286.</w:t>
      </w:r>
    </w:p>
    <w:p>
      <w:pPr>
        <w:spacing w:before="0" w:after="0" w:line="400" w:lineRule="exact"/>
        <w:ind w:left="480" w:hanging="480"/>
        <w:jc w:val="both"/>
      </w:pPr>
      <w:r>
        <w:rPr>
          <w:rFonts w:ascii="Times New Roman" w:hAnsi="Times New Roman" w:eastAsia="標楷體" w:cs="Times New Roman"/>
        </w:rPr>
        <w:t xml:space="preserve">Grunert, K. G., &amp; Grunert, S. C. (1995). </w:t>
      </w:r>
      <w:hyperlink r:id="rIdL18" w:history="1">
        <w:r>
          <w:rPr>
            <w:rStyle w:val="Hyperlink"/>
            <w:rFonts w:ascii="Times New Roman" w:hAnsi="Times New Roman" w:eastAsia="標楷體" w:cs="Times New Roman"/>
          </w:rPr>
          <w:t xml:space="preserve">Measuring subjective meaning structures by the laddering method: Theoretical considerations and methodological problems.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209–225.</w:t>
      </w:r>
    </w:p>
    <w:p>
      <w:pPr>
        <w:spacing w:before="0" w:after="0" w:line="400" w:lineRule="exact"/>
        <w:ind w:left="480" w:hanging="480"/>
        <w:jc w:val="both"/>
      </w:pPr>
      <w:r>
        <w:rPr>
          <w:rFonts w:ascii="Times New Roman" w:hAnsi="Times New Roman" w:eastAsia="標楷體" w:cs="Times New Roman"/>
        </w:rPr>
        <w:t xml:space="preserve">Gu, X., Zhang, X., &amp; Kannan, P. K. (2024). </w:t>
      </w:r>
      <w:hyperlink r:id="rIdL3" w:history="1">
        <w:r>
          <w:rPr>
            <w:rStyle w:val="Hyperlink"/>
            <w:rFonts w:ascii="Times New Roman" w:hAnsi="Times New Roman" w:eastAsia="標楷體" w:cs="Times New Roman"/>
          </w:rPr>
          <w:t xml:space="preserve">Influencer mix strategies in livestream commerce: Impact on product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88</w:t>
      </w:r>
      <w:r>
        <w:rPr>
          <w:rFonts w:ascii="Times New Roman" w:hAnsi="Times New Roman" w:eastAsia="標楷體" w:cs="Times New Roman"/>
        </w:rPr>
        <w:t xml:space="preserve">(4), 64–83.</w:t>
      </w:r>
    </w:p>
    <w:p>
      <w:pPr>
        <w:spacing w:before="0" w:after="0" w:line="400" w:lineRule="exact"/>
        <w:ind w:left="480" w:hanging="480"/>
        <w:jc w:val="both"/>
      </w:pPr>
      <w:r>
        <w:rPr>
          <w:rFonts w:ascii="Times New Roman" w:hAnsi="Times New Roman" w:eastAsia="標楷體" w:cs="Times New Roman"/>
        </w:rPr>
        <w:t xml:space="preserve">Gutman, J. (1982). </w:t>
      </w:r>
      <w:hyperlink r:id="rIdL12" w:history="1">
        <w:r>
          <w:rPr>
            <w:rStyle w:val="Hyperlink"/>
            <w:rFonts w:ascii="Times New Roman" w:hAnsi="Times New Roman" w:eastAsia="標楷體" w:cs="Times New Roman"/>
          </w:rPr>
          <w:t xml:space="preserve">A means-end chain model based on consumer categorization processes.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46</w:t>
      </w:r>
      <w:r>
        <w:rPr>
          <w:rFonts w:ascii="Times New Roman" w:hAnsi="Times New Roman" w:eastAsia="標楷體" w:cs="Times New Roman"/>
        </w:rPr>
        <w:t xml:space="preserve">(2), 60–72.</w:t>
      </w:r>
    </w:p>
    <w:p>
      <w:pPr>
        <w:spacing w:before="0" w:after="0" w:line="400" w:lineRule="exact"/>
        <w:ind w:left="480" w:hanging="480"/>
        <w:jc w:val="both"/>
      </w:pPr>
      <w:r>
        <w:rPr>
          <w:rFonts w:ascii="Times New Roman" w:hAnsi="Times New Roman" w:eastAsia="標楷體" w:cs="Times New Roman"/>
        </w:rPr>
        <w:t xml:space="preserve">Hair, J. F., Risher, J. J., Sarstedt, M., &amp; Ringle, C. M. (2019). </w:t>
      </w:r>
      <w:hyperlink r:id="rIdL88" w:history="1">
        <w:r>
          <w:rPr>
            <w:rStyle w:val="Hyperlink"/>
            <w:rFonts w:ascii="Times New Roman" w:hAnsi="Times New Roman" w:eastAsia="標楷體" w:cs="Times New Roman"/>
          </w:rPr>
          <w:t xml:space="preserve">When to use and how to report the results of PLS-SEM.</w:t>
        </w:r>
      </w:hyperlink>
      <w:r>
        <w:rPr>
          <w:rFonts w:ascii="Times New Roman" w:hAnsi="Times New Roman" w:eastAsia="標楷體" w:cs="Times New Roman"/>
        </w:rPr>
        <w:t xml:space="preserve"> </w:t>
      </w:r>
      <w:r>
        <w:rPr>
          <w:rFonts w:ascii="Times New Roman" w:hAnsi="Times New Roman" w:eastAsia="標楷體" w:cs="Times New Roman"/>
          <w:i/>
          <w:iCs/>
        </w:rPr>
        <w:t xml:space="preserve">European Business Review, 31</w:t>
      </w:r>
      <w:r>
        <w:rPr>
          <w:rFonts w:ascii="Times New Roman" w:hAnsi="Times New Roman" w:eastAsia="標楷體" w:cs="Times New Roman"/>
        </w:rPr>
        <w:t xml:space="preserve">(1), 2–24.</w:t>
      </w:r>
    </w:p>
    <w:p>
      <w:pPr>
        <w:spacing w:before="0" w:after="0" w:line="400" w:lineRule="exact"/>
        <w:ind w:left="480" w:hanging="480"/>
        <w:jc w:val="both"/>
      </w:pPr>
      <w:r>
        <w:rPr>
          <w:rFonts w:ascii="Times New Roman" w:hAnsi="Times New Roman" w:eastAsia="標楷體" w:cs="Times New Roman"/>
        </w:rPr>
        <w:t xml:space="preserve">Henseler, J., Ringle, C. M., &amp; Sarstedt, M. (2016). </w:t>
      </w:r>
      <w:hyperlink r:id="rIdL75" w:history="1">
        <w:r>
          <w:rPr>
            <w:rStyle w:val="Hyperlink"/>
            <w:rFonts w:ascii="Times New Roman" w:hAnsi="Times New Roman" w:eastAsia="標楷體" w:cs="Times New Roman"/>
          </w:rPr>
          <w:t xml:space="preserve">Testing measurement invariance of composites using partial least squares.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Marketing Review, 33</w:t>
      </w:r>
      <w:r>
        <w:rPr>
          <w:rFonts w:ascii="Times New Roman" w:hAnsi="Times New Roman" w:eastAsia="標楷體" w:cs="Times New Roman"/>
        </w:rPr>
        <w:t xml:space="preserve">(3), 405–431.</w:t>
      </w:r>
    </w:p>
    <w:p>
      <w:pPr>
        <w:spacing w:before="0" w:after="0" w:line="400" w:lineRule="exact"/>
        <w:ind w:left="480" w:hanging="480"/>
        <w:jc w:val="both"/>
      </w:pPr>
      <w:r>
        <w:rPr>
          <w:rFonts w:ascii="Times New Roman" w:hAnsi="Times New Roman" w:eastAsia="標楷體" w:cs="Times New Roman"/>
        </w:rPr>
        <w:t xml:space="preserve">Holbrook, M. B., &amp; Hirschman, E. C. (1982). </w:t>
      </w:r>
      <w:hyperlink r:id="rIdL67" w:history="1">
        <w:r>
          <w:rPr>
            <w:rStyle w:val="Hyperlink"/>
            <w:rFonts w:ascii="Times New Roman" w:hAnsi="Times New Roman" w:eastAsia="標楷體" w:cs="Times New Roman"/>
          </w:rPr>
          <w:t xml:space="preserve">The experiential aspects of consumption: Consumer fantasies, feelings, and fun.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9</w:t>
      </w:r>
      <w:r>
        <w:rPr>
          <w:rFonts w:ascii="Times New Roman" w:hAnsi="Times New Roman" w:eastAsia="標楷體" w:cs="Times New Roman"/>
        </w:rPr>
        <w:t xml:space="preserve">(2), 132–140.</w:t>
      </w:r>
    </w:p>
    <w:p>
      <w:pPr>
        <w:spacing w:before="0" w:after="0" w:line="400" w:lineRule="exact"/>
        <w:ind w:left="480" w:hanging="480"/>
        <w:jc w:val="both"/>
      </w:pPr>
      <w:r>
        <w:rPr>
          <w:rFonts w:ascii="Times New Roman" w:hAnsi="Times New Roman" w:eastAsia="標楷體" w:cs="Times New Roman"/>
        </w:rPr>
        <w:t xml:space="preserve">Holthöwer, J., &amp; van Doorn, J. (2023). </w:t>
      </w:r>
      <w:hyperlink r:id="rIdL62" w:history="1">
        <w:r>
          <w:rPr>
            <w:rStyle w:val="Hyperlink"/>
            <w:rFonts w:ascii="Times New Roman" w:hAnsi="Times New Roman" w:eastAsia="標楷體" w:cs="Times New Roman"/>
          </w:rPr>
          <w:t xml:space="preserve">Robots do not judge: Service robots can alleviate embarrassment in service encounters.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51</w:t>
      </w:r>
      <w:r>
        <w:rPr>
          <w:rFonts w:ascii="Times New Roman" w:hAnsi="Times New Roman" w:eastAsia="標楷體" w:cs="Times New Roman"/>
        </w:rPr>
        <w:t xml:space="preserve">(4), 767–784.</w:t>
      </w:r>
    </w:p>
    <w:p>
      <w:pPr>
        <w:spacing w:before="0" w:after="0" w:line="400" w:lineRule="exact"/>
        <w:ind w:left="480" w:hanging="480"/>
        <w:jc w:val="both"/>
      </w:pPr>
      <w:r>
        <w:rPr>
          <w:rFonts w:ascii="Times New Roman" w:hAnsi="Times New Roman" w:eastAsia="標楷體" w:cs="Times New Roman"/>
        </w:rPr>
        <w:t xml:space="preserve">Hu, J. (2027). </w:t>
      </w:r>
      <w:hyperlink r:id="rIdL35" w:history="1">
        <w:r>
          <w:rPr>
            <w:rStyle w:val="Hyperlink"/>
            <w:rFonts w:ascii="Times New Roman" w:hAnsi="Times New Roman" w:eastAsia="標楷體" w:cs="Times New Roman"/>
          </w:rPr>
          <w:t xml:space="preserve">Beyond sales: Seller explanation, product availability, and returns in livestream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95</w:t>
      </w:r>
      <w:r>
        <w:rPr>
          <w:rFonts w:ascii="Times New Roman" w:hAnsi="Times New Roman" w:eastAsia="標楷體" w:cs="Times New Roman"/>
        </w:rPr>
        <w:t xml:space="preserve">, 105145.</w:t>
      </w:r>
    </w:p>
    <w:p>
      <w:pPr>
        <w:spacing w:before="0" w:after="0" w:line="400" w:lineRule="exact"/>
        <w:ind w:left="480" w:hanging="480"/>
        <w:jc w:val="both"/>
      </w:pPr>
      <w:r>
        <w:rPr>
          <w:rFonts w:ascii="Times New Roman" w:hAnsi="Times New Roman" w:eastAsia="標楷體" w:cs="Times New Roman"/>
        </w:rPr>
        <w:t xml:space="preserve">Hu, L., &amp; Bentler, P. M. (1999). </w:t>
      </w:r>
      <w:hyperlink r:id="rIdL81" w:history="1">
        <w:r>
          <w:rPr>
            <w:rStyle w:val="Hyperlink"/>
            <w:rFonts w:ascii="Times New Roman" w:hAnsi="Times New Roman" w:eastAsia="標楷體" w:cs="Times New Roman"/>
          </w:rPr>
          <w:t xml:space="preserve">Cutoff criteria for fit indexes in covariance structure analysis: Conventional criteria versus new alternatives.</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6</w:t>
      </w:r>
      <w:r>
        <w:rPr>
          <w:rFonts w:ascii="Times New Roman" w:hAnsi="Times New Roman" w:eastAsia="標楷體" w:cs="Times New Roman"/>
        </w:rPr>
        <w:t xml:space="preserve">(1), 1–55.</w:t>
      </w:r>
    </w:p>
    <w:p>
      <w:pPr>
        <w:spacing w:before="0" w:after="0" w:line="400" w:lineRule="exact"/>
        <w:ind w:left="480" w:hanging="480"/>
        <w:jc w:val="both"/>
      </w:pPr>
      <w:r>
        <w:rPr>
          <w:rFonts w:ascii="Times New Roman" w:hAnsi="Times New Roman" w:eastAsia="標楷體" w:cs="Times New Roman"/>
        </w:rPr>
        <w:t xml:space="preserve">Huang, M.-H., &amp; Rust, R. T. (2021). </w:t>
      </w:r>
      <w:hyperlink r:id="rIdL59" w:history="1">
        <w:r>
          <w:rPr>
            <w:rStyle w:val="Hyperlink"/>
            <w:rFonts w:ascii="Times New Roman" w:hAnsi="Times New Roman" w:eastAsia="標楷體" w:cs="Times New Roman"/>
          </w:rPr>
          <w:t xml:space="preserve">A strategic framework for artificial intelligence in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49</w:t>
      </w:r>
      <w:r>
        <w:rPr>
          <w:rFonts w:ascii="Times New Roman" w:hAnsi="Times New Roman" w:eastAsia="標楷體" w:cs="Times New Roman"/>
        </w:rPr>
        <w:t xml:space="preserve">(1), 30–50.</w:t>
      </w:r>
    </w:p>
    <w:p>
      <w:pPr>
        <w:spacing w:before="0" w:after="0" w:line="400" w:lineRule="exact"/>
        <w:ind w:left="480" w:hanging="480"/>
        <w:jc w:val="both"/>
      </w:pPr>
      <w:r>
        <w:rPr>
          <w:rFonts w:ascii="Times New Roman" w:hAnsi="Times New Roman" w:eastAsia="標楷體" w:cs="Times New Roman"/>
        </w:rPr>
        <w:t xml:space="preserve">Janakiraman, N., Syrdal, H. A., &amp; Freling, R. (2016). </w:t>
      </w:r>
      <w:hyperlink r:id="rIdL68" w:history="1">
        <w:r>
          <w:rPr>
            <w:rStyle w:val="Hyperlink"/>
            <w:rFonts w:ascii="Times New Roman" w:hAnsi="Times New Roman" w:eastAsia="標楷體" w:cs="Times New Roman"/>
          </w:rPr>
          <w:t xml:space="preserve">The effect of return policy leniency on consumer purchase and return decisions: A meta-analytic review.</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92</w:t>
      </w:r>
      <w:r>
        <w:rPr>
          <w:rFonts w:ascii="Times New Roman" w:hAnsi="Times New Roman" w:eastAsia="標楷體" w:cs="Times New Roman"/>
        </w:rPr>
        <w:t xml:space="preserve">(2), 226–235.</w:t>
      </w:r>
    </w:p>
    <w:p>
      <w:pPr>
        <w:spacing w:before="0" w:after="0" w:line="400" w:lineRule="exact"/>
        <w:ind w:left="480" w:hanging="480"/>
        <w:jc w:val="both"/>
      </w:pPr>
      <w:r>
        <w:rPr>
          <w:rFonts w:ascii="Times New Roman" w:hAnsi="Times New Roman" w:eastAsia="標楷體" w:cs="Times New Roman"/>
        </w:rPr>
        <w:t xml:space="preserve">Kassarjian, H. H. (1977). </w:t>
      </w:r>
      <w:hyperlink r:id="rIdL65" w:history="1">
        <w:r>
          <w:rPr>
            <w:rStyle w:val="Hyperlink"/>
            <w:rFonts w:ascii="Times New Roman" w:hAnsi="Times New Roman" w:eastAsia="標楷體" w:cs="Times New Roman"/>
          </w:rPr>
          <w:t xml:space="preserve">Content analysis in consumer research.</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4</w:t>
      </w:r>
      <w:r>
        <w:rPr>
          <w:rFonts w:ascii="Times New Roman" w:hAnsi="Times New Roman" w:eastAsia="標楷體" w:cs="Times New Roman"/>
        </w:rPr>
        <w:t xml:space="preserve">(1), 8–18.</w:t>
      </w:r>
    </w:p>
    <w:p>
      <w:pPr>
        <w:spacing w:before="0" w:after="0" w:line="400" w:lineRule="exact"/>
        <w:ind w:left="480" w:hanging="480"/>
        <w:jc w:val="both"/>
      </w:pPr>
      <w:r>
        <w:rPr>
          <w:rFonts w:ascii="Times New Roman" w:hAnsi="Times New Roman" w:eastAsia="標楷體" w:cs="Times New Roman"/>
        </w:rPr>
        <w:t xml:space="preserve">Kilwinger, F. B. M., &amp; van Dam, Y. K. (2021). </w:t>
      </w:r>
      <w:hyperlink r:id="rIdL34" w:history="1">
        <w:r>
          <w:rPr>
            <w:rStyle w:val="Hyperlink"/>
            <w:rFonts w:ascii="Times New Roman" w:hAnsi="Times New Roman" w:eastAsia="標楷體" w:cs="Times New Roman"/>
          </w:rPr>
          <w:t xml:space="preserve">Methodological considerations on the means-end chain analysis revisited.</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Psychology &amp; Marketing, 38</w:t>
      </w:r>
      <w:r>
        <w:rPr>
          <w:rFonts w:ascii="Times New Roman" w:hAnsi="Times New Roman" w:eastAsia="標楷體" w:cs="Times New Roman"/>
        </w:rPr>
        <w:t xml:space="preserve">(9), 1513–1524.</w:t>
      </w:r>
    </w:p>
    <w:p>
      <w:pPr>
        <w:spacing w:before="0" w:after="0" w:line="400" w:lineRule="exact"/>
        <w:ind w:left="480" w:hanging="480"/>
        <w:jc w:val="both"/>
      </w:pPr>
      <w:r>
        <w:rPr>
          <w:rFonts w:ascii="Times New Roman" w:hAnsi="Times New Roman" w:eastAsia="標楷體" w:cs="Times New Roman"/>
        </w:rPr>
        <w:t xml:space="preserve">Kim, T. W., &amp; Duhachek, A. (2020). </w:t>
      </w:r>
      <w:hyperlink r:id="rIdL22" w:history="1">
        <w:r>
          <w:rPr>
            <w:rStyle w:val="Hyperlink"/>
            <w:rFonts w:ascii="Times New Roman" w:hAnsi="Times New Roman" w:eastAsia="標楷體" w:cs="Times New Roman"/>
          </w:rPr>
          <w:t xml:space="preserve">Artificial intelligence and persuasion: A construal-level account.</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Science, 31</w:t>
      </w:r>
      <w:r>
        <w:rPr>
          <w:rFonts w:ascii="Times New Roman" w:hAnsi="Times New Roman" w:eastAsia="標楷體" w:cs="Times New Roman"/>
        </w:rPr>
        <w:t xml:space="preserve">(4), 363–380.</w:t>
      </w:r>
    </w:p>
    <w:p>
      <w:pPr>
        <w:spacing w:before="0" w:after="0" w:line="400" w:lineRule="exact"/>
        <w:ind w:left="480" w:hanging="480"/>
        <w:jc w:val="both"/>
      </w:pPr>
      <w:r>
        <w:rPr>
          <w:rFonts w:ascii="Times New Roman" w:hAnsi="Times New Roman" w:eastAsia="標楷體" w:cs="Times New Roman"/>
        </w:rPr>
        <w:t xml:space="preserve">Kirk, C. P., &amp; Givi, J. (2025). </w:t>
      </w:r>
      <w:hyperlink r:id="rIdL38" w:history="1">
        <w:r>
          <w:rPr>
            <w:rStyle w:val="Hyperlink"/>
            <w:rFonts w:ascii="Times New Roman" w:hAnsi="Times New Roman" w:eastAsia="標楷體" w:cs="Times New Roman"/>
          </w:rPr>
          <w:t xml:space="preserve">The AI-authorship effect: Understanding authenticity, moral disgust, and consumer responses to AI-generated marketing communications.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186</w:t>
      </w:r>
      <w:r>
        <w:rPr>
          <w:rFonts w:ascii="Times New Roman" w:hAnsi="Times New Roman" w:eastAsia="標楷體" w:cs="Times New Roman"/>
        </w:rPr>
        <w:t xml:space="preserve">, 114984.</w:t>
      </w:r>
    </w:p>
    <w:p>
      <w:pPr>
        <w:spacing w:before="0" w:after="0" w:line="400" w:lineRule="exact"/>
        <w:ind w:left="480" w:hanging="480"/>
        <w:jc w:val="both"/>
      </w:pPr>
      <w:r>
        <w:rPr>
          <w:rFonts w:ascii="Times New Roman" w:hAnsi="Times New Roman" w:eastAsia="標楷體" w:cs="Times New Roman"/>
        </w:rPr>
        <w:t xml:space="preserve">Kobuszewki Volles, B., Park, J., Van Kerckhove, A., &amp; Geuens, M. (2024). </w:t>
      </w:r>
      <w:hyperlink r:id="rIdL56" w:history="1">
        <w:r>
          <w:rPr>
            <w:rStyle w:val="Hyperlink"/>
            <w:rFonts w:ascii="Times New Roman" w:hAnsi="Times New Roman" w:eastAsia="標楷體" w:cs="Times New Roman"/>
          </w:rPr>
          <w:t xml:space="preserve">How and when do virtual influencers positively affect consumer responses to endorsed brands?.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183</w:t>
      </w:r>
      <w:r>
        <w:rPr>
          <w:rFonts w:ascii="Times New Roman" w:hAnsi="Times New Roman" w:eastAsia="標楷體" w:cs="Times New Roman"/>
        </w:rPr>
        <w:t xml:space="preserve">, 114863.</w:t>
      </w:r>
    </w:p>
    <w:p>
      <w:pPr>
        <w:spacing w:before="0" w:after="0" w:line="400" w:lineRule="exact"/>
        <w:ind w:left="480" w:hanging="480"/>
        <w:jc w:val="both"/>
      </w:pPr>
      <w:r>
        <w:rPr>
          <w:rFonts w:ascii="Times New Roman" w:hAnsi="Times New Roman" w:eastAsia="標楷體" w:cs="Times New Roman"/>
        </w:rPr>
        <w:t xml:space="preserve">Li, H., Lei, Y., Zhou, Q., &amp; Yuan, H. (2023). </w:t>
      </w:r>
      <w:hyperlink r:id="rIdL47" w:history="1">
        <w:r>
          <w:rPr>
            <w:rStyle w:val="Hyperlink"/>
            <w:rFonts w:ascii="Times New Roman" w:hAnsi="Times New Roman" w:eastAsia="標楷體" w:cs="Times New Roman"/>
          </w:rPr>
          <w:t xml:space="preserve">Can you sense without being human? Comparing virtual and human influencers endorsement effectiveness.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75</w:t>
      </w:r>
      <w:r>
        <w:rPr>
          <w:rFonts w:ascii="Times New Roman" w:hAnsi="Times New Roman" w:eastAsia="標楷體" w:cs="Times New Roman"/>
        </w:rPr>
        <w:t xml:space="preserve">, 103456.</w:t>
      </w:r>
    </w:p>
    <w:p>
      <w:pPr>
        <w:spacing w:before="0" w:after="0" w:line="400" w:lineRule="exact"/>
        <w:ind w:left="480" w:hanging="480"/>
        <w:jc w:val="both"/>
      </w:pPr>
      <w:r>
        <w:rPr>
          <w:rFonts w:ascii="Times New Roman" w:hAnsi="Times New Roman" w:eastAsia="標楷體" w:cs="Times New Roman"/>
        </w:rPr>
        <w:t xml:space="preserve">Li, T., Zhang, C., &amp; Chang, Y. (2025). </w:t>
      </w:r>
      <w:hyperlink r:id="rIdL41" w:history="1">
        <w:r>
          <w:rPr>
            <w:rStyle w:val="Hyperlink"/>
            <w:rFonts w:ascii="Times New Roman" w:hAnsi="Times New Roman" w:eastAsia="標楷體" w:cs="Times New Roman"/>
          </w:rPr>
          <w:t xml:space="preserve">The impact of prior chatbot identity disclosure on customer tolerance of service failures.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Internet Research</w:t>
      </w:r>
      <w:r>
        <w:rPr>
          <w:rFonts w:ascii="Times New Roman" w:hAnsi="Times New Roman" w:eastAsia="標楷體" w:cs="Times New Roman"/>
        </w:rPr>
        <w:t xml:space="preserve">. Advance online publication.</w:t>
      </w:r>
    </w:p>
    <w:p>
      <w:pPr>
        <w:spacing w:before="0" w:after="0" w:line="400" w:lineRule="exact"/>
        <w:ind w:left="480" w:hanging="480"/>
        <w:jc w:val="both"/>
      </w:pPr>
      <w:r>
        <w:rPr>
          <w:rFonts w:ascii="Times New Roman" w:hAnsi="Times New Roman" w:eastAsia="標楷體" w:cs="Times New Roman"/>
        </w:rPr>
        <w:t xml:space="preserve">Li, X., et al. (2025). </w:t>
      </w:r>
      <w:hyperlink r:id="rIdL51" w:history="1">
        <w:r>
          <w:rPr>
            <w:rStyle w:val="Hyperlink"/>
            <w:rFonts w:ascii="Times New Roman" w:hAnsi="Times New Roman" w:eastAsia="標楷體" w:cs="Times New Roman"/>
          </w:rPr>
          <w:t xml:space="preserve">How do influencers’ impression management tactics affect purchase intention in live commerce – Trust transfer and gender differences.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62</w:t>
      </w:r>
      <w:r>
        <w:rPr>
          <w:rFonts w:ascii="Times New Roman" w:hAnsi="Times New Roman" w:eastAsia="標楷體" w:cs="Times New Roman"/>
        </w:rPr>
        <w:t xml:space="preserve">, 104094.</w:t>
      </w:r>
    </w:p>
    <w:p>
      <w:pPr>
        <w:spacing w:before="0" w:after="0" w:line="400" w:lineRule="exact"/>
        <w:ind w:left="480" w:hanging="480"/>
        <w:jc w:val="both"/>
      </w:pPr>
      <w:r>
        <w:rPr>
          <w:rFonts w:ascii="Times New Roman" w:hAnsi="Times New Roman" w:eastAsia="標楷體" w:cs="Times New Roman"/>
        </w:rPr>
        <w:t xml:space="preserve">Liu, H., Zhang, P., Cheng, H., Hasan, N., &amp; Chiong, R. (2025). </w:t>
      </w:r>
      <w:hyperlink r:id="rIdL16" w:history="1">
        <w:r>
          <w:rPr>
            <w:rStyle w:val="Hyperlink"/>
            <w:rFonts w:ascii="Times New Roman" w:hAnsi="Times New Roman" w:eastAsia="標楷體" w:cs="Times New Roman"/>
          </w:rPr>
          <w:t xml:space="preserve">Impact of AI-generated virtual streamer interaction on consumer purchase intention: A focus on social presence and perceived value.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104290.</w:t>
      </w:r>
    </w:p>
    <w:p>
      <w:pPr>
        <w:spacing w:before="0" w:after="0" w:line="400" w:lineRule="exact"/>
        <w:ind w:left="480" w:hanging="480"/>
        <w:jc w:val="both"/>
      </w:pPr>
      <w:r>
        <w:rPr>
          <w:rFonts w:ascii="Times New Roman" w:hAnsi="Times New Roman" w:eastAsia="標楷體" w:cs="Times New Roman"/>
        </w:rPr>
        <w:t xml:space="preserve">Liu, R., Hao, J.-X., Yu, Y., &amp; Shan, W. (2025). </w:t>
      </w:r>
      <w:hyperlink r:id="rIdL61" w:history="1">
        <w:r>
          <w:rPr>
            <w:rStyle w:val="Hyperlink"/>
            <w:rFonts w:ascii="Times New Roman" w:hAnsi="Times New Roman" w:eastAsia="標楷體" w:cs="Times New Roman"/>
          </w:rPr>
          <w:t xml:space="preserve">Helpful or harmful? A curvilinear perspective on AI agent anthropomorphism in service failure tolerance.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104299.</w:t>
      </w:r>
    </w:p>
    <w:p>
      <w:pPr>
        <w:spacing w:before="0" w:after="0" w:line="400" w:lineRule="exact"/>
        <w:ind w:left="480" w:hanging="480"/>
        <w:jc w:val="both"/>
      </w:pPr>
      <w:r>
        <w:rPr>
          <w:rFonts w:ascii="Times New Roman" w:hAnsi="Times New Roman" w:eastAsia="標楷體" w:cs="Times New Roman"/>
        </w:rPr>
        <w:t xml:space="preserve">Liu, Y., Wang, L., Yang, S., &amp; Wang, Y. (2025). </w:t>
      </w:r>
      <w:hyperlink r:id="rIdL5" w:history="1">
        <w:r>
          <w:rPr>
            <w:rStyle w:val="Hyperlink"/>
            <w:rFonts w:ascii="Times New Roman" w:hAnsi="Times New Roman" w:eastAsia="標楷體" w:cs="Times New Roman"/>
          </w:rPr>
          <w:t xml:space="preserve">Artificial intelligence-powered digital streamers in online retail: Empirical insights and design strategies from experiments.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w:t>
      </w:r>
      <w:r>
        <w:rPr>
          <w:rFonts w:ascii="Times New Roman" w:hAnsi="Times New Roman" w:eastAsia="標楷體" w:cs="Times New Roman"/>
        </w:rPr>
        <w:t xml:space="preserve">. Advance online publication.</w:t>
      </w:r>
    </w:p>
    <w:p>
      <w:pPr>
        <w:spacing w:before="0" w:after="0" w:line="400" w:lineRule="exact"/>
        <w:ind w:left="480" w:hanging="480"/>
        <w:jc w:val="both"/>
      </w:pPr>
      <w:r>
        <w:rPr>
          <w:rFonts w:ascii="Times New Roman" w:hAnsi="Times New Roman" w:eastAsia="標楷體" w:cs="Times New Roman"/>
        </w:rPr>
        <w:t xml:space="preserve">Longoni, C., &amp; Cian, L. (2022). </w:t>
      </w:r>
      <w:hyperlink r:id="rIdL20" w:history="1">
        <w:r>
          <w:rPr>
            <w:rStyle w:val="Hyperlink"/>
            <w:rFonts w:ascii="Times New Roman" w:hAnsi="Times New Roman" w:eastAsia="標楷體" w:cs="Times New Roman"/>
          </w:rPr>
          <w:t xml:space="preserve">Artificial intelligence in utilitarian vs. hedonic contexts: The "word-of-machine" effect.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86</w:t>
      </w:r>
      <w:r>
        <w:rPr>
          <w:rFonts w:ascii="Times New Roman" w:hAnsi="Times New Roman" w:eastAsia="標楷體" w:cs="Times New Roman"/>
        </w:rPr>
        <w:t xml:space="preserve">(1), 91–108.</w:t>
      </w:r>
    </w:p>
    <w:p>
      <w:pPr>
        <w:spacing w:before="0" w:after="0" w:line="400" w:lineRule="exact"/>
        <w:ind w:left="480" w:hanging="480"/>
        <w:jc w:val="both"/>
      </w:pPr>
      <w:r>
        <w:rPr>
          <w:rFonts w:ascii="Times New Roman" w:hAnsi="Times New Roman" w:eastAsia="標楷體" w:cs="Times New Roman"/>
        </w:rPr>
        <w:t xml:space="preserve">Lou, C., Kiew, S. T. J., Chen, T., Lee, T. Y. M., Ong, J. E. C., &amp; Phua, Z. (2023). </w:t>
      </w:r>
      <w:hyperlink r:id="rIdL54" w:history="1">
        <w:r>
          <w:rPr>
            <w:rStyle w:val="Hyperlink"/>
            <w:rFonts w:ascii="Times New Roman" w:hAnsi="Times New Roman" w:eastAsia="標楷體" w:cs="Times New Roman"/>
          </w:rPr>
          <w:t xml:space="preserve">Authentically fake? How consumers respond to the influence of virtual influencers.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52</w:t>
      </w:r>
      <w:r>
        <w:rPr>
          <w:rFonts w:ascii="Times New Roman" w:hAnsi="Times New Roman" w:eastAsia="標楷體" w:cs="Times New Roman"/>
        </w:rPr>
        <w:t xml:space="preserve">(4), 540–557.</w:t>
      </w:r>
    </w:p>
    <w:p>
      <w:pPr>
        <w:spacing w:before="0" w:after="0" w:line="400" w:lineRule="exact"/>
        <w:ind w:left="480" w:hanging="480"/>
        <w:jc w:val="both"/>
      </w:pPr>
      <w:r>
        <w:rPr>
          <w:rFonts w:ascii="Times New Roman" w:hAnsi="Times New Roman" w:eastAsia="標楷體" w:cs="Times New Roman"/>
        </w:rPr>
        <w:t xml:space="preserve">Lu, B., &amp; Chen, Z. (2021). </w:t>
      </w:r>
      <w:hyperlink r:id="rIdL2" w:history="1">
        <w:r>
          <w:rPr>
            <w:rStyle w:val="Hyperlink"/>
            <w:rFonts w:ascii="Times New Roman" w:hAnsi="Times New Roman" w:eastAsia="標楷體" w:cs="Times New Roman"/>
          </w:rPr>
          <w:t xml:space="preserve">Live streaming commerce and consumers' purchase intention: An uncertainty reduction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58</w:t>
      </w:r>
      <w:r>
        <w:rPr>
          <w:rFonts w:ascii="Times New Roman" w:hAnsi="Times New Roman" w:eastAsia="標楷體" w:cs="Times New Roman"/>
        </w:rPr>
        <w:t xml:space="preserve">(7), 103509.</w:t>
      </w:r>
    </w:p>
    <w:p>
      <w:pPr>
        <w:spacing w:before="0" w:after="0" w:line="400" w:lineRule="exact"/>
        <w:ind w:left="480" w:hanging="480"/>
        <w:jc w:val="both"/>
      </w:pPr>
      <w:r>
        <w:rPr>
          <w:rFonts w:ascii="Times New Roman" w:hAnsi="Times New Roman" w:eastAsia="標楷體" w:cs="Times New Roman"/>
        </w:rPr>
        <w:t xml:space="preserve">Lu, Y., &amp; Li, G. (2026). </w:t>
      </w:r>
      <w:hyperlink r:id="rIdL28" w:history="1">
        <w:r>
          <w:rPr>
            <w:rStyle w:val="Hyperlink"/>
            <w:rFonts w:ascii="Times New Roman" w:hAnsi="Times New Roman" w:eastAsia="標楷體" w:cs="Times New Roman"/>
          </w:rPr>
          <w:t xml:space="preserve">AI vs. human streamers: How digital agents shape consumer persuasion processing in live streaming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Theoretical and Applied Electronic Commerce Research, 21</w:t>
      </w:r>
      <w:r>
        <w:rPr>
          <w:rFonts w:ascii="Times New Roman" w:hAnsi="Times New Roman" w:eastAsia="標楷體" w:cs="Times New Roman"/>
        </w:rPr>
        <w:t xml:space="preserve">, 195.</w:t>
      </w:r>
    </w:p>
    <w:p>
      <w:pPr>
        <w:spacing w:before="0" w:after="0" w:line="400" w:lineRule="exact"/>
        <w:ind w:left="480" w:hanging="480"/>
        <w:jc w:val="both"/>
      </w:pPr>
      <w:r>
        <w:rPr>
          <w:rFonts w:ascii="Times New Roman" w:hAnsi="Times New Roman" w:eastAsia="標楷體" w:cs="Times New Roman"/>
        </w:rPr>
        <w:t xml:space="preserve">Luo, X., Lim, W. M., Cheah, J.-H., Lim, X.-J., &amp; Dwivedi, Y. K. (2025). </w:t>
      </w:r>
      <w:hyperlink r:id="rIdL45" w:history="1">
        <w:r>
          <w:rPr>
            <w:rStyle w:val="Hyperlink"/>
            <w:rFonts w:ascii="Times New Roman" w:hAnsi="Times New Roman" w:eastAsia="標楷體" w:cs="Times New Roman"/>
          </w:rPr>
          <w:t xml:space="preserve">Live streaming commerce: A review and research agenda.</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Computer Information Systems, 65</w:t>
      </w:r>
      <w:r>
        <w:rPr>
          <w:rFonts w:ascii="Times New Roman" w:hAnsi="Times New Roman" w:eastAsia="標楷體" w:cs="Times New Roman"/>
        </w:rPr>
        <w:t xml:space="preserve">(3), 376–399.</w:t>
      </w:r>
    </w:p>
    <w:p>
      <w:pPr>
        <w:spacing w:before="0" w:after="0" w:line="400" w:lineRule="exact"/>
        <w:ind w:left="480" w:hanging="480"/>
        <w:jc w:val="both"/>
      </w:pPr>
      <w:r>
        <w:rPr>
          <w:rFonts w:ascii="Times New Roman" w:hAnsi="Times New Roman" w:eastAsia="標楷體" w:cs="Times New Roman"/>
        </w:rPr>
        <w:t xml:space="preserve">Luo, X., Tong, S., Fang, Z., &amp; Qu, Z. (2019). </w:t>
      </w:r>
      <w:hyperlink r:id="rIdL36" w:history="1">
        <w:r>
          <w:rPr>
            <w:rStyle w:val="Hyperlink"/>
            <w:rFonts w:ascii="Times New Roman" w:hAnsi="Times New Roman" w:eastAsia="標楷體" w:cs="Times New Roman"/>
          </w:rPr>
          <w:t xml:space="preserve">Frontiers: Machines vs. humans: The impact of artificial intelligence chatbot disclosure on customer purchases.</w:t>
        </w:r>
      </w:hyperlink>
      <w:r>
        <w:rPr>
          <w:rFonts w:ascii="Times New Roman" w:hAnsi="Times New Roman" w:eastAsia="標楷體" w:cs="Times New Roman"/>
        </w:rPr>
        <w:t xml:space="preserve"> </w:t>
      </w:r>
      <w:r>
        <w:rPr>
          <w:rFonts w:ascii="Times New Roman" w:hAnsi="Times New Roman" w:eastAsia="標楷體" w:cs="Times New Roman"/>
          <w:i/>
          <w:iCs/>
        </w:rPr>
        <w:t xml:space="preserve">Marketing Science, 38</w:t>
      </w:r>
      <w:r>
        <w:rPr>
          <w:rFonts w:ascii="Times New Roman" w:hAnsi="Times New Roman" w:eastAsia="標楷體" w:cs="Times New Roman"/>
        </w:rPr>
        <w:t xml:space="preserve">(6), 937–947.</w:t>
      </w:r>
    </w:p>
    <w:p>
      <w:pPr>
        <w:spacing w:before="0" w:after="0" w:line="400" w:lineRule="exact"/>
        <w:ind w:left="480" w:hanging="480"/>
        <w:jc w:val="both"/>
      </w:pPr>
      <w:r>
        <w:rPr>
          <w:rFonts w:ascii="Times New Roman" w:hAnsi="Times New Roman" w:eastAsia="標楷體" w:cs="Times New Roman"/>
        </w:rPr>
        <w:t xml:space="preserve">Lv, X., Yang, Y., Qin, D., &amp; Liu, X. (2025). </w:t>
      </w:r>
      <w:hyperlink r:id="rIdL25" w:history="1">
        <w:r>
          <w:rPr>
            <w:rStyle w:val="Hyperlink"/>
            <w:rFonts w:ascii="Times New Roman" w:hAnsi="Times New Roman" w:eastAsia="標楷體" w:cs="Times New Roman"/>
          </w:rPr>
          <w:t xml:space="preserve">AI service may backfire: Reduced service warmth due to service provider transformation.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104282.</w:t>
      </w:r>
    </w:p>
    <w:p>
      <w:pPr>
        <w:spacing w:before="0" w:after="0" w:line="400" w:lineRule="exact"/>
        <w:ind w:left="480" w:hanging="480"/>
        <w:jc w:val="both"/>
      </w:pPr>
      <w:r>
        <w:rPr>
          <w:rFonts w:ascii="Times New Roman" w:hAnsi="Times New Roman" w:eastAsia="標楷體" w:cs="Times New Roman"/>
        </w:rPr>
        <w:t xml:space="preserve">Ma, X., Ren, J., Khor, X., Wang, R., Li, T., &amp; Lang, X. (2025). </w:t>
      </w:r>
      <w:hyperlink r:id="rIdL50" w:history="1">
        <w:r>
          <w:rPr>
            <w:rStyle w:val="Hyperlink"/>
            <w:rFonts w:ascii="Times New Roman" w:hAnsi="Times New Roman" w:eastAsia="標楷體" w:cs="Times New Roman"/>
          </w:rPr>
          <w:t xml:space="preserve">Influencing mechanisms of live streamer's language strategies on product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104291.</w:t>
      </w:r>
    </w:p>
    <w:p>
      <w:pPr>
        <w:spacing w:before="0" w:after="0" w:line="400" w:lineRule="exact"/>
        <w:ind w:left="480" w:hanging="480"/>
        <w:jc w:val="both"/>
      </w:pPr>
      <w:r>
        <w:rPr>
          <w:rFonts w:ascii="Times New Roman" w:hAnsi="Times New Roman" w:eastAsia="標楷體" w:cs="Times New Roman"/>
        </w:rPr>
        <w:t xml:space="preserve">Martin, K. D., &amp; Murphy, P. E. (2017). </w:t>
      </w:r>
      <w:hyperlink r:id="rIdL44" w:history="1">
        <w:r>
          <w:rPr>
            <w:rStyle w:val="Hyperlink"/>
            <w:rFonts w:ascii="Times New Roman" w:hAnsi="Times New Roman" w:eastAsia="標楷體" w:cs="Times New Roman"/>
          </w:rPr>
          <w:t xml:space="preserve">The role of data privacy in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45</w:t>
      </w:r>
      <w:r>
        <w:rPr>
          <w:rFonts w:ascii="Times New Roman" w:hAnsi="Times New Roman" w:eastAsia="標楷體" w:cs="Times New Roman"/>
        </w:rPr>
        <w:t xml:space="preserve">(2), 135–155.</w:t>
      </w:r>
    </w:p>
    <w:p>
      <w:pPr>
        <w:spacing w:before="0" w:after="0" w:line="400" w:lineRule="exact"/>
        <w:ind w:left="480" w:hanging="480"/>
        <w:jc w:val="both"/>
      </w:pPr>
      <w:r>
        <w:rPr>
          <w:rFonts w:ascii="Times New Roman" w:hAnsi="Times New Roman" w:eastAsia="標楷體" w:cs="Times New Roman"/>
        </w:rPr>
        <w:t xml:space="preserve">Meng, Y. (2026). </w:t>
      </w:r>
      <w:hyperlink r:id="rIdL4" w:history="1">
        <w:r>
          <w:rPr>
            <w:rStyle w:val="Hyperlink"/>
            <w:rFonts w:ascii="Times New Roman" w:hAnsi="Times New Roman" w:eastAsia="標楷體" w:cs="Times New Roman"/>
          </w:rPr>
          <w:t xml:space="preserve">Governing AI virtual anchors in China's live streaming e-commerce ecosystem: Policy challenges and global implications.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Telecommunications Policy, 50</w:t>
      </w:r>
      <w:r>
        <w:rPr>
          <w:rFonts w:ascii="Times New Roman" w:hAnsi="Times New Roman" w:eastAsia="標楷體" w:cs="Times New Roman"/>
        </w:rPr>
        <w:t xml:space="preserve">, 103109.</w:t>
      </w:r>
    </w:p>
    <w:p>
      <w:pPr>
        <w:spacing w:before="0" w:after="0" w:line="400" w:lineRule="exact"/>
        <w:ind w:left="480" w:hanging="480"/>
        <w:jc w:val="both"/>
      </w:pPr>
      <w:r>
        <w:rPr>
          <w:rFonts w:ascii="Times New Roman" w:hAnsi="Times New Roman" w:eastAsia="標楷體" w:cs="Times New Roman"/>
        </w:rPr>
        <w:t xml:space="preserve">Morgan, R. M., &amp; Hunt, S. D. (1994). </w:t>
      </w:r>
      <w:hyperlink r:id="rIdL73" w:history="1">
        <w:r>
          <w:rPr>
            <w:rStyle w:val="Hyperlink"/>
            <w:rFonts w:ascii="Times New Roman" w:hAnsi="Times New Roman" w:eastAsia="標楷體" w:cs="Times New Roman"/>
          </w:rPr>
          <w:t xml:space="preserve">The commitment-trust theory of relationship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58</w:t>
      </w:r>
      <w:r>
        <w:rPr>
          <w:rFonts w:ascii="Times New Roman" w:hAnsi="Times New Roman" w:eastAsia="標楷體" w:cs="Times New Roman"/>
        </w:rPr>
        <w:t xml:space="preserve">(3), 20–38.</w:t>
      </w:r>
    </w:p>
    <w:p>
      <w:pPr>
        <w:spacing w:before="0" w:after="0" w:line="400" w:lineRule="exact"/>
        <w:ind w:left="480" w:hanging="480"/>
        <w:jc w:val="both"/>
      </w:pPr>
      <w:r>
        <w:rPr>
          <w:rFonts w:ascii="Times New Roman" w:hAnsi="Times New Roman" w:eastAsia="標楷體" w:cs="Times New Roman"/>
        </w:rPr>
        <w:t xml:space="preserve">Mori, M., MacDorman, K. F., &amp; Kageki, N. (2012). </w:t>
      </w:r>
      <w:hyperlink r:id="rIdL63" w:history="1">
        <w:r>
          <w:rPr>
            <w:rStyle w:val="Hyperlink"/>
            <w:rFonts w:ascii="Times New Roman" w:hAnsi="Times New Roman" w:eastAsia="標楷體" w:cs="Times New Roman"/>
          </w:rPr>
          <w:t xml:space="preserve">The uncanny valley [from the field].</w:t>
        </w:r>
      </w:hyperlink>
      <w:r>
        <w:rPr>
          <w:rFonts w:ascii="Times New Roman" w:hAnsi="Times New Roman" w:eastAsia="標楷體" w:cs="Times New Roman"/>
        </w:rPr>
        <w:t xml:space="preserve"> </w:t>
      </w:r>
      <w:r>
        <w:rPr>
          <w:rFonts w:ascii="Times New Roman" w:hAnsi="Times New Roman" w:eastAsia="標楷體" w:cs="Times New Roman"/>
          <w:i/>
          <w:iCs/>
        </w:rPr>
        <w:t xml:space="preserve">IEEE Robotics &amp; Automation Magazine, 19</w:t>
      </w:r>
      <w:r>
        <w:rPr>
          <w:rFonts w:ascii="Times New Roman" w:hAnsi="Times New Roman" w:eastAsia="標楷體" w:cs="Times New Roman"/>
        </w:rPr>
        <w:t xml:space="preserve">(2), 98–100.</w:t>
      </w:r>
    </w:p>
    <w:p>
      <w:pPr>
        <w:spacing w:before="0" w:after="0" w:line="400" w:lineRule="exact"/>
        <w:ind w:left="480" w:hanging="480"/>
        <w:jc w:val="both"/>
      </w:pPr>
      <w:r>
        <w:rPr>
          <w:rFonts w:ascii="Times New Roman" w:hAnsi="Times New Roman" w:eastAsia="標楷體" w:cs="Times New Roman"/>
        </w:rPr>
        <w:t xml:space="preserve">Nosek, B. A., Ebersole, C. R., DeHaven, A. C., &amp; Mellor, D. T. (2018). </w:t>
      </w:r>
      <w:hyperlink r:id="rIdL42" w:history="1">
        <w:r>
          <w:rPr>
            <w:rStyle w:val="Hyperlink"/>
            <w:rFonts w:ascii="Times New Roman" w:hAnsi="Times New Roman" w:eastAsia="標楷體" w:cs="Times New Roman"/>
          </w:rPr>
          <w:t xml:space="preserve">The preregistration revolution.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Proceedings of the National Academy of Sciences, 115</w:t>
      </w:r>
      <w:r>
        <w:rPr>
          <w:rFonts w:ascii="Times New Roman" w:hAnsi="Times New Roman" w:eastAsia="標楷體" w:cs="Times New Roman"/>
        </w:rPr>
        <w:t xml:space="preserve">(11), 2600–2606.</w:t>
      </w:r>
    </w:p>
    <w:p>
      <w:pPr>
        <w:spacing w:before="0" w:after="0" w:line="400" w:lineRule="exact"/>
        <w:ind w:left="480" w:hanging="480"/>
        <w:jc w:val="both"/>
      </w:pPr>
      <w:r>
        <w:rPr>
          <w:rFonts w:ascii="Times New Roman" w:hAnsi="Times New Roman" w:eastAsia="標楷體" w:cs="Times New Roman"/>
        </w:rPr>
        <w:t xml:space="preserve">Ohanian, R. (1990). </w:t>
      </w:r>
      <w:hyperlink r:id="rIdL86" w:history="1">
        <w:r>
          <w:rPr>
            <w:rStyle w:val="Hyperlink"/>
            <w:rFonts w:ascii="Times New Roman" w:hAnsi="Times New Roman" w:eastAsia="標楷體" w:cs="Times New Roman"/>
          </w:rPr>
          <w:t xml:space="preserve">Construction and validation of a scale to measure celebrity endorsers' perceived expertise, trustworthiness, and attractiveness.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19</w:t>
      </w:r>
      <w:r>
        <w:rPr>
          <w:rFonts w:ascii="Times New Roman" w:hAnsi="Times New Roman" w:eastAsia="標楷體" w:cs="Times New Roman"/>
        </w:rPr>
        <w:t xml:space="preserve">(3), 39–52.</w:t>
      </w:r>
    </w:p>
    <w:p>
      <w:pPr>
        <w:spacing w:before="0" w:after="0" w:line="400" w:lineRule="exact"/>
        <w:ind w:left="480" w:hanging="480"/>
        <w:jc w:val="both"/>
      </w:pPr>
      <w:r>
        <w:rPr>
          <w:rFonts w:ascii="Times New Roman" w:hAnsi="Times New Roman" w:eastAsia="標楷體" w:cs="Times New Roman"/>
        </w:rPr>
        <w:t xml:space="preserve">Oliver, R. L. (1980). </w:t>
      </w:r>
      <w:hyperlink r:id="rIdL30" w:history="1">
        <w:r>
          <w:rPr>
            <w:rStyle w:val="Hyperlink"/>
            <w:rFonts w:ascii="Times New Roman" w:hAnsi="Times New Roman" w:eastAsia="標楷體" w:cs="Times New Roman"/>
          </w:rPr>
          <w:t xml:space="preserve">A cognitive model of the antecedents and consequences of satisfaction decisions.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17</w:t>
      </w:r>
      <w:r>
        <w:rPr>
          <w:rFonts w:ascii="Times New Roman" w:hAnsi="Times New Roman" w:eastAsia="標楷體" w:cs="Times New Roman"/>
        </w:rPr>
        <w:t xml:space="preserve">(4), 460–469.</w:t>
      </w:r>
    </w:p>
    <w:p>
      <w:pPr>
        <w:spacing w:before="0" w:after="0" w:line="400" w:lineRule="exact"/>
        <w:ind w:left="480" w:hanging="480"/>
        <w:jc w:val="both"/>
      </w:pPr>
      <w:r>
        <w:rPr>
          <w:rFonts w:ascii="Times New Roman" w:hAnsi="Times New Roman" w:eastAsia="標楷體" w:cs="Times New Roman"/>
        </w:rPr>
        <w:t xml:space="preserve">Perreault, W. D., &amp; Leigh, L. E. (1989). </w:t>
      </w:r>
      <w:hyperlink r:id="rIdL66" w:history="1">
        <w:r>
          <w:rPr>
            <w:rStyle w:val="Hyperlink"/>
            <w:rFonts w:ascii="Times New Roman" w:hAnsi="Times New Roman" w:eastAsia="標楷體" w:cs="Times New Roman"/>
          </w:rPr>
          <w:t xml:space="preserve">Reliability of nominal data based on qualitative judgments.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26</w:t>
      </w:r>
      <w:r>
        <w:rPr>
          <w:rFonts w:ascii="Times New Roman" w:hAnsi="Times New Roman" w:eastAsia="標楷體" w:cs="Times New Roman"/>
        </w:rPr>
        <w:t xml:space="preserve">(2), 135–148.</w:t>
      </w:r>
    </w:p>
    <w:p>
      <w:pPr>
        <w:spacing w:before="0" w:after="0" w:line="400" w:lineRule="exact"/>
        <w:ind w:left="480" w:hanging="480"/>
        <w:jc w:val="both"/>
      </w:pPr>
      <w:r>
        <w:rPr>
          <w:rFonts w:ascii="Times New Roman" w:hAnsi="Times New Roman" w:eastAsia="標楷體" w:cs="Times New Roman"/>
        </w:rPr>
        <w:t xml:space="preserve">Pieters, R., Baumgartner, H., &amp; Allen, D. (1995). </w:t>
      </w:r>
      <w:hyperlink r:id="rIdL64" w:history="1">
        <w:r>
          <w:rPr>
            <w:rStyle w:val="Hyperlink"/>
            <w:rFonts w:ascii="Times New Roman" w:hAnsi="Times New Roman" w:eastAsia="標楷體" w:cs="Times New Roman"/>
          </w:rPr>
          <w:t xml:space="preserve">A means-end chain approach to consumer goal structures.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227–244.</w:t>
      </w:r>
    </w:p>
    <w:p>
      <w:pPr>
        <w:spacing w:before="0" w:after="0" w:line="400" w:lineRule="exact"/>
        <w:ind w:left="480" w:hanging="480"/>
        <w:jc w:val="both"/>
      </w:pPr>
      <w:r>
        <w:rPr>
          <w:rFonts w:ascii="Times New Roman" w:hAnsi="Times New Roman" w:eastAsia="標楷體" w:cs="Times New Roman"/>
        </w:rPr>
        <w:t xml:space="preserve">Podsakoff, P. M., MacKenzie, S. B., Lee, J.-Y., &amp; Podsakoff, N. P. (2003). </w:t>
      </w:r>
      <w:hyperlink r:id="rIdL87" w:history="1">
        <w:r>
          <w:rPr>
            <w:rStyle w:val="Hyperlink"/>
            <w:rFonts w:ascii="Times New Roman" w:hAnsi="Times New Roman" w:eastAsia="標楷體" w:cs="Times New Roman"/>
          </w:rPr>
          <w:t xml:space="preserve">Common method biases in behavioral research: A critical review of the literature and recommended remedies.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Applied Psychology, 88</w:t>
      </w:r>
      <w:r>
        <w:rPr>
          <w:rFonts w:ascii="Times New Roman" w:hAnsi="Times New Roman" w:eastAsia="標楷體" w:cs="Times New Roman"/>
        </w:rPr>
        <w:t xml:space="preserve">(5), 879–903.</w:t>
      </w:r>
    </w:p>
    <w:p>
      <w:pPr>
        <w:spacing w:before="0" w:after="0" w:line="400" w:lineRule="exact"/>
        <w:ind w:left="480" w:hanging="480"/>
        <w:jc w:val="both"/>
      </w:pPr>
      <w:r>
        <w:rPr>
          <w:rFonts w:ascii="Times New Roman" w:hAnsi="Times New Roman" w:eastAsia="標楷體" w:cs="Times New Roman"/>
        </w:rPr>
        <w:t xml:space="preserve">Puntoni, S., Reczek, R. W., Giesler, M., &amp; Botti, S. (2021). </w:t>
      </w:r>
      <w:hyperlink r:id="rIdL58" w:history="1">
        <w:r>
          <w:rPr>
            <w:rStyle w:val="Hyperlink"/>
            <w:rFonts w:ascii="Times New Roman" w:hAnsi="Times New Roman" w:eastAsia="標楷體" w:cs="Times New Roman"/>
          </w:rPr>
          <w:t xml:space="preserve">Consumers and artificial intelligence: An experiential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85</w:t>
      </w:r>
      <w:r>
        <w:rPr>
          <w:rFonts w:ascii="Times New Roman" w:hAnsi="Times New Roman" w:eastAsia="標楷體" w:cs="Times New Roman"/>
        </w:rPr>
        <w:t xml:space="preserve">(1), 131–151.</w:t>
      </w:r>
    </w:p>
    <w:p>
      <w:pPr>
        <w:spacing w:before="0" w:after="0" w:line="400" w:lineRule="exact"/>
        <w:ind w:left="480" w:hanging="480"/>
        <w:jc w:val="both"/>
      </w:pPr>
      <w:r>
        <w:rPr>
          <w:rFonts w:ascii="Times New Roman" w:hAnsi="Times New Roman" w:eastAsia="標楷體" w:cs="Times New Roman"/>
        </w:rPr>
        <w:t xml:space="preserve">Reynolds, T. J., &amp; Gutman, J. (1988). </w:t>
      </w:r>
      <w:hyperlink r:id="rIdL17" w:history="1">
        <w:r>
          <w:rPr>
            <w:rStyle w:val="Hyperlink"/>
            <w:rFonts w:ascii="Times New Roman" w:hAnsi="Times New Roman" w:eastAsia="標楷體" w:cs="Times New Roman"/>
          </w:rPr>
          <w:t xml:space="preserve">Laddering theory, method, analysis, and interpretation.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Research, 28</w:t>
      </w:r>
      <w:r>
        <w:rPr>
          <w:rFonts w:ascii="Times New Roman" w:hAnsi="Times New Roman" w:eastAsia="標楷體" w:cs="Times New Roman"/>
        </w:rPr>
        <w:t xml:space="preserve">(1), 11–31.</w:t>
      </w:r>
    </w:p>
    <w:p>
      <w:pPr>
        <w:spacing w:before="0" w:after="0" w:line="400" w:lineRule="exact"/>
        <w:ind w:left="480" w:hanging="480"/>
        <w:jc w:val="both"/>
      </w:pPr>
      <w:r>
        <w:rPr>
          <w:rFonts w:ascii="Times New Roman" w:hAnsi="Times New Roman" w:eastAsia="標楷體" w:cs="Times New Roman"/>
        </w:rPr>
        <w:t xml:space="preserve">Schanke, S., Burtch, G., &amp; Ray, G. (2021). </w:t>
      </w:r>
      <w:hyperlink r:id="rIdL72" w:history="1">
        <w:r>
          <w:rPr>
            <w:rStyle w:val="Hyperlink"/>
            <w:rFonts w:ascii="Times New Roman" w:hAnsi="Times New Roman" w:eastAsia="標楷體" w:cs="Times New Roman"/>
          </w:rPr>
          <w:t xml:space="preserve">Estimating the impact of "humanizing" customer service chatbots.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 32</w:t>
      </w:r>
      <w:r>
        <w:rPr>
          <w:rFonts w:ascii="Times New Roman" w:hAnsi="Times New Roman" w:eastAsia="標楷體" w:cs="Times New Roman"/>
        </w:rPr>
        <w:t xml:space="preserve">(3), 736–751.</w:t>
      </w:r>
    </w:p>
    <w:p>
      <w:pPr>
        <w:spacing w:before="0" w:after="0" w:line="400" w:lineRule="exact"/>
        <w:ind w:left="480" w:hanging="480"/>
        <w:jc w:val="both"/>
      </w:pPr>
      <w:r>
        <w:rPr>
          <w:rFonts w:ascii="Times New Roman" w:hAnsi="Times New Roman" w:eastAsia="標楷體" w:cs="Times New Roman"/>
        </w:rPr>
        <w:t xml:space="preserve">Sheth, J. N., Newman, B. I., &amp; Gross, B. L. (1991). </w:t>
      </w:r>
      <w:hyperlink r:id="rIdL19" w:history="1">
        <w:r>
          <w:rPr>
            <w:rStyle w:val="Hyperlink"/>
            <w:rFonts w:ascii="Times New Roman" w:hAnsi="Times New Roman" w:eastAsia="標楷體" w:cs="Times New Roman"/>
          </w:rPr>
          <w:t xml:space="preserve">Why we buy what we buy: A theory of consumption values.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22</w:t>
      </w:r>
      <w:r>
        <w:rPr>
          <w:rFonts w:ascii="Times New Roman" w:hAnsi="Times New Roman" w:eastAsia="標楷體" w:cs="Times New Roman"/>
        </w:rPr>
        <w:t xml:space="preserve">(2), 159–170.</w:t>
      </w:r>
    </w:p>
    <w:p>
      <w:pPr>
        <w:spacing w:before="0" w:after="0" w:line="400" w:lineRule="exact"/>
        <w:ind w:left="480" w:hanging="480"/>
        <w:jc w:val="both"/>
      </w:pPr>
      <w:r>
        <w:rPr>
          <w:rFonts w:ascii="Times New Roman" w:hAnsi="Times New Roman" w:eastAsia="標楷體" w:cs="Times New Roman"/>
        </w:rPr>
        <w:t xml:space="preserve">Simmons, J. P., Nelson, L. D., &amp; Simonsohn, U. (2011). </w:t>
      </w:r>
      <w:hyperlink r:id="rIdL89" w:history="1">
        <w:r>
          <w:rPr>
            <w:rStyle w:val="Hyperlink"/>
            <w:rFonts w:ascii="Times New Roman" w:hAnsi="Times New Roman" w:eastAsia="標楷體" w:cs="Times New Roman"/>
          </w:rPr>
          <w:t xml:space="preserve">False-positive psychology: Undisclosed flexibility in data collection and analysis allows presenting anything as significant.</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Science, 22</w:t>
      </w:r>
      <w:r>
        <w:rPr>
          <w:rFonts w:ascii="Times New Roman" w:hAnsi="Times New Roman" w:eastAsia="標楷體" w:cs="Times New Roman"/>
        </w:rPr>
        <w:t xml:space="preserve">(11), 1359–1366.</w:t>
      </w:r>
    </w:p>
    <w:p>
      <w:pPr>
        <w:spacing w:before="0" w:after="0" w:line="400" w:lineRule="exact"/>
        <w:ind w:left="480" w:hanging="480"/>
        <w:jc w:val="both"/>
      </w:pPr>
      <w:r>
        <w:rPr>
          <w:rFonts w:ascii="Times New Roman" w:hAnsi="Times New Roman" w:eastAsia="標楷體" w:cs="Times New Roman"/>
        </w:rPr>
        <w:t xml:space="preserve">Tsiros, M., &amp; Mittal, V. (2000). </w:t>
      </w:r>
      <w:hyperlink r:id="rIdL29" w:history="1">
        <w:r>
          <w:rPr>
            <w:rStyle w:val="Hyperlink"/>
            <w:rFonts w:ascii="Times New Roman" w:hAnsi="Times New Roman" w:eastAsia="標楷體" w:cs="Times New Roman"/>
          </w:rPr>
          <w:t xml:space="preserve">Regret: A model of its antecedents and consequences in consumer decision making.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26</w:t>
      </w:r>
      <w:r>
        <w:rPr>
          <w:rFonts w:ascii="Times New Roman" w:hAnsi="Times New Roman" w:eastAsia="標楷體" w:cs="Times New Roman"/>
        </w:rPr>
        <w:t xml:space="preserve">(4), 401–417.</w:t>
      </w:r>
    </w:p>
    <w:p>
      <w:pPr>
        <w:spacing w:before="0" w:after="0" w:line="400" w:lineRule="exact"/>
        <w:ind w:left="480" w:hanging="480"/>
        <w:jc w:val="both"/>
      </w:pPr>
      <w:r>
        <w:rPr>
          <w:rFonts w:ascii="Times New Roman" w:hAnsi="Times New Roman" w:eastAsia="標楷體" w:cs="Times New Roman"/>
        </w:rPr>
        <w:t xml:space="preserve">Voss, K. E., Spangenberg, E. R., &amp; Grohmann, B. (2003). </w:t>
      </w:r>
      <w:hyperlink r:id="rIdL76" w:history="1">
        <w:r>
          <w:rPr>
            <w:rStyle w:val="Hyperlink"/>
            <w:rFonts w:ascii="Times New Roman" w:hAnsi="Times New Roman" w:eastAsia="標楷體" w:cs="Times New Roman"/>
          </w:rPr>
          <w:t xml:space="preserve">Measuring the hedonic and utilitarian dimensions of consumer attitude.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40</w:t>
      </w:r>
      <w:r>
        <w:rPr>
          <w:rFonts w:ascii="Times New Roman" w:hAnsi="Times New Roman" w:eastAsia="標楷體" w:cs="Times New Roman"/>
        </w:rPr>
        <w:t xml:space="preserve">(3), 310–320.</w:t>
      </w:r>
    </w:p>
    <w:p>
      <w:pPr>
        <w:spacing w:before="0" w:after="0" w:line="400" w:lineRule="exact"/>
        <w:ind w:left="480" w:hanging="480"/>
        <w:jc w:val="both"/>
      </w:pPr>
      <w:r>
        <w:rPr>
          <w:rFonts w:ascii="Times New Roman" w:hAnsi="Times New Roman" w:eastAsia="標楷體" w:cs="Times New Roman"/>
        </w:rPr>
        <w:t xml:space="preserve">Wang, L., Huang, N., He, Y., Liu, D., Guo, X., Sun, Y., &amp; Chen, G. (2025). </w:t>
      </w:r>
      <w:hyperlink r:id="rIdL11" w:history="1">
        <w:r>
          <w:rPr>
            <w:rStyle w:val="Hyperlink"/>
            <w:rFonts w:ascii="Times New Roman" w:hAnsi="Times New Roman" w:eastAsia="標楷體" w:cs="Times New Roman"/>
          </w:rPr>
          <w:t xml:space="preserve">Artificial intelligence (AI) assistant in online shopping: A randomized field experiment on a livestream selling platform.</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w:t>
      </w:r>
      <w:r>
        <w:rPr>
          <w:rFonts w:ascii="Times New Roman" w:hAnsi="Times New Roman" w:eastAsia="標楷體" w:cs="Times New Roman"/>
        </w:rPr>
        <w:t xml:space="preserve">. Advance online publication.</w:t>
      </w:r>
    </w:p>
    <w:p>
      <w:pPr>
        <w:spacing w:before="0" w:after="0" w:line="400" w:lineRule="exact"/>
        <w:ind w:left="480" w:hanging="480"/>
        <w:jc w:val="both"/>
      </w:pPr>
      <w:r>
        <w:rPr>
          <w:rFonts w:ascii="Times New Roman" w:hAnsi="Times New Roman" w:eastAsia="標楷體" w:cs="Times New Roman"/>
        </w:rPr>
        <w:t xml:space="preserve">Wang, S., &amp; Zhang, H. (2025). </w:t>
      </w:r>
      <w:hyperlink r:id="rIdL43" w:history="1">
        <w:r>
          <w:rPr>
            <w:rStyle w:val="Hyperlink"/>
            <w:rFonts w:ascii="Times New Roman" w:hAnsi="Times New Roman" w:eastAsia="標楷體" w:cs="Times New Roman"/>
          </w:rPr>
          <w:t xml:space="preserve">Generative artificial intelligence and internationalization green innovation: Roles of supply chain innovations and AI regulation for SMEs.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102898.</w:t>
      </w:r>
    </w:p>
    <w:p>
      <w:pPr>
        <w:spacing w:before="0" w:after="0" w:line="400" w:lineRule="exact"/>
        <w:ind w:left="480" w:hanging="480"/>
        <w:jc w:val="both"/>
      </w:pPr>
      <w:r>
        <w:rPr>
          <w:rFonts w:ascii="Times New Roman" w:hAnsi="Times New Roman" w:eastAsia="標楷體" w:cs="Times New Roman"/>
        </w:rPr>
        <w:t xml:space="preserve">Wells, G. L., &amp; Windschitl, P. D. (1999). </w:t>
      </w:r>
      <w:hyperlink r:id="rIdL13" w:history="1">
        <w:r>
          <w:rPr>
            <w:rStyle w:val="Hyperlink"/>
            <w:rFonts w:ascii="Times New Roman" w:hAnsi="Times New Roman" w:eastAsia="標楷體" w:cs="Times New Roman"/>
          </w:rPr>
          <w:t xml:space="preserve">Stimulus sampling and social psychological experimentation.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Personality and Social Psychology Bulletin, 25</w:t>
      </w:r>
      <w:r>
        <w:rPr>
          <w:rFonts w:ascii="Times New Roman" w:hAnsi="Times New Roman" w:eastAsia="標楷體" w:cs="Times New Roman"/>
        </w:rPr>
        <w:t xml:space="preserve">(9), 1115–1125.</w:t>
      </w:r>
    </w:p>
    <w:p>
      <w:pPr>
        <w:spacing w:before="0" w:after="0" w:line="400" w:lineRule="exact"/>
        <w:ind w:left="480" w:hanging="480"/>
        <w:jc w:val="both"/>
      </w:pPr>
      <w:r>
        <w:rPr>
          <w:rFonts w:ascii="Times New Roman" w:hAnsi="Times New Roman" w:eastAsia="標楷體" w:cs="Times New Roman"/>
        </w:rPr>
        <w:t xml:space="preserve">Wongkitrungrueng, A., &amp; Assarut, N. (2020). </w:t>
      </w:r>
      <w:hyperlink r:id="rIdL1" w:history="1">
        <w:r>
          <w:rPr>
            <w:rStyle w:val="Hyperlink"/>
            <w:rFonts w:ascii="Times New Roman" w:hAnsi="Times New Roman" w:eastAsia="標楷體" w:cs="Times New Roman"/>
          </w:rPr>
          <w:t xml:space="preserve">The role of live streaming in building consumer trust and engagement with social commerce sellers.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117</w:t>
      </w:r>
      <w:r>
        <w:rPr>
          <w:rFonts w:ascii="Times New Roman" w:hAnsi="Times New Roman" w:eastAsia="標楷體" w:cs="Times New Roman"/>
        </w:rPr>
        <w:t xml:space="preserve">, 543–556.</w:t>
      </w:r>
    </w:p>
    <w:p>
      <w:pPr>
        <w:spacing w:before="0" w:after="0" w:line="400" w:lineRule="exact"/>
        <w:ind w:left="480" w:hanging="480"/>
        <w:jc w:val="both"/>
      </w:pPr>
      <w:r>
        <w:rPr>
          <w:rFonts w:ascii="Times New Roman" w:hAnsi="Times New Roman" w:eastAsia="標楷體" w:cs="Times New Roman"/>
        </w:rPr>
        <w:t xml:space="preserve">Xiao, Q., Li, X., Huang, W., &amp; Zhang, X. (2025). </w:t>
      </w:r>
      <w:hyperlink r:id="rIdL7" w:history="1">
        <w:r>
          <w:rPr>
            <w:rStyle w:val="Hyperlink"/>
            <w:rFonts w:ascii="Times New Roman" w:hAnsi="Times New Roman" w:eastAsia="標楷體" w:cs="Times New Roman"/>
          </w:rPr>
          <w:t xml:space="preserve">Gimmick or genuineness? Exploring the antecedents of AI virtual streamers aversion in live-streaming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Technological Forecasting and Social Change, 212</w:t>
      </w:r>
      <w:r>
        <w:rPr>
          <w:rFonts w:ascii="Times New Roman" w:hAnsi="Times New Roman" w:eastAsia="標楷體" w:cs="Times New Roman"/>
        </w:rPr>
        <w:t xml:space="preserve">, 123981.</w:t>
      </w:r>
    </w:p>
    <w:p>
      <w:pPr>
        <w:spacing w:before="0" w:after="0" w:line="400" w:lineRule="exact"/>
        <w:ind w:left="480" w:hanging="480"/>
        <w:jc w:val="both"/>
      </w:pPr>
      <w:r>
        <w:rPr>
          <w:rFonts w:ascii="Times New Roman" w:hAnsi="Times New Roman" w:eastAsia="標楷體" w:cs="Times New Roman"/>
        </w:rPr>
        <w:t xml:space="preserve">Xu, B., Dastane, O., Aw, E. C.-X., &amp; Jha, S. (2025). </w:t>
      </w:r>
      <w:hyperlink r:id="rIdL52" w:history="1">
        <w:r>
          <w:rPr>
            <w:rStyle w:val="Hyperlink"/>
            <w:rFonts w:ascii="Times New Roman" w:hAnsi="Times New Roman" w:eastAsia="標楷體" w:cs="Times New Roman"/>
          </w:rPr>
          <w:t xml:space="preserve">The future of live-streaming commerce: Understanding the role of AI-powered virtual streamers.</w:t>
        </w:r>
      </w:hyperlink>
      <w:r>
        <w:rPr>
          <w:rFonts w:ascii="Times New Roman" w:hAnsi="Times New Roman" w:eastAsia="標楷體" w:cs="Times New Roman"/>
        </w:rPr>
        <w:t xml:space="preserve"> </w:t>
      </w:r>
      <w:r>
        <w:rPr>
          <w:rFonts w:ascii="Times New Roman" w:hAnsi="Times New Roman" w:eastAsia="標楷體" w:cs="Times New Roman"/>
          <w:i/>
          <w:iCs/>
        </w:rPr>
        <w:t xml:space="preserve">Asia Pacific Journal of Marketing and Logistics, 37</w:t>
      </w:r>
      <w:r>
        <w:rPr>
          <w:rFonts w:ascii="Times New Roman" w:hAnsi="Times New Roman" w:eastAsia="標楷體" w:cs="Times New Roman"/>
        </w:rPr>
        <w:t xml:space="preserve">(5), 1175–1196.</w:t>
      </w:r>
    </w:p>
    <w:p>
      <w:pPr>
        <w:spacing w:before="0" w:after="0" w:line="400" w:lineRule="exact"/>
        <w:ind w:left="480" w:hanging="480"/>
        <w:jc w:val="both"/>
      </w:pPr>
      <w:r>
        <w:rPr>
          <w:rFonts w:ascii="Times New Roman" w:hAnsi="Times New Roman" w:eastAsia="標楷體" w:cs="Times New Roman"/>
        </w:rPr>
        <w:t xml:space="preserve">Yalcin, G., Lim, S., Puntoni, S., &amp; van Osselaer, S. M. J. (2022). </w:t>
      </w:r>
      <w:hyperlink r:id="rIdL71" w:history="1">
        <w:r>
          <w:rPr>
            <w:rStyle w:val="Hyperlink"/>
            <w:rFonts w:ascii="Times New Roman" w:hAnsi="Times New Roman" w:eastAsia="標楷體" w:cs="Times New Roman"/>
          </w:rPr>
          <w:t xml:space="preserve">Thumbs up or down: Consumer reactions to decisions by algorithms versus humans.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59</w:t>
      </w:r>
      <w:r>
        <w:rPr>
          <w:rFonts w:ascii="Times New Roman" w:hAnsi="Times New Roman" w:eastAsia="標楷體" w:cs="Times New Roman"/>
        </w:rPr>
        <w:t xml:space="preserve">(4), 696–717.</w:t>
      </w:r>
    </w:p>
    <w:p>
      <w:pPr>
        <w:spacing w:before="0" w:after="0" w:line="400" w:lineRule="exact"/>
        <w:ind w:left="480" w:hanging="480"/>
        <w:jc w:val="both"/>
      </w:pPr>
      <w:r>
        <w:rPr>
          <w:rFonts w:ascii="Times New Roman" w:hAnsi="Times New Roman" w:eastAsia="標楷體" w:cs="Times New Roman"/>
        </w:rPr>
        <w:t xml:space="preserve">Yuan, H., Lü, K., &amp; Fang, W. (2025). </w:t>
      </w:r>
      <w:hyperlink r:id="rIdL32" w:history="1">
        <w:r>
          <w:rPr>
            <w:rStyle w:val="Hyperlink"/>
            <w:rFonts w:ascii="Times New Roman" w:hAnsi="Times New Roman" w:eastAsia="標楷體" w:cs="Times New Roman"/>
          </w:rPr>
          <w:t xml:space="preserve">Machines vs. humans: The evolving role of artificial intelligence in livestreaming e-commerce.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188</w:t>
      </w:r>
      <w:r>
        <w:rPr>
          <w:rFonts w:ascii="Times New Roman" w:hAnsi="Times New Roman" w:eastAsia="標楷體" w:cs="Times New Roman"/>
        </w:rPr>
        <w:t xml:space="preserve">, 115077.</w:t>
      </w:r>
    </w:p>
    <w:p>
      <w:pPr>
        <w:spacing w:before="0" w:after="0" w:line="400" w:lineRule="exact"/>
        <w:ind w:left="480" w:hanging="480"/>
        <w:jc w:val="both"/>
      </w:pPr>
      <w:r>
        <w:rPr>
          <w:rFonts w:ascii="Times New Roman" w:hAnsi="Times New Roman" w:eastAsia="標楷體" w:cs="Times New Roman"/>
        </w:rPr>
        <w:t xml:space="preserve">Zaichkowsky, J. L. (1985). </w:t>
      </w:r>
      <w:hyperlink r:id="rIdL77" w:history="1">
        <w:r>
          <w:rPr>
            <w:rStyle w:val="Hyperlink"/>
            <w:rFonts w:ascii="Times New Roman" w:hAnsi="Times New Roman" w:eastAsia="標楷體" w:cs="Times New Roman"/>
          </w:rPr>
          <w:t xml:space="preserve">Measuring the involvement construct.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12</w:t>
      </w:r>
      <w:r>
        <w:rPr>
          <w:rFonts w:ascii="Times New Roman" w:hAnsi="Times New Roman" w:eastAsia="標楷體" w:cs="Times New Roman"/>
        </w:rPr>
        <w:t xml:space="preserve">(3), 341–352.</w:t>
      </w:r>
    </w:p>
    <w:p>
      <w:pPr>
        <w:spacing w:before="0" w:after="0" w:line="400" w:lineRule="exact"/>
        <w:ind w:left="480" w:hanging="480"/>
        <w:jc w:val="both"/>
      </w:pPr>
      <w:r>
        <w:rPr>
          <w:rFonts w:ascii="Times New Roman" w:hAnsi="Times New Roman" w:eastAsia="標楷體" w:cs="Times New Roman"/>
        </w:rPr>
        <w:t xml:space="preserve">Zhao, T., Ran, Y., Wu, B., Wang, V. L., Zhou, L., &amp; Wang, C. L. (2024). </w:t>
      </w:r>
      <w:hyperlink r:id="rIdL48" w:history="1">
        <w:r>
          <w:rPr>
            <w:rStyle w:val="Hyperlink"/>
            <w:rFonts w:ascii="Times New Roman" w:hAnsi="Times New Roman" w:eastAsia="標楷體" w:cs="Times New Roman"/>
          </w:rPr>
          <w:t xml:space="preserve">Virtual versus human: Unraveling consumer reactions to service failures through influencer types.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178</w:t>
      </w:r>
      <w:r>
        <w:rPr>
          <w:rFonts w:ascii="Times New Roman" w:hAnsi="Times New Roman" w:eastAsia="標楷體" w:cs="Times New Roman"/>
        </w:rPr>
        <w:t xml:space="preserve">, 114657.</w:t>
      </w:r>
    </w:p>
    <w:p>
      <w:pPr>
        <w:spacing w:before="0" w:after="0" w:line="400" w:lineRule="exact"/>
        <w:ind w:left="480" w:hanging="480"/>
        <w:jc w:val="both"/>
      </w:pPr>
      <w:r>
        <w:rPr>
          <w:rFonts w:ascii="Times New Roman" w:hAnsi="Times New Roman" w:eastAsia="標楷體" w:cs="Times New Roman"/>
        </w:rPr>
        <w:t xml:space="preserve">Zhao, X., Lynch, J. G., &amp; Chen, Q. (2010). </w:t>
      </w:r>
      <w:hyperlink r:id="rIdL84" w:history="1">
        <w:r>
          <w:rPr>
            <w:rStyle w:val="Hyperlink"/>
            <w:rFonts w:ascii="Times New Roman" w:hAnsi="Times New Roman" w:eastAsia="標楷體" w:cs="Times New Roman"/>
          </w:rPr>
          <w:t xml:space="preserve">Reconsidering Baron and Kenny: Myths and truths about mediation analysis.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37</w:t>
      </w:r>
      <w:r>
        <w:rPr>
          <w:rFonts w:ascii="Times New Roman" w:hAnsi="Times New Roman" w:eastAsia="標楷體" w:cs="Times New Roman"/>
        </w:rPr>
        <w:t xml:space="preserve">(2), 197–206.</w:t>
      </w:r>
    </w:p>
    <w:p>
      <w:pPr>
        <w:spacing w:before="0" w:after="0" w:line="400" w:lineRule="exact"/>
        <w:ind w:left="480" w:hanging="480"/>
        <w:jc w:val="both"/>
      </w:pPr>
      <w:r>
        <w:rPr>
          <w:rFonts w:ascii="Times New Roman" w:hAnsi="Times New Roman" w:eastAsia="標楷體" w:cs="Times New Roman"/>
        </w:rPr>
        <w:t xml:space="preserve">Zheng, J., Wang, Y., Dou, Y., &amp; Ling, H. (2026). </w:t>
      </w:r>
      <w:hyperlink r:id="rIdL53" w:history="1">
        <w:r>
          <w:rPr>
            <w:rStyle w:val="Hyperlink"/>
            <w:rFonts w:ascii="Times New Roman" w:hAnsi="Times New Roman" w:eastAsia="標楷體" w:cs="Times New Roman"/>
          </w:rPr>
          <w:t xml:space="preserve">The marketing effects of live streaming in online marketplaces.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63</w:t>
      </w:r>
      <w:r>
        <w:rPr>
          <w:rFonts w:ascii="Times New Roman" w:hAnsi="Times New Roman" w:eastAsia="標楷體" w:cs="Times New Roman"/>
        </w:rPr>
        <w:t xml:space="preserve">, 104288.</w:t>
      </w:r>
    </w:p>
    <w:p>
      <w:pPr>
        <w:spacing w:before="0" w:after="0" w:line="400" w:lineRule="exact"/>
        <w:ind w:left="480" w:hanging="480"/>
        <w:jc w:val="both"/>
      </w:pPr>
      <w:r>
        <w:rPr>
          <w:rFonts w:ascii="Times New Roman" w:hAnsi="Times New Roman" w:eastAsia="標楷體" w:cs="Times New Roman"/>
        </w:rPr>
        <w:t xml:space="preserve">Zhou, T., &amp; Li, S. (2025). </w:t>
      </w:r>
      <w:hyperlink r:id="rIdL33" w:history="1">
        <w:r>
          <w:rPr>
            <w:rStyle w:val="Hyperlink"/>
            <w:rFonts w:ascii="Times New Roman" w:hAnsi="Times New Roman" w:eastAsia="標楷體" w:cs="Times New Roman"/>
          </w:rPr>
          <w:t xml:space="preserve">Examining consumer impulsive purchase intention in virtual AI streaming: A S-O-R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Theoretical and Applied Electronic Commerce Research, 20</w:t>
      </w:r>
      <w:r>
        <w:rPr>
          <w:rFonts w:ascii="Times New Roman" w:hAnsi="Times New Roman" w:eastAsia="標楷體" w:cs="Times New Roman"/>
        </w:rPr>
        <w:t xml:space="preserve">, 204.</w:t>
      </w:r>
    </w:p>
    <w:sectPr>
      <w:footerReference w:type="default" r:id="rIdF1"/>
      <w:pgSz w:w="11906" w:h="16838"/>
      <w:pgMar w:top="1247" w:right="1134" w:bottom="1247" w:left="1134" w:header="567" w:footer="567" w:gutter="0"/>
      <w:docGrid w:type="lines"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p>
    <w:pPr>
      <w:pStyle w:val="Foote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defaultTabStop w:val="480"/>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標楷體" w:cs="Times New Roman"/>
        <w:kern w:val="2"/>
        <w:sz w:val="24"/>
        <w:szCs w:val="24"/>
        <w:lang w:val="en-US" w:eastAsia="zh-TW"/>
      </w:rPr>
    </w:rPrDefault>
    <w:pPrDefault>
      <w:pPr>
        <w:widowControl/>
        <w:spacing w:after="0" w:line="240" w:lineRule="auto"/>
      </w:pPr>
    </w:pPrDefault>
  </w:docDefaults>
  <w:style w:type="paragraph" w:default="1" w:styleId="Normal">
    <w:name w:val="Normal"/>
    <w:qFormat/>
  </w:style>
  <w:style w:type="paragraph" w:styleId="Title">
    <w:name w:val="Title"/>
    <w:basedOn w:val="Normal"/>
    <w:next w:val="Normal"/>
    <w:qFormat/>
    <w:pPr>
      <w:keepNext/>
    </w:pPr>
    <w:rPr>
      <w:b/>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outlineLvl w:val="2"/>
    </w:pPr>
    <w:rPr>
      <w:b/>
    </w:rPr>
  </w:style>
  <w:style w:type="character" w:default="1" w:styleId="DefaultParagraphFont">
    <w:name w:val="Default Paragraph Font"/>
    <w:uiPriority w:val="1"/>
    <w:semiHidden/>
  </w:style>
  <w:style w:type="character" w:styleId="Hyperlink">
    <w:name w:val="Hyperlink"/>
    <w:basedOn w:val="DefaultParagraphFont"/>
    <w:rPr>
      <w:color w:val="0563C1"/>
      <w:u w:val="single"/>
    </w:rPr>
  </w:style>
  <w:style w:type="paragraph" w:styleId="Footer">
    <w:name w:val="footer"/>
    <w:basedOn w:val="Normal"/>
  </w:style>
</w:styles>
</file>

<file path=word/_rels/document.xml.rels><?xml version="1.0" encoding="UTF-8" standalone="yes"?><Relationships xmlns="http://schemas.openxmlformats.org/package/2006/relationships"><Relationship Id="rIdS1" Type="http://schemas.openxmlformats.org/officeDocument/2006/relationships/styles" Target="styles.xml"/><Relationship Id="rIdS2" Type="http://schemas.openxmlformats.org/officeDocument/2006/relationships/settings" Target="settings.xml"/><Relationship Id="rIdF1" Type="http://schemas.openxmlformats.org/officeDocument/2006/relationships/footer" Target="footer1.xml"/><Relationship Id="rIdL1" Type="http://schemas.openxmlformats.org/officeDocument/2006/relationships/hyperlink" Target="../3.%20&#20027;&#38988;&#19977;%20&#38651;&#23376;&#21830;&#21209;&#27169;&#24335;%20(E-commerce%20Models)/2020%20-%20The%20role%20of%20live%20streaming%20in%20building%20consumer%20trust%20and%20engagement%20with%20social%20commerce%20sellers.pdf" TargetMode="External"/><Relationship Id="rIdL2" Type="http://schemas.openxmlformats.org/officeDocument/2006/relationships/hyperlink" Target="../3.%20&#20027;&#38988;&#19977;%20&#38651;&#23376;&#21830;&#21209;&#27169;&#24335;%20(E-commerce%20Models)/2021%20-%20Live%20streaming%20commerce%20and%20consumers&#8217;%20purchase%20intention%20-%20An%20uncertainty%20reduction%20perspective.pdf" TargetMode="External"/><Relationship Id="rIdL3" Type="http://schemas.openxmlformats.org/officeDocument/2006/relationships/hyperlink" Target="../3.%20&#20027;&#38988;&#19977;%20&#38651;&#23376;&#21830;&#21209;&#27169;&#24335;%20(E-commerce%20Models)/2024%20-%20Influencer%20mix%20strategies%20in%20livestream%20commerce%20-%20Impact%20on%20product%20sales.pdf" TargetMode="External"/><Relationship Id="rIdL4" Type="http://schemas.openxmlformats.org/officeDocument/2006/relationships/hyperlink" Target="../5.%20&#20027;&#38988;&#20116;%20&#38651;&#21830;&#24066;&#22580;&#30332;&#23637;&#38656;&#27714;%20(E-commerce%20Market%20Development%20Needs)/2026%20-%20Governing%20AI%20virtual%20anchors%20in%20China&#8217;s%20live%20streaming%20E-commerce%20ecosystem%20-%20Policy%20challenges%20and%20global%20implications.pdf" TargetMode="External"/><Relationship Id="rIdL5" Type="http://schemas.openxmlformats.org/officeDocument/2006/relationships/hyperlink" Target="../1.%20&#20027;&#38988;&#19968;%20&#21109;&#26032;&#30332;&#23637;%20(Innovative%20Development)/2025%20-%20Artificial%20intelligence-powered%20digital%20streamers%20in%20online%20retail%20-%20Empirical%20insights%20and%20design%20strategies%20from%20experiments%20(SSRN%20preprint).pdf" TargetMode="External"/><Relationship Id="rIdL6" Type="http://schemas.openxmlformats.org/officeDocument/2006/relationships/hyperlink" Target="../1.%20&#20027;&#38988;&#19968;%20&#21109;&#26032;&#30332;&#23637;%20(Innovative%20Development)/2026%20-%20Can%20AI%20streamers%20drive%20purchases%20in%20food%20delivery%20E-commerce%20live%20streaming%20Evidence%20from%20an%20O2O%20platform.pdf" TargetMode="External"/><Relationship Id="rIdL7" Type="http://schemas.openxmlformats.org/officeDocument/2006/relationships/hyperlink" Target="../1.%20&#20027;&#38988;&#19968;%20&#21109;&#26032;&#30332;&#23637;%20(Innovative%20Development)/2025%20-%20Gimmick%20or%20genuineness%20Exploring%20the%20antecedents%20of%20AI%20virtual%20streamers%20aversion%20in%20live-streaming%20commerce.pdf" TargetMode="External"/><Relationship Id="rIdL8" Type="http://schemas.openxmlformats.org/officeDocument/2006/relationships/hyperlink" Target="../1.%20&#20027;&#38988;&#19968;%20&#21109;&#26032;&#30332;&#23637;%20(Innovative%20Development)/2025%20-%20Artificial%20intelligence%20in%20live%20streaming%20-%20How%20can%20virtual%20streamers%20bring%20more%20sales.pdf" TargetMode="External"/><Relationship Id="rIdL9" Type="http://schemas.openxmlformats.org/officeDocument/2006/relationships/hyperlink" Target="../3.%20&#20027;&#38988;&#19977;%20&#38651;&#23376;&#21830;&#21209;&#27169;&#24335;%20(E-commerce%20Models)/2025%20-%20When%20persuasion%20is%20too%20persuasive%20-%20An%20empirical%20analysis%20of%20product%20returns%20in%20livestream%20e-commerce.pdf" TargetMode="External"/><Relationship Id="rIdL10" Type="http://schemas.openxmlformats.org/officeDocument/2006/relationships/hyperlink" Target="../1.%20&#20027;&#38988;&#19968;%20&#21109;&#26032;&#30332;&#23637;%20(Innovative%20Development)/2025%20-%20The%20higher%20the%20better%20A%20study%20on%20the%20dark%20side%20of%20high%20engagement%20atmosphere%20in%20live%20streaming%20sales%20on%20consumer%20post-purchase%20satisfaction.pdf" TargetMode="External"/><Relationship Id="rIdL11" Type="http://schemas.openxmlformats.org/officeDocument/2006/relationships/hyperlink" Target="https://doi.org/10.1287/isre.2023.0103" TargetMode="External"/><Relationship Id="rIdL12" Type="http://schemas.openxmlformats.org/officeDocument/2006/relationships/hyperlink" Target="../2.%20&#20027;&#38988;&#20108;%20&#28040;&#36027;&#32773;&#24515;&#29702;&#34892;&#28858;%20(Consumer%20Psychological%20Behavior)/1982%20-%20A%20means-end%20chain%20model%20based%20on%20consumer%20categorization%20processes.pdf" TargetMode="External"/><Relationship Id="rIdL13" Type="http://schemas.openxmlformats.org/officeDocument/2006/relationships/hyperlink" Target="../4.%20&#20027;&#38988;&#22235;%20&#30740;&#31350;&#28507;&#21147;%20(Research%20Potential)/1999%20-%20Stimulus%20sampling%20and%20social%20psychological%20experimentation.pdf" TargetMode="External"/><Relationship Id="rIdL14" Type="http://schemas.openxmlformats.org/officeDocument/2006/relationships/hyperlink" Target="../4.%20&#20027;&#38988;&#22235;%20&#30740;&#31350;&#28507;&#21147;%20(Research%20Potential)/1988%20-%20Structural%20equation%20modeling%20in%20practice%20-%20A%20review%20and%20recommended%20two-step%20approach.pdf" TargetMode="External"/><Relationship Id="rIdL15" Type="http://schemas.openxmlformats.org/officeDocument/2006/relationships/hyperlink" Target="../2.%20&#20027;&#38988;&#20108;%20&#28040;&#36027;&#32773;&#24515;&#29702;&#34892;&#28858;%20(Consumer%20Psychological%20Behavior)/2000%20-%20Consumer%20choice%20between%20hedonic%20and%20utilitarian%20goods.pdf" TargetMode="External"/><Relationship Id="rIdL16" Type="http://schemas.openxmlformats.org/officeDocument/2006/relationships/hyperlink" Target="../1.%20&#20027;&#38988;&#19968;%20&#21109;&#26032;&#30332;&#23637;%20(Innovative%20Development)/2025%20-%20Impact%20of%20AI-generated%20virtual%20streamer%20interaction%20on%20consumer%20purchase%20intention%20-%20A%20focus%20on%20social%20presence%20and%20perceived%20value.pdf" TargetMode="External"/><Relationship Id="rIdL17" Type="http://schemas.openxmlformats.org/officeDocument/2006/relationships/hyperlink" Target="../2.%20&#20027;&#38988;&#20108;%20&#28040;&#36027;&#32773;&#24515;&#29702;&#34892;&#28858;%20(Consumer%20Psychological%20Behavior)/1988%20-%20Laddering%20theory,%20method,%20analysis,%20and%20interpretation.pdf" TargetMode="External"/><Relationship Id="rIdL18" Type="http://schemas.openxmlformats.org/officeDocument/2006/relationships/hyperlink" Target="../2.%20&#20027;&#38988;&#20108;%20&#28040;&#36027;&#32773;&#24515;&#29702;&#34892;&#28858;%20(Consumer%20Psychological%20Behavior)/1995%20-%20Measuring%20subjective%20meaning%20structures%20by%20the%20laddering%20method%20-%20Theoretical%20considerations%20and%20methodological%20problems.pdf" TargetMode="External"/><Relationship Id="rIdL19" Type="http://schemas.openxmlformats.org/officeDocument/2006/relationships/hyperlink" Target="../2.%20&#20027;&#38988;&#20108;%20&#28040;&#36027;&#32773;&#24515;&#29702;&#34892;&#28858;%20(Consumer%20Psychological%20Behavior)/1991%20-%20Why%20we%20buy%20what%20we%20buy%20-%20A%20theory%20of%20consumption%20values.pdf" TargetMode="External"/><Relationship Id="rIdL20" Type="http://schemas.openxmlformats.org/officeDocument/2006/relationships/hyperlink" Target="../2.%20&#20027;&#38988;&#20108;%20&#28040;&#36027;&#32773;&#24515;&#29702;&#34892;&#28858;%20(Consumer%20Psychological%20Behavior)/2022%20-%20Artificial%20intelligence%20in%20utilitarian%20vs.%20hedonic%20contexts%20-%20The%20word-of-machine%20effect.pdf" TargetMode="External"/><Relationship Id="rIdL21" Type="http://schemas.openxmlformats.org/officeDocument/2006/relationships/hyperlink" Target="../2.%20&#20027;&#38988;&#20108;%20&#28040;&#36027;&#32773;&#24515;&#29702;&#34892;&#28858;%20(Consumer%20Psychological%20Behavior)/2019%20-%20Task-dependent%20algorithm%20aversion.pdf" TargetMode="External"/><Relationship Id="rIdL22" Type="http://schemas.openxmlformats.org/officeDocument/2006/relationships/hyperlink" Target="../2.%20&#20027;&#38988;&#20108;%20&#28040;&#36027;&#32773;&#24515;&#29702;&#34892;&#28858;%20(Consumer%20Psychological%20Behavior)/2020%20-%20Artificial%20intelligence%20and%20persuasion%20-%20A%20construal-level%20account.pdf" TargetMode="External"/><Relationship Id="rIdL23" Type="http://schemas.openxmlformats.org/officeDocument/2006/relationships/hyperlink" Target="../1.%20&#20027;&#38988;&#19968;%20&#21109;&#26032;&#30332;&#23637;%20(Innovative%20Development)/2025%20-%20Are%20assertive%20messages%20more%20effective%20in%20live%20marketing%20Matching%20effects%20of%20anchor%20type%20and%20message%20assertiveness%20on%20purchase%20intention.pdf" TargetMode="External"/><Relationship Id="rIdL24" Type="http://schemas.openxmlformats.org/officeDocument/2006/relationships/hyperlink" Target="../2.%20&#20027;&#38988;&#20108;%20&#28040;&#36027;&#32773;&#24515;&#29702;&#34892;&#28858;%20(Consumer%20Psychological%20Behavior)/2007%20-%20Universal%20dimensions%20of%20social%20cognition%20-%20Warmth%20and%20competence.pdf" TargetMode="External"/><Relationship Id="rIdL25" Type="http://schemas.openxmlformats.org/officeDocument/2006/relationships/hyperlink" Target="../2.%20&#20027;&#38988;&#20108;%20&#28040;&#36027;&#32773;&#24515;&#29702;&#34892;&#28858;%20(Consumer%20Psychological%20Behavior)/2025%20-%20AI%20service%20may%20backfire%20-%20Reduced%20service%20warmth%20due%20to%20service%20provider%20transformation.pdf" TargetMode="External"/><Relationship Id="rIdL26" Type="http://schemas.openxmlformats.org/officeDocument/2006/relationships/hyperlink" Target="../2.%20&#20027;&#38988;&#20108;%20&#28040;&#36027;&#32773;&#24515;&#29702;&#34892;&#28858;%20(Consumer%20Psychological%20Behavior)/1994%20-%20The%20persuasion%20knowledge%20model%20-%20How%20people%20cope%20with%20persuasion%20attempts.pdf" TargetMode="External"/><Relationship Id="rIdL27" Type="http://schemas.openxmlformats.org/officeDocument/2006/relationships/hyperlink" Target="../2.%20&#20027;&#38988;&#20108;%20&#28040;&#36027;&#32773;&#24515;&#29702;&#34892;&#28858;%20(Consumer%20Psychological%20Behavior)/2023%20-%20Bad%20news%20Send%20an%20AI.%20Good%20news%20Send%20a%20human.pdf" TargetMode="External"/><Relationship Id="rIdL28" Type="http://schemas.openxmlformats.org/officeDocument/2006/relationships/hyperlink" Target="../1.%20&#20027;&#38988;&#19968;%20&#21109;&#26032;&#30332;&#23637;%20(Innovative%20Development)/2026%20-%20AI%20vs.%20human%20streamers%20-%20How%20digital%20agents%20shape%20consumer%20persuasion%20processing%20in%20live%20streaming%20commerce.pdf" TargetMode="External"/><Relationship Id="rIdL29" Type="http://schemas.openxmlformats.org/officeDocument/2006/relationships/hyperlink" Target="../2.%20&#20027;&#38988;&#20108;%20&#28040;&#36027;&#32773;&#24515;&#29702;&#34892;&#28858;%20(Consumer%20Psychological%20Behavior)/2000%20-%20Regret%20-%20A%20model%20of%20its%20antecedents%20and%20consequences%20in%20consumer%20decision%20making.pdf" TargetMode="External"/><Relationship Id="rIdL30" Type="http://schemas.openxmlformats.org/officeDocument/2006/relationships/hyperlink" Target="https://doi.org/10.1177/002224378001700405" TargetMode="External"/><Relationship Id="rIdL31" Type="http://schemas.openxmlformats.org/officeDocument/2006/relationships/hyperlink" Target="../4.%20&#20027;&#38988;&#22235;%20&#30740;&#31350;&#28507;&#21147;%20(Research%20Potential)/2002%20-%20Evaluating%20goodness-of-fit%20indexes%20for%20testing%20measurement%20invariance.pdf" TargetMode="External"/><Relationship Id="rIdL32" Type="http://schemas.openxmlformats.org/officeDocument/2006/relationships/hyperlink" Target="../1.%20&#20027;&#38988;&#19968;%20&#21109;&#26032;&#30332;&#23637;%20(Innovative%20Development)/2025%20-%20Machines%20vs.%20humans%20-%20The%20evolving%20role%20of%20artificial%20intelligence%20in%20livestreaming%20e-commerce.pdf" TargetMode="External"/><Relationship Id="rIdL33" Type="http://schemas.openxmlformats.org/officeDocument/2006/relationships/hyperlink" Target="../1.%20&#20027;&#38988;&#19968;%20&#21109;&#26032;&#30332;&#23637;%20(Innovative%20Development)/2025%20-%20Examining%20consumer%20impulsive%20purchase%20intention%20in%20virtual%20AI%20streaming%20-%20A%20S-O-R%20perspective.pdf" TargetMode="External"/><Relationship Id="rIdL34" Type="http://schemas.openxmlformats.org/officeDocument/2006/relationships/hyperlink" Target="../4.%20&#20027;&#38988;&#22235;%20&#30740;&#31350;&#28507;&#21147;%20(Research%20Potential)/2021%20-%20Methodological%20considerations%20on%20the%20means-end%20chain%20analysis%20revisited.pdf" TargetMode="External"/><Relationship Id="rIdL35" Type="http://schemas.openxmlformats.org/officeDocument/2006/relationships/hyperlink" Target="../3.%20&#20027;&#38988;&#19977;%20&#38651;&#23376;&#21830;&#21209;&#27169;&#24335;%20(E-commerce%20Models)/2027%20-%20Beyond%20sales%20-%20Seller%20explanation,%20product%20availability,%20and%20returns%20in%20livestream%20commerce.pdf" TargetMode="External"/><Relationship Id="rIdL36" Type="http://schemas.openxmlformats.org/officeDocument/2006/relationships/hyperlink" Target="../2.%20&#20027;&#38988;&#20108;%20&#28040;&#36027;&#32773;&#24515;&#29702;&#34892;&#28858;%20(Consumer%20Psychological%20Behavior)/2019%20-%20Machines%20vs.%20humans%20-%20The%20impact%20of%20artificial%20intelligence%20chatbot%20disclosure%20on%20customer%20purchases.pdf" TargetMode="External"/><Relationship Id="rIdL37" Type="http://schemas.openxmlformats.org/officeDocument/2006/relationships/hyperlink" Target="../1.%20&#20027;&#38988;&#19968;%20&#21109;&#26032;&#30332;&#23637;%20(Innovative%20Development)/2024%20-%20Do%20you%20create%20your%20content%20yourself%20Using%20generative%20artificial%20intelligence%20for%20social%20media%20content%20creation%20diminishes%20perceived%20brand%20authenticity.pdf" TargetMode="External"/><Relationship Id="rIdL38" Type="http://schemas.openxmlformats.org/officeDocument/2006/relationships/hyperlink" Target="../2.%20&#20027;&#38988;&#20108;%20&#28040;&#36027;&#32773;&#24515;&#29702;&#34892;&#28858;%20(Consumer%20Psychological%20Behavior)/2025%20-%20The%20AI-authorship%20effect%20-%20Understanding%20authenticity,%20moral%20disgust,%20and%20consumer%20responses%20to%20AI-generated%20marketing%20communications.pdf" TargetMode="External"/><Relationship Id="rIdL39" Type="http://schemas.openxmlformats.org/officeDocument/2006/relationships/hyperlink" Target="https://doi.org/10.1287/isre.2022.0152" TargetMode="External"/><Relationship Id="rIdL40" Type="http://schemas.openxmlformats.org/officeDocument/2006/relationships/hyperlink" Target="../1.%20&#20027;&#38988;&#19968;%20&#21109;&#26032;&#30332;&#23637;%20(Innovative%20Development)/2024%20-%20Virtual%20vs.%20human%20influencer%20-%20Effects%20on%20users&#8217;%20perceptions%20and%20brand%20outcomes.pdf" TargetMode="External"/><Relationship Id="rIdL41" Type="http://schemas.openxmlformats.org/officeDocument/2006/relationships/hyperlink" Target="../2.%20&#20027;&#38988;&#20108;%20&#28040;&#36027;&#32773;&#24515;&#29702;&#34892;&#28858;%20(Consumer%20Psychological%20Behavior)/2025%20-%20The%20impact%20of%20prior%20chatbot%20identity%20disclosure%20on%20customer%20tolerance%20of%20service%20failures.pdf" TargetMode="External"/><Relationship Id="rIdL42" Type="http://schemas.openxmlformats.org/officeDocument/2006/relationships/hyperlink" Target="../4.%20&#20027;&#38988;&#22235;%20&#30740;&#31350;&#28507;&#21147;%20(Research%20Potential)/2018%20-%20The%20preregistration%20revolution.pdf" TargetMode="External"/><Relationship Id="rIdL43" Type="http://schemas.openxmlformats.org/officeDocument/2006/relationships/hyperlink" Target="../5.%20&#20027;&#38988;&#20116;%20&#38651;&#21830;&#24066;&#22580;&#30332;&#23637;&#38656;&#27714;%20(E-commerce%20Market%20Development%20Needs)/2025%20-%20Generative%20artificial%20intelligence%20and%20internationalization%20green%20innovation%20-%20Roles%20of%20supply%20chain%20innovations%20and%20AI%20regulation%20for%20SMEs.pdf" TargetMode="External"/><Relationship Id="rIdL44" Type="http://schemas.openxmlformats.org/officeDocument/2006/relationships/hyperlink" Target="../5.%20&#20027;&#38988;&#20116;%20&#38651;&#21830;&#24066;&#22580;&#30332;&#23637;&#38656;&#27714;%20(E-commerce%20Market%20Development%20Needs)/2017%20-%20The%20role%20of%20data%20privacy%20in%20marketing.pdf" TargetMode="External"/><Relationship Id="rIdL45" Type="http://schemas.openxmlformats.org/officeDocument/2006/relationships/hyperlink" Target="../4.%20&#20027;&#38988;&#22235;%20&#30740;&#31350;&#28507;&#21147;%20(Research%20Potential)/2025%20-%20Live%20streaming%20commerce%20-%20A%20review%20and%20research%20agenda.pdf" TargetMode="External"/><Relationship Id="rIdL46" Type="http://schemas.openxmlformats.org/officeDocument/2006/relationships/hyperlink" Target="../2.%20&#20027;&#38988;&#20108;%20&#28040;&#36027;&#32773;&#24515;&#29702;&#34892;&#28858;%20(Consumer%20Psychological%20Behavior)/2022%20-%20Blame%20the%20bot%20-%20Anthropomorphism%20and%20anger%20in%20customer&#8211;chatbot%20interactions.pdf" TargetMode="External"/><Relationship Id="rIdL47" Type="http://schemas.openxmlformats.org/officeDocument/2006/relationships/hyperlink" Target="../1.%20&#20027;&#38988;&#19968;%20&#21109;&#26032;&#30332;&#23637;%20(Innovative%20Development)/2023%20-%20Can%20you%20sense%20without%20being%20human%20Comparing%20virtual%20and%20human%20influencers%20endorsement%20effectiveness.pdf" TargetMode="External"/><Relationship Id="rIdL48" Type="http://schemas.openxmlformats.org/officeDocument/2006/relationships/hyperlink" Target="../1.%20&#20027;&#38988;&#19968;%20&#21109;&#26032;&#30332;&#23637;%20(Innovative%20Development)/2024%20-%20Virtual%20versus%20human%20-%20Unraveling%20consumer%20reactions%20to%20service%20failures%20through%20influencer%20types.pdf" TargetMode="External"/><Relationship Id="rIdL49" Type="http://schemas.openxmlformats.org/officeDocument/2006/relationships/hyperlink" Target="../2.%20&#20027;&#38988;&#20108;%20&#28040;&#36027;&#32773;&#24515;&#29702;&#34892;&#28858;%20(Consumer%20Psychological%20Behavior)/2022%20-%20Exploring%20consumers&#8217;%20response%20to%20text-based%20chatbots%20in%20e-commerce%20-%20The%20moderating%20role%20of%20task%20complexity%20and%20chatbot%20disclosure.pdf" TargetMode="External"/><Relationship Id="rIdL50" Type="http://schemas.openxmlformats.org/officeDocument/2006/relationships/hyperlink" Target="../1.%20&#20027;&#38988;&#19968;%20&#21109;&#26032;&#30332;&#23637;%20(Innovative%20Development)/2025%20-%20Influencing%20mechanisms%20of%20live%20streamer's%20language%20strategies%20on%20product%20sales.pdf" TargetMode="External"/><Relationship Id="rIdL51" Type="http://schemas.openxmlformats.org/officeDocument/2006/relationships/hyperlink" Target="../1.%20&#20027;&#38988;&#19968;%20&#21109;&#26032;&#30332;&#23637;%20(Innovative%20Development)/2025%20-%20How%20do%20influencers&#8217;%20impression%20management%20tactics%20affect%20purchase%20intention%20in%20live%20commerce%20&#8211;%20Trust%20transfer%20and%20gender%20differences.pdf" TargetMode="External"/><Relationship Id="rIdL52" Type="http://schemas.openxmlformats.org/officeDocument/2006/relationships/hyperlink" Target="../1.%20&#20027;&#38988;&#19968;%20&#21109;&#26032;&#30332;&#23637;%20(Innovative%20Development)/2025%20-%20The%20future%20of%20live-streaming%20commerce%20-%20Understanding%20the%20role%20of%20AI-powered%20virtual%20streamers.pdf" TargetMode="External"/><Relationship Id="rIdL53" Type="http://schemas.openxmlformats.org/officeDocument/2006/relationships/hyperlink" Target="../3.%20&#20027;&#38988;&#19977;%20&#38651;&#23376;&#21830;&#21209;&#27169;&#24335;%20(E-commerce%20Models)/2026%20-%20The%20marketing%20effects%20of%20live%20streaming%20in%20online%20marketplaces.pdf" TargetMode="External"/><Relationship Id="rIdL54" Type="http://schemas.openxmlformats.org/officeDocument/2006/relationships/hyperlink" Target="../1.%20&#20027;&#38988;&#19968;%20&#21109;&#26032;&#30332;&#23637;%20(Innovative%20Development)/2023%20-%20Authentically%20fake%20How%20consumers%20respond%20to%20the%20influence%20of%20virtual%20influencers.pdf" TargetMode="External"/><Relationship Id="rIdL55" Type="http://schemas.openxmlformats.org/officeDocument/2006/relationships/hyperlink" Target="../1.%20&#20027;&#38988;&#19968;%20&#21109;&#26032;&#30332;&#23637;%20(Innovative%20Development)/2023%20-%20Consumers&#8217;%20responses%20to%20virtual%20influencers%20as%20advertising%20endorsers%20-%20Novel%20and%20effective%20or%20uncanny%20and%20deceiving.pdf" TargetMode="External"/><Relationship Id="rIdL56" Type="http://schemas.openxmlformats.org/officeDocument/2006/relationships/hyperlink" Target="../1.%20&#20027;&#38988;&#19968;%20&#21109;&#26032;&#30332;&#23637;%20(Innovative%20Development)/2024%20-%20How%20and%20when%20do%20virtual%20influencers%20positively%20affect%20consumer%20responses%20to%20endorsed%20brands.pdf" TargetMode="External"/><Relationship Id="rIdL57" Type="http://schemas.openxmlformats.org/officeDocument/2006/relationships/hyperlink" Target="../1.%20&#20027;&#38988;&#19968;%20&#21109;&#26032;&#30332;&#23637;%20(Innovative%20Development)/2025%20-%20Virtual%20influencers%20-%20Definition%20and%20future%20research%20directions.pdf" TargetMode="External"/><Relationship Id="rIdL58" Type="http://schemas.openxmlformats.org/officeDocument/2006/relationships/hyperlink" Target="../2.%20&#20027;&#38988;&#20108;%20&#28040;&#36027;&#32773;&#24515;&#29702;&#34892;&#28858;%20(Consumer%20Psychological%20Behavior)/2021%20-%20Consumers%20and%20artificial%20intelligence%20-%20An%20experiential%20perspective.pdf" TargetMode="External"/><Relationship Id="rIdL59" Type="http://schemas.openxmlformats.org/officeDocument/2006/relationships/hyperlink" Target="../4.%20&#20027;&#38988;&#22235;%20&#30740;&#31350;&#28507;&#21147;%20(Research%20Potential)/2021%20-%20A%20strategic%20framework%20for%20artificial%20intelligence%20in%20marketing.pdf" TargetMode="External"/><Relationship Id="rIdL60" Type="http://schemas.openxmlformats.org/officeDocument/2006/relationships/hyperlink" Target="../2.%20&#20027;&#38988;&#20108;%20&#28040;&#36027;&#32773;&#24515;&#29702;&#34892;&#28858;%20(Consumer%20Psychological%20Behavior)/2021%20-%20Understanding%20anthropomorphism%20in%20service%20provision%20-%20A%20meta-analysis%20of%20physical%20robots,%20chatbots,%20and%20other%20AI.pdf" TargetMode="External"/><Relationship Id="rIdL61" Type="http://schemas.openxmlformats.org/officeDocument/2006/relationships/hyperlink" Target="../2.%20&#20027;&#38988;&#20108;%20&#28040;&#36027;&#32773;&#24515;&#29702;&#34892;&#28858;%20(Consumer%20Psychological%20Behavior)/2025%20-%20Helpful%20or%20harmful%20A%20curvilinear%20perspective%20on%20AI%20agent%20anthropomorphism%20in%20service%20failure%20tolerance.pdf" TargetMode="External"/><Relationship Id="rIdL62" Type="http://schemas.openxmlformats.org/officeDocument/2006/relationships/hyperlink" Target="../2.%20&#20027;&#38988;&#20108;%20&#28040;&#36027;&#32773;&#24515;&#29702;&#34892;&#28858;%20(Consumer%20Psychological%20Behavior)/2023%20-%20Robots%20do%20not%20judge%20-%20Service%20robots%20can%20alleviate%20embarrassment%20in%20service%20encounters.pdf" TargetMode="External"/><Relationship Id="rIdL63" Type="http://schemas.openxmlformats.org/officeDocument/2006/relationships/hyperlink" Target="../1.%20&#20027;&#38988;&#19968;%20&#21109;&#26032;&#30332;&#23637;%20(Innovative%20Development)/2012%20-%20The%20uncanny%20valley%20[from%20the%20field].pdf" TargetMode="External"/><Relationship Id="rIdL64" Type="http://schemas.openxmlformats.org/officeDocument/2006/relationships/hyperlink" Target="../2.%20&#20027;&#38988;&#20108;%20&#28040;&#36027;&#32773;&#24515;&#29702;&#34892;&#28858;%20(Consumer%20Psychological%20Behavior)/1995%20-%20A%20means-end%20chain%20approach%20to%20consumer%20goal%20structures.pdf" TargetMode="External"/><Relationship Id="rIdL65" Type="http://schemas.openxmlformats.org/officeDocument/2006/relationships/hyperlink" Target="../4.%20&#20027;&#38988;&#22235;%20&#30740;&#31350;&#28507;&#21147;%20(Research%20Potential)/1977%20-%20Content%20analysis%20in%20consumer%20research.pdf" TargetMode="External"/><Relationship Id="rIdL66" Type="http://schemas.openxmlformats.org/officeDocument/2006/relationships/hyperlink" Target="../4.%20&#20027;&#38988;&#22235;%20&#30740;&#31350;&#28507;&#21147;%20(Research%20Potential)/1989%20-%20Reliability%20of%20nominal%20data%20based%20on%20qualitative%20judgments.pdf" TargetMode="External"/><Relationship Id="rIdL67" Type="http://schemas.openxmlformats.org/officeDocument/2006/relationships/hyperlink" Target="../2.%20&#20027;&#38988;&#20108;%20&#28040;&#36027;&#32773;&#24515;&#29702;&#34892;&#28858;%20(Consumer%20Psychological%20Behavior)/1982%20-%20The%20experiential%20aspects%20of%20consumption%20-%20Consumer%20fantasies,%20feelings,%20and%20fun.pdf" TargetMode="External"/><Relationship Id="rIdL68" Type="http://schemas.openxmlformats.org/officeDocument/2006/relationships/hyperlink" Target="../3.%20&#20027;&#38988;&#19977;%20&#38651;&#23376;&#21830;&#21209;&#27169;&#24335;%20(E-commerce%20Models)/2016%20-%20The%20effect%20of%20return%20policy%20leniency%20on%20consumer%20purchase%20and%20return%20decisions%20-%20A%20meta-analytic%20review.pdf" TargetMode="External"/><Relationship Id="rIdL69" Type="http://schemas.openxmlformats.org/officeDocument/2006/relationships/hyperlink" Target="../2.%20&#20027;&#38988;&#20108;%20&#28040;&#36027;&#32773;&#24515;&#29702;&#34892;&#28858;%20(Consumer%20Psychological%20Behavior)/2025%20-%20Striking%20the%20right%20balance%20-%20Customising%20return%20policy%20leniency%20for%20managing%20customer%20online%20return%20proclivity%20and%20satisfaction.pdf" TargetMode="External"/><Relationship Id="rIdL70" Type="http://schemas.openxmlformats.org/officeDocument/2006/relationships/hyperlink" Target="../2.%20&#20027;&#38988;&#20108;%20&#28040;&#36027;&#32773;&#24515;&#29702;&#34892;&#28858;%20(Consumer%20Psychological%20Behavior)/2025%20-%20Fun%20or%20warm%20-%20How%20conversational%20style%20boosts%20customer%20engagement.pdf" TargetMode="External"/><Relationship Id="rIdL71" Type="http://schemas.openxmlformats.org/officeDocument/2006/relationships/hyperlink" Target="../2.%20&#20027;&#38988;&#20108;%20&#28040;&#36027;&#32773;&#24515;&#29702;&#34892;&#28858;%20(Consumer%20Psychological%20Behavior)/2022%20-%20Thumbs%20up%20or%20down%20-%20Consumer%20reactions%20to%20decisions%20by%20algorithms%20versus%20humans.pdf" TargetMode="External"/><Relationship Id="rIdL72" Type="http://schemas.openxmlformats.org/officeDocument/2006/relationships/hyperlink" Target="https://doi.org/10.1287/isre.2021.1015" TargetMode="External"/><Relationship Id="rIdL73" Type="http://schemas.openxmlformats.org/officeDocument/2006/relationships/hyperlink" Target="../2.%20&#20027;&#38988;&#20108;%20&#28040;&#36027;&#32773;&#24515;&#29702;&#34892;&#28858;%20(Consumer%20Psychological%20Behavior)/1994%20-%20The%20commitment-trust%20theory%20of%20relationship%20marketing.pdf" TargetMode="External"/><Relationship Id="rIdL74" Type="http://schemas.openxmlformats.org/officeDocument/2006/relationships/hyperlink" Target="../3.%20&#20027;&#38988;&#19977;%20&#38651;&#23376;&#21830;&#21209;&#27169;&#24335;%20(E-commerce%20Models)/2003%20-%20Trust%20and%20TAM%20in%20online%20shopping%20-%20An%20integrated%20model.pdf" TargetMode="External"/><Relationship Id="rIdL75" Type="http://schemas.openxmlformats.org/officeDocument/2006/relationships/hyperlink" Target="../4.%20&#20027;&#38988;&#22235;%20&#30740;&#31350;&#28507;&#21147;%20(Research%20Potential)/2016%20-%20Testing%20measurement%20invariance%20of%20composites%20using%20partial%20least%20squares.pdf" TargetMode="External"/><Relationship Id="rIdL76" Type="http://schemas.openxmlformats.org/officeDocument/2006/relationships/hyperlink" Target="../2.%20&#20027;&#38988;&#20108;%20&#28040;&#36027;&#32773;&#24515;&#29702;&#34892;&#28858;%20(Consumer%20Psychological%20Behavior)/2003%20-%20Measuring%20the%20hedonic%20and%20utilitarian%20dimensions%20of%20consumer%20attitude.pdf" TargetMode="External"/><Relationship Id="rIdL77" Type="http://schemas.openxmlformats.org/officeDocument/2006/relationships/hyperlink" Target="../2.%20&#20027;&#38988;&#20108;%20&#28040;&#36027;&#32773;&#24515;&#29702;&#34892;&#28858;%20(Consumer%20Psychological%20Behavior)/1985%20-%20Measuring%20the%20involvement%20construct.pdf" TargetMode="External"/><Relationship Id="rIdL78" Type="http://schemas.openxmlformats.org/officeDocument/2006/relationships/hyperlink" Target="https://doi.org/10.1207/s15327752jpa4803_13" TargetMode="External"/><Relationship Id="rIdL79" Type="http://schemas.openxmlformats.org/officeDocument/2006/relationships/hyperlink" Target="https://doi.org/10.1177/001316446002000104" TargetMode="External"/><Relationship Id="rIdL80" Type="http://schemas.openxmlformats.org/officeDocument/2006/relationships/hyperlink" Target="../4.%20&#20027;&#38988;&#22235;%20&#30740;&#31350;&#28507;&#21147;%20(Research%20Potential)/1981%20-%20Evaluating%20structural%20equation%20models%20with%20unobservable%20variables%20and%20measurement%20error.pdf" TargetMode="External"/><Relationship Id="rIdL81" Type="http://schemas.openxmlformats.org/officeDocument/2006/relationships/hyperlink" Target="../4.%20&#20027;&#38988;&#22235;%20&#30740;&#31350;&#28507;&#21147;%20(Research%20Potential)/1999%20-%20Cutoff%20criteria%20for%20fit%20indexes%20in%20covariance%20structure%20analysis%20-%20Conventional%20criteria%20versus%20new%20alternatives.pdf" TargetMode="External"/><Relationship Id="rIdL82" Type="http://schemas.openxmlformats.org/officeDocument/2006/relationships/hyperlink" Target="../4.%20&#20027;&#38988;&#22235;%20&#30740;&#31350;&#28507;&#21147;%20(Research%20Potential)/2007%20-%20G-Power%203%20-%20A%20flexible%20statistical%20power%20analysis%20program%20for%20the%20social,%20behavioral,%20and%20biomedical%20sciences.pdf" TargetMode="External"/><Relationship Id="rIdL83" Type="http://schemas.openxmlformats.org/officeDocument/2006/relationships/hyperlink" Target="../2.%20&#20027;&#38988;&#20108;%20&#28040;&#36027;&#32773;&#24515;&#29702;&#34892;&#28858;%20(Consumer%20Psychological%20Behavior)/1991%20-%20Effects%20of%20price,%20brand,%20and%20store%20information%20on%20buyers'%20product%20evaluations.pdf" TargetMode="External"/><Relationship Id="rIdL84" Type="http://schemas.openxmlformats.org/officeDocument/2006/relationships/hyperlink" Target="../4.%20&#20027;&#38988;&#22235;%20&#30740;&#31350;&#28507;&#21147;%20(Research%20Potential)/2010%20-%20Reconsidering%20Baron%20and%20Kenny%20-%20Myths%20and%20truths%20about%20mediation%20analysis.pdf" TargetMode="External"/><Relationship Id="rIdL85" Type="http://schemas.openxmlformats.org/officeDocument/2006/relationships/hyperlink" Target="../4.%20&#20027;&#38988;&#22235;%20&#30740;&#31350;&#28507;&#21147;%20(Research%20Potential)/1995%20-%20Controlling%20the%20false%20discovery%20rate%20-%20A%20practical%20and%20powerful%20approach%20to%20multiple%20testing.pdf" TargetMode="External"/><Relationship Id="rIdL86" Type="http://schemas.openxmlformats.org/officeDocument/2006/relationships/hyperlink" Target="../2.%20&#20027;&#38988;&#20108;%20&#28040;&#36027;&#32773;&#24515;&#29702;&#34892;&#28858;%20(Consumer%20Psychological%20Behavior)/1990%20-%20Construction%20and%20validation%20of%20a%20scale%20to%20measure%20celebrity%20endorsers'%20perceived%20expertise,%20trustworthiness,%20and%20attractiveness.pdf" TargetMode="External"/><Relationship Id="rIdL87" Type="http://schemas.openxmlformats.org/officeDocument/2006/relationships/hyperlink" Target="../4.%20&#20027;&#38988;&#22235;%20&#30740;&#31350;&#28507;&#21147;%20(Research%20Potential)/2003%20-%20Common%20method%20biases%20in%20behavioral%20research%20-%20A%20critical%20review%20of%20the%20literature%20and%20recommended%20remedies.pdf" TargetMode="External"/><Relationship Id="rIdL88" Type="http://schemas.openxmlformats.org/officeDocument/2006/relationships/hyperlink" Target="../4.%20&#20027;&#38988;&#22235;%20&#30740;&#31350;&#28507;&#21147;%20(Research%20Potential)/2019%20-%20When%20to%20use%20and%20how%20to%20report%20the%20results%20of%20PLS-SEM.pdf" TargetMode="External"/><Relationship Id="rIdL89" Type="http://schemas.openxmlformats.org/officeDocument/2006/relationships/hyperlink" Target="../4.%20&#20027;&#38988;&#22235;%20&#30740;&#31350;&#28507;&#21147;%20(Research%20Potential)/2011%20-%20False-positive%20psychology%20-%20Undisclosed%20flexibility%20in%20data%20collection%20and%20analysis%20allows%20presenting%20anything%20as%20significant.pdf"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誰來賣、怎麼說、買了會不會退——AI 虛擬主播與真人主播的價值說服與購後後果：方法目的鏈、實驗設計與結構方程模式之二年期研究</dc:title>
  <dc:creator>Dr. Barret Lin</dc:creator>
  <dcterms:created xsi:type="dcterms:W3CDTF">2026-10-23T18:07:00Z</dcterms:created>
  <dcterms:modified xsi:type="dcterms:W3CDTF">2026-10-23T18:07:00Z</dcterms:modified>
</cp:coreProperties>
</file>