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wps="http://schemas.microsoft.com/office/word/2010/wordprocessingShape" xmlns:wpg="http://schemas.microsoft.com/office/word/2010/wordprocessingGroup" xmlns:mc="http://schemas.openxmlformats.org/markup-compatibility/2006" xmlns:w14="http://schemas.microsoft.com/office/word/2010/wordml" mc:Ignorable="w14">
  <w:body>
    <w:p>
      <w:pPr>
        <w:pStyle w:val="Title"/>
        <w:spacing w:before="0" w:after="240" w:line="480" w:lineRule="exact"/>
        <w:jc w:val="center"/>
      </w:pPr>
      <w:r>
        <w:rPr>
          <w:rFonts w:ascii="Times New Roman" w:hAnsi="Times New Roman" w:eastAsia="標楷體" w:cs="Times New Roman"/>
          <w:b/>
          <w:bCs/>
          <w:sz w:val="32"/>
          <w:szCs w:val="32"/>
        </w:rPr>
        <w:t xml:space="preserve">誰來賣、怎麼說、買了會不會退——AI 虛擬主播與真人主播的價值說服與購後後果：方法目的鏈、實驗設計與結構方程模式之二年期研究</w:t>
      </w:r>
    </w:p>
    <w:p>
      <w:pPr>
        <w:pStyle w:val="Heading1"/>
        <w:keepNext/>
        <w:spacing w:before="240" w:after="120" w:line="440" w:lineRule="exact"/>
      </w:pPr>
      <w:r>
        <w:rPr>
          <w:rFonts w:ascii="Times New Roman" w:hAnsi="Times New Roman" w:eastAsia="標楷體" w:cs="Times New Roman"/>
          <w:b/>
          <w:bCs/>
          <w:sz w:val="28"/>
          <w:szCs w:val="28"/>
        </w:rPr>
        <w:t xml:space="preserve">壹、研究計畫之背景及目的</w:t>
      </w:r>
    </w:p>
    <w:p>
      <w:pPr>
        <w:pStyle w:val="Heading2"/>
        <w:keepNext/>
        <w:spacing w:before="160" w:after="80" w:line="440" w:lineRule="exact"/>
      </w:pPr>
      <w:r>
        <w:rPr>
          <w:rFonts w:ascii="Times New Roman" w:hAnsi="Times New Roman" w:eastAsia="標楷體" w:cs="Times New Roman"/>
          <w:b/>
          <w:bCs/>
          <w:bdr w:val="single" w:sz="4" w:space="0" w:color="000000"/>
          <w:shd w:val="clear" w:color="auto" w:fill="E7E6E6"/>
        </w:rPr>
        <w:t xml:space="preserve">一、研究計畫之背景</w:t>
      </w:r>
    </w:p>
    <w:p>
      <w:pPr>
        <w:spacing w:before="0" w:after="0" w:line="440" w:lineRule="exact"/>
        <w:ind w:firstLineChars="200" w:firstLine="480"/>
        <w:jc w:val="both"/>
      </w:pPr>
      <w:r>
        <w:rPr>
          <w:rFonts w:ascii="Times New Roman" w:hAnsi="Times New Roman" w:eastAsia="標楷體" w:cs="Times New Roman"/>
        </w:rPr>
        <w:t xml:space="preserve">直播帶貨已由「網紅即時叫賣」發展為結合即時互動、社群口碑與交易的成熟電商模式。直播能讓賣家以即時畫面與互動建立消費者信任 (</w:t>
      </w:r>
      <w:hyperlink r:id="rIdL1" w:history="1">
        <w:r>
          <w:rPr>
            <w:rStyle w:val="Hyperlink"/>
            <w:rFonts w:ascii="Times New Roman" w:hAnsi="Times New Roman" w:eastAsia="標楷體" w:cs="Times New Roman"/>
          </w:rPr>
          <w:t xml:space="preserve">Wongkitrungrueng &amp; Assarut, 2020</w:t>
        </w:r>
      </w:hyperlink>
      <w:r>
        <w:rPr>
          <w:rFonts w:ascii="Times New Roman" w:hAnsi="Times New Roman" w:eastAsia="標楷體" w:cs="Times New Roman"/>
        </w:rPr>
        <w:t xml:space="preserve">)，主播的外型示範與價值觀分享，則是降低產品不確定性、促成購買的訊號 (</w:t>
      </w:r>
      <w:hyperlink r:id="rIdL2" w:history="1">
        <w:r>
          <w:rPr>
            <w:rStyle w:val="Hyperlink"/>
            <w:rFonts w:ascii="Times New Roman" w:hAnsi="Times New Roman" w:eastAsia="標楷體" w:cs="Times New Roman"/>
          </w:rPr>
          <w:t xml:space="preserve">Lu &amp; Chen, 2021</w:t>
        </w:r>
      </w:hyperlink>
      <w:r>
        <w:rPr>
          <w:rFonts w:ascii="Times New Roman" w:hAnsi="Times New Roman" w:eastAsia="標楷體" w:cs="Times New Roman"/>
        </w:rPr>
        <w:t xml:space="preserve">)。頂級期刊的近期研究也開始以大規模平台資料檢驗直播的銷售機制，例如大、小網紅組合對產品銷售的影響 (</w:t>
      </w:r>
      <w:hyperlink r:id="rIdL3" w:history="1">
        <w:r>
          <w:rPr>
            <w:rStyle w:val="Hyperlink"/>
            <w:rFonts w:ascii="Times New Roman" w:hAnsi="Times New Roman" w:eastAsia="標楷體" w:cs="Times New Roman"/>
          </w:rPr>
          <w:t xml:space="preserve">Gu et al., 2024</w:t>
        </w:r>
      </w:hyperlink>
      <w:r>
        <w:rPr>
          <w:rFonts w:ascii="Times New Roman" w:hAnsi="Times New Roman" w:eastAsia="標楷體" w:cs="Times New Roman"/>
        </w:rPr>
        <w:t xml:space="preserve">)。</w:t>
      </w:r>
    </w:p>
    <w:p>
      <w:pPr>
        <w:spacing w:before="0" w:after="0" w:line="440" w:lineRule="exact"/>
        <w:ind w:firstLineChars="200" w:firstLine="480"/>
        <w:jc w:val="both"/>
      </w:pPr>
      <w:r>
        <w:rPr>
          <w:rFonts w:ascii="Times New Roman" w:hAnsi="Times New Roman" w:eastAsia="標楷體" w:cs="Times New Roman"/>
          <w:b/>
          <w:bCs/>
        </w:rPr>
        <w:t xml:space="preserve">生成式 AI 讓「誰來賣」出現了新的選項：AI 虛擬主播。</w:t>
      </w:r>
      <w:r>
        <w:rPr>
          <w:rFonts w:ascii="Times New Roman" w:hAnsi="Times New Roman" w:eastAsia="標楷體" w:cs="Times New Roman"/>
        </w:rPr>
        <w:t xml:space="preserve">AI 虛擬主播能大幅降低營運成本、大量產製直播內容，但也帶來智慧財產、錯誤資訊與消費者保護等治理問題 (</w:t>
      </w:r>
      <w:hyperlink r:id="rIdL4" w:history="1">
        <w:r>
          <w:rPr>
            <w:rStyle w:val="Hyperlink"/>
            <w:rFonts w:ascii="Times New Roman" w:hAnsi="Times New Roman" w:eastAsia="標楷體" w:cs="Times New Roman"/>
          </w:rPr>
          <w:t xml:space="preserve">Meng, 2026</w:t>
        </w:r>
      </w:hyperlink>
      <w:r>
        <w:rPr>
          <w:rFonts w:ascii="Times New Roman" w:hAnsi="Times New Roman" w:eastAsia="標楷體" w:cs="Times New Roman"/>
        </w:rPr>
        <w:t xml:space="preserve">)。對資源有限的中小企業而言，AI 虛擬主播是一項低成本的替代方案；然而，它是否真的「賣得動」，現有證據並不一致。以天貓服飾零售商為對象的準實驗與田野實驗發現，現階段的數位主播與「不直播」相比並未顯著提高銷售，真人主播則有明顯效果；在數位主播加入即時問答等互動功能後，銷售才明顯提升 (</w:t>
      </w:r>
      <w:hyperlink r:id="rIdL5" w:history="1">
        <w:r>
          <w:rPr>
            <w:rStyle w:val="Hyperlink"/>
            <w:rFonts w:ascii="Times New Roman" w:hAnsi="Times New Roman" w:eastAsia="標楷體" w:cs="Times New Roman"/>
          </w:rPr>
          <w:t xml:space="preserve">Y. Liu et al., 2025</w:t>
        </w:r>
      </w:hyperlink>
      <w:r>
        <w:rPr>
          <w:rFonts w:ascii="Times New Roman" w:hAnsi="Times New Roman" w:eastAsia="標楷體" w:cs="Times New Roman"/>
        </w:rPr>
        <w:t xml:space="preserve">)。另一方面，有研究指出相當比例的消費者對 AI 主播心存反感，反感來自擬人化與科技恐懼，並經由「不夠溫暖」與「不夠專業」兩條路徑形成 (</w:t>
      </w:r>
      <w:hyperlink r:id="rIdL6" w:history="1">
        <w:r>
          <w:rPr>
            <w:rStyle w:val="Hyperlink"/>
            <w:rFonts w:ascii="Times New Roman" w:hAnsi="Times New Roman" w:eastAsia="標楷體" w:cs="Times New Roman"/>
          </w:rPr>
          <w:t xml:space="preserve">Xiao et al., 2025</w:t>
        </w:r>
      </w:hyperlink>
      <w:r>
        <w:rPr>
          <w:rFonts w:ascii="Times New Roman" w:hAnsi="Times New Roman" w:eastAsia="標楷體" w:cs="Times New Roman"/>
        </w:rPr>
        <w:t xml:space="preserve">)；也有研究發現，消費者在 AI 主播的直播間更傾向尋找促銷資訊 (</w:t>
      </w:r>
      <w:hyperlink r:id="rIdL7" w:history="1">
        <w:r>
          <w:rPr>
            <w:rStyle w:val="Hyperlink"/>
            <w:rFonts w:ascii="Times New Roman" w:hAnsi="Times New Roman" w:eastAsia="標楷體" w:cs="Times New Roman"/>
          </w:rPr>
          <w:t xml:space="preserve">Chang et al., 2025</w:t>
        </w:r>
      </w:hyperlink>
      <w:r>
        <w:rPr>
          <w:rFonts w:ascii="Times New Roman" w:hAnsi="Times New Roman" w:eastAsia="標楷體" w:cs="Times New Roman"/>
        </w:rPr>
        <w:t xml:space="preserve">)。</w:t>
      </w:r>
    </w:p>
    <w:p>
      <w:pPr>
        <w:spacing w:before="0" w:after="0" w:line="440" w:lineRule="exact"/>
        <w:ind w:firstLineChars="200" w:firstLine="480"/>
        <w:jc w:val="both"/>
      </w:pPr>
      <w:r>
        <w:rPr>
          <w:rFonts w:ascii="Times New Roman" w:hAnsi="Times New Roman" w:eastAsia="標楷體" w:cs="Times New Roman"/>
          <w:b/>
          <w:bCs/>
        </w:rPr>
        <w:t xml:space="preserve">然而，直播的成效不能只看「當下買不買」，還必須看「買了會不會退」。</w:t>
      </w:r>
      <w:r>
        <w:rPr>
          <w:rFonts w:ascii="Times New Roman" w:hAnsi="Times New Roman" w:eastAsia="標楷體" w:cs="Times New Roman"/>
        </w:rPr>
        <w:t xml:space="preserve">以直播電商平台資料比較即時直播與重播場次的研究發現，即時互動帶來的說服效果會把消費者的購前期望推高到超過產品實際表現，使退貨率上升；互動強度每增加一個標準差，退貨率最多上升 11.68 個百分點 (</w:t>
      </w:r>
      <w:hyperlink r:id="rIdL8" w:history="1">
        <w:r>
          <w:rPr>
            <w:rStyle w:val="Hyperlink"/>
            <w:rFonts w:ascii="Times New Roman" w:hAnsi="Times New Roman" w:eastAsia="標楷體" w:cs="Times New Roman"/>
          </w:rPr>
          <w:t xml:space="preserve">Feng et al., 2025</w:t>
        </w:r>
      </w:hyperlink>
      <w:r>
        <w:rPr>
          <w:rFonts w:ascii="Times New Roman" w:hAnsi="Times New Roman" w:eastAsia="標楷體" w:cs="Times New Roman"/>
        </w:rPr>
        <w:t xml:space="preserve">)。熱烈的直播氣氛雖然提高立即購買意圖，卻會經由資訊過載與期望落差降低購後滿意 (</w:t>
      </w:r>
      <w:hyperlink r:id="rIdL9" w:history="1">
        <w:r>
          <w:rPr>
            <w:rStyle w:val="Hyperlink"/>
            <w:rFonts w:ascii="Times New Roman" w:hAnsi="Times New Roman" w:eastAsia="標楷體" w:cs="Times New Roman"/>
          </w:rPr>
          <w:t xml:space="preserve">Fan et al., 2025</w:t>
        </w:r>
      </w:hyperlink>
      <w:r>
        <w:rPr>
          <w:rFonts w:ascii="Times New Roman" w:hAnsi="Times New Roman" w:eastAsia="標楷體" w:cs="Times New Roman"/>
        </w:rPr>
        <w:t xml:space="preserve">)。值得注意的是，一項在直播平台上進行的隨機田野實驗發現，AI 直播助理使銷售提高 3.00%，同時使退貨率降低 12.55%，且效果在不確定性高的產品上較強 (</w:t>
      </w:r>
      <w:hyperlink r:id="rIdL10" w:history="1">
        <w:r>
          <w:rPr>
            <w:rStyle w:val="Hyperlink"/>
            <w:rFonts w:ascii="Times New Roman" w:hAnsi="Times New Roman" w:eastAsia="標楷體" w:cs="Times New Roman"/>
          </w:rPr>
          <w:t xml:space="preserve">Wang et al., 2025</w:t>
        </w:r>
      </w:hyperlink>
      <w:r>
        <w:rPr>
          <w:rFonts w:ascii="Times New Roman" w:hAnsi="Times New Roman" w:eastAsia="標楷體" w:cs="Times New Roman"/>
        </w:rPr>
        <w:t xml:space="preserve">)。這意味著 AI 在直播中的價值，可能不只在於「多賣」，也在於「少退」。</w:t>
      </w:r>
    </w:p>
    <w:p>
      <w:pPr>
        <w:spacing w:before="0" w:after="0" w:line="440" w:lineRule="exact"/>
        <w:ind w:firstLineChars="200" w:firstLine="480"/>
        <w:jc w:val="both"/>
      </w:pPr>
      <w:r>
        <w:rPr>
          <w:rFonts w:ascii="Times New Roman" w:hAnsi="Times New Roman" w:eastAsia="標楷體" w:cs="Times New Roman"/>
        </w:rPr>
        <w:t xml:space="preserve">行銷研究長期仰賴三種經典方法回答消費者行為問題：方法目的鏈（means-end chain, MEC）的階梯訪談、實驗設計與結構方程模式（structural equation modeling, SEM）。三者分別回答「為什麼」、「是否有因果」與「整條心理路徑是否成立」(</w:t>
      </w:r>
      <w:hyperlink r:id="rIdL11" w:history="1">
        <w:r>
          <w:rPr>
            <w:rStyle w:val="Hyperlink"/>
            <w:rFonts w:ascii="Times New Roman" w:hAnsi="Times New Roman" w:eastAsia="標楷體" w:cs="Times New Roman"/>
          </w:rPr>
          <w:t xml:space="preserve">Gutman, 1982</w:t>
        </w:r>
      </w:hyperlink>
      <w:r>
        <w:rPr>
          <w:rFonts w:ascii="Times New Roman" w:hAnsi="Times New Roman" w:eastAsia="標楷體" w:cs="Times New Roman"/>
        </w:rPr>
        <w:t xml:space="preserve">; </w:t>
      </w:r>
      <w:hyperlink r:id="rIdL12" w:history="1">
        <w:r>
          <w:rPr>
            <w:rStyle w:val="Hyperlink"/>
            <w:rFonts w:ascii="Times New Roman" w:hAnsi="Times New Roman" w:eastAsia="標楷體" w:cs="Times New Roman"/>
          </w:rPr>
          <w:t xml:space="preserve">Wells &amp; Windschitl, 1999</w:t>
        </w:r>
      </w:hyperlink>
      <w:r>
        <w:rPr>
          <w:rFonts w:ascii="Times New Roman" w:hAnsi="Times New Roman" w:eastAsia="標楷體" w:cs="Times New Roman"/>
        </w:rPr>
        <w:t xml:space="preserve">; </w:t>
      </w:r>
      <w:hyperlink r:id="rIdL13" w:history="1">
        <w:r>
          <w:rPr>
            <w:rStyle w:val="Hyperlink"/>
            <w:rFonts w:ascii="Times New Roman" w:hAnsi="Times New Roman" w:eastAsia="標楷體" w:cs="Times New Roman"/>
          </w:rPr>
          <w:t xml:space="preserve">Anderson &amp; Gerbing, 1988</w:t>
        </w:r>
      </w:hyperlink>
      <w:r>
        <w:rPr>
          <w:rFonts w:ascii="Times New Roman" w:hAnsi="Times New Roman" w:eastAsia="標楷體" w:cs="Times New Roman"/>
        </w:rPr>
        <w:t xml:space="preserve">)。本計畫以這三種方法為主軸，針對 AI 虛擬主播與真人主播，回答三個環環相扣的問題：</w:t>
      </w:r>
      <w:r>
        <w:rPr>
          <w:rFonts w:ascii="Times New Roman" w:hAnsi="Times New Roman" w:eastAsia="標楷體" w:cs="Times New Roman"/>
          <w:b/>
          <w:bCs/>
        </w:rPr>
        <w:t xml:space="preserve">消費者為什麼願意（或不願意）向 AI 主播購買？什麼樣的主播配上什麼樣的話術，能同時提高購買並降低後悔與退貨？這條從主播知覺到購後結果的路徑，在真實購物經驗中是否成立、對哪些消費者成立？</w:t>
      </w:r>
      <w:r>
        <w:rPr>
          <w:rFonts w:ascii="Times New Roman" w:hAnsi="Times New Roman" w:eastAsia="標楷體" w:cs="Times New Roman"/>
        </w:rPr>
        <w:t xml:space="preserve">研究以運動鞋為錨定案例，美妝保養與居家家具為複製品類，且品類內同時有享樂型與實用型產品 (</w:t>
      </w:r>
      <w:hyperlink r:id="rIdL14" w:history="1">
        <w:r>
          <w:rPr>
            <w:rStyle w:val="Hyperlink"/>
            <w:rFonts w:ascii="Times New Roman" w:hAnsi="Times New Roman" w:eastAsia="標楷體" w:cs="Times New Roman"/>
          </w:rPr>
          <w:t xml:space="preserve">Dhar &amp; Wertenbroch, 2000</w:t>
        </w:r>
      </w:hyperlink>
      <w:r>
        <w:rPr>
          <w:rFonts w:ascii="Times New Roman" w:hAnsi="Times New Roman" w:eastAsia="標楷體" w:cs="Times New Roman"/>
        </w:rPr>
        <w:t xml:space="preserve">)。本計畫採「發現 → 檢驗 → 推廣」三階段設計，分二年進行，各階段的核心問題如下。</w:t>
      </w:r>
    </w:p>
    <w:p>
      <w:pPr>
        <w:keepNext/>
        <w:spacing w:before="120" w:after="40" w:line="440" w:lineRule="exact"/>
      </w:pPr>
      <w:r>
        <w:rPr>
          <w:rFonts w:ascii="Times New Roman" w:hAnsi="Times New Roman" w:eastAsia="標楷體" w:cs="Times New Roman"/>
          <w:b/>
          <w:bCs/>
          <w:u w:val="single"/>
        </w:rPr>
        <w:t xml:space="preserve">第一階段：消費者為什麼向 AI 主播或真人主播購買？價值鏈的探索</w:t>
      </w:r>
    </w:p>
    <w:p>
      <w:pPr>
        <w:spacing w:before="0" w:after="0" w:line="440" w:lineRule="exact"/>
        <w:ind w:firstLineChars="200" w:firstLine="480"/>
        <w:jc w:val="both"/>
      </w:pPr>
      <w:r>
        <w:rPr>
          <w:rFonts w:ascii="Times New Roman" w:hAnsi="Times New Roman" w:eastAsia="標楷體" w:cs="Times New Roman"/>
          <w:b/>
          <w:bCs/>
        </w:rPr>
        <w:t xml:space="preserve">消費者向 AI 虛擬主播與真人主播購買時，各自連結到哪些「屬性－後果－價值」？哪些價值鏈兩者共通、哪些各自特有？退貨與後悔位於價值鏈的哪個位置？</w:t>
      </w:r>
    </w:p>
    <w:p>
      <w:pPr>
        <w:spacing w:before="0" w:after="0" w:line="440" w:lineRule="exact"/>
        <w:ind w:firstLineChars="200" w:firstLine="480"/>
        <w:jc w:val="both"/>
      </w:pPr>
      <w:r>
        <w:rPr>
          <w:rFonts w:ascii="Times New Roman" w:hAnsi="Times New Roman" w:eastAsia="標楷體" w:cs="Times New Roman"/>
        </w:rPr>
        <w:t xml:space="preserve">第一階段是本計畫的發現階段。現有 AI 主播研究多以問卷或情境實驗檢驗事先設定的構念，例如擬人化、社會臨場感與知覺價值 (</w:t>
      </w:r>
      <w:hyperlink r:id="rIdL6" w:history="1">
        <w:r>
          <w:rPr>
            <w:rStyle w:val="Hyperlink"/>
            <w:rFonts w:ascii="Times New Roman" w:hAnsi="Times New Roman" w:eastAsia="標楷體" w:cs="Times New Roman"/>
          </w:rPr>
          <w:t xml:space="preserve">Xiao et al., 2025</w:t>
        </w:r>
      </w:hyperlink>
      <w:r>
        <w:rPr>
          <w:rFonts w:ascii="Times New Roman" w:hAnsi="Times New Roman" w:eastAsia="標楷體" w:cs="Times New Roman"/>
        </w:rPr>
        <w:t xml:space="preserve">; </w:t>
      </w:r>
      <w:hyperlink r:id="rIdL15" w:history="1">
        <w:r>
          <w:rPr>
            <w:rStyle w:val="Hyperlink"/>
            <w:rFonts w:ascii="Times New Roman" w:hAnsi="Times New Roman" w:eastAsia="標楷體" w:cs="Times New Roman"/>
          </w:rPr>
          <w:t xml:space="preserve">H. Liu et al., 2025</w:t>
        </w:r>
      </w:hyperlink>
      <w:r>
        <w:rPr>
          <w:rFonts w:ascii="Times New Roman" w:hAnsi="Times New Roman" w:eastAsia="標楷體" w:cs="Times New Roman"/>
        </w:rPr>
        <w:t xml:space="preserve">)，較少回到消費者自己的語言，說明 AI 主播「為什麼」對他有意義。方法目的鏈理論認為，產品屬性經由使用後果連結到個人終極價值 (</w:t>
      </w:r>
      <w:hyperlink r:id="rIdL11" w:history="1">
        <w:r>
          <w:rPr>
            <w:rStyle w:val="Hyperlink"/>
            <w:rFonts w:ascii="Times New Roman" w:hAnsi="Times New Roman" w:eastAsia="標楷體" w:cs="Times New Roman"/>
          </w:rPr>
          <w:t xml:space="preserve">Gutman, 1982</w:t>
        </w:r>
      </w:hyperlink>
      <w:r>
        <w:rPr>
          <w:rFonts w:ascii="Times New Roman" w:hAnsi="Times New Roman" w:eastAsia="標楷體" w:cs="Times New Roman"/>
        </w:rPr>
        <w:t xml:space="preserve">)，軟式階梯訪談能在不預設構念的情況下引出這些連結 (</w:t>
      </w:r>
      <w:hyperlink r:id="rIdL16" w:history="1">
        <w:r>
          <w:rPr>
            <w:rStyle w:val="Hyperlink"/>
            <w:rFonts w:ascii="Times New Roman" w:hAnsi="Times New Roman" w:eastAsia="標楷體" w:cs="Times New Roman"/>
          </w:rPr>
          <w:t xml:space="preserve">Reynolds &amp; Gutman, 1988</w:t>
        </w:r>
      </w:hyperlink>
      <w:r>
        <w:rPr>
          <w:rFonts w:ascii="Times New Roman" w:hAnsi="Times New Roman" w:eastAsia="標楷體" w:cs="Times New Roman"/>
        </w:rPr>
        <w:t xml:space="preserve">; </w:t>
      </w:r>
      <w:hyperlink r:id="rIdL17" w:history="1">
        <w:r>
          <w:rPr>
            <w:rStyle w:val="Hyperlink"/>
            <w:rFonts w:ascii="Times New Roman" w:hAnsi="Times New Roman" w:eastAsia="標楷體" w:cs="Times New Roman"/>
          </w:rPr>
          <w:t xml:space="preserve">Grunert &amp; Grunert, 1995</w:t>
        </w:r>
      </w:hyperlink>
      <w:r>
        <w:rPr>
          <w:rFonts w:ascii="Times New Roman" w:hAnsi="Times New Roman" w:eastAsia="標楷體" w:cs="Times New Roman"/>
        </w:rPr>
        <w:t xml:space="preserve">)。本階段以人工軟式階梯訪談比較兩類主播的購買者，並在後果層級系統性追問購買後的滿意、後悔與退貨。</w:t>
      </w:r>
    </w:p>
    <w:p>
      <w:pPr>
        <w:spacing w:before="0" w:after="0" w:line="440" w:lineRule="exact"/>
        <w:ind w:firstLineChars="200" w:firstLine="480"/>
        <w:jc w:val="both"/>
      </w:pPr>
      <w:r>
        <w:rPr>
          <w:rFonts w:ascii="Times New Roman" w:hAnsi="Times New Roman" w:eastAsia="標楷體" w:cs="Times New Roman"/>
        </w:rPr>
        <w:t xml:space="preserve">本階段以方法目的鏈理論與消費價值理論為基礎。消費價值理論指出，消費選擇是功能、社會、情感、知識與情境等多元價值的函數 (</w:t>
      </w:r>
      <w:hyperlink r:id="rIdL18" w:history="1">
        <w:r>
          <w:rPr>
            <w:rStyle w:val="Hyperlink"/>
            <w:rFonts w:ascii="Times New Roman" w:hAnsi="Times New Roman" w:eastAsia="標楷體" w:cs="Times New Roman"/>
          </w:rPr>
          <w:t xml:space="preserve">Sheth et al., 1991</w:t>
        </w:r>
      </w:hyperlink>
      <w:r>
        <w:rPr>
          <w:rFonts w:ascii="Times New Roman" w:hAnsi="Times New Roman" w:eastAsia="標楷體" w:cs="Times New Roman"/>
        </w:rPr>
        <w:t xml:space="preserve">)；方法目的鏈則說明這些價值如何經由具體屬性與後果被實現。直播購物的研究已顯示，實用、享樂與象徵價值會經由信任影響消費者的投入 (</w:t>
      </w:r>
      <w:hyperlink r:id="rIdL1" w:history="1">
        <w:r>
          <w:rPr>
            <w:rStyle w:val="Hyperlink"/>
            <w:rFonts w:ascii="Times New Roman" w:hAnsi="Times New Roman" w:eastAsia="標楷體" w:cs="Times New Roman"/>
          </w:rPr>
          <w:t xml:space="preserve">Wongkitrungrueng &amp; Assarut, 2020</w:t>
        </w:r>
      </w:hyperlink>
      <w:r>
        <w:rPr>
          <w:rFonts w:ascii="Times New Roman" w:hAnsi="Times New Roman" w:eastAsia="標楷體" w:cs="Times New Roman"/>
        </w:rPr>
        <w:t xml:space="preserve">)；本階段進一步追問：同樣的價值，經由 AI 主播與真人主播實現的路徑是否不同。</w:t>
      </w:r>
    </w:p>
    <w:p>
      <w:pPr>
        <w:keepNext/>
        <w:spacing w:before="120" w:after="40" w:line="440" w:lineRule="exact"/>
      </w:pPr>
      <w:r>
        <w:rPr>
          <w:rFonts w:ascii="Times New Roman" w:hAnsi="Times New Roman" w:eastAsia="標楷體" w:cs="Times New Roman"/>
          <w:b/>
          <w:bCs/>
          <w:u w:val="single"/>
        </w:rPr>
        <w:t xml:space="preserve">第二階段：什麼樣的主播配上什麼樣的話術最有效？實驗設計的因果檢驗</w:t>
      </w:r>
    </w:p>
    <w:p>
      <w:pPr>
        <w:spacing w:before="0" w:after="0" w:line="440" w:lineRule="exact"/>
        <w:ind w:firstLineChars="200" w:firstLine="480"/>
        <w:jc w:val="both"/>
      </w:pPr>
      <w:r>
        <w:rPr>
          <w:rFonts w:ascii="Times New Roman" w:hAnsi="Times New Roman" w:eastAsia="標楷體" w:cs="Times New Roman"/>
          <w:b/>
          <w:bCs/>
        </w:rPr>
        <w:t xml:space="preserve">主播類型（AI vs. 真人）與價值訴求話術（功能價值 vs. 情感社會價值）是否有交互作用？這個交互作用是否因產品類型而改變？AI 主播是否因為較低的說服意圖知覺而降低購後後悔與退貨？揭露 AI 身分的方式是否影響信任？</w:t>
      </w:r>
    </w:p>
    <w:p>
      <w:pPr>
        <w:spacing w:before="0" w:after="0" w:line="440" w:lineRule="exact"/>
        <w:ind w:firstLineChars="200" w:firstLine="480"/>
        <w:jc w:val="both"/>
      </w:pPr>
      <w:r>
        <w:rPr>
          <w:rFonts w:ascii="Times New Roman" w:hAnsi="Times New Roman" w:eastAsia="標楷體" w:cs="Times New Roman"/>
        </w:rPr>
        <w:t xml:space="preserve">第二階段是本計畫的檢驗階段。消費者普遍認為 AI 較擅長實用性任務、較不擅長享樂性任務 (</w:t>
      </w:r>
      <w:hyperlink r:id="rIdL19" w:history="1">
        <w:r>
          <w:rPr>
            <w:rStyle w:val="Hyperlink"/>
            <w:rFonts w:ascii="Times New Roman" w:hAnsi="Times New Roman" w:eastAsia="標楷體" w:cs="Times New Roman"/>
          </w:rPr>
          <w:t xml:space="preserve">Longoni &amp; Cian, 2022</w:t>
        </w:r>
      </w:hyperlink>
      <w:r>
        <w:rPr>
          <w:rFonts w:ascii="Times New Roman" w:hAnsi="Times New Roman" w:eastAsia="標楷體" w:cs="Times New Roman"/>
        </w:rPr>
        <w:t xml:space="preserve">; </w:t>
      </w:r>
      <w:hyperlink r:id="rIdL20" w:history="1">
        <w:r>
          <w:rPr>
            <w:rStyle w:val="Hyperlink"/>
            <w:rFonts w:ascii="Times New Roman" w:hAnsi="Times New Roman" w:eastAsia="標楷體" w:cs="Times New Roman"/>
          </w:rPr>
          <w:t xml:space="preserve">Castelo et al., 2019</w:t>
        </w:r>
      </w:hyperlink>
      <w:r>
        <w:rPr>
          <w:rFonts w:ascii="Times New Roman" w:hAnsi="Times New Roman" w:eastAsia="標楷體" w:cs="Times New Roman"/>
        </w:rPr>
        <w:t xml:space="preserve">)；人們也傾向以較具體的「怎麼做」層次理解 AI，因此 AI 傳遞具體訊息時較具說服力 (</w:t>
      </w:r>
      <w:hyperlink r:id="rIdL21" w:history="1">
        <w:r>
          <w:rPr>
            <w:rStyle w:val="Hyperlink"/>
            <w:rFonts w:ascii="Times New Roman" w:hAnsi="Times New Roman" w:eastAsia="標楷體" w:cs="Times New Roman"/>
          </w:rPr>
          <w:t xml:space="preserve">Kim &amp; Duhachek, 2020</w:t>
        </w:r>
      </w:hyperlink>
      <w:r>
        <w:rPr>
          <w:rFonts w:ascii="Times New Roman" w:hAnsi="Times New Roman" w:eastAsia="標楷體" w:cs="Times New Roman"/>
        </w:rPr>
        <w:t xml:space="preserve">)。直播情境的研究則發現，AI 主播搭配產品導向互動、真人主播搭配社交互動各有其適合的產品類型 (</w:t>
      </w:r>
      <w:hyperlink r:id="rIdL15" w:history="1">
        <w:r>
          <w:rPr>
            <w:rStyle w:val="Hyperlink"/>
            <w:rFonts w:ascii="Times New Roman" w:hAnsi="Times New Roman" w:eastAsia="標楷體" w:cs="Times New Roman"/>
          </w:rPr>
          <w:t xml:space="preserve">H. Liu et al., 2025</w:t>
        </w:r>
      </w:hyperlink>
      <w:r>
        <w:rPr>
          <w:rFonts w:ascii="Times New Roman" w:hAnsi="Times New Roman" w:eastAsia="標楷體" w:cs="Times New Roman"/>
        </w:rPr>
        <w:t xml:space="preserve">)，AI 主播使用強勢訊息、真人主播使用非強勢訊息時，購買意圖較高 (</w:t>
      </w:r>
      <w:hyperlink r:id="rIdL22" w:history="1">
        <w:r>
          <w:rPr>
            <w:rStyle w:val="Hyperlink"/>
            <w:rFonts w:ascii="Times New Roman" w:hAnsi="Times New Roman" w:eastAsia="標楷體" w:cs="Times New Roman"/>
          </w:rPr>
          <w:t xml:space="preserve">Gong et al., 2025</w:t>
        </w:r>
      </w:hyperlink>
      <w:r>
        <w:rPr>
          <w:rFonts w:ascii="Times New Roman" w:hAnsi="Times New Roman" w:eastAsia="標楷體" w:cs="Times New Roman"/>
        </w:rPr>
        <w:t xml:space="preserve">)。然而，這些研究的話術都由研究者事先設定，而非來自消費者的價值結構；依變數也多停留在購買意圖。</w:t>
      </w:r>
    </w:p>
    <w:p>
      <w:pPr>
        <w:spacing w:before="0" w:after="0" w:line="440" w:lineRule="exact"/>
        <w:ind w:firstLineChars="200" w:firstLine="480"/>
        <w:jc w:val="both"/>
      </w:pPr>
      <w:r>
        <w:rPr>
          <w:rFonts w:ascii="Times New Roman" w:hAnsi="Times New Roman" w:eastAsia="標楷體" w:cs="Times New Roman"/>
        </w:rPr>
        <w:t xml:space="preserve">本階段採用社會知覺與說服知識理論為脈絡。社會知覺研究指出，人們以溫暖與能力兩個基本向度評價他人 (</w:t>
      </w:r>
      <w:hyperlink r:id="rIdL23" w:history="1">
        <w:r>
          <w:rPr>
            <w:rStyle w:val="Hyperlink"/>
            <w:rFonts w:ascii="Times New Roman" w:hAnsi="Times New Roman" w:eastAsia="標楷體" w:cs="Times New Roman"/>
          </w:rPr>
          <w:t xml:space="preserve">Fiske et al., 2007</w:t>
        </w:r>
      </w:hyperlink>
      <w:r>
        <w:rPr>
          <w:rFonts w:ascii="Times New Roman" w:hAnsi="Times New Roman" w:eastAsia="標楷體" w:cs="Times New Roman"/>
        </w:rPr>
        <w:t xml:space="preserve">)，AI 服務提供者則常被知覺為較不溫暖 (</w:t>
      </w:r>
      <w:hyperlink r:id="rIdL24" w:history="1">
        <w:r>
          <w:rPr>
            <w:rStyle w:val="Hyperlink"/>
            <w:rFonts w:ascii="Times New Roman" w:hAnsi="Times New Roman" w:eastAsia="標楷體" w:cs="Times New Roman"/>
          </w:rPr>
          <w:t xml:space="preserve">Lv et al., 2025</w:t>
        </w:r>
      </w:hyperlink>
      <w:r>
        <w:rPr>
          <w:rFonts w:ascii="Times New Roman" w:hAnsi="Times New Roman" w:eastAsia="標楷體" w:cs="Times New Roman"/>
        </w:rPr>
        <w:t xml:space="preserve">)。說服知識模型指出，消費者一旦察覺對方意圖說服，便會啟動因應與防衛 (</w:t>
      </w:r>
      <w:hyperlink r:id="rIdL25" w:history="1">
        <w:r>
          <w:rPr>
            <w:rStyle w:val="Hyperlink"/>
            <w:rFonts w:ascii="Times New Roman" w:hAnsi="Times New Roman" w:eastAsia="標楷體" w:cs="Times New Roman"/>
          </w:rPr>
          <w:t xml:space="preserve">Friestad &amp; Wright, 1994</w:t>
        </w:r>
      </w:hyperlink>
      <w:r>
        <w:rPr>
          <w:rFonts w:ascii="Times New Roman" w:hAnsi="Times New Roman" w:eastAsia="標楷體" w:cs="Times New Roman"/>
        </w:rPr>
        <w:t xml:space="preserve">)；而 AI 代理人被知覺為意圖較弱 (</w:t>
      </w:r>
      <w:hyperlink r:id="rIdL26" w:history="1">
        <w:r>
          <w:rPr>
            <w:rStyle w:val="Hyperlink"/>
            <w:rFonts w:ascii="Times New Roman" w:hAnsi="Times New Roman" w:eastAsia="標楷體" w:cs="Times New Roman"/>
          </w:rPr>
          <w:t xml:space="preserve">Garvey et al., 2023</w:t>
        </w:r>
      </w:hyperlink>
      <w:r>
        <w:rPr>
          <w:rFonts w:ascii="Times New Roman" w:hAnsi="Times New Roman" w:eastAsia="標楷體" w:cs="Times New Roman"/>
        </w:rPr>
        <w:t xml:space="preserve">)。據此，本階段提出一個尚未被檢驗的推論：AI 主播較低的說服意圖知覺，可能使消費者較少因「被說服」而購買，進而降低購後後悔與退貨 (</w:t>
      </w:r>
      <w:hyperlink r:id="rIdL8" w:history="1">
        <w:r>
          <w:rPr>
            <w:rStyle w:val="Hyperlink"/>
            <w:rFonts w:ascii="Times New Roman" w:hAnsi="Times New Roman" w:eastAsia="標楷體" w:cs="Times New Roman"/>
          </w:rPr>
          <w:t xml:space="preserve">Feng et al., 2025</w:t>
        </w:r>
      </w:hyperlink>
      <w:r>
        <w:rPr>
          <w:rFonts w:ascii="Times New Roman" w:hAnsi="Times New Roman" w:eastAsia="標楷體" w:cs="Times New Roman"/>
        </w:rPr>
        <w:t xml:space="preserve">; </w:t>
      </w:r>
      <w:hyperlink r:id="rIdL27" w:history="1">
        <w:r>
          <w:rPr>
            <w:rStyle w:val="Hyperlink"/>
            <w:rFonts w:ascii="Times New Roman" w:hAnsi="Times New Roman" w:eastAsia="標楷體" w:cs="Times New Roman"/>
          </w:rPr>
          <w:t xml:space="preserve">Tsiros &amp; Mittal, 2000</w:t>
        </w:r>
      </w:hyperlink>
      <w:r>
        <w:rPr>
          <w:rFonts w:ascii="Times New Roman" w:hAnsi="Times New Roman" w:eastAsia="標楷體" w:cs="Times New Roman"/>
        </w:rPr>
        <w:t xml:space="preserve">)。</w:t>
      </w:r>
    </w:p>
    <w:p>
      <w:pPr>
        <w:keepNext/>
        <w:spacing w:before="120" w:after="40" w:line="440" w:lineRule="exact"/>
      </w:pPr>
      <w:r>
        <w:rPr>
          <w:rFonts w:ascii="Times New Roman" w:hAnsi="Times New Roman" w:eastAsia="標楷體" w:cs="Times New Roman"/>
          <w:b/>
          <w:bCs/>
          <w:u w:val="single"/>
        </w:rPr>
        <w:t xml:space="preserve">第三階段：從主播知覺到購後結果的路徑在真實購物中是否成立？SEM 的推廣驗證</w:t>
      </w:r>
    </w:p>
    <w:p>
      <w:pPr>
        <w:spacing w:before="0" w:after="0" w:line="440" w:lineRule="exact"/>
        <w:ind w:firstLineChars="200" w:firstLine="480"/>
        <w:jc w:val="both"/>
      </w:pPr>
      <w:r>
        <w:rPr>
          <w:rFonts w:ascii="Times New Roman" w:hAnsi="Times New Roman" w:eastAsia="標楷體" w:cs="Times New Roman"/>
          <w:b/>
          <w:bCs/>
        </w:rPr>
        <w:t xml:space="preserve">在真實的直播購物經驗中，主播的溫暖感與能力感如何經由信任、期望確認影響購後滿意、退貨與再購？這條路徑在 AI 主播與真人主播、在不同價值傾向的消費者之間是否相同？</w:t>
      </w:r>
    </w:p>
    <w:p>
      <w:pPr>
        <w:spacing w:before="0" w:after="0" w:line="440" w:lineRule="exact"/>
        <w:ind w:firstLineChars="200" w:firstLine="480"/>
        <w:jc w:val="both"/>
      </w:pPr>
      <w:r>
        <w:rPr>
          <w:rFonts w:ascii="Times New Roman" w:hAnsi="Times New Roman" w:eastAsia="標楷體" w:cs="Times New Roman"/>
        </w:rPr>
        <w:t xml:space="preserve">第三階段是本計畫的推廣階段。實驗回答的是單一操弄的因果效果，但消費者從觀看直播到收貨、使用、決定是否退貨，是一段完整的心理歷程。期望確認理論指出，滿意取決於購前期望與實際表現的落差 (</w:t>
      </w:r>
      <w:hyperlink r:id="rIdL28" w:history="1">
        <w:r>
          <w:rPr>
            <w:rStyle w:val="Hyperlink"/>
            <w:rFonts w:ascii="Times New Roman" w:hAnsi="Times New Roman" w:eastAsia="標楷體" w:cs="Times New Roman"/>
          </w:rPr>
          <w:t xml:space="preserve">Oliver, 1980</w:t>
        </w:r>
      </w:hyperlink>
      <w:r>
        <w:rPr>
          <w:rFonts w:ascii="Times New Roman" w:hAnsi="Times New Roman" w:eastAsia="標楷體" w:cs="Times New Roman"/>
        </w:rPr>
        <w:t xml:space="preserve">)；直播的高互動氣氛會提高購前期望，卻可能擴大期望落差 (</w:t>
      </w:r>
      <w:hyperlink r:id="rIdL9" w:history="1">
        <w:r>
          <w:rPr>
            <w:rStyle w:val="Hyperlink"/>
            <w:rFonts w:ascii="Times New Roman" w:hAnsi="Times New Roman" w:eastAsia="標楷體" w:cs="Times New Roman"/>
          </w:rPr>
          <w:t xml:space="preserve">Fan et al., 2025</w:t>
        </w:r>
      </w:hyperlink>
      <w:r>
        <w:rPr>
          <w:rFonts w:ascii="Times New Roman" w:hAnsi="Times New Roman" w:eastAsia="標楷體" w:cs="Times New Roman"/>
        </w:rPr>
        <w:t xml:space="preserve">; </w:t>
      </w:r>
      <w:hyperlink r:id="rIdL8" w:history="1">
        <w:r>
          <w:rPr>
            <w:rStyle w:val="Hyperlink"/>
            <w:rFonts w:ascii="Times New Roman" w:hAnsi="Times New Roman" w:eastAsia="標楷體" w:cs="Times New Roman"/>
          </w:rPr>
          <w:t xml:space="preserve">Feng et al., 2025</w:t>
        </w:r>
      </w:hyperlink>
      <w:r>
        <w:rPr>
          <w:rFonts w:ascii="Times New Roman" w:hAnsi="Times New Roman" w:eastAsia="標楷體" w:cs="Times New Roman"/>
        </w:rPr>
        <w:t xml:space="preserve">)。本階段以真實購買者的調查資料與三個月後的退貨追蹤，建構購後路徑模型，並以多群組 SEM 比較 AI 主播與真人主播購買者，以及第一階段界定的不同價值傾向消費者 (</w:t>
      </w:r>
      <w:hyperlink r:id="rIdL29" w:history="1">
        <w:r>
          <w:rPr>
            <w:rStyle w:val="Hyperlink"/>
            <w:rFonts w:ascii="Times New Roman" w:hAnsi="Times New Roman" w:eastAsia="標楷體" w:cs="Times New Roman"/>
          </w:rPr>
          <w:t xml:space="preserve">Cheung &amp; Rensvold, 2002</w:t>
        </w:r>
      </w:hyperlink>
      <w:r>
        <w:rPr>
          <w:rFonts w:ascii="Times New Roman" w:hAnsi="Times New Roman" w:eastAsia="標楷體" w:cs="Times New Roman"/>
        </w:rPr>
        <w:t xml:space="preserve">)。</w:t>
      </w:r>
    </w:p>
    <w:p>
      <w:pPr>
        <w:spacing w:before="0" w:after="0" w:line="440" w:lineRule="exact"/>
        <w:ind w:firstLineChars="200" w:firstLine="480"/>
        <w:jc w:val="both"/>
      </w:pPr>
      <w:r>
        <w:rPr>
          <w:rFonts w:ascii="Times New Roman" w:hAnsi="Times New Roman" w:eastAsia="標楷體" w:cs="Times New Roman"/>
        </w:rPr>
        <w:t xml:space="preserve">三個階段以「價值」為線索串連：第一階段的價值鏈，在第二階段被改寫為實驗話術；第一階段發展的價值傾向量表，在第三階段成為多群組比較的分組依據。換言之，</w:t>
      </w:r>
      <w:r>
        <w:rPr>
          <w:rFonts w:ascii="Times New Roman" w:hAnsi="Times New Roman" w:eastAsia="標楷體" w:cs="Times New Roman"/>
          <w:b/>
          <w:bCs/>
        </w:rPr>
        <w:t xml:space="preserve">本計畫以 MEC 回答「為什麼」、以實驗回答「是否有因果」、以 SEM 回答「在真實情境中對誰成立」</w:t>
      </w:r>
      <w:r>
        <w:rPr>
          <w:rFonts w:ascii="Times New Roman" w:hAnsi="Times New Roman" w:eastAsia="標楷體" w:cs="Times New Roman"/>
        </w:rPr>
        <w:t xml:space="preserve">，三者互補，不需仰賴資料探勘即可回答「對誰有效」的問題。</w:t>
      </w:r>
    </w:p>
    <w:p>
      <w:pPr>
        <w:keepNext/>
        <w:spacing w:before="120" w:after="40" w:line="440" w:lineRule="exact"/>
      </w:pPr>
      <w:r>
        <w:rPr>
          <w:rFonts w:ascii="Times New Roman" w:hAnsi="Times New Roman" w:eastAsia="標楷體" w:cs="Times New Roman"/>
          <w:b/>
          <w:bCs/>
          <w:u w:val="single"/>
        </w:rPr>
        <w:t xml:space="preserve">研究缺口</w:t>
      </w:r>
    </w:p>
    <w:p>
      <w:pPr>
        <w:spacing w:before="0" w:after="0" w:line="440" w:lineRule="exact"/>
        <w:ind w:firstLineChars="200" w:firstLine="480"/>
        <w:jc w:val="both"/>
      </w:pPr>
      <w:r>
        <w:rPr>
          <w:rFonts w:ascii="Times New Roman" w:hAnsi="Times New Roman" w:eastAsia="標楷體" w:cs="Times New Roman"/>
        </w:rPr>
        <w:t xml:space="preserve">本計畫依系統性文獻回顧（詳見「四、國內外相關之文獻探討」之第零部分）歸納出四個研究缺口。首先，AI 主播與 AI 代理人的研究多以平台資料或問卷檢驗「是否有效」(</w:t>
      </w:r>
      <w:hyperlink r:id="rIdL5" w:history="1">
        <w:r>
          <w:rPr>
            <w:rStyle w:val="Hyperlink"/>
            <w:rFonts w:ascii="Times New Roman" w:hAnsi="Times New Roman" w:eastAsia="標楷體" w:cs="Times New Roman"/>
          </w:rPr>
          <w:t xml:space="preserve">Y. Liu et al., 2025</w:t>
        </w:r>
      </w:hyperlink>
      <w:r>
        <w:rPr>
          <w:rFonts w:ascii="Times New Roman" w:hAnsi="Times New Roman" w:eastAsia="標楷體" w:cs="Times New Roman"/>
        </w:rPr>
        <w:t xml:space="preserve">; </w:t>
      </w:r>
      <w:hyperlink r:id="rIdL30" w:history="1">
        <w:r>
          <w:rPr>
            <w:rStyle w:val="Hyperlink"/>
            <w:rFonts w:ascii="Times New Roman" w:hAnsi="Times New Roman" w:eastAsia="標楷體" w:cs="Times New Roman"/>
          </w:rPr>
          <w:t xml:space="preserve">Yuan et al., 2025</w:t>
        </w:r>
      </w:hyperlink>
      <w:r>
        <w:rPr>
          <w:rFonts w:ascii="Times New Roman" w:hAnsi="Times New Roman" w:eastAsia="標楷體" w:cs="Times New Roman"/>
        </w:rPr>
        <w:t xml:space="preserve">; </w:t>
      </w:r>
      <w:hyperlink r:id="rIdL6" w:history="1">
        <w:r>
          <w:rPr>
            <w:rStyle w:val="Hyperlink"/>
            <w:rFonts w:ascii="Times New Roman" w:hAnsi="Times New Roman" w:eastAsia="標楷體" w:cs="Times New Roman"/>
          </w:rPr>
          <w:t xml:space="preserve">Xiao et al., 2025</w:t>
        </w:r>
      </w:hyperlink>
      <w:r>
        <w:rPr>
          <w:rFonts w:ascii="Times New Roman" w:hAnsi="Times New Roman" w:eastAsia="標楷體" w:cs="Times New Roman"/>
        </w:rPr>
        <w:t xml:space="preserve">)，</w:t>
      </w:r>
      <w:r>
        <w:rPr>
          <w:rFonts w:ascii="Times New Roman" w:hAnsi="Times New Roman" w:eastAsia="標楷體" w:cs="Times New Roman"/>
          <w:b/>
          <w:bCs/>
        </w:rPr>
        <w:t xml:space="preserve">幾乎沒有研究從消費者的價值結構回答「為什麼」接受或排斥 AI 主播</w:t>
      </w:r>
      <w:r>
        <w:rPr>
          <w:rFonts w:ascii="Times New Roman" w:hAnsi="Times New Roman" w:eastAsia="標楷體" w:cs="Times New Roman"/>
        </w:rPr>
        <w:t xml:space="preserve">；方法目的鏈在數位商務的應用也缺乏一致的分析程序 (</w:t>
      </w:r>
      <w:hyperlink r:id="rIdL31" w:history="1">
        <w:r>
          <w:rPr>
            <w:rStyle w:val="Hyperlink"/>
            <w:rFonts w:ascii="Times New Roman" w:hAnsi="Times New Roman" w:eastAsia="標楷體" w:cs="Times New Roman"/>
          </w:rPr>
          <w:t xml:space="preserve">Kilwinger &amp; van Dam, 2021</w:t>
        </w:r>
      </w:hyperlink>
      <w:r>
        <w:rPr>
          <w:rFonts w:ascii="Times New Roman" w:hAnsi="Times New Roman" w:eastAsia="標楷體" w:cs="Times New Roman"/>
        </w:rPr>
        <w:t xml:space="preserve">)。此為本研究可介入探討的第一缺口。</w:t>
      </w:r>
    </w:p>
    <w:p>
      <w:pPr>
        <w:spacing w:before="0" w:after="0" w:line="440" w:lineRule="exact"/>
        <w:ind w:firstLineChars="200" w:firstLine="480"/>
        <w:jc w:val="both"/>
      </w:pPr>
      <w:r>
        <w:rPr>
          <w:rFonts w:ascii="Times New Roman" w:hAnsi="Times New Roman" w:eastAsia="標楷體" w:cs="Times New Roman"/>
        </w:rPr>
        <w:t xml:space="preserve">其次，直播研究的依變數多停留在購買意圖或銷售量 (</w:t>
      </w:r>
      <w:hyperlink r:id="rIdL3" w:history="1">
        <w:r>
          <w:rPr>
            <w:rStyle w:val="Hyperlink"/>
            <w:rFonts w:ascii="Times New Roman" w:hAnsi="Times New Roman" w:eastAsia="標楷體" w:cs="Times New Roman"/>
          </w:rPr>
          <w:t xml:space="preserve">Gu et al., 2024</w:t>
        </w:r>
      </w:hyperlink>
      <w:r>
        <w:rPr>
          <w:rFonts w:ascii="Times New Roman" w:hAnsi="Times New Roman" w:eastAsia="標楷體" w:cs="Times New Roman"/>
        </w:rPr>
        <w:t xml:space="preserve">; </w:t>
      </w:r>
      <w:hyperlink r:id="rIdL15" w:history="1">
        <w:r>
          <w:rPr>
            <w:rStyle w:val="Hyperlink"/>
            <w:rFonts w:ascii="Times New Roman" w:hAnsi="Times New Roman" w:eastAsia="標楷體" w:cs="Times New Roman"/>
          </w:rPr>
          <w:t xml:space="preserve">H. Liu et al., 2025</w:t>
        </w:r>
      </w:hyperlink>
      <w:r>
        <w:rPr>
          <w:rFonts w:ascii="Times New Roman" w:hAnsi="Times New Roman" w:eastAsia="標楷體" w:cs="Times New Roman"/>
        </w:rPr>
        <w:t xml:space="preserve">; </w:t>
      </w:r>
      <w:hyperlink r:id="rIdL22" w:history="1">
        <w:r>
          <w:rPr>
            <w:rStyle w:val="Hyperlink"/>
            <w:rFonts w:ascii="Times New Roman" w:hAnsi="Times New Roman" w:eastAsia="標楷體" w:cs="Times New Roman"/>
          </w:rPr>
          <w:t xml:space="preserve">Gong et al., 2025</w:t>
        </w:r>
      </w:hyperlink>
      <w:r>
        <w:rPr>
          <w:rFonts w:ascii="Times New Roman" w:hAnsi="Times New Roman" w:eastAsia="標楷體" w:cs="Times New Roman"/>
        </w:rPr>
        <w:t xml:space="preserve">)。少數研究已證實即時互動會提高退貨 (</w:t>
      </w:r>
      <w:hyperlink r:id="rIdL8" w:history="1">
        <w:r>
          <w:rPr>
            <w:rStyle w:val="Hyperlink"/>
            <w:rFonts w:ascii="Times New Roman" w:hAnsi="Times New Roman" w:eastAsia="標楷體" w:cs="Times New Roman"/>
          </w:rPr>
          <w:t xml:space="preserve">Feng et al., 2025</w:t>
        </w:r>
      </w:hyperlink>
      <w:r>
        <w:rPr>
          <w:rFonts w:ascii="Times New Roman" w:hAnsi="Times New Roman" w:eastAsia="標楷體" w:cs="Times New Roman"/>
        </w:rPr>
        <w:t xml:space="preserve">)、降低購後滿意 (</w:t>
      </w:r>
      <w:hyperlink r:id="rIdL9" w:history="1">
        <w:r>
          <w:rPr>
            <w:rStyle w:val="Hyperlink"/>
            <w:rFonts w:ascii="Times New Roman" w:hAnsi="Times New Roman" w:eastAsia="標楷體" w:cs="Times New Roman"/>
          </w:rPr>
          <w:t xml:space="preserve">Fan et al., 2025</w:t>
        </w:r>
      </w:hyperlink>
      <w:r>
        <w:rPr>
          <w:rFonts w:ascii="Times New Roman" w:hAnsi="Times New Roman" w:eastAsia="標楷體" w:cs="Times New Roman"/>
        </w:rPr>
        <w:t xml:space="preserve">)，AI 助理則能降低退貨 (</w:t>
      </w:r>
      <w:hyperlink r:id="rIdL10" w:history="1">
        <w:r>
          <w:rPr>
            <w:rStyle w:val="Hyperlink"/>
            <w:rFonts w:ascii="Times New Roman" w:hAnsi="Times New Roman" w:eastAsia="標楷體" w:cs="Times New Roman"/>
          </w:rPr>
          <w:t xml:space="preserve">Wang et al., 2025</w:t>
        </w:r>
      </w:hyperlink>
      <w:r>
        <w:rPr>
          <w:rFonts w:ascii="Times New Roman" w:hAnsi="Times New Roman" w:eastAsia="標楷體" w:cs="Times New Roman"/>
        </w:rPr>
        <w:t xml:space="preserve">)；但</w:t>
      </w:r>
      <w:r>
        <w:rPr>
          <w:rFonts w:ascii="Times New Roman" w:hAnsi="Times New Roman" w:eastAsia="標楷體" w:cs="Times New Roman"/>
          <w:b/>
          <w:bCs/>
        </w:rPr>
        <w:t xml:space="preserve">「AI 主播 vs. 真人主播」對後悔、退貨與再購等購後結果的影響，仍缺乏因果證據</w:t>
      </w:r>
      <w:r>
        <w:rPr>
          <w:rFonts w:ascii="Times New Roman" w:hAnsi="Times New Roman" w:eastAsia="標楷體" w:cs="Times New Roman"/>
        </w:rPr>
        <w:t xml:space="preserve">。此為本研究可介入探討的第二缺口。</w:t>
      </w:r>
    </w:p>
    <w:p>
      <w:pPr>
        <w:spacing w:before="0" w:after="0" w:line="440" w:lineRule="exact"/>
        <w:ind w:firstLineChars="200" w:firstLine="480"/>
        <w:jc w:val="both"/>
      </w:pPr>
      <w:r>
        <w:rPr>
          <w:rFonts w:ascii="Times New Roman" w:hAnsi="Times New Roman" w:eastAsia="標楷體" w:cs="Times New Roman"/>
        </w:rPr>
        <w:t xml:space="preserve">第三，揭露 AI 身分會顯著降低購買 (</w:t>
      </w:r>
      <w:hyperlink r:id="rIdL32" w:history="1">
        <w:r>
          <w:rPr>
            <w:rStyle w:val="Hyperlink"/>
            <w:rFonts w:ascii="Times New Roman" w:hAnsi="Times New Roman" w:eastAsia="標楷體" w:cs="Times New Roman"/>
          </w:rPr>
          <w:t xml:space="preserve">Luo et al., 2019</w:t>
        </w:r>
      </w:hyperlink>
      <w:r>
        <w:rPr>
          <w:rFonts w:ascii="Times New Roman" w:hAnsi="Times New Roman" w:eastAsia="標楷體" w:cs="Times New Roman"/>
        </w:rPr>
        <w:t xml:space="preserve">)，揭露 AI 撰寫內容會降低真實性與口碑 (</w:t>
      </w:r>
      <w:hyperlink r:id="rIdL33" w:history="1">
        <w:r>
          <w:rPr>
            <w:rStyle w:val="Hyperlink"/>
            <w:rFonts w:ascii="Times New Roman" w:hAnsi="Times New Roman" w:eastAsia="標楷體" w:cs="Times New Roman"/>
          </w:rPr>
          <w:t xml:space="preserve">Brüns &amp; Meißner, 2024</w:t>
        </w:r>
      </w:hyperlink>
      <w:r>
        <w:rPr>
          <w:rFonts w:ascii="Times New Roman" w:hAnsi="Times New Roman" w:eastAsia="標楷體" w:cs="Times New Roman"/>
        </w:rPr>
        <w:t xml:space="preserve">; </w:t>
      </w:r>
      <w:hyperlink r:id="rIdL34" w:history="1">
        <w:r>
          <w:rPr>
            <w:rStyle w:val="Hyperlink"/>
            <w:rFonts w:ascii="Times New Roman" w:hAnsi="Times New Roman" w:eastAsia="標楷體" w:cs="Times New Roman"/>
          </w:rPr>
          <w:t xml:space="preserve">Kirk &amp; Givi, 2025</w:t>
        </w:r>
      </w:hyperlink>
      <w:r>
        <w:rPr>
          <w:rFonts w:ascii="Times New Roman" w:hAnsi="Times New Roman" w:eastAsia="標楷體" w:cs="Times New Roman"/>
        </w:rPr>
        <w:t xml:space="preserve">)，揭露人類參與也會改變顧客的溝通方式 (</w:t>
      </w:r>
      <w:hyperlink r:id="rIdL35" w:history="1">
        <w:r>
          <w:rPr>
            <w:rStyle w:val="Hyperlink"/>
            <w:rFonts w:ascii="Times New Roman" w:hAnsi="Times New Roman" w:eastAsia="標楷體" w:cs="Times New Roman"/>
          </w:rPr>
          <w:t xml:space="preserve">Gnewuch et al., 2024</w:t>
        </w:r>
      </w:hyperlink>
      <w:r>
        <w:rPr>
          <w:rFonts w:ascii="Times New Roman" w:hAnsi="Times New Roman" w:eastAsia="標楷體" w:cs="Times New Roman"/>
        </w:rPr>
        <w:t xml:space="preserve">)；治理研究亦指出 AI 主播的消費者保護問題 (</w:t>
      </w:r>
      <w:hyperlink r:id="rIdL4" w:history="1">
        <w:r>
          <w:rPr>
            <w:rStyle w:val="Hyperlink"/>
            <w:rFonts w:ascii="Times New Roman" w:hAnsi="Times New Roman" w:eastAsia="標楷體" w:cs="Times New Roman"/>
          </w:rPr>
          <w:t xml:space="preserve">Meng, 2026</w:t>
        </w:r>
      </w:hyperlink>
      <w:r>
        <w:rPr>
          <w:rFonts w:ascii="Times New Roman" w:hAnsi="Times New Roman" w:eastAsia="標楷體" w:cs="Times New Roman"/>
        </w:rPr>
        <w:t xml:space="preserve">)。</w:t>
      </w:r>
      <w:r>
        <w:rPr>
          <w:rFonts w:ascii="Times New Roman" w:hAnsi="Times New Roman" w:eastAsia="標楷體" w:cs="Times New Roman"/>
          <w:b/>
          <w:bCs/>
        </w:rPr>
        <w:t xml:space="preserve">然而，直播情境中「如何揭露」AI 主播身分，對信任與購買的影響仍未被檢驗。</w:t>
      </w:r>
      <w:r>
        <w:rPr>
          <w:rFonts w:ascii="Times New Roman" w:hAnsi="Times New Roman" w:eastAsia="標楷體" w:cs="Times New Roman"/>
        </w:rPr>
        <w:t xml:space="preserve">此為本研究可介入探討的第三缺口。</w:t>
      </w:r>
    </w:p>
    <w:p>
      <w:pPr>
        <w:spacing w:before="0" w:after="0" w:line="440" w:lineRule="exact"/>
        <w:ind w:firstLineChars="200" w:firstLine="480"/>
        <w:jc w:val="both"/>
      </w:pPr>
      <w:r>
        <w:rPr>
          <w:rFonts w:ascii="Times New Roman" w:hAnsi="Times New Roman" w:eastAsia="標楷體" w:cs="Times New Roman"/>
        </w:rPr>
        <w:t xml:space="preserve">最後，近期 AI 主播研究的樣本多來自中國大陸的平台或消費者 (</w:t>
      </w:r>
      <w:hyperlink r:id="rIdL6" w:history="1">
        <w:r>
          <w:rPr>
            <w:rStyle w:val="Hyperlink"/>
            <w:rFonts w:ascii="Times New Roman" w:hAnsi="Times New Roman" w:eastAsia="標楷體" w:cs="Times New Roman"/>
          </w:rPr>
          <w:t xml:space="preserve">Xiao et al., 2025</w:t>
        </w:r>
      </w:hyperlink>
      <w:r>
        <w:rPr>
          <w:rFonts w:ascii="Times New Roman" w:hAnsi="Times New Roman" w:eastAsia="標楷體" w:cs="Times New Roman"/>
        </w:rPr>
        <w:t xml:space="preserve">; </w:t>
      </w:r>
      <w:hyperlink r:id="rIdL15" w:history="1">
        <w:r>
          <w:rPr>
            <w:rStyle w:val="Hyperlink"/>
            <w:rFonts w:ascii="Times New Roman" w:hAnsi="Times New Roman" w:eastAsia="標楷體" w:cs="Times New Roman"/>
          </w:rPr>
          <w:t xml:space="preserve">H. Liu et al., 2025</w:t>
        </w:r>
      </w:hyperlink>
      <w:r>
        <w:rPr>
          <w:rFonts w:ascii="Times New Roman" w:hAnsi="Times New Roman" w:eastAsia="標楷體" w:cs="Times New Roman"/>
        </w:rPr>
        <w:t xml:space="preserve">; </w:t>
      </w:r>
      <w:hyperlink r:id="rIdL4" w:history="1">
        <w:r>
          <w:rPr>
            <w:rStyle w:val="Hyperlink"/>
            <w:rFonts w:ascii="Times New Roman" w:hAnsi="Times New Roman" w:eastAsia="標楷體" w:cs="Times New Roman"/>
          </w:rPr>
          <w:t xml:space="preserve">Meng, 2026</w:t>
        </w:r>
      </w:hyperlink>
      <w:r>
        <w:rPr>
          <w:rFonts w:ascii="Times New Roman" w:hAnsi="Times New Roman" w:eastAsia="標楷體" w:cs="Times New Roman"/>
        </w:rPr>
        <w:t xml:space="preserve">)，且多為單一品類、單一方法。</w:t>
      </w:r>
      <w:r>
        <w:rPr>
          <w:rFonts w:ascii="Times New Roman" w:hAnsi="Times New Roman" w:eastAsia="標楷體" w:cs="Times New Roman"/>
          <w:b/>
          <w:bCs/>
        </w:rPr>
        <w:t xml:space="preserve">以跨品類、多方法的設計，在台灣市場檢驗上述問題，並把結果轉譯為中小企業可用的決策工具，是本研究可介入探討的第四缺口。</w:t>
      </w:r>
      <w:r>
        <w:rPr>
          <w:rFonts w:ascii="Times New Roman" w:hAnsi="Times New Roman" w:eastAsia="標楷體" w:cs="Times New Roman"/>
        </w:rPr>
        <w:t xml:space="preserve">有鑑於此，本研究以「誰來賣、怎麼說、買了會不會退」為核心問題意識，規劃二年三階段的研究計畫。</w:t>
      </w:r>
    </w:p>
    <w:p>
      <w:pPr>
        <w:keepNext/>
        <w:spacing w:before="120" w:after="40" w:line="440" w:lineRule="exact"/>
      </w:pPr>
      <w:r>
        <w:rPr>
          <w:rFonts w:ascii="Times New Roman" w:hAnsi="Times New Roman" w:eastAsia="標楷體" w:cs="Times New Roman"/>
          <w:b/>
          <w:bCs/>
          <w:u w:val="single"/>
        </w:rPr>
        <w:t xml:space="preserve">研究計劃各階段問題與目的</w:t>
      </w:r>
    </w:p>
    <w:p>
      <w:pPr>
        <w:spacing w:before="0" w:after="0" w:line="440" w:lineRule="exact"/>
        <w:ind w:firstLineChars="200" w:firstLine="480"/>
        <w:jc w:val="both"/>
      </w:pPr>
      <w:r>
        <w:rPr>
          <w:rFonts w:ascii="Times New Roman" w:hAnsi="Times New Roman" w:eastAsia="標楷體" w:cs="Times New Roman"/>
        </w:rPr>
        <w:t xml:space="preserve">本計畫研究架構共分為三個部分，分二年三個階段進行。第一階段（2027.08–2028.01，量表發展延至 2028.03）採質化方法，以軟式階梯訪談探索消費者向 AI 虛擬主播與真人主播購買的「屬性－後果－價值」結構，並發展價值傾向量表。接著，第二階段（2028.02–2028.10）以第一階段的價值鏈撰寫實驗話術，以 2×2×2 跨品類實驗與 AI 身分揭露實驗，檢驗主播類型、話術與產品類型對購買及購後預期的因果效果。</w:t>
      </w:r>
    </w:p>
    <w:p>
      <w:pPr>
        <w:spacing w:before="0" w:after="0" w:line="440" w:lineRule="exact"/>
        <w:ind w:firstLineChars="200" w:firstLine="480"/>
        <w:jc w:val="both"/>
      </w:pPr>
      <w:r>
        <w:rPr>
          <w:rFonts w:ascii="Times New Roman" w:hAnsi="Times New Roman" w:eastAsia="標楷體" w:cs="Times New Roman"/>
        </w:rPr>
        <w:t xml:space="preserve">第三階段（2028.06–2029.04）則以真實直播購買者的調查與三個月退貨追蹤，建構購後路徑模型，並以多群組 SEM 比較不同主播類型與價值傾向的消費者。三個階段使研究脈絡由第一年的「價值發現」、「因果檢驗」推進至第二年的「模型推廣」，並共用同一品類庫與共同量表，形成完整且遞進的研究邏輯。</w:t>
      </w:r>
    </w:p>
    <w:p>
      <w:pPr>
        <w:keepNext/>
        <w:spacing w:before="120" w:after="40" w:line="440" w:lineRule="exact"/>
      </w:pPr>
      <w:r>
        <w:rPr>
          <w:rFonts w:ascii="Times New Roman" w:hAnsi="Times New Roman" w:eastAsia="標楷體" w:cs="Times New Roman"/>
          <w:b/>
          <w:bCs/>
          <w:u w:val="single"/>
        </w:rPr>
        <w:t xml:space="preserve">研究計劃各階段主題與層次脈絡</w:t>
      </w:r>
    </w:p>
    <w:p>
      <w:pPr>
        <w:spacing w:before="0" w:after="0" w:line="440" w:lineRule="exact"/>
        <w:ind w:firstLineChars="200" w:firstLine="480"/>
        <w:jc w:val="both"/>
      </w:pPr>
      <w:r>
        <w:rPr>
          <w:rFonts w:ascii="Times New Roman" w:hAnsi="Times New Roman" w:eastAsia="標楷體" w:cs="Times New Roman"/>
        </w:rPr>
        <w:t xml:space="preserve">本計畫將於第二年完成研究，綜整三個階段的結果，比較各方法在解釋上的獨特性，並轉譯為中小企業可用的決策工具。關於二年三階段研究計畫之主題、層次脈絡、研究方法與理論基礎，整理如表 1。</w:t>
      </w:r>
    </w:p>
    <w:p>
      <w:pPr>
        <w:keepNext/>
        <w:spacing w:before="120" w:after="80" w:line="360" w:lineRule="exact"/>
        <w:jc w:val="center"/>
      </w:pPr>
      <w:r>
        <w:rPr>
          <w:rFonts w:ascii="Times New Roman" w:hAnsi="Times New Roman" w:eastAsia="標楷體" w:cs="Times New Roman"/>
        </w:rPr>
        <w:t xml:space="preserve">表 1　二年三階段研究計畫層次脈絡、研究問題、主題、研究方法及研究理論列表</w:t>
      </w:r>
    </w:p>
    <w:tbl>
      <w:tblPr>
        <w:tblW w:w="96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57" w:type="dxa"/>
          <w:right w:w="57" w:type="dxa"/>
        </w:tblCellMar>
      </w:tblPr>
      <w:tblGrid>
        <w:gridCol w:w="1300"/>
        <w:gridCol w:w="700"/>
        <w:gridCol w:w="1900"/>
        <w:gridCol w:w="1850"/>
        <w:gridCol w:w="1900"/>
        <w:gridCol w:w="1988"/>
      </w:tblGrid>
      <w:tr>
        <w:trPr>
          <w:tblHeader/>
          <w:cantSplit/>
        </w:trPr>
        <w:tc>
          <w:tcPr>
            <w:tcW w:w="1300"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研究階段</w:t>
            </w:r>
          </w:p>
          <w:p>
            <w:pPr>
              <w:spacing w:before="20" w:after="20" w:line="300" w:lineRule="exact"/>
              <w:jc w:val="center"/>
            </w:pPr>
            <w:r>
              <w:rPr>
                <w:rFonts w:ascii="Times New Roman" w:hAnsi="Times New Roman" w:eastAsia="標楷體" w:cs="Times New Roman"/>
                <w:b/>
                <w:bCs/>
                <w:sz w:val="21"/>
                <w:szCs w:val="21"/>
              </w:rPr>
              <w:t xml:space="preserve">與時程</w:t>
            </w:r>
          </w:p>
        </w:tc>
        <w:tc>
          <w:tcPr>
            <w:tcW w:w="700"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層次</w:t>
            </w:r>
          </w:p>
          <w:p>
            <w:pPr>
              <w:spacing w:before="20" w:after="20" w:line="300" w:lineRule="exact"/>
              <w:jc w:val="center"/>
            </w:pPr>
            <w:r>
              <w:rPr>
                <w:rFonts w:ascii="Times New Roman" w:hAnsi="Times New Roman" w:eastAsia="標楷體" w:cs="Times New Roman"/>
                <w:b/>
                <w:bCs/>
                <w:sz w:val="21"/>
                <w:szCs w:val="21"/>
              </w:rPr>
              <w:t xml:space="preserve">脈絡</w:t>
            </w:r>
          </w:p>
        </w:tc>
        <w:tc>
          <w:tcPr>
            <w:tcW w:w="1900"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研究問題</w:t>
            </w:r>
          </w:p>
        </w:tc>
        <w:tc>
          <w:tcPr>
            <w:tcW w:w="1850"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主題</w:t>
            </w:r>
          </w:p>
        </w:tc>
        <w:tc>
          <w:tcPr>
            <w:tcW w:w="1900"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研究方法</w:t>
            </w:r>
          </w:p>
        </w:tc>
        <w:tc>
          <w:tcPr>
            <w:tcW w:w="1988"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研究理論基礎</w:t>
            </w:r>
          </w:p>
        </w:tc>
      </w:tr>
      <w:tr>
        <w:trPr>
          <w:cantSplit/>
        </w:trPr>
        <w:tc>
          <w:tcPr>
            <w:tcW w:w="1300" w:type="dxa"/>
            <w:vAlign w:val="center"/>
          </w:tcPr>
          <w:p>
            <w:pPr>
              <w:spacing w:before="20" w:after="20" w:line="300" w:lineRule="exact"/>
              <w:jc w:val="center"/>
            </w:pPr>
            <w:r>
              <w:rPr>
                <w:rFonts w:ascii="Times New Roman" w:hAnsi="Times New Roman" w:eastAsia="標楷體" w:cs="Times New Roman"/>
                <w:sz w:val="21"/>
                <w:szCs w:val="21"/>
              </w:rPr>
              <w:t xml:space="preserve">第一階段</w:t>
            </w:r>
          </w:p>
          <w:p>
            <w:pPr>
              <w:spacing w:before="20" w:after="20" w:line="300" w:lineRule="exact"/>
              <w:jc w:val="center"/>
            </w:pPr>
            <w:r>
              <w:rPr>
                <w:rFonts w:ascii="Times New Roman" w:hAnsi="Times New Roman" w:eastAsia="標楷體" w:cs="Times New Roman"/>
                <w:sz w:val="21"/>
                <w:szCs w:val="21"/>
              </w:rPr>
              <w:t xml:space="preserve">2027.08–2028.01</w:t>
            </w:r>
          </w:p>
          <w:p>
            <w:pPr>
              <w:spacing w:before="20" w:after="20" w:line="300" w:lineRule="exact"/>
              <w:jc w:val="center"/>
            </w:pPr>
            <w:r>
              <w:rPr>
                <w:rFonts w:ascii="Times New Roman" w:hAnsi="Times New Roman" w:eastAsia="標楷體" w:cs="Times New Roman"/>
                <w:sz w:val="21"/>
                <w:szCs w:val="21"/>
              </w:rPr>
              <w:t xml:space="preserve">（量表發展至 2028.03）</w:t>
            </w:r>
          </w:p>
        </w:tc>
        <w:tc>
          <w:tcPr>
            <w:tcW w:w="700" w:type="dxa"/>
            <w:vAlign w:val="center"/>
          </w:tcPr>
          <w:p>
            <w:pPr>
              <w:spacing w:before="20" w:after="20" w:line="300" w:lineRule="exact"/>
              <w:jc w:val="center"/>
            </w:pPr>
            <w:r>
              <w:rPr>
                <w:rFonts w:ascii="Times New Roman" w:hAnsi="Times New Roman" w:eastAsia="標楷體" w:cs="Times New Roman"/>
                <w:sz w:val="21"/>
                <w:szCs w:val="21"/>
              </w:rPr>
              <w:t xml:space="preserve">初步</w:t>
            </w:r>
          </w:p>
          <w:p>
            <w:pPr>
              <w:spacing w:before="20" w:after="20" w:line="300" w:lineRule="exact"/>
              <w:jc w:val="center"/>
            </w:pPr>
            <w:r>
              <w:rPr>
                <w:rFonts w:ascii="Times New Roman" w:hAnsi="Times New Roman" w:eastAsia="標楷體" w:cs="Times New Roman"/>
                <w:sz w:val="21"/>
                <w:szCs w:val="21"/>
              </w:rPr>
              <w:t xml:space="preserve">發現</w:t>
            </w:r>
          </w:p>
        </w:tc>
        <w:tc>
          <w:tcPr>
            <w:tcW w:w="1900" w:type="dxa"/>
            <w:vAlign w:val="center"/>
          </w:tcPr>
          <w:p>
            <w:pPr>
              <w:spacing w:before="20" w:after="20" w:line="300" w:lineRule="exact"/>
              <w:jc w:val="left"/>
            </w:pPr>
            <w:r>
              <w:rPr>
                <w:rFonts w:ascii="Times New Roman" w:hAnsi="Times New Roman" w:eastAsia="標楷體" w:cs="Times New Roman"/>
                <w:sz w:val="21"/>
                <w:szCs w:val="21"/>
              </w:rPr>
              <w:t xml:space="preserve">消費者為什麼向 AI 主播或真人主播購買？</w:t>
            </w:r>
          </w:p>
        </w:tc>
        <w:tc>
          <w:tcPr>
            <w:tcW w:w="1850" w:type="dxa"/>
            <w:vAlign w:val="center"/>
          </w:tcPr>
          <w:p>
            <w:pPr>
              <w:spacing w:before="20" w:after="20" w:line="300" w:lineRule="exact"/>
              <w:jc w:val="left"/>
            </w:pPr>
            <w:r>
              <w:rPr>
                <w:rFonts w:ascii="Times New Roman" w:hAnsi="Times New Roman" w:eastAsia="標楷體" w:cs="Times New Roman"/>
                <w:sz w:val="21"/>
                <w:szCs w:val="21"/>
              </w:rPr>
              <w:t xml:space="preserve">AI 虛擬主播與真人主播的消費者價值鏈：方法目的鏈探索</w:t>
            </w:r>
          </w:p>
        </w:tc>
        <w:tc>
          <w:tcPr>
            <w:tcW w:w="1900" w:type="dxa"/>
            <w:vAlign w:val="center"/>
          </w:tcPr>
          <w:p>
            <w:pPr>
              <w:spacing w:before="20" w:after="20" w:line="300" w:lineRule="exact"/>
              <w:jc w:val="left"/>
            </w:pPr>
            <w:r>
              <w:rPr>
                <w:rFonts w:ascii="Times New Roman" w:hAnsi="Times New Roman" w:eastAsia="標楷體" w:cs="Times New Roman"/>
                <w:sz w:val="21"/>
                <w:szCs w:val="21"/>
              </w:rPr>
              <w:t xml:space="preserve">MEC 軟式階梯訪談</w:t>
            </w:r>
          </w:p>
          <w:p>
            <w:pPr>
              <w:spacing w:before="20" w:after="20" w:line="300" w:lineRule="exact"/>
              <w:jc w:val="left"/>
            </w:pPr>
            <w:r>
              <w:rPr>
                <w:rFonts w:ascii="Times New Roman" w:hAnsi="Times New Roman" w:eastAsia="標楷體" w:cs="Times New Roman"/>
                <w:sz w:val="21"/>
                <w:szCs w:val="21"/>
              </w:rPr>
              <w:t xml:space="preserve">人工內容分析、涵意矩陣、階梯價值圖</w:t>
            </w:r>
          </w:p>
        </w:tc>
        <w:tc>
          <w:tcPr>
            <w:tcW w:w="1988" w:type="dxa"/>
            <w:vAlign w:val="center"/>
          </w:tcPr>
          <w:p>
            <w:pPr>
              <w:spacing w:before="20" w:after="20" w:line="300" w:lineRule="exact"/>
              <w:jc w:val="left"/>
            </w:pPr>
            <w:r>
              <w:rPr>
                <w:rFonts w:ascii="Times New Roman" w:hAnsi="Times New Roman" w:eastAsia="標楷體" w:cs="Times New Roman"/>
                <w:sz w:val="21"/>
                <w:szCs w:val="21"/>
              </w:rPr>
              <w:t xml:space="preserve">MEC 理論</w:t>
            </w:r>
          </w:p>
          <w:p>
            <w:pPr>
              <w:spacing w:before="20" w:after="20" w:line="300" w:lineRule="exact"/>
              <w:jc w:val="left"/>
            </w:pPr>
            <w:r>
              <w:rPr>
                <w:rFonts w:ascii="Times New Roman" w:hAnsi="Times New Roman" w:eastAsia="標楷體" w:cs="Times New Roman"/>
                <w:sz w:val="21"/>
                <w:szCs w:val="21"/>
              </w:rPr>
              <w:t xml:space="preserve">消費價值理論</w:t>
            </w:r>
          </w:p>
        </w:tc>
      </w:tr>
      <w:tr>
        <w:trPr>
          <w:cantSplit/>
        </w:trPr>
        <w:tc>
          <w:tcPr>
            <w:tcW w:w="1300" w:type="dxa"/>
            <w:vAlign w:val="center"/>
          </w:tcPr>
          <w:p>
            <w:pPr>
              <w:spacing w:before="20" w:after="20" w:line="300" w:lineRule="exact"/>
              <w:jc w:val="center"/>
            </w:pPr>
            <w:r>
              <w:rPr>
                <w:rFonts w:ascii="Times New Roman" w:hAnsi="Times New Roman" w:eastAsia="標楷體" w:cs="Times New Roman"/>
                <w:sz w:val="21"/>
                <w:szCs w:val="21"/>
              </w:rPr>
              <w:t xml:space="preserve">第二階段</w:t>
            </w:r>
          </w:p>
          <w:p>
            <w:pPr>
              <w:spacing w:before="20" w:after="20" w:line="300" w:lineRule="exact"/>
              <w:jc w:val="center"/>
            </w:pPr>
            <w:r>
              <w:rPr>
                <w:rFonts w:ascii="Times New Roman" w:hAnsi="Times New Roman" w:eastAsia="標楷體" w:cs="Times New Roman"/>
                <w:sz w:val="21"/>
                <w:szCs w:val="21"/>
              </w:rPr>
              <w:t xml:space="preserve">2028.02–2028.10</w:t>
            </w:r>
          </w:p>
        </w:tc>
        <w:tc>
          <w:tcPr>
            <w:tcW w:w="700" w:type="dxa"/>
            <w:vAlign w:val="center"/>
          </w:tcPr>
          <w:p>
            <w:pPr>
              <w:spacing w:before="20" w:after="20" w:line="300" w:lineRule="exact"/>
              <w:jc w:val="center"/>
            </w:pPr>
            <w:r>
              <w:rPr>
                <w:rFonts w:ascii="Times New Roman" w:hAnsi="Times New Roman" w:eastAsia="標楷體" w:cs="Times New Roman"/>
                <w:sz w:val="21"/>
                <w:szCs w:val="21"/>
              </w:rPr>
              <w:t xml:space="preserve">深入</w:t>
            </w:r>
          </w:p>
          <w:p>
            <w:pPr>
              <w:spacing w:before="20" w:after="20" w:line="300" w:lineRule="exact"/>
              <w:jc w:val="center"/>
            </w:pPr>
            <w:r>
              <w:rPr>
                <w:rFonts w:ascii="Times New Roman" w:hAnsi="Times New Roman" w:eastAsia="標楷體" w:cs="Times New Roman"/>
                <w:sz w:val="21"/>
                <w:szCs w:val="21"/>
              </w:rPr>
              <w:t xml:space="preserve">檢驗</w:t>
            </w:r>
          </w:p>
        </w:tc>
        <w:tc>
          <w:tcPr>
            <w:tcW w:w="1900" w:type="dxa"/>
            <w:vAlign w:val="center"/>
          </w:tcPr>
          <w:p>
            <w:pPr>
              <w:spacing w:before="20" w:after="20" w:line="300" w:lineRule="exact"/>
              <w:jc w:val="left"/>
            </w:pPr>
            <w:r>
              <w:rPr>
                <w:rFonts w:ascii="Times New Roman" w:hAnsi="Times New Roman" w:eastAsia="標楷體" w:cs="Times New Roman"/>
                <w:sz w:val="21"/>
                <w:szCs w:val="21"/>
              </w:rPr>
              <w:t xml:space="preserve">什麼樣的主播配上什麼樣的話術最有效、最少退貨？</w:t>
            </w:r>
          </w:p>
        </w:tc>
        <w:tc>
          <w:tcPr>
            <w:tcW w:w="1850" w:type="dxa"/>
            <w:vAlign w:val="center"/>
          </w:tcPr>
          <w:p>
            <w:pPr>
              <w:spacing w:before="20" w:after="20" w:line="300" w:lineRule="exact"/>
              <w:jc w:val="left"/>
            </w:pPr>
            <w:r>
              <w:rPr>
                <w:rFonts w:ascii="Times New Roman" w:hAnsi="Times New Roman" w:eastAsia="標楷體" w:cs="Times New Roman"/>
                <w:sz w:val="21"/>
                <w:szCs w:val="21"/>
              </w:rPr>
              <w:t xml:space="preserve">主播類型 × 價值訴求話術 × 產品類型，以及 AI 身分揭露</w:t>
            </w:r>
          </w:p>
        </w:tc>
        <w:tc>
          <w:tcPr>
            <w:tcW w:w="1900" w:type="dxa"/>
            <w:vAlign w:val="center"/>
          </w:tcPr>
          <w:p>
            <w:pPr>
              <w:spacing w:before="20" w:after="20" w:line="300" w:lineRule="exact"/>
              <w:jc w:val="left"/>
            </w:pPr>
            <w:r>
              <w:rPr>
                <w:rFonts w:ascii="Times New Roman" w:hAnsi="Times New Roman" w:eastAsia="標楷體" w:cs="Times New Roman"/>
                <w:sz w:val="21"/>
                <w:szCs w:val="21"/>
              </w:rPr>
              <w:t xml:space="preserve">2×2×2 受試者間實驗</w:t>
            </w:r>
          </w:p>
          <w:p>
            <w:pPr>
              <w:spacing w:before="20" w:after="20" w:line="300" w:lineRule="exact"/>
              <w:jc w:val="left"/>
            </w:pPr>
            <w:r>
              <w:rPr>
                <w:rFonts w:ascii="Times New Roman" w:hAnsi="Times New Roman" w:eastAsia="標楷體" w:cs="Times New Roman"/>
                <w:sz w:val="21"/>
                <w:szCs w:val="21"/>
              </w:rPr>
              <w:t xml:space="preserve">單因子揭露實驗</w:t>
            </w:r>
          </w:p>
          <w:p>
            <w:pPr>
              <w:spacing w:before="20" w:after="20" w:line="300" w:lineRule="exact"/>
              <w:jc w:val="left"/>
            </w:pPr>
            <w:r>
              <w:rPr>
                <w:rFonts w:ascii="Times New Roman" w:hAnsi="Times New Roman" w:eastAsia="標楷體" w:cs="Times New Roman"/>
                <w:sz w:val="21"/>
                <w:szCs w:val="21"/>
              </w:rPr>
              <w:t xml:space="preserve">一週後追蹤</w:t>
            </w:r>
          </w:p>
        </w:tc>
        <w:tc>
          <w:tcPr>
            <w:tcW w:w="1988" w:type="dxa"/>
            <w:vAlign w:val="center"/>
          </w:tcPr>
          <w:p>
            <w:pPr>
              <w:spacing w:before="20" w:after="20" w:line="300" w:lineRule="exact"/>
              <w:jc w:val="left"/>
            </w:pPr>
            <w:r>
              <w:rPr>
                <w:rFonts w:ascii="Times New Roman" w:hAnsi="Times New Roman" w:eastAsia="標楷體" w:cs="Times New Roman"/>
                <w:sz w:val="21"/>
                <w:szCs w:val="21"/>
              </w:rPr>
              <w:t xml:space="preserve">社會知覺（溫暖與能力）</w:t>
            </w:r>
          </w:p>
          <w:p>
            <w:pPr>
              <w:spacing w:before="20" w:after="20" w:line="300" w:lineRule="exact"/>
              <w:jc w:val="left"/>
            </w:pPr>
            <w:r>
              <w:rPr>
                <w:rFonts w:ascii="Times New Roman" w:hAnsi="Times New Roman" w:eastAsia="標楷體" w:cs="Times New Roman"/>
                <w:sz w:val="21"/>
                <w:szCs w:val="21"/>
              </w:rPr>
              <w:t xml:space="preserve">說服知識模型</w:t>
            </w:r>
          </w:p>
          <w:p>
            <w:pPr>
              <w:spacing w:before="20" w:after="20" w:line="300" w:lineRule="exact"/>
              <w:jc w:val="left"/>
            </w:pPr>
            <w:r>
              <w:rPr>
                <w:rFonts w:ascii="Times New Roman" w:hAnsi="Times New Roman" w:eastAsia="標楷體" w:cs="Times New Roman"/>
                <w:sz w:val="21"/>
                <w:szCs w:val="21"/>
              </w:rPr>
              <w:t xml:space="preserve">後悔理論</w:t>
            </w:r>
          </w:p>
        </w:tc>
      </w:tr>
      <w:tr>
        <w:trPr>
          <w:cantSplit/>
        </w:trPr>
        <w:tc>
          <w:tcPr>
            <w:tcW w:w="1300" w:type="dxa"/>
            <w:vAlign w:val="center"/>
          </w:tcPr>
          <w:p>
            <w:pPr>
              <w:spacing w:before="20" w:after="20" w:line="300" w:lineRule="exact"/>
              <w:jc w:val="center"/>
            </w:pPr>
            <w:r>
              <w:rPr>
                <w:rFonts w:ascii="Times New Roman" w:hAnsi="Times New Roman" w:eastAsia="標楷體" w:cs="Times New Roman"/>
                <w:sz w:val="21"/>
                <w:szCs w:val="21"/>
              </w:rPr>
              <w:t xml:space="preserve">第三階段</w:t>
            </w:r>
          </w:p>
          <w:p>
            <w:pPr>
              <w:spacing w:before="20" w:after="20" w:line="300" w:lineRule="exact"/>
              <w:jc w:val="center"/>
            </w:pPr>
            <w:r>
              <w:rPr>
                <w:rFonts w:ascii="Times New Roman" w:hAnsi="Times New Roman" w:eastAsia="標楷體" w:cs="Times New Roman"/>
                <w:sz w:val="21"/>
                <w:szCs w:val="21"/>
              </w:rPr>
              <w:t xml:space="preserve">2028.06–2029.04</w:t>
            </w:r>
          </w:p>
        </w:tc>
        <w:tc>
          <w:tcPr>
            <w:tcW w:w="700" w:type="dxa"/>
            <w:vAlign w:val="center"/>
          </w:tcPr>
          <w:p>
            <w:pPr>
              <w:spacing w:before="20" w:after="20" w:line="300" w:lineRule="exact"/>
              <w:jc w:val="center"/>
            </w:pPr>
            <w:r>
              <w:rPr>
                <w:rFonts w:ascii="Times New Roman" w:hAnsi="Times New Roman" w:eastAsia="標楷體" w:cs="Times New Roman"/>
                <w:sz w:val="21"/>
                <w:szCs w:val="21"/>
              </w:rPr>
              <w:t xml:space="preserve">推廣</w:t>
            </w:r>
          </w:p>
          <w:p>
            <w:pPr>
              <w:spacing w:before="20" w:after="20" w:line="300" w:lineRule="exact"/>
              <w:jc w:val="center"/>
            </w:pPr>
            <w:r>
              <w:rPr>
                <w:rFonts w:ascii="Times New Roman" w:hAnsi="Times New Roman" w:eastAsia="標楷體" w:cs="Times New Roman"/>
                <w:sz w:val="21"/>
                <w:szCs w:val="21"/>
              </w:rPr>
              <w:t xml:space="preserve">驗證</w:t>
            </w:r>
          </w:p>
        </w:tc>
        <w:tc>
          <w:tcPr>
            <w:tcW w:w="1900" w:type="dxa"/>
            <w:vAlign w:val="center"/>
          </w:tcPr>
          <w:p>
            <w:pPr>
              <w:spacing w:before="20" w:after="20" w:line="300" w:lineRule="exact"/>
              <w:jc w:val="left"/>
            </w:pPr>
            <w:r>
              <w:rPr>
                <w:rFonts w:ascii="Times New Roman" w:hAnsi="Times New Roman" w:eastAsia="標楷體" w:cs="Times New Roman"/>
                <w:sz w:val="21"/>
                <w:szCs w:val="21"/>
              </w:rPr>
              <w:t xml:space="preserve">從主播知覺到購後結果的路徑對誰成立？</w:t>
            </w:r>
          </w:p>
        </w:tc>
        <w:tc>
          <w:tcPr>
            <w:tcW w:w="1850" w:type="dxa"/>
            <w:vAlign w:val="center"/>
          </w:tcPr>
          <w:p>
            <w:pPr>
              <w:spacing w:before="20" w:after="20" w:line="300" w:lineRule="exact"/>
              <w:jc w:val="left"/>
            </w:pPr>
            <w:r>
              <w:rPr>
                <w:rFonts w:ascii="Times New Roman" w:hAnsi="Times New Roman" w:eastAsia="標楷體" w:cs="Times New Roman"/>
                <w:sz w:val="21"/>
                <w:szCs w:val="21"/>
              </w:rPr>
              <w:t xml:space="preserve">直播購物的購後路徑：信任、期望確認、滿意與退貨</w:t>
            </w:r>
          </w:p>
        </w:tc>
        <w:tc>
          <w:tcPr>
            <w:tcW w:w="1900" w:type="dxa"/>
            <w:vAlign w:val="center"/>
          </w:tcPr>
          <w:p>
            <w:pPr>
              <w:spacing w:before="20" w:after="20" w:line="300" w:lineRule="exact"/>
              <w:jc w:val="left"/>
            </w:pPr>
            <w:r>
              <w:rPr>
                <w:rFonts w:ascii="Times New Roman" w:hAnsi="Times New Roman" w:eastAsia="標楷體" w:cs="Times New Roman"/>
                <w:sz w:val="21"/>
                <w:szCs w:val="21"/>
              </w:rPr>
              <w:t xml:space="preserve">SEM</w:t>
            </w:r>
          </w:p>
          <w:p>
            <w:pPr>
              <w:spacing w:before="20" w:after="20" w:line="300" w:lineRule="exact"/>
              <w:jc w:val="left"/>
            </w:pPr>
            <w:r>
              <w:rPr>
                <w:rFonts w:ascii="Times New Roman" w:hAnsi="Times New Roman" w:eastAsia="標楷體" w:cs="Times New Roman"/>
                <w:sz w:val="21"/>
                <w:szCs w:val="21"/>
              </w:rPr>
              <w:t xml:space="preserve">多群組 SEM、測量恆等性</w:t>
            </w:r>
          </w:p>
          <w:p>
            <w:pPr>
              <w:spacing w:before="20" w:after="20" w:line="300" w:lineRule="exact"/>
              <w:jc w:val="left"/>
            </w:pPr>
            <w:r>
              <w:rPr>
                <w:rFonts w:ascii="Times New Roman" w:hAnsi="Times New Roman" w:eastAsia="標楷體" w:cs="Times New Roman"/>
                <w:sz w:val="21"/>
                <w:szCs w:val="21"/>
              </w:rPr>
              <w:t xml:space="preserve">三個月退貨追蹤</w:t>
            </w:r>
          </w:p>
        </w:tc>
        <w:tc>
          <w:tcPr>
            <w:tcW w:w="1988" w:type="dxa"/>
            <w:vAlign w:val="center"/>
          </w:tcPr>
          <w:p>
            <w:pPr>
              <w:spacing w:before="20" w:after="20" w:line="300" w:lineRule="exact"/>
              <w:jc w:val="left"/>
            </w:pPr>
            <w:r>
              <w:rPr>
                <w:rFonts w:ascii="Times New Roman" w:hAnsi="Times New Roman" w:eastAsia="標楷體" w:cs="Times New Roman"/>
                <w:sz w:val="21"/>
                <w:szCs w:val="21"/>
              </w:rPr>
              <w:t xml:space="preserve">期望確認理論</w:t>
            </w:r>
          </w:p>
          <w:p>
            <w:pPr>
              <w:spacing w:before="20" w:after="20" w:line="300" w:lineRule="exact"/>
              <w:jc w:val="left"/>
            </w:pPr>
            <w:r>
              <w:rPr>
                <w:rFonts w:ascii="Times New Roman" w:hAnsi="Times New Roman" w:eastAsia="標楷體" w:cs="Times New Roman"/>
                <w:sz w:val="21"/>
                <w:szCs w:val="21"/>
              </w:rPr>
              <w:t xml:space="preserve">信任理論</w:t>
            </w:r>
          </w:p>
          <w:p>
            <w:pPr>
              <w:spacing w:before="20" w:after="20" w:line="300" w:lineRule="exact"/>
              <w:jc w:val="left"/>
            </w:pPr>
            <w:r>
              <w:rPr>
                <w:rFonts w:ascii="Times New Roman" w:hAnsi="Times New Roman" w:eastAsia="標楷體" w:cs="Times New Roman"/>
                <w:sz w:val="21"/>
                <w:szCs w:val="21"/>
              </w:rPr>
              <w:t xml:space="preserve">社會知覺理論</w:t>
            </w:r>
          </w:p>
        </w:tc>
      </w:tr>
    </w:tbl>
    <w:p>
      <w:pPr>
        <w:spacing w:before="0" w:after="0" w:line="200" w:lineRule="exact"/>
      </w:pPr>
    </w:p>
    <w:p>
      <w:pPr>
        <w:spacing w:before="0" w:after="0" w:line="440" w:lineRule="exact"/>
        <w:ind w:firstLineChars="200" w:firstLine="480"/>
        <w:jc w:val="both"/>
      </w:pPr>
      <w:r>
        <w:rPr>
          <w:rFonts w:ascii="Times New Roman" w:hAnsi="Times New Roman" w:eastAsia="標楷體" w:cs="Times New Roman"/>
          <w:b/>
          <w:bCs/>
        </w:rPr>
        <w:t xml:space="preserve">本計畫透過此三階段、跨方法、跨品類的整合研究設計，回應直播電商「從當下轉換走向購後價值」的關鍵議題。</w:t>
      </w:r>
      <w:r>
        <w:rPr>
          <w:rFonts w:ascii="Times New Roman" w:hAnsi="Times New Roman" w:eastAsia="標楷體" w:cs="Times New Roman"/>
        </w:rPr>
        <w:t xml:space="preserve">本計畫以經典方法回答 AI 主播的「為什麼」、「是否有因果」與「對誰成立」，有助於學術社群、平台與中小企業在導入 AI 主播時，同時考量銷售、退貨與消費者信任。</w:t>
      </w:r>
    </w:p>
    <w:p>
      <w:pPr>
        <w:pStyle w:val="Heading2"/>
        <w:keepNext/>
        <w:spacing w:before="160" w:after="80" w:line="440" w:lineRule="exact"/>
      </w:pPr>
      <w:r>
        <w:rPr>
          <w:rFonts w:ascii="Times New Roman" w:hAnsi="Times New Roman" w:eastAsia="標楷體" w:cs="Times New Roman"/>
          <w:b/>
          <w:bCs/>
          <w:bdr w:val="single" w:sz="4" w:space="0" w:color="000000"/>
          <w:shd w:val="clear" w:color="auto" w:fill="E7E6E6"/>
        </w:rPr>
        <w:t xml:space="preserve">二、研究計畫之目的</w:t>
      </w:r>
    </w:p>
    <w:p>
      <w:pPr>
        <w:spacing w:before="0" w:after="0" w:line="440" w:lineRule="exact"/>
        <w:ind w:firstLineChars="200" w:firstLine="480"/>
        <w:jc w:val="both"/>
      </w:pPr>
      <w:r>
        <w:rPr>
          <w:rFonts w:ascii="Times New Roman" w:hAnsi="Times New Roman" w:eastAsia="標楷體" w:cs="Times New Roman"/>
        </w:rPr>
        <w:t xml:space="preserve">本研究規劃整體研究架構，以系統性的思維考量各階段的從屬性及關聯性。</w:t>
      </w:r>
      <w:r>
        <w:rPr>
          <w:rFonts w:ascii="Times New Roman" w:hAnsi="Times New Roman" w:eastAsia="標楷體" w:cs="Times New Roman"/>
          <w:b/>
          <w:bCs/>
        </w:rPr>
        <w:t xml:space="preserve">本研究旨在以方法目的鏈、實驗設計與結構方程模式，系統性比較 AI 虛擬主播與真人主播的說服機制與購後後果。</w:t>
      </w:r>
      <w:r>
        <w:rPr>
          <w:rFonts w:ascii="Times New Roman" w:hAnsi="Times New Roman" w:eastAsia="標楷體" w:cs="Times New Roman"/>
        </w:rPr>
        <w:t xml:space="preserve">首先，以軟式階梯訪談探索兩類主播購買者的價值鏈，並發展價值傾向量表。其次，以跨品類實驗檢驗主播類型、價值訴求話術與產品類型的交互作用，以及說服意圖知覺對購後後悔與退貨意圖的中介效果，並檢驗 AI 身分揭露方式的影響。最後，以真實購買者的調查與退貨追蹤建構購後路徑模型，並以多群組 SEM 比較不同主播類型與價值傾向的消費者，將結果轉譯為中小企業的「主播類型 × 話術 × 品類」決策表與揭露指引。</w:t>
      </w:r>
    </w:p>
    <w:p>
      <w:pPr>
        <w:pStyle w:val="Heading2"/>
        <w:keepNext/>
        <w:spacing w:before="160" w:after="80" w:line="440" w:lineRule="exact"/>
      </w:pPr>
      <w:r>
        <w:rPr>
          <w:rFonts w:ascii="Times New Roman" w:hAnsi="Times New Roman" w:eastAsia="標楷體" w:cs="Times New Roman"/>
          <w:b/>
          <w:bCs/>
          <w:bdr w:val="single" w:sz="4" w:space="0" w:color="000000"/>
          <w:shd w:val="clear" w:color="auto" w:fill="E7E6E6"/>
        </w:rPr>
        <w:t xml:space="preserve">三、研究計畫之原創性、重要性與預期影響性</w:t>
      </w:r>
    </w:p>
    <w:p>
      <w:pPr>
        <w:pStyle w:val="Heading3"/>
        <w:keepNext/>
        <w:spacing w:before="120" w:after="40" w:line="440" w:lineRule="exact"/>
        <w:ind w:left="480" w:hanging="480"/>
      </w:pPr>
      <w:r>
        <w:rPr>
          <w:rFonts w:ascii="Times New Roman" w:hAnsi="Times New Roman" w:eastAsia="標楷體" w:cs="Times New Roman"/>
          <w:b/>
          <w:bCs/>
        </w:rPr>
        <w:t xml:space="preserve">(一) 本研究之原創性方面：</w:t>
      </w:r>
    </w:p>
    <w:p>
      <w:pPr>
        <w:spacing w:before="0" w:after="0" w:line="440" w:lineRule="exact"/>
        <w:ind w:firstLineChars="200" w:firstLine="480"/>
        <w:jc w:val="both"/>
      </w:pPr>
      <w:r>
        <w:rPr>
          <w:rFonts w:ascii="Times New Roman" w:hAnsi="Times New Roman" w:eastAsia="標楷體" w:cs="Times New Roman"/>
        </w:rPr>
        <w:t xml:space="preserve">本研究之原創性在「研究問題」、「理論整合」與「研究設計」三個層面。首先，在研究問題上，本研究</w:t>
      </w:r>
      <w:r>
        <w:rPr>
          <w:rFonts w:ascii="Times New Roman" w:hAnsi="Times New Roman" w:eastAsia="標楷體" w:cs="Times New Roman"/>
          <w:b/>
          <w:bCs/>
        </w:rPr>
        <w:t xml:space="preserve">把 AI 主播的評估標準由「當下轉換」延伸到「購後後悔、退貨與再購」</w:t>
      </w:r>
      <w:r>
        <w:rPr>
          <w:rFonts w:ascii="Times New Roman" w:hAnsi="Times New Roman" w:eastAsia="標楷體" w:cs="Times New Roman"/>
        </w:rPr>
        <w:t xml:space="preserve">，並提出「AI 主播因說服意圖知覺較低而減少退貨」的新假說。其次，在理論整合上，本研究結合方法目的鏈、社會知覺、說服知識與期望確認理論，以「第一階段的價值鏈是第二階段的話術、第一階段的量表是第三階段的分組」串連三個研究。第三，在研究設計上，本研究以消費者價值結構為基礎設計實驗話術，取代研究者自行設定的訊息類型，並以預先註冊、刺激抽樣與測量恆等性確保結論的效度 (</w:t>
      </w:r>
      <w:hyperlink r:id="rIdL36" w:history="1">
        <w:r>
          <w:rPr>
            <w:rStyle w:val="Hyperlink"/>
            <w:rFonts w:ascii="Times New Roman" w:hAnsi="Times New Roman" w:eastAsia="標楷體" w:cs="Times New Roman"/>
          </w:rPr>
          <w:t xml:space="preserve">Nosek et al., 2018</w:t>
        </w:r>
      </w:hyperlink>
      <w:r>
        <w:rPr>
          <w:rFonts w:ascii="Times New Roman" w:hAnsi="Times New Roman" w:eastAsia="標楷體" w:cs="Times New Roman"/>
        </w:rPr>
        <w:t xml:space="preserve">; </w:t>
      </w:r>
      <w:hyperlink r:id="rIdL12" w:history="1">
        <w:r>
          <w:rPr>
            <w:rStyle w:val="Hyperlink"/>
            <w:rFonts w:ascii="Times New Roman" w:hAnsi="Times New Roman" w:eastAsia="標楷體" w:cs="Times New Roman"/>
          </w:rPr>
          <w:t xml:space="preserve">Wells &amp; Windschitl, 1999</w:t>
        </w:r>
      </w:hyperlink>
      <w:r>
        <w:rPr>
          <w:rFonts w:ascii="Times New Roman" w:hAnsi="Times New Roman" w:eastAsia="標楷體" w:cs="Times New Roman"/>
        </w:rPr>
        <w:t xml:space="preserve">)。</w:t>
      </w:r>
    </w:p>
    <w:p>
      <w:pPr>
        <w:pStyle w:val="Heading3"/>
        <w:keepNext/>
        <w:spacing w:before="120" w:after="40" w:line="440" w:lineRule="exact"/>
        <w:ind w:left="480" w:hanging="480"/>
      </w:pPr>
      <w:r>
        <w:rPr>
          <w:rFonts w:ascii="Times New Roman" w:hAnsi="Times New Roman" w:eastAsia="標楷體" w:cs="Times New Roman"/>
          <w:b/>
          <w:bCs/>
        </w:rPr>
        <w:t xml:space="preserve">(二) 本研究之重要性、預期影響性方面：</w:t>
      </w:r>
    </w:p>
    <w:p>
      <w:pPr>
        <w:spacing w:before="0" w:after="0" w:line="440" w:lineRule="exact"/>
        <w:ind w:firstLineChars="200" w:firstLine="480"/>
        <w:jc w:val="both"/>
      </w:pPr>
      <w:r>
        <w:rPr>
          <w:rFonts w:ascii="Times New Roman" w:hAnsi="Times New Roman" w:eastAsia="標楷體" w:cs="Times New Roman"/>
        </w:rPr>
        <w:t xml:space="preserve">本研究之重要性，學術上，補足 AI 主播研究對「為什麼」、「購後結果」與「揭露方式」缺乏系統性探討的缺口，三個階段各自形成可投稿國際期刊的貢獻；實務上，研究結果可協助平台與品牌判斷在哪些品類、搭配哪種話術時採用 AI 主播，兼顧銷售與退貨成本。本研究之預期影響性，在學術層面，建立 AI 與真人銷售代理的比較架構；在實務層面，提供資源受限的中小企業低成本的主播與話術決策工具 (</w:t>
      </w:r>
      <w:hyperlink r:id="rIdL37" w:history="1">
        <w:r>
          <w:rPr>
            <w:rStyle w:val="Hyperlink"/>
            <w:rFonts w:ascii="Times New Roman" w:hAnsi="Times New Roman" w:eastAsia="標楷體" w:cs="Times New Roman"/>
          </w:rPr>
          <w:t xml:space="preserve">Wang &amp; Zhang, 2025</w:t>
        </w:r>
      </w:hyperlink>
      <w:r>
        <w:rPr>
          <w:rFonts w:ascii="Times New Roman" w:hAnsi="Times New Roman" w:eastAsia="標楷體" w:cs="Times New Roman"/>
        </w:rPr>
        <w:t xml:space="preserve">)；在社會層面，以 AI 主播揭露指引回應消費者保護議題 (</w:t>
      </w:r>
      <w:hyperlink r:id="rIdL4" w:history="1">
        <w:r>
          <w:rPr>
            <w:rStyle w:val="Hyperlink"/>
            <w:rFonts w:ascii="Times New Roman" w:hAnsi="Times New Roman" w:eastAsia="標楷體" w:cs="Times New Roman"/>
          </w:rPr>
          <w:t xml:space="preserve">Meng, 2026</w:t>
        </w:r>
      </w:hyperlink>
      <w:r>
        <w:rPr>
          <w:rFonts w:ascii="Times New Roman" w:hAnsi="Times New Roman" w:eastAsia="標楷體" w:cs="Times New Roman"/>
        </w:rPr>
        <w:t xml:space="preserve">; </w:t>
      </w:r>
      <w:hyperlink r:id="rIdL38" w:history="1">
        <w:r>
          <w:rPr>
            <w:rStyle w:val="Hyperlink"/>
            <w:rFonts w:ascii="Times New Roman" w:hAnsi="Times New Roman" w:eastAsia="標楷體" w:cs="Times New Roman"/>
          </w:rPr>
          <w:t xml:space="preserve">Martin &amp; Murphy, 2017</w:t>
        </w:r>
      </w:hyperlink>
      <w:r>
        <w:rPr>
          <w:rFonts w:ascii="Times New Roman" w:hAnsi="Times New Roman" w:eastAsia="標楷體" w:cs="Times New Roman"/>
        </w:rPr>
        <w:t xml:space="preserve">)，並以降低退貨減少逆向物流。本計畫與五大研究主題之對應如表 2。</w:t>
      </w:r>
    </w:p>
    <w:p>
      <w:pPr>
        <w:keepNext/>
        <w:spacing w:before="120" w:after="80" w:line="360" w:lineRule="exact"/>
        <w:jc w:val="center"/>
      </w:pPr>
      <w:r>
        <w:rPr>
          <w:rFonts w:ascii="Times New Roman" w:hAnsi="Times New Roman" w:eastAsia="標楷體" w:cs="Times New Roman"/>
        </w:rPr>
        <w:t xml:space="preserve">表 2　本計畫與五大研究主題之對應</w:t>
      </w:r>
    </w:p>
    <w:tbl>
      <w:tblPr>
        <w:tblW w:w="96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57" w:type="dxa"/>
          <w:right w:w="57" w:type="dxa"/>
        </w:tblCellMar>
      </w:tblPr>
      <w:tblGrid>
        <w:gridCol w:w="2400"/>
        <w:gridCol w:w="1700"/>
        <w:gridCol w:w="5538"/>
      </w:tblGrid>
      <w:tr>
        <w:trPr>
          <w:tblHeader/>
          <w:cantSplit/>
        </w:trPr>
        <w:tc>
          <w:tcPr>
            <w:tcW w:w="2400"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研究主題</w:t>
            </w:r>
          </w:p>
        </w:tc>
        <w:tc>
          <w:tcPr>
            <w:tcW w:w="1700"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在計畫中的角色</w:t>
            </w:r>
          </w:p>
        </w:tc>
        <w:tc>
          <w:tcPr>
            <w:tcW w:w="5538"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對應內容</w:t>
            </w:r>
          </w:p>
        </w:tc>
      </w:tr>
      <w:tr>
        <w:trPr>
          <w:cantSplit/>
        </w:trPr>
        <w:tc>
          <w:tcPr>
            <w:tcW w:w="2400" w:type="dxa"/>
            <w:vAlign w:val="center"/>
          </w:tcPr>
          <w:p>
            <w:pPr>
              <w:spacing w:before="20" w:after="20" w:line="300" w:lineRule="exact"/>
              <w:jc w:val="left"/>
            </w:pPr>
            <w:r>
              <w:rPr>
                <w:rFonts w:ascii="Times New Roman" w:hAnsi="Times New Roman" w:eastAsia="標楷體" w:cs="Times New Roman"/>
                <w:sz w:val="21"/>
                <w:szCs w:val="21"/>
              </w:rPr>
              <w:t xml:space="preserve">主題一　創新發展</w:t>
            </w:r>
          </w:p>
        </w:tc>
        <w:tc>
          <w:tcPr>
            <w:tcW w:w="1700" w:type="dxa"/>
            <w:vAlign w:val="center"/>
          </w:tcPr>
          <w:p>
            <w:pPr>
              <w:spacing w:before="20" w:after="20" w:line="300" w:lineRule="exact"/>
              <w:jc w:val="center"/>
            </w:pPr>
            <w:r>
              <w:rPr>
                <w:rFonts w:ascii="Times New Roman" w:hAnsi="Times New Roman" w:eastAsia="標楷體" w:cs="Times New Roman"/>
                <w:sz w:val="21"/>
                <w:szCs w:val="21"/>
              </w:rPr>
              <w:t xml:space="preserve">研究情境</w:t>
            </w:r>
          </w:p>
        </w:tc>
        <w:tc>
          <w:tcPr>
            <w:tcW w:w="5538" w:type="dxa"/>
            <w:vAlign w:val="center"/>
          </w:tcPr>
          <w:p>
            <w:pPr>
              <w:spacing w:before="20" w:after="20" w:line="300" w:lineRule="exact"/>
              <w:jc w:val="left"/>
            </w:pPr>
            <w:r>
              <w:rPr>
                <w:rFonts w:ascii="Times New Roman" w:hAnsi="Times New Roman" w:eastAsia="標楷體" w:cs="Times New Roman"/>
                <w:sz w:val="21"/>
                <w:szCs w:val="21"/>
              </w:rPr>
              <w:t xml:space="preserve">AI 虛擬主播、直播電商、生成式 AI 內容</w:t>
            </w:r>
          </w:p>
        </w:tc>
      </w:tr>
      <w:tr>
        <w:trPr>
          <w:cantSplit/>
        </w:trPr>
        <w:tc>
          <w:tcPr>
            <w:tcW w:w="2400" w:type="dxa"/>
            <w:vAlign w:val="center"/>
          </w:tcPr>
          <w:p>
            <w:pPr>
              <w:spacing w:before="20" w:after="20" w:line="300" w:lineRule="exact"/>
              <w:jc w:val="left"/>
            </w:pPr>
            <w:r>
              <w:rPr>
                <w:rFonts w:ascii="Times New Roman" w:hAnsi="Times New Roman" w:eastAsia="標楷體" w:cs="Times New Roman"/>
                <w:sz w:val="21"/>
                <w:szCs w:val="21"/>
              </w:rPr>
              <w:t xml:space="preserve">主題二　消費者心理行為</w:t>
            </w:r>
          </w:p>
        </w:tc>
        <w:tc>
          <w:tcPr>
            <w:tcW w:w="1700" w:type="dxa"/>
            <w:vAlign w:val="center"/>
          </w:tcPr>
          <w:p>
            <w:pPr>
              <w:spacing w:before="20" w:after="20" w:line="300" w:lineRule="exact"/>
              <w:jc w:val="center"/>
            </w:pPr>
            <w:r>
              <w:rPr>
                <w:rFonts w:ascii="Times New Roman" w:hAnsi="Times New Roman" w:eastAsia="標楷體" w:cs="Times New Roman"/>
                <w:sz w:val="21"/>
                <w:szCs w:val="21"/>
              </w:rPr>
              <w:t xml:space="preserve">依變數與中介機制</w:t>
            </w:r>
          </w:p>
        </w:tc>
        <w:tc>
          <w:tcPr>
            <w:tcW w:w="5538" w:type="dxa"/>
            <w:vAlign w:val="center"/>
          </w:tcPr>
          <w:p>
            <w:pPr>
              <w:spacing w:before="20" w:after="20" w:line="300" w:lineRule="exact"/>
              <w:jc w:val="left"/>
            </w:pPr>
            <w:r>
              <w:rPr>
                <w:rFonts w:ascii="Times New Roman" w:hAnsi="Times New Roman" w:eastAsia="標楷體" w:cs="Times New Roman"/>
                <w:sz w:val="21"/>
                <w:szCs w:val="21"/>
              </w:rPr>
              <w:t xml:space="preserve">終極價值、溫暖與能力知覺、說服意圖知覺、信任、後悔與滿意</w:t>
            </w:r>
          </w:p>
        </w:tc>
      </w:tr>
      <w:tr>
        <w:trPr>
          <w:cantSplit/>
        </w:trPr>
        <w:tc>
          <w:tcPr>
            <w:tcW w:w="2400" w:type="dxa"/>
            <w:vAlign w:val="center"/>
          </w:tcPr>
          <w:p>
            <w:pPr>
              <w:spacing w:before="20" w:after="20" w:line="300" w:lineRule="exact"/>
              <w:jc w:val="left"/>
            </w:pPr>
            <w:r>
              <w:rPr>
                <w:rFonts w:ascii="Times New Roman" w:hAnsi="Times New Roman" w:eastAsia="標楷體" w:cs="Times New Roman"/>
                <w:sz w:val="21"/>
                <w:szCs w:val="21"/>
              </w:rPr>
              <w:t xml:space="preserve">主題三　電子商務模式</w:t>
            </w:r>
          </w:p>
        </w:tc>
        <w:tc>
          <w:tcPr>
            <w:tcW w:w="1700" w:type="dxa"/>
            <w:vAlign w:val="center"/>
          </w:tcPr>
          <w:p>
            <w:pPr>
              <w:spacing w:before="20" w:after="20" w:line="300" w:lineRule="exact"/>
              <w:jc w:val="center"/>
            </w:pPr>
            <w:r>
              <w:rPr>
                <w:rFonts w:ascii="Times New Roman" w:hAnsi="Times New Roman" w:eastAsia="標楷體" w:cs="Times New Roman"/>
                <w:sz w:val="21"/>
                <w:szCs w:val="21"/>
              </w:rPr>
              <w:t xml:space="preserve">商業結果</w:t>
            </w:r>
          </w:p>
        </w:tc>
        <w:tc>
          <w:tcPr>
            <w:tcW w:w="5538" w:type="dxa"/>
            <w:vAlign w:val="center"/>
          </w:tcPr>
          <w:p>
            <w:pPr>
              <w:spacing w:before="20" w:after="20" w:line="300" w:lineRule="exact"/>
              <w:jc w:val="left"/>
            </w:pPr>
            <w:r>
              <w:rPr>
                <w:rFonts w:ascii="Times New Roman" w:hAnsi="Times New Roman" w:eastAsia="標楷體" w:cs="Times New Roman"/>
                <w:sz w:val="21"/>
                <w:szCs w:val="21"/>
              </w:rPr>
              <w:t xml:space="preserve">直播轉換、退貨、再購與退貨政策</w:t>
            </w:r>
          </w:p>
        </w:tc>
      </w:tr>
      <w:tr>
        <w:trPr>
          <w:cantSplit/>
        </w:trPr>
        <w:tc>
          <w:tcPr>
            <w:tcW w:w="2400" w:type="dxa"/>
            <w:vAlign w:val="center"/>
          </w:tcPr>
          <w:p>
            <w:pPr>
              <w:spacing w:before="20" w:after="20" w:line="300" w:lineRule="exact"/>
              <w:jc w:val="left"/>
            </w:pPr>
            <w:r>
              <w:rPr>
                <w:rFonts w:ascii="Times New Roman" w:hAnsi="Times New Roman" w:eastAsia="標楷體" w:cs="Times New Roman"/>
                <w:sz w:val="21"/>
                <w:szCs w:val="21"/>
              </w:rPr>
              <w:t xml:space="preserve">主題四　研究潛力</w:t>
            </w:r>
          </w:p>
        </w:tc>
        <w:tc>
          <w:tcPr>
            <w:tcW w:w="1700" w:type="dxa"/>
            <w:vAlign w:val="center"/>
          </w:tcPr>
          <w:p>
            <w:pPr>
              <w:spacing w:before="20" w:after="20" w:line="300" w:lineRule="exact"/>
              <w:jc w:val="center"/>
            </w:pPr>
            <w:r>
              <w:rPr>
                <w:rFonts w:ascii="Times New Roman" w:hAnsi="Times New Roman" w:eastAsia="標楷體" w:cs="Times New Roman"/>
                <w:sz w:val="21"/>
                <w:szCs w:val="21"/>
              </w:rPr>
              <w:t xml:space="preserve">研究方法</w:t>
            </w:r>
          </w:p>
        </w:tc>
        <w:tc>
          <w:tcPr>
            <w:tcW w:w="5538" w:type="dxa"/>
            <w:vAlign w:val="center"/>
          </w:tcPr>
          <w:p>
            <w:pPr>
              <w:spacing w:before="20" w:after="20" w:line="300" w:lineRule="exact"/>
              <w:jc w:val="left"/>
            </w:pPr>
            <w:r>
              <w:rPr>
                <w:rFonts w:ascii="Times New Roman" w:hAnsi="Times New Roman" w:eastAsia="標楷體" w:cs="Times New Roman"/>
                <w:sz w:val="21"/>
                <w:szCs w:val="21"/>
              </w:rPr>
              <w:t xml:space="preserve">MEC、實驗設計與 SEM 的三方法整合；AI 銷售代理的效果評估</w:t>
            </w:r>
          </w:p>
        </w:tc>
      </w:tr>
      <w:tr>
        <w:trPr>
          <w:cantSplit/>
        </w:trPr>
        <w:tc>
          <w:tcPr>
            <w:tcW w:w="2400" w:type="dxa"/>
            <w:vAlign w:val="center"/>
          </w:tcPr>
          <w:p>
            <w:pPr>
              <w:spacing w:before="20" w:after="20" w:line="300" w:lineRule="exact"/>
              <w:jc w:val="left"/>
            </w:pPr>
            <w:r>
              <w:rPr>
                <w:rFonts w:ascii="Times New Roman" w:hAnsi="Times New Roman" w:eastAsia="標楷體" w:cs="Times New Roman"/>
                <w:sz w:val="21"/>
                <w:szCs w:val="21"/>
              </w:rPr>
              <w:t xml:space="preserve">主題五　電商市場發展需求</w:t>
            </w:r>
          </w:p>
        </w:tc>
        <w:tc>
          <w:tcPr>
            <w:tcW w:w="1700" w:type="dxa"/>
            <w:vAlign w:val="center"/>
          </w:tcPr>
          <w:p>
            <w:pPr>
              <w:spacing w:before="20" w:after="20" w:line="300" w:lineRule="exact"/>
              <w:jc w:val="center"/>
            </w:pPr>
            <w:r>
              <w:rPr>
                <w:rFonts w:ascii="Times New Roman" w:hAnsi="Times New Roman" w:eastAsia="標楷體" w:cs="Times New Roman"/>
                <w:sz w:val="21"/>
                <w:szCs w:val="21"/>
              </w:rPr>
              <w:t xml:space="preserve">實務轉譯</w:t>
            </w:r>
          </w:p>
        </w:tc>
        <w:tc>
          <w:tcPr>
            <w:tcW w:w="5538" w:type="dxa"/>
            <w:vAlign w:val="center"/>
          </w:tcPr>
          <w:p>
            <w:pPr>
              <w:spacing w:before="20" w:after="20" w:line="300" w:lineRule="exact"/>
              <w:jc w:val="left"/>
            </w:pPr>
            <w:r>
              <w:rPr>
                <w:rFonts w:ascii="Times New Roman" w:hAnsi="Times New Roman" w:eastAsia="標楷體" w:cs="Times New Roman"/>
                <w:sz w:val="21"/>
                <w:szCs w:val="21"/>
              </w:rPr>
              <w:t xml:space="preserve">中小企業主播與話術決策表、AI 主播揭露與退貨溝通指引</w:t>
            </w:r>
          </w:p>
        </w:tc>
      </w:tr>
    </w:tbl>
    <w:p>
      <w:pPr>
        <w:spacing w:before="0" w:after="0" w:line="200" w:lineRule="exact"/>
      </w:pPr>
    </w:p>
    <w:p>
      <w:pPr>
        <w:pStyle w:val="Heading2"/>
        <w:keepNext/>
        <w:spacing w:before="160" w:after="80" w:line="440" w:lineRule="exact"/>
      </w:pPr>
      <w:r>
        <w:rPr>
          <w:rFonts w:ascii="Times New Roman" w:hAnsi="Times New Roman" w:eastAsia="標楷體" w:cs="Times New Roman"/>
          <w:b/>
          <w:bCs/>
          <w:bdr w:val="single" w:sz="4" w:space="0" w:color="000000"/>
          <w:shd w:val="clear" w:color="auto" w:fill="E7E6E6"/>
        </w:rPr>
        <w:t xml:space="preserve">四、國內外相關之文獻探討</w:t>
      </w:r>
    </w:p>
    <w:p>
      <w:pPr>
        <w:keepNext/>
        <w:spacing w:before="120" w:after="40" w:line="440" w:lineRule="exact"/>
      </w:pPr>
      <w:r>
        <w:rPr>
          <w:rFonts w:ascii="Times New Roman" w:hAnsi="Times New Roman" w:eastAsia="標楷體" w:cs="Times New Roman"/>
          <w:b/>
          <w:bCs/>
          <w:u w:val="single"/>
        </w:rPr>
        <w:t xml:space="preserve">第零部分【系統性文獻回顧】近五年 AI 主播與 AI 銷售代理研究之回顧程序與缺口</w:t>
      </w:r>
    </w:p>
    <w:p>
      <w:pPr>
        <w:spacing w:before="0" w:after="0" w:line="440" w:lineRule="exact"/>
        <w:ind w:firstLineChars="200" w:firstLine="480"/>
        <w:jc w:val="both"/>
      </w:pPr>
      <w:r>
        <w:rPr>
          <w:rFonts w:ascii="Times New Roman" w:hAnsi="Times New Roman" w:eastAsia="標楷體" w:cs="Times New Roman"/>
        </w:rPr>
        <w:t xml:space="preserve">本計畫依 </w:t>
      </w:r>
      <w:hyperlink r:id="rIdL39" w:history="1">
        <w:r>
          <w:rPr>
            <w:rStyle w:val="Hyperlink"/>
            <w:rFonts w:ascii="Times New Roman" w:hAnsi="Times New Roman" w:eastAsia="標楷體" w:cs="Times New Roman"/>
          </w:rPr>
          <w:t xml:space="preserve">Luo et al. (2025)</w:t>
        </w:r>
      </w:hyperlink>
      <w:r>
        <w:rPr>
          <w:rFonts w:ascii="Times New Roman" w:hAnsi="Times New Roman" w:eastAsia="標楷體" w:cs="Times New Roman"/>
        </w:rPr>
        <w:t xml:space="preserve"> 回顧直播電商文獻時所採用的 SPAR-4-SLR 架構，分「彙整（assembling）」、「整理（arranging）」與「評估（assessing）」三個步驟進行系統性文獻回顧，回顧範圍為 2021 年 1 月至 2026 年 10 月。期刊以商管學院頂尖期刊為主：A 級為《金融時報》FT50 期刊清單所列期刊，如 JM、JMR、JCR、JAMS、Marketing Science、ISR、MISQ、Management Science 與 POM；B 級為 SSCI 收錄且影響係數大於 2 的行銷、資訊管理與商業期刊，如 Journal of Retailing and Consumer Services、Journal of Business Research、Information &amp; Management 與 Journal of Advertising（影響係數於正式回顧時以最新版 JCR 核對）。2021 年以前的經典文獻僅作為理論基礎引用，不計入回顧樣本。回顧協定如表 3。</w:t>
      </w:r>
    </w:p>
    <w:p>
      <w:pPr>
        <w:keepNext/>
        <w:spacing w:before="120" w:after="80" w:line="360" w:lineRule="exact"/>
        <w:jc w:val="center"/>
      </w:pPr>
      <w:r>
        <w:rPr>
          <w:rFonts w:ascii="Times New Roman" w:hAnsi="Times New Roman" w:eastAsia="標楷體" w:cs="Times New Roman"/>
        </w:rPr>
        <w:t xml:space="preserve">表 3　系統性文獻回顧協定（SPAR-4-SLR）</w:t>
      </w:r>
    </w:p>
    <w:tbl>
      <w:tblPr>
        <w:tblW w:w="96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57" w:type="dxa"/>
          <w:right w:w="57" w:type="dxa"/>
        </w:tblCellMar>
      </w:tblPr>
      <w:tblGrid>
        <w:gridCol w:w="1500"/>
        <w:gridCol w:w="2300"/>
        <w:gridCol w:w="5838"/>
      </w:tblGrid>
      <w:tr>
        <w:trPr>
          <w:tblHeader/>
          <w:cantSplit/>
        </w:trPr>
        <w:tc>
          <w:tcPr>
            <w:tcW w:w="1500"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步驟</w:t>
            </w:r>
          </w:p>
        </w:tc>
        <w:tc>
          <w:tcPr>
            <w:tcW w:w="2300"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項目</w:t>
            </w:r>
          </w:p>
        </w:tc>
        <w:tc>
          <w:tcPr>
            <w:tcW w:w="5838"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本計畫之設定</w:t>
            </w:r>
          </w:p>
        </w:tc>
      </w:tr>
      <w:tr>
        <w:trPr>
          <w:cantSplit/>
        </w:trPr>
        <w:tc>
          <w:tcPr>
            <w:tcW w:w="1500" w:type="dxa"/>
            <w:vMerge w:val="restart"/>
            <w:vAlign w:val="center"/>
          </w:tcPr>
          <w:p>
            <w:pPr>
              <w:spacing w:before="20" w:after="20" w:line="300" w:lineRule="exact"/>
              <w:jc w:val="center"/>
            </w:pPr>
            <w:r>
              <w:rPr>
                <w:rFonts w:ascii="Times New Roman" w:hAnsi="Times New Roman" w:eastAsia="標楷體" w:cs="Times New Roman"/>
                <w:b/>
                <w:bCs/>
                <w:sz w:val="21"/>
                <w:szCs w:val="21"/>
              </w:rPr>
              <w:t xml:space="preserve">彙整</w:t>
            </w:r>
          </w:p>
          <w:p>
            <w:pPr>
              <w:spacing w:before="20" w:after="20" w:line="300" w:lineRule="exact"/>
              <w:jc w:val="center"/>
            </w:pPr>
            <w:r>
              <w:rPr>
                <w:rFonts w:ascii="Times New Roman" w:hAnsi="Times New Roman" w:eastAsia="標楷體" w:cs="Times New Roman"/>
                <w:b/>
                <w:bCs/>
                <w:sz w:val="21"/>
                <w:szCs w:val="21"/>
              </w:rPr>
              <w:t xml:space="preserve">Assembling</w:t>
            </w:r>
          </w:p>
        </w:tc>
        <w:tc>
          <w:tcPr>
            <w:tcW w:w="2300" w:type="dxa"/>
            <w:vAlign w:val="center"/>
          </w:tcPr>
          <w:p>
            <w:pPr>
              <w:spacing w:before="20" w:after="20" w:line="300" w:lineRule="exact"/>
              <w:jc w:val="left"/>
            </w:pPr>
            <w:r>
              <w:rPr>
                <w:rFonts w:ascii="Times New Roman" w:hAnsi="Times New Roman" w:eastAsia="標楷體" w:cs="Times New Roman"/>
                <w:sz w:val="21"/>
                <w:szCs w:val="21"/>
              </w:rPr>
              <w:t xml:space="preserve">研究領域與問題</w:t>
            </w:r>
          </w:p>
        </w:tc>
        <w:tc>
          <w:tcPr>
            <w:tcW w:w="5838" w:type="dxa"/>
            <w:vAlign w:val="center"/>
          </w:tcPr>
          <w:p>
            <w:pPr>
              <w:spacing w:before="20" w:after="20" w:line="300" w:lineRule="exact"/>
              <w:jc w:val="left"/>
            </w:pPr>
            <w:r>
              <w:rPr>
                <w:rFonts w:ascii="Times New Roman" w:hAnsi="Times New Roman" w:eastAsia="標楷體" w:cs="Times New Roman"/>
                <w:sz w:val="21"/>
                <w:szCs w:val="21"/>
              </w:rPr>
              <w:t xml:space="preserve">AI 虛擬主播、AI 銷售代理與直播電商中的消費者反應、說服機制與購後結果</w:t>
            </w:r>
          </w:p>
        </w:tc>
      </w:tr>
      <w:tr>
        <w:trPr>
          <w:cantSplit/>
        </w:trPr>
        <w:tc>
          <w:tcPr>
            <w:tcW w:w="1500" w:type="dxa"/>
            <w:vMerge/>
            <w:vAlign w:val="center"/>
          </w:tcPr>
          <w:p>
            <w:pPr>
              <w:spacing w:before="20" w:after="20" w:line="300" w:lineRule="exact"/>
              <w:jc w:val="left"/>
            </w:pPr>
          </w:p>
        </w:tc>
        <w:tc>
          <w:tcPr>
            <w:tcW w:w="2300" w:type="dxa"/>
            <w:vAlign w:val="center"/>
          </w:tcPr>
          <w:p>
            <w:pPr>
              <w:spacing w:before="20" w:after="20" w:line="300" w:lineRule="exact"/>
              <w:jc w:val="left"/>
            </w:pPr>
            <w:r>
              <w:rPr>
                <w:rFonts w:ascii="Times New Roman" w:hAnsi="Times New Roman" w:eastAsia="標楷體" w:cs="Times New Roman"/>
                <w:sz w:val="21"/>
                <w:szCs w:val="21"/>
              </w:rPr>
              <w:t xml:space="preserve">資料來源</w:t>
            </w:r>
          </w:p>
        </w:tc>
        <w:tc>
          <w:tcPr>
            <w:tcW w:w="5838" w:type="dxa"/>
            <w:vAlign w:val="center"/>
          </w:tcPr>
          <w:p>
            <w:pPr>
              <w:spacing w:before="20" w:after="20" w:line="300" w:lineRule="exact"/>
              <w:jc w:val="left"/>
            </w:pPr>
            <w:r>
              <w:rPr>
                <w:rFonts w:ascii="Times New Roman" w:hAnsi="Times New Roman" w:eastAsia="標楷體" w:cs="Times New Roman"/>
                <w:sz w:val="21"/>
                <w:szCs w:val="21"/>
              </w:rPr>
              <w:t xml:space="preserve">正式回顧：Web of Science Core Collection 與 Scopus；初步回顧：本計畫五個主題資料夾 2024–2026 年文獻，以及出版社頁面、RePEc／大學典藏與期刊新聞稿</w:t>
            </w:r>
          </w:p>
        </w:tc>
      </w:tr>
      <w:tr>
        <w:trPr>
          <w:cantSplit/>
        </w:trPr>
        <w:tc>
          <w:tcPr>
            <w:tcW w:w="1500" w:type="dxa"/>
            <w:vMerge/>
            <w:vAlign w:val="center"/>
          </w:tcPr>
          <w:p>
            <w:pPr>
              <w:spacing w:before="20" w:after="20" w:line="300" w:lineRule="exact"/>
              <w:jc w:val="left"/>
            </w:pPr>
          </w:p>
        </w:tc>
        <w:tc>
          <w:tcPr>
            <w:tcW w:w="2300" w:type="dxa"/>
            <w:vAlign w:val="center"/>
          </w:tcPr>
          <w:p>
            <w:pPr>
              <w:spacing w:before="20" w:after="20" w:line="300" w:lineRule="exact"/>
              <w:jc w:val="left"/>
            </w:pPr>
            <w:r>
              <w:rPr>
                <w:rFonts w:ascii="Times New Roman" w:hAnsi="Times New Roman" w:eastAsia="標楷體" w:cs="Times New Roman"/>
                <w:sz w:val="21"/>
                <w:szCs w:val="21"/>
              </w:rPr>
              <w:t xml:space="preserve">檢索式</w:t>
            </w:r>
          </w:p>
        </w:tc>
        <w:tc>
          <w:tcPr>
            <w:tcW w:w="5838" w:type="dxa"/>
            <w:vAlign w:val="center"/>
          </w:tcPr>
          <w:p>
            <w:pPr>
              <w:spacing w:before="20" w:after="20" w:line="300" w:lineRule="exact"/>
              <w:jc w:val="left"/>
            </w:pPr>
            <w:r>
              <w:rPr>
                <w:rFonts w:ascii="Times New Roman" w:hAnsi="Times New Roman" w:eastAsia="標楷體" w:cs="Times New Roman"/>
                <w:sz w:val="21"/>
                <w:szCs w:val="21"/>
              </w:rPr>
              <w:t xml:space="preserve">("live stream*" OR livestream* OR "virtual streamer*" OR "virtual anchor*" OR "digital streamer*" OR "virtual influencer*") AND ("artificial intelligence" OR AI OR chatbot* OR avatar* OR "human-like")；另以 ("AI disclosure" OR "chatbot disclosure") AND (consumer* OR purchase*)，以及 ("product return*" OR regret OR "post-purchase") AND ("live stream*" OR AI) 補充</w:t>
            </w:r>
          </w:p>
        </w:tc>
      </w:tr>
      <w:tr>
        <w:trPr>
          <w:cantSplit/>
        </w:trPr>
        <w:tc>
          <w:tcPr>
            <w:tcW w:w="1500" w:type="dxa"/>
            <w:vMerge/>
            <w:vAlign w:val="center"/>
          </w:tcPr>
          <w:p>
            <w:pPr>
              <w:spacing w:before="20" w:after="20" w:line="300" w:lineRule="exact"/>
              <w:jc w:val="left"/>
            </w:pPr>
          </w:p>
        </w:tc>
        <w:tc>
          <w:tcPr>
            <w:tcW w:w="2300" w:type="dxa"/>
            <w:vAlign w:val="center"/>
          </w:tcPr>
          <w:p>
            <w:pPr>
              <w:spacing w:before="20" w:after="20" w:line="300" w:lineRule="exact"/>
              <w:jc w:val="left"/>
            </w:pPr>
            <w:r>
              <w:rPr>
                <w:rFonts w:ascii="Times New Roman" w:hAnsi="Times New Roman" w:eastAsia="標楷體" w:cs="Times New Roman"/>
                <w:sz w:val="21"/>
                <w:szCs w:val="21"/>
              </w:rPr>
              <w:t xml:space="preserve">納入與排除</w:t>
            </w:r>
          </w:p>
        </w:tc>
        <w:tc>
          <w:tcPr>
            <w:tcW w:w="5838" w:type="dxa"/>
            <w:vAlign w:val="center"/>
          </w:tcPr>
          <w:p>
            <w:pPr>
              <w:spacing w:before="20" w:after="20" w:line="300" w:lineRule="exact"/>
              <w:jc w:val="left"/>
            </w:pPr>
            <w:r>
              <w:rPr>
                <w:rFonts w:ascii="Times New Roman" w:hAnsi="Times New Roman" w:eastAsia="標楷體" w:cs="Times New Roman"/>
                <w:sz w:val="21"/>
                <w:szCs w:val="21"/>
              </w:rPr>
              <w:t xml:space="preserve">納入：A 級或 B 級期刊之實證或回顧論文，以消費者反應、銷售或退貨為結果；排除：分析式或賽局模型、未經審查之工作論文、會議論文、勘誤、非英文期刊</w:t>
            </w:r>
          </w:p>
        </w:tc>
      </w:tr>
      <w:tr>
        <w:trPr>
          <w:cantSplit/>
        </w:trPr>
        <w:tc>
          <w:tcPr>
            <w:tcW w:w="1500" w:type="dxa"/>
            <w:vMerge w:val="restart"/>
            <w:vAlign w:val="center"/>
          </w:tcPr>
          <w:p>
            <w:pPr>
              <w:spacing w:before="20" w:after="20" w:line="300" w:lineRule="exact"/>
              <w:jc w:val="center"/>
            </w:pPr>
            <w:r>
              <w:rPr>
                <w:rFonts w:ascii="Times New Roman" w:hAnsi="Times New Roman" w:eastAsia="標楷體" w:cs="Times New Roman"/>
                <w:b/>
                <w:bCs/>
                <w:sz w:val="21"/>
                <w:szCs w:val="21"/>
              </w:rPr>
              <w:t xml:space="preserve">整理</w:t>
            </w:r>
          </w:p>
          <w:p>
            <w:pPr>
              <w:spacing w:before="20" w:after="20" w:line="300" w:lineRule="exact"/>
              <w:jc w:val="center"/>
            </w:pPr>
            <w:r>
              <w:rPr>
                <w:rFonts w:ascii="Times New Roman" w:hAnsi="Times New Roman" w:eastAsia="標楷體" w:cs="Times New Roman"/>
                <w:b/>
                <w:bCs/>
                <w:sz w:val="21"/>
                <w:szCs w:val="21"/>
              </w:rPr>
              <w:t xml:space="preserve">Arranging</w:t>
            </w:r>
          </w:p>
        </w:tc>
        <w:tc>
          <w:tcPr>
            <w:tcW w:w="2300" w:type="dxa"/>
            <w:vAlign w:val="center"/>
          </w:tcPr>
          <w:p>
            <w:pPr>
              <w:spacing w:before="20" w:after="20" w:line="300" w:lineRule="exact"/>
              <w:jc w:val="left"/>
            </w:pPr>
            <w:r>
              <w:rPr>
                <w:rFonts w:ascii="Times New Roman" w:hAnsi="Times New Roman" w:eastAsia="標楷體" w:cs="Times New Roman"/>
                <w:sz w:val="21"/>
                <w:szCs w:val="21"/>
              </w:rPr>
              <w:t xml:space="preserve">編碼構面</w:t>
            </w:r>
          </w:p>
        </w:tc>
        <w:tc>
          <w:tcPr>
            <w:tcW w:w="5838" w:type="dxa"/>
            <w:vAlign w:val="center"/>
          </w:tcPr>
          <w:p>
            <w:pPr>
              <w:spacing w:before="20" w:after="20" w:line="300" w:lineRule="exact"/>
              <w:jc w:val="left"/>
            </w:pPr>
            <w:r>
              <w:rPr>
                <w:rFonts w:ascii="Times New Roman" w:hAnsi="Times New Roman" w:eastAsia="標楷體" w:cs="Times New Roman"/>
                <w:sz w:val="21"/>
                <w:szCs w:val="21"/>
              </w:rPr>
              <w:t xml:space="preserve">研究方法、樣本來源、AI 與真人是否直接比較、結果變數（購買或購後）、是否檢驗 AI 身分揭露、是否探討價值層次的「為什麼」</w:t>
            </w:r>
          </w:p>
        </w:tc>
      </w:tr>
      <w:tr>
        <w:trPr>
          <w:cantSplit/>
        </w:trPr>
        <w:tc>
          <w:tcPr>
            <w:tcW w:w="1500" w:type="dxa"/>
            <w:vMerge/>
            <w:vAlign w:val="center"/>
          </w:tcPr>
          <w:p>
            <w:pPr>
              <w:spacing w:before="20" w:after="20" w:line="300" w:lineRule="exact"/>
              <w:jc w:val="left"/>
            </w:pPr>
          </w:p>
        </w:tc>
        <w:tc>
          <w:tcPr>
            <w:tcW w:w="2300" w:type="dxa"/>
            <w:vAlign w:val="center"/>
          </w:tcPr>
          <w:p>
            <w:pPr>
              <w:spacing w:before="20" w:after="20" w:line="300" w:lineRule="exact"/>
              <w:jc w:val="left"/>
            </w:pPr>
            <w:r>
              <w:rPr>
                <w:rFonts w:ascii="Times New Roman" w:hAnsi="Times New Roman" w:eastAsia="標楷體" w:cs="Times New Roman"/>
                <w:sz w:val="21"/>
                <w:szCs w:val="21"/>
              </w:rPr>
              <w:t xml:space="preserve">組織架構</w:t>
            </w:r>
          </w:p>
        </w:tc>
        <w:tc>
          <w:tcPr>
            <w:tcW w:w="5838" w:type="dxa"/>
            <w:vAlign w:val="center"/>
          </w:tcPr>
          <w:p>
            <w:pPr>
              <w:spacing w:before="20" w:after="20" w:line="300" w:lineRule="exact"/>
              <w:jc w:val="left"/>
            </w:pPr>
            <w:r>
              <w:rPr>
                <w:rFonts w:ascii="Times New Roman" w:hAnsi="Times New Roman" w:eastAsia="標楷體" w:cs="Times New Roman"/>
                <w:sz w:val="21"/>
                <w:szCs w:val="21"/>
              </w:rPr>
              <w:t xml:space="preserve">依 TCCM（理論、情境、特性、方法）整理，並以表 4 之缺口矩陣呈現</w:t>
            </w:r>
          </w:p>
        </w:tc>
      </w:tr>
      <w:tr>
        <w:trPr>
          <w:cantSplit/>
        </w:trPr>
        <w:tc>
          <w:tcPr>
            <w:tcW w:w="1500" w:type="dxa"/>
            <w:vAlign w:val="center"/>
          </w:tcPr>
          <w:p>
            <w:pPr>
              <w:spacing w:before="20" w:after="20" w:line="300" w:lineRule="exact"/>
              <w:jc w:val="center"/>
            </w:pPr>
            <w:r>
              <w:rPr>
                <w:rFonts w:ascii="Times New Roman" w:hAnsi="Times New Roman" w:eastAsia="標楷體" w:cs="Times New Roman"/>
                <w:b/>
                <w:bCs/>
                <w:sz w:val="21"/>
                <w:szCs w:val="21"/>
              </w:rPr>
              <w:t xml:space="preserve">評估</w:t>
            </w:r>
          </w:p>
          <w:p>
            <w:pPr>
              <w:spacing w:before="20" w:after="20" w:line="300" w:lineRule="exact"/>
              <w:jc w:val="center"/>
            </w:pPr>
            <w:r>
              <w:rPr>
                <w:rFonts w:ascii="Times New Roman" w:hAnsi="Times New Roman" w:eastAsia="標楷體" w:cs="Times New Roman"/>
                <w:b/>
                <w:bCs/>
                <w:sz w:val="21"/>
                <w:szCs w:val="21"/>
              </w:rPr>
              <w:t xml:space="preserve">Assessing</w:t>
            </w:r>
          </w:p>
        </w:tc>
        <w:tc>
          <w:tcPr>
            <w:tcW w:w="2300" w:type="dxa"/>
            <w:vAlign w:val="center"/>
          </w:tcPr>
          <w:p>
            <w:pPr>
              <w:spacing w:before="20" w:after="20" w:line="300" w:lineRule="exact"/>
              <w:jc w:val="left"/>
            </w:pPr>
            <w:r>
              <w:rPr>
                <w:rFonts w:ascii="Times New Roman" w:hAnsi="Times New Roman" w:eastAsia="標楷體" w:cs="Times New Roman"/>
                <w:sz w:val="21"/>
                <w:szCs w:val="21"/>
              </w:rPr>
              <w:t xml:space="preserve">評估與報告</w:t>
            </w:r>
          </w:p>
        </w:tc>
        <w:tc>
          <w:tcPr>
            <w:tcW w:w="5838" w:type="dxa"/>
            <w:vAlign w:val="center"/>
          </w:tcPr>
          <w:p>
            <w:pPr>
              <w:spacing w:before="20" w:after="20" w:line="300" w:lineRule="exact"/>
              <w:jc w:val="left"/>
            </w:pPr>
            <w:r>
              <w:rPr>
                <w:rFonts w:ascii="Times New Roman" w:hAnsi="Times New Roman" w:eastAsia="標楷體" w:cs="Times New Roman"/>
                <w:sz w:val="21"/>
                <w:szCs w:val="21"/>
              </w:rPr>
              <w:t xml:space="preserve">以缺口矩陣界定研究缺口，轉為本計畫三個階段的研究問題；篩選流程以圖 1 呈現，排除與保留之文獻列於待下載清單</w:t>
            </w:r>
          </w:p>
        </w:tc>
      </w:tr>
      <w:tr>
        <w:trPr>
          <w:cantSplit/>
        </w:trPr>
        <w:tc>
          <w:tcPr>
            <w:tcW w:w="9638" w:type="dxa"/>
            <w:gridSpan w:val="3"/>
            <w:vAlign w:val="center"/>
          </w:tcPr>
          <w:p>
            <w:pPr>
              <w:spacing w:before="20" w:after="20" w:line="300" w:lineRule="exact"/>
              <w:jc w:val="left"/>
            </w:pPr>
            <w:r>
              <w:rPr>
                <w:rFonts w:ascii="Times New Roman" w:hAnsi="Times New Roman" w:eastAsia="標楷體" w:cs="Times New Roman"/>
                <w:sz w:val="21"/>
                <w:szCs w:val="21"/>
              </w:rPr>
              <w:t xml:space="preserve">註：本計畫書撰寫階段（2026.10）已完成初步回顧；計畫開始第 1 個月依本協定於資料庫重新執行，並更新圖 1 的數字。</w:t>
            </w:r>
          </w:p>
        </w:tc>
      </w:tr>
    </w:tbl>
    <w:p>
      <w:pPr>
        <w:spacing w:before="0" w:after="0" w:line="200" w:lineRule="exact"/>
      </w:pPr>
    </w:p>
    <w:p>
      <w:pPr>
        <w:spacing w:before="0" w:after="0" w:line="440" w:lineRule="exact"/>
        <w:ind w:firstLineChars="200" w:firstLine="480"/>
        <w:jc w:val="both"/>
      </w:pPr>
      <w:r>
        <w:rPr>
          <w:rFonts w:ascii="Times New Roman" w:hAnsi="Times New Roman" w:eastAsia="標楷體" w:cs="Times New Roman"/>
        </w:rPr>
        <w:t xml:space="preserve">初步回顧的篩選流程如圖 1。主題資料夾中 2024–2026 年的 119 篇文獻，經題名與摘要篩選後有 21 篇與主題相關，排除分析式模型、非銷售情境等 10 篇後納入 11 篇；網路檢索補充 48 篇候選文獻，經期刊等級與書目核對，排除 9 篇、保留 16 篇待全文篩選，納入 23 篇。合計納入近五年核心文獻 34 篇，其中 A 級期刊 14 篇、B 級期刊 20 篇；另引用 10 篇 2021 年以前的理論基礎文獻。</w:t>
      </w:r>
    </w:p>
    <w:p>
      <w:pPr>
        <w:keepNext/>
        <w:spacing w:before="120" w:after="0"/>
        <w:jc w:val="center"/>
      </w:pPr>
      <w:r>
        <mc:AlternateContent>
          <mc:Choice Requires="wpg">
            <w:drawing>
              <wp:inline distT="0" distB="0" distL="0" distR="0">
                <wp:extent cx="6096000" cy="4191000"/>
                <wp:effectExtent l="0" t="0" r="0" b="0"/>
                <wp:docPr id="122" name="圖 1　系統性文獻回顧之初步篩選流程"/>
                <wp:cNvGraphicFramePr/>
                <a:graphic>
                  <a:graphicData uri="http://schemas.microsoft.com/office/word/2010/wordprocessingGroup">
                    <wpg:wgp>
                      <wpg:cNvGrpSpPr/>
                      <wpg:grpSpPr>
                        <a:xfrm>
                          <a:off x="0" y="0"/>
                          <a:ext cx="6096000" cy="4191000"/>
                          <a:chOff x="0" y="0"/>
                          <a:chExt cx="6096000" cy="4191000"/>
                        </a:xfrm>
                      </wpg:grpSpPr>
                      <wps:wsp>
                        <wps:cNvPr id="102" name="Shape 102"/>
                        <wps:cNvSpPr/>
                        <wps:spPr>
                          <a:xfrm>
                            <a:off x="0" y="50800"/>
                            <a:ext cx="889000" cy="381000"/>
                          </a:xfrm>
                          <a:prstGeom prst="rect">
                            <a:avLst/>
                          </a:prstGeom>
                          <a:noFill/>
                          <a:ln>
                            <a:noFill/>
                          </a:ln>
                        </wps:spPr>
                        <wps:txbx>
                          <w:txbxContent>
                            <w:p>
                              <w:pPr>
                                <w:spacing w:before="0" w:after="0" w:line="254" w:lineRule="exact"/>
                                <w:jc w:val="center"/>
                              </w:pPr>
                              <w:r>
                                <w:rPr>
                                  <w:rFonts w:ascii="Times New Roman" w:hAnsi="Times New Roman" w:eastAsia="標楷體" w:cs="Times New Roman"/>
                                  <w:b/>
                                  <w:bCs/>
                                  <w:sz w:val="18"/>
                                  <w:szCs w:val="18"/>
                                </w:rPr>
                                <w:t xml:space="preserve">辨識</w:t>
                              </w:r>
                            </w:p>
                          </w:txbxContent>
                        </wps:txbx>
                        <wps:bodyPr rot="0" vert="horz" wrap="square" lIns="25400" tIns="12700" rIns="25400" bIns="12700" anchor="ctr" anchorCtr="0">
                          <a:noAutofit/>
                        </wps:bodyPr>
                      </wps:wsp>
                      <wps:wsp>
                        <wps:cNvPr id="103" name="Shape 103"/>
                        <wps:cNvSpPr/>
                        <wps:spPr>
                          <a:xfrm>
                            <a:off x="0" y="1320800"/>
                            <a:ext cx="889000" cy="381000"/>
                          </a:xfrm>
                          <a:prstGeom prst="rect">
                            <a:avLst/>
                          </a:prstGeom>
                          <a:noFill/>
                          <a:ln>
                            <a:noFill/>
                          </a:ln>
                        </wps:spPr>
                        <wps:txbx>
                          <w:txbxContent>
                            <w:p>
                              <w:pPr>
                                <w:spacing w:before="0" w:after="0" w:line="254" w:lineRule="exact"/>
                                <w:jc w:val="center"/>
                              </w:pPr>
                              <w:r>
                                <w:rPr>
                                  <w:rFonts w:ascii="Times New Roman" w:hAnsi="Times New Roman" w:eastAsia="標楷體" w:cs="Times New Roman"/>
                                  <w:b/>
                                  <w:bCs/>
                                  <w:sz w:val="18"/>
                                  <w:szCs w:val="18"/>
                                </w:rPr>
                                <w:t xml:space="preserve">篩選</w:t>
                              </w:r>
                            </w:p>
                          </w:txbxContent>
                        </wps:txbx>
                        <wps:bodyPr rot="0" vert="horz" wrap="square" lIns="25400" tIns="12700" rIns="25400" bIns="12700" anchor="ctr" anchorCtr="0">
                          <a:noAutofit/>
                        </wps:bodyPr>
                      </wps:wsp>
                      <wps:wsp>
                        <wps:cNvPr id="104" name="Shape 104"/>
                        <wps:cNvSpPr/>
                        <wps:spPr>
                          <a:xfrm>
                            <a:off x="0" y="2540000"/>
                            <a:ext cx="889000" cy="381000"/>
                          </a:xfrm>
                          <a:prstGeom prst="rect">
                            <a:avLst/>
                          </a:prstGeom>
                          <a:noFill/>
                          <a:ln>
                            <a:noFill/>
                          </a:ln>
                        </wps:spPr>
                        <wps:txbx>
                          <w:txbxContent>
                            <w:p>
                              <w:pPr>
                                <w:spacing w:before="0" w:after="0" w:line="254" w:lineRule="exact"/>
                                <w:jc w:val="center"/>
                              </w:pPr>
                              <w:r>
                                <w:rPr>
                                  <w:rFonts w:ascii="Times New Roman" w:hAnsi="Times New Roman" w:eastAsia="標楷體" w:cs="Times New Roman"/>
                                  <w:b/>
                                  <w:bCs/>
                                  <w:sz w:val="18"/>
                                  <w:szCs w:val="18"/>
                                </w:rPr>
                                <w:t xml:space="preserve">納入</w:t>
                              </w:r>
                            </w:p>
                          </w:txbxContent>
                        </wps:txbx>
                        <wps:bodyPr rot="0" vert="horz" wrap="square" lIns="25400" tIns="12700" rIns="25400" bIns="12700" anchor="ctr" anchorCtr="0">
                          <a:noAutofit/>
                        </wps:bodyPr>
                      </wps:wsp>
                      <wps:wsp>
                        <wps:cNvPr id="105" name="Shape 105"/>
                        <wps:cNvSpPr/>
                        <wps:spPr>
                          <a:xfrm>
                            <a:off x="965200" y="50800"/>
                            <a:ext cx="2362200" cy="660400"/>
                          </a:xfrm>
                          <a:prstGeom prst="rect">
                            <a:avLst/>
                          </a:prstGeom>
                          <a:solidFill>
                            <a:srgbClr val="EDEDED"/>
                          </a:solidFill>
                          <a:ln w="12700">
                            <a:solidFill>
                              <a:srgbClr val="404040"/>
                            </a:solidFill>
                          </a:ln>
                        </wps:spPr>
                        <wps:txbx>
                          <w:txbxContent>
                            <w:p>
                              <w:pPr>
                                <w:spacing w:before="0" w:after="0" w:line="240" w:lineRule="exact"/>
                                <w:jc w:val="center"/>
                              </w:pPr>
                              <w:r>
                                <w:rPr>
                                  <w:rFonts w:ascii="Times New Roman" w:hAnsi="Times New Roman" w:eastAsia="標楷體" w:cs="Times New Roman"/>
                                  <w:b/>
                                  <w:bCs/>
                                  <w:sz w:val="17"/>
                                  <w:szCs w:val="17"/>
                                </w:rPr>
                                <w:t xml:space="preserve">主題資料夾 2024–2026 年文獻</w:t>
                              </w:r>
                            </w:p>
                            <w:p>
                              <w:pPr>
                                <w:spacing w:before="0" w:after="0" w:line="240" w:lineRule="exact"/>
                                <w:jc w:val="center"/>
                              </w:pPr>
                              <w:r>
                                <w:rPr>
                                  <w:rFonts w:ascii="Times New Roman" w:hAnsi="Times New Roman" w:eastAsia="標楷體" w:cs="Times New Roman"/>
                                  <w:sz w:val="17"/>
                                  <w:szCs w:val="17"/>
                                </w:rPr>
                                <w:t xml:space="preserve">（五個主題資料夾）</w:t>
                              </w:r>
                            </w:p>
                            <w:p>
                              <w:pPr>
                                <w:spacing w:before="0" w:after="0" w:line="240" w:lineRule="exact"/>
                                <w:jc w:val="center"/>
                              </w:pPr>
                              <w:r>
                                <w:rPr>
                                  <w:rFonts w:ascii="Times New Roman" w:hAnsi="Times New Roman" w:eastAsia="標楷體" w:cs="Times New Roman"/>
                                  <w:sz w:val="17"/>
                                  <w:szCs w:val="17"/>
                                </w:rPr>
                                <w:t xml:space="preserve">n = 119</w:t>
                              </w:r>
                            </w:p>
                          </w:txbxContent>
                        </wps:txbx>
                        <wps:bodyPr rot="0" vert="horz" wrap="square" lIns="25400" tIns="12700" rIns="25400" bIns="12700" anchor="ctr" anchorCtr="0">
                          <a:noAutofit/>
                        </wps:bodyPr>
                      </wps:wsp>
                      <wps:wsp>
                        <wps:cNvPr id="106" name="Shape 106"/>
                        <wps:cNvSpPr/>
                        <wps:spPr>
                          <a:xfrm>
                            <a:off x="3581400" y="50800"/>
                            <a:ext cx="2463800" cy="660400"/>
                          </a:xfrm>
                          <a:prstGeom prst="rect">
                            <a:avLst/>
                          </a:prstGeom>
                          <a:solidFill>
                            <a:srgbClr val="EDEDED"/>
                          </a:solidFill>
                          <a:ln w="12700">
                            <a:solidFill>
                              <a:srgbClr val="404040"/>
                            </a:solidFill>
                          </a:ln>
                        </wps:spPr>
                        <wps:txbx>
                          <w:txbxContent>
                            <w:p>
                              <w:pPr>
                                <w:spacing w:before="0" w:after="0" w:line="240" w:lineRule="exact"/>
                                <w:jc w:val="center"/>
                              </w:pPr>
                              <w:r>
                                <w:rPr>
                                  <w:rFonts w:ascii="Times New Roman" w:hAnsi="Times New Roman" w:eastAsia="標楷體" w:cs="Times New Roman"/>
                                  <w:b/>
                                  <w:bCs/>
                                  <w:sz w:val="17"/>
                                  <w:szCs w:val="17"/>
                                </w:rPr>
                                <w:t xml:space="preserve">網路檢索補充：出版社頁面、</w:t>
                              </w:r>
                            </w:p>
                            <w:p>
                              <w:pPr>
                                <w:spacing w:before="0" w:after="0" w:line="240" w:lineRule="exact"/>
                                <w:jc w:val="center"/>
                              </w:pPr>
                              <w:r>
                                <w:rPr>
                                  <w:rFonts w:ascii="Times New Roman" w:hAnsi="Times New Roman" w:eastAsia="標楷體" w:cs="Times New Roman"/>
                                  <w:sz w:val="17"/>
                                  <w:szCs w:val="17"/>
                                </w:rPr>
                                <w:t xml:space="preserve">RePEc／大學典藏、期刊新聞稿</w:t>
                              </w:r>
                            </w:p>
                            <w:p>
                              <w:pPr>
                                <w:spacing w:before="0" w:after="0" w:line="240" w:lineRule="exact"/>
                                <w:jc w:val="center"/>
                              </w:pPr>
                              <w:r>
                                <w:rPr>
                                  <w:rFonts w:ascii="Times New Roman" w:hAnsi="Times New Roman" w:eastAsia="標楷體" w:cs="Times New Roman"/>
                                  <w:sz w:val="17"/>
                                  <w:szCs w:val="17"/>
                                </w:rPr>
                                <w:t xml:space="preserve">n = 48</w:t>
                              </w:r>
                            </w:p>
                          </w:txbxContent>
                        </wps:txbx>
                        <wps:bodyPr rot="0" vert="horz" wrap="square" lIns="25400" tIns="12700" rIns="25400" bIns="12700" anchor="ctr" anchorCtr="0">
                          <a:noAutofit/>
                        </wps:bodyPr>
                      </wps:wsp>
                      <wps:wsp>
                        <wps:cNvPr id="107" name="Line 107"/>
                        <wps:cNvCnPr/>
                        <wps:spPr>
                          <a:xfrm>
                            <a:off x="2146300" y="711200"/>
                            <a:ext cx="0" cy="355600"/>
                          </a:xfrm>
                          <a:prstGeom prst="line">
                            <a:avLst/>
                          </a:prstGeom>
                          <a:ln w="12700">
                            <a:solidFill>
                              <a:srgbClr val="404040"/>
                            </a:solidFill>
                            <a:tailEnd type="triangle" w="med" len="med"/>
                          </a:ln>
                        </wps:spPr>
                        <wps:bodyPr/>
                      </wps:wsp>
                      <wps:wsp>
                        <wps:cNvPr id="108" name="Line 108"/>
                        <wps:cNvCnPr/>
                        <wps:spPr>
                          <a:xfrm>
                            <a:off x="4813300" y="711200"/>
                            <a:ext cx="0" cy="355600"/>
                          </a:xfrm>
                          <a:prstGeom prst="line">
                            <a:avLst/>
                          </a:prstGeom>
                          <a:ln w="12700">
                            <a:solidFill>
                              <a:srgbClr val="404040"/>
                            </a:solidFill>
                            <a:tailEnd type="triangle" w="med" len="med"/>
                          </a:ln>
                        </wps:spPr>
                        <wps:bodyPr/>
                      </wps:wsp>
                      <wps:wsp>
                        <wps:cNvPr id="109" name="Shape 109"/>
                        <wps:cNvSpPr/>
                        <wps:spPr>
                          <a:xfrm>
                            <a:off x="965200" y="1066800"/>
                            <a:ext cx="2362200" cy="584200"/>
                          </a:xfrm>
                          <a:prstGeom prst="rect">
                            <a:avLst/>
                          </a:prstGeom>
                          <a:solidFill>
                            <a:srgbClr val="FFFFFF"/>
                          </a:solidFill>
                          <a:ln w="12700">
                            <a:solidFill>
                              <a:srgbClr val="404040"/>
                            </a:solidFill>
                          </a:ln>
                        </wps:spPr>
                        <wps:txbx>
                          <w:txbxContent>
                            <w:p>
                              <w:pPr>
                                <w:spacing w:before="0" w:after="0" w:line="240" w:lineRule="exact"/>
                                <w:jc w:val="center"/>
                              </w:pPr>
                              <w:r>
                                <w:rPr>
                                  <w:rFonts w:ascii="Times New Roman" w:hAnsi="Times New Roman" w:eastAsia="標楷體" w:cs="Times New Roman"/>
                                  <w:b/>
                                  <w:bCs/>
                                  <w:sz w:val="17"/>
                                  <w:szCs w:val="17"/>
                                </w:rPr>
                                <w:t xml:space="preserve">題名與摘要篩選後</w:t>
                              </w:r>
                            </w:p>
                            <w:p>
                              <w:pPr>
                                <w:spacing w:before="0" w:after="0" w:line="240" w:lineRule="exact"/>
                                <w:jc w:val="center"/>
                              </w:pPr>
                              <w:r>
                                <w:rPr>
                                  <w:rFonts w:ascii="Times New Roman" w:hAnsi="Times New Roman" w:eastAsia="標楷體" w:cs="Times New Roman"/>
                                  <w:sz w:val="17"/>
                                  <w:szCs w:val="17"/>
                                </w:rPr>
                                <w:t xml:space="preserve">與主題相關：n = 21</w:t>
                              </w:r>
                            </w:p>
                          </w:txbxContent>
                        </wps:txbx>
                        <wps:bodyPr rot="0" vert="horz" wrap="square" lIns="25400" tIns="12700" rIns="25400" bIns="12700" anchor="ctr" anchorCtr="0">
                          <a:noAutofit/>
                        </wps:bodyPr>
                      </wps:wsp>
                      <wps:wsp>
                        <wps:cNvPr id="110" name="Shape 110"/>
                        <wps:cNvSpPr/>
                        <wps:spPr>
                          <a:xfrm>
                            <a:off x="3581400" y="1066800"/>
                            <a:ext cx="2463800" cy="584200"/>
                          </a:xfrm>
                          <a:prstGeom prst="rect">
                            <a:avLst/>
                          </a:prstGeom>
                          <a:solidFill>
                            <a:srgbClr val="FFFFFF"/>
                          </a:solidFill>
                          <a:ln w="12700">
                            <a:solidFill>
                              <a:srgbClr val="404040"/>
                            </a:solidFill>
                          </a:ln>
                        </wps:spPr>
                        <wps:txbx>
                          <w:txbxContent>
                            <w:p>
                              <w:pPr>
                                <w:spacing w:before="0" w:after="0" w:line="240" w:lineRule="exact"/>
                                <w:jc w:val="center"/>
                              </w:pPr>
                              <w:r>
                                <w:rPr>
                                  <w:rFonts w:ascii="Times New Roman" w:hAnsi="Times New Roman" w:eastAsia="標楷體" w:cs="Times New Roman"/>
                                  <w:b/>
                                  <w:bCs/>
                                  <w:sz w:val="17"/>
                                  <w:szCs w:val="17"/>
                                </w:rPr>
                                <w:t xml:space="preserve">期刊等級與書目核對</w:t>
                              </w:r>
                            </w:p>
                            <w:p>
                              <w:pPr>
                                <w:spacing w:before="0" w:after="0" w:line="240" w:lineRule="exact"/>
                                <w:jc w:val="center"/>
                              </w:pPr>
                              <w:r>
                                <w:rPr>
                                  <w:rFonts w:ascii="Times New Roman" w:hAnsi="Times New Roman" w:eastAsia="標楷體" w:cs="Times New Roman"/>
                                  <w:sz w:val="17"/>
                                  <w:szCs w:val="17"/>
                                </w:rPr>
                                <w:t xml:space="preserve">（A 級 FT50；B 級 SSCI、IF &gt; 2）</w:t>
                              </w:r>
                            </w:p>
                          </w:txbxContent>
                        </wps:txbx>
                        <wps:bodyPr rot="0" vert="horz" wrap="square" lIns="25400" tIns="12700" rIns="25400" bIns="12700" anchor="ctr" anchorCtr="0">
                          <a:noAutofit/>
                        </wps:bodyPr>
                      </wps:wsp>
                      <wps:wsp>
                        <wps:cNvPr id="111" name="Shape 111"/>
                        <wps:cNvSpPr/>
                        <wps:spPr>
                          <a:xfrm>
                            <a:off x="965200" y="1778000"/>
                            <a:ext cx="2362200" cy="508000"/>
                          </a:xfrm>
                          <a:prstGeom prst="rect">
                            <a:avLst/>
                          </a:prstGeom>
                          <a:solidFill>
                            <a:srgbClr val="F2F2F2"/>
                          </a:solidFill>
                          <a:ln w="12700">
                            <a:solidFill>
                              <a:srgbClr val="7F7F7F"/>
                            </a:solidFill>
                          </a:ln>
                        </wps:spPr>
                        <wps:txbx>
                          <w:txbxContent>
                            <w:p>
                              <w:pPr>
                                <w:spacing w:before="0" w:after="0" w:line="226" w:lineRule="exact"/>
                                <w:jc w:val="center"/>
                              </w:pPr>
                              <w:r>
                                <w:rPr>
                                  <w:rFonts w:ascii="Times New Roman" w:hAnsi="Times New Roman" w:eastAsia="標楷體" w:cs="Times New Roman"/>
                                  <w:sz w:val="16"/>
                                  <w:szCs w:val="16"/>
                                </w:rPr>
                                <w:t xml:space="preserve">排除 n = 10（分析式模型、</w:t>
                              </w:r>
                            </w:p>
                            <w:p>
                              <w:pPr>
                                <w:spacing w:before="0" w:after="0" w:line="226" w:lineRule="exact"/>
                                <w:jc w:val="center"/>
                              </w:pPr>
                              <w:r>
                                <w:rPr>
                                  <w:rFonts w:ascii="Times New Roman" w:hAnsi="Times New Roman" w:eastAsia="標楷體" w:cs="Times New Roman"/>
                                  <w:sz w:val="16"/>
                                  <w:szCs w:val="16"/>
                                </w:rPr>
                                <w:t xml:space="preserve">非銷售情境、勘誤、期刊等級）</w:t>
                              </w:r>
                            </w:p>
                          </w:txbxContent>
                        </wps:txbx>
                        <wps:bodyPr rot="0" vert="horz" wrap="square" lIns="25400" tIns="12700" rIns="25400" bIns="12700" anchor="ctr" anchorCtr="0">
                          <a:noAutofit/>
                        </wps:bodyPr>
                      </wps:wsp>
                      <wps:wsp>
                        <wps:cNvPr id="112" name="Shape 112"/>
                        <wps:cNvSpPr/>
                        <wps:spPr>
                          <a:xfrm>
                            <a:off x="3581400" y="1778000"/>
                            <a:ext cx="2463800" cy="508000"/>
                          </a:xfrm>
                          <a:prstGeom prst="rect">
                            <a:avLst/>
                          </a:prstGeom>
                          <a:solidFill>
                            <a:srgbClr val="F2F2F2"/>
                          </a:solidFill>
                          <a:ln w="12700">
                            <a:solidFill>
                              <a:srgbClr val="7F7F7F"/>
                            </a:solidFill>
                          </a:ln>
                        </wps:spPr>
                        <wps:txbx>
                          <w:txbxContent>
                            <w:p>
                              <w:pPr>
                                <w:spacing w:before="0" w:after="0" w:line="226" w:lineRule="exact"/>
                                <w:jc w:val="center"/>
                              </w:pPr>
                              <w:r>
                                <w:rPr>
                                  <w:rFonts w:ascii="Times New Roman" w:hAnsi="Times New Roman" w:eastAsia="標楷體" w:cs="Times New Roman"/>
                                  <w:sz w:val="16"/>
                                  <w:szCs w:val="16"/>
                                </w:rPr>
                                <w:t xml:space="preserve">排除 n = 9；保留候選待全文篩選</w:t>
                              </w:r>
                            </w:p>
                            <w:p>
                              <w:pPr>
                                <w:spacing w:before="0" w:after="0" w:line="226" w:lineRule="exact"/>
                                <w:jc w:val="center"/>
                              </w:pPr>
                              <w:r>
                                <w:rPr>
                                  <w:rFonts w:ascii="Times New Roman" w:hAnsi="Times New Roman" w:eastAsia="標楷體" w:cs="Times New Roman"/>
                                  <w:sz w:val="16"/>
                                  <w:szCs w:val="16"/>
                                </w:rPr>
                                <w:t xml:space="preserve">n = 16（列於待下載清單）</w:t>
                              </w:r>
                            </w:p>
                          </w:txbxContent>
                        </wps:txbx>
                        <wps:bodyPr rot="0" vert="horz" wrap="square" lIns="25400" tIns="12700" rIns="25400" bIns="12700" anchor="ctr" anchorCtr="0">
                          <a:noAutofit/>
                        </wps:bodyPr>
                      </wps:wsp>
                      <wps:wsp>
                        <wps:cNvPr id="113" name="Line 113"/>
                        <wps:cNvCnPr/>
                        <wps:spPr>
                          <a:xfrm>
                            <a:off x="2146300" y="1651000"/>
                            <a:ext cx="0" cy="127000"/>
                          </a:xfrm>
                          <a:prstGeom prst="line">
                            <a:avLst/>
                          </a:prstGeom>
                          <a:ln w="12700">
                            <a:solidFill>
                              <a:srgbClr val="404040"/>
                            </a:solidFill>
                          </a:ln>
                        </wps:spPr>
                        <wps:bodyPr/>
                      </wps:wsp>
                      <wps:wsp>
                        <wps:cNvPr id="114" name="Line 114"/>
                        <wps:cNvCnPr/>
                        <wps:spPr>
                          <a:xfrm>
                            <a:off x="4813300" y="1651000"/>
                            <a:ext cx="0" cy="127000"/>
                          </a:xfrm>
                          <a:prstGeom prst="line">
                            <a:avLst/>
                          </a:prstGeom>
                          <a:ln w="12700">
                            <a:solidFill>
                              <a:srgbClr val="404040"/>
                            </a:solidFill>
                          </a:ln>
                        </wps:spPr>
                        <wps:bodyPr/>
                      </wps:wsp>
                      <wps:wsp>
                        <wps:cNvPr id="115" name="Line 115"/>
                        <wps:cNvCnPr/>
                        <wps:spPr>
                          <a:xfrm>
                            <a:off x="2146300" y="2286000"/>
                            <a:ext cx="0" cy="254000"/>
                          </a:xfrm>
                          <a:prstGeom prst="line">
                            <a:avLst/>
                          </a:prstGeom>
                          <a:ln w="12700">
                            <a:solidFill>
                              <a:srgbClr val="404040"/>
                            </a:solidFill>
                            <a:tailEnd type="triangle" w="med" len="med"/>
                          </a:ln>
                        </wps:spPr>
                        <wps:bodyPr/>
                      </wps:wsp>
                      <wps:wsp>
                        <wps:cNvPr id="116" name="Line 116"/>
                        <wps:cNvCnPr/>
                        <wps:spPr>
                          <a:xfrm>
                            <a:off x="4813300" y="2286000"/>
                            <a:ext cx="0" cy="254000"/>
                          </a:xfrm>
                          <a:prstGeom prst="line">
                            <a:avLst/>
                          </a:prstGeom>
                          <a:ln w="12700">
                            <a:solidFill>
                              <a:srgbClr val="404040"/>
                            </a:solidFill>
                            <a:tailEnd type="triangle" w="med" len="med"/>
                          </a:ln>
                        </wps:spPr>
                        <wps:bodyPr/>
                      </wps:wsp>
                      <wps:wsp>
                        <wps:cNvPr id="117" name="Shape 117"/>
                        <wps:cNvSpPr/>
                        <wps:spPr>
                          <a:xfrm>
                            <a:off x="965200" y="2540000"/>
                            <a:ext cx="2362200" cy="431800"/>
                          </a:xfrm>
                          <a:prstGeom prst="rect">
                            <a:avLst/>
                          </a:prstGeom>
                          <a:solidFill>
                            <a:srgbClr val="FBE5D6"/>
                          </a:solidFill>
                          <a:ln w="12700">
                            <a:solidFill>
                              <a:srgbClr val="404040"/>
                            </a:solidFill>
                          </a:ln>
                        </wps:spPr>
                        <wps:txbx>
                          <w:txbxContent>
                            <w:p>
                              <w:pPr>
                                <w:spacing w:before="0" w:after="0" w:line="254" w:lineRule="exact"/>
                                <w:jc w:val="center"/>
                              </w:pPr>
                              <w:r>
                                <w:rPr>
                                  <w:rFonts w:ascii="Times New Roman" w:hAnsi="Times New Roman" w:eastAsia="標楷體" w:cs="Times New Roman"/>
                                  <w:b/>
                                  <w:bCs/>
                                  <w:sz w:val="18"/>
                                  <w:szCs w:val="18"/>
                                </w:rPr>
                                <w:t xml:space="preserve">納入 n = 11</w:t>
                              </w:r>
                            </w:p>
                          </w:txbxContent>
                        </wps:txbx>
                        <wps:bodyPr rot="0" vert="horz" wrap="square" lIns="25400" tIns="12700" rIns="25400" bIns="12700" anchor="ctr" anchorCtr="0">
                          <a:noAutofit/>
                        </wps:bodyPr>
                      </wps:wsp>
                      <wps:wsp>
                        <wps:cNvPr id="118" name="Shape 118"/>
                        <wps:cNvSpPr/>
                        <wps:spPr>
                          <a:xfrm>
                            <a:off x="3581400" y="2540000"/>
                            <a:ext cx="2463800" cy="431800"/>
                          </a:xfrm>
                          <a:prstGeom prst="rect">
                            <a:avLst/>
                          </a:prstGeom>
                          <a:solidFill>
                            <a:srgbClr val="FBE5D6"/>
                          </a:solidFill>
                          <a:ln w="12700">
                            <a:solidFill>
                              <a:srgbClr val="404040"/>
                            </a:solidFill>
                          </a:ln>
                        </wps:spPr>
                        <wps:txbx>
                          <w:txbxContent>
                            <w:p>
                              <w:pPr>
                                <w:spacing w:before="0" w:after="0" w:line="254" w:lineRule="exact"/>
                                <w:jc w:val="center"/>
                              </w:pPr>
                              <w:r>
                                <w:rPr>
                                  <w:rFonts w:ascii="Times New Roman" w:hAnsi="Times New Roman" w:eastAsia="標楷體" w:cs="Times New Roman"/>
                                  <w:b/>
                                  <w:bCs/>
                                  <w:sz w:val="18"/>
                                  <w:szCs w:val="18"/>
                                </w:rPr>
                                <w:t xml:space="preserve">納入 n = 23</w:t>
                              </w:r>
                            </w:p>
                          </w:txbxContent>
                        </wps:txbx>
                        <wps:bodyPr rot="0" vert="horz" wrap="square" lIns="25400" tIns="12700" rIns="25400" bIns="12700" anchor="ctr" anchorCtr="0">
                          <a:noAutofit/>
                        </wps:bodyPr>
                      </wps:wsp>
                      <wps:wsp>
                        <wps:cNvPr id="119" name="Line 119"/>
                        <wps:cNvCnPr/>
                        <wps:spPr>
                          <a:xfrm>
                            <a:off x="2146300" y="2971800"/>
                            <a:ext cx="774700" cy="279400"/>
                          </a:xfrm>
                          <a:prstGeom prst="line">
                            <a:avLst/>
                          </a:prstGeom>
                          <a:ln w="12700">
                            <a:solidFill>
                              <a:srgbClr val="404040"/>
                            </a:solidFill>
                            <a:tailEnd type="triangle" w="med" len="med"/>
                          </a:ln>
                        </wps:spPr>
                        <wps:bodyPr/>
                      </wps:wsp>
                      <wps:wsp>
                        <wps:cNvPr id="120" name="Line 120"/>
                        <wps:cNvCnPr/>
                        <wps:spPr>
                          <a:xfrm flipH="1">
                            <a:off x="4064000" y="2971800"/>
                            <a:ext cx="749300" cy="279400"/>
                          </a:xfrm>
                          <a:prstGeom prst="line">
                            <a:avLst/>
                          </a:prstGeom>
                          <a:ln w="12700">
                            <a:solidFill>
                              <a:srgbClr val="404040"/>
                            </a:solidFill>
                            <a:tailEnd type="triangle" w="med" len="med"/>
                          </a:ln>
                        </wps:spPr>
                        <wps:bodyPr/>
                      </wps:wsp>
                      <wps:wsp>
                        <wps:cNvPr id="121" name="Shape 121"/>
                        <wps:cNvSpPr/>
                        <wps:spPr>
                          <a:xfrm>
                            <a:off x="1778000" y="3251200"/>
                            <a:ext cx="3048000" cy="508000"/>
                          </a:xfrm>
                          <a:prstGeom prst="rect">
                            <a:avLst/>
                          </a:prstGeom>
                          <a:solidFill>
                            <a:srgbClr val="FFF2CC"/>
                          </a:solidFill>
                          <a:ln w="16510">
                            <a:solidFill>
                              <a:srgbClr val="1F4E79"/>
                            </a:solidFill>
                          </a:ln>
                        </wps:spPr>
                        <wps:txbx>
                          <w:txbxContent>
                            <w:p>
                              <w:pPr>
                                <w:spacing w:before="0" w:after="0" w:line="240" w:lineRule="exact"/>
                                <w:jc w:val="center"/>
                              </w:pPr>
                              <w:r>
                                <w:rPr>
                                  <w:rFonts w:ascii="Times New Roman" w:hAnsi="Times New Roman" w:eastAsia="標楷體" w:cs="Times New Roman"/>
                                  <w:b/>
                                  <w:bCs/>
                                  <w:sz w:val="17"/>
                                  <w:szCs w:val="17"/>
                                </w:rPr>
                                <w:t xml:space="preserve">近五年核心文獻 n = 34（A 級 14 篇、B 級 20 篇）</w:t>
                              </w:r>
                            </w:p>
                            <w:p>
                              <w:pPr>
                                <w:spacing w:before="0" w:after="0" w:line="240" w:lineRule="exact"/>
                                <w:jc w:val="center"/>
                              </w:pPr>
                              <w:r>
                                <w:rPr>
                                  <w:rFonts w:ascii="Times New Roman" w:hAnsi="Times New Roman" w:eastAsia="標楷體" w:cs="Times New Roman"/>
                                  <w:sz w:val="17"/>
                                  <w:szCs w:val="17"/>
                                </w:rPr>
                                <w:t xml:space="preserve">＋理論基礎文獻 n = 10（2021 年以前）</w:t>
                              </w:r>
                            </w:p>
                          </w:txbxContent>
                        </wps:txbx>
                        <wps:bodyPr rot="0" vert="horz" wrap="square" lIns="25400" tIns="12700" rIns="25400" bIns="12700" anchor="ctr" anchorCtr="0">
                          <a:noAutofit/>
                        </wps:bodyPr>
                      </wps:wsp>
                      <wps:wsp>
                        <wps:cNvPr id="122" name="Shape 122"/>
                        <wps:cNvSpPr/>
                        <wps:spPr>
                          <a:xfrm>
                            <a:off x="965200" y="3835400"/>
                            <a:ext cx="5080000" cy="330200"/>
                          </a:xfrm>
                          <a:prstGeom prst="rect">
                            <a:avLst/>
                          </a:prstGeom>
                          <a:noFill/>
                          <a:ln>
                            <a:noFill/>
                          </a:ln>
                        </wps:spPr>
                        <wps:txbx>
                          <w:txbxContent>
                            <w:p>
                              <w:pPr>
                                <w:spacing w:before="0" w:after="0" w:line="226" w:lineRule="exact"/>
                                <w:jc w:val="left"/>
                              </w:pPr>
                              <w:r>
                                <w:rPr>
                                  <w:rFonts w:ascii="Times New Roman" w:hAnsi="Times New Roman" w:eastAsia="標楷體" w:cs="Times New Roman"/>
                                  <w:color w:val="7F7F7F"/>
                                  <w:sz w:val="16"/>
                                  <w:szCs w:val="16"/>
                                </w:rPr>
                                <w:t xml:space="preserve">正式回顧（計畫第 1 個月）：依表 3 之檢索式於 Web of Science 與 Scopus 重新執行，</w:t>
                              </w:r>
                            </w:p>
                            <w:p>
                              <w:pPr>
                                <w:spacing w:before="0" w:after="0" w:line="226" w:lineRule="exact"/>
                                <w:jc w:val="left"/>
                              </w:pPr>
                              <w:r>
                                <w:rPr>
                                  <w:rFonts w:ascii="Times New Roman" w:hAnsi="Times New Roman" w:eastAsia="標楷體" w:cs="Times New Roman"/>
                                  <w:color w:val="7F7F7F"/>
                                  <w:sz w:val="16"/>
                                  <w:szCs w:val="16"/>
                                </w:rPr>
                                <w:t xml:space="preserve">本圖數字屬計畫書撰寫階段之初步回顧。</w:t>
                              </w:r>
                            </w:p>
                          </w:txbxContent>
                        </wps:txbx>
                        <wps:bodyPr rot="0" vert="horz" wrap="square" lIns="25400" tIns="12700" rIns="25400" bIns="12700" anchor="ctr" anchorCtr="0">
                          <a:noAutofit/>
                        </wps:bodyPr>
                      </wps:wsp>
                    </wpg:wgp>
                  </a:graphicData>
                </a:graphic>
              </wp:inline>
            </w:drawing>
          </mc:Choice>
        </mc:AlternateContent>
      </w:r>
    </w:p>
    <w:p>
      <w:pPr>
        <w:spacing w:before="120" w:after="80" w:line="360" w:lineRule="exact"/>
        <w:jc w:val="center"/>
      </w:pPr>
      <w:r>
        <w:rPr>
          <w:rFonts w:ascii="Times New Roman" w:hAnsi="Times New Roman" w:eastAsia="標楷體" w:cs="Times New Roman"/>
        </w:rPr>
        <w:t xml:space="preserve">圖 1　系統性文獻回顧之初步篩選流程</w:t>
      </w:r>
    </w:p>
    <w:p>
      <w:pPr>
        <w:spacing w:before="0" w:after="0" w:line="440" w:lineRule="exact"/>
        <w:ind w:firstLineChars="200" w:firstLine="480"/>
        <w:jc w:val="both"/>
      </w:pPr>
      <w:r>
        <w:rPr>
          <w:rFonts w:ascii="Times New Roman" w:hAnsi="Times New Roman" w:eastAsia="標楷體" w:cs="Times New Roman"/>
        </w:rPr>
        <w:t xml:space="preserve">表 4 以缺口矩陣整理近五年最具代表性的實證研究。矩陣顯示三個明確的空白：第一，</w:t>
      </w:r>
      <w:r>
        <w:rPr>
          <w:rFonts w:ascii="Times New Roman" w:hAnsi="Times New Roman" w:eastAsia="標楷體" w:cs="Times New Roman"/>
          <w:b/>
          <w:bCs/>
        </w:rPr>
        <w:t xml:space="preserve">沒有一篇研究從消費者的價值結構探討「為什麼」接受 AI 主播</w:t>
      </w:r>
      <w:r>
        <w:rPr>
          <w:rFonts w:ascii="Times New Roman" w:hAnsi="Times New Roman" w:eastAsia="標楷體" w:cs="Times New Roman"/>
        </w:rPr>
        <w:t xml:space="preserve">；第二，直接比較 AI 與真人主播的研究，結果變數都停留在銷售或購買意圖，</w:t>
      </w:r>
      <w:r>
        <w:rPr>
          <w:rFonts w:ascii="Times New Roman" w:hAnsi="Times New Roman" w:eastAsia="標楷體" w:cs="Times New Roman"/>
          <w:b/>
          <w:bCs/>
        </w:rPr>
        <w:t xml:space="preserve">購後結果僅見於未比較主播類型的研究</w:t>
      </w:r>
      <w:r>
        <w:rPr>
          <w:rFonts w:ascii="Times New Roman" w:hAnsi="Times New Roman" w:eastAsia="標楷體" w:cs="Times New Roman"/>
        </w:rPr>
        <w:t xml:space="preserve">；第三，AI 身分揭露的研究集中在客服聊天機器人與 AI 撰寫內容，</w:t>
      </w:r>
      <w:r>
        <w:rPr>
          <w:rFonts w:ascii="Times New Roman" w:hAnsi="Times New Roman" w:eastAsia="標楷體" w:cs="Times New Roman"/>
          <w:b/>
          <w:bCs/>
        </w:rPr>
        <w:t xml:space="preserve">尚未延伸到直播主播</w:t>
      </w:r>
      <w:r>
        <w:rPr>
          <w:rFonts w:ascii="Times New Roman" w:hAnsi="Times New Roman" w:eastAsia="標楷體" w:cs="Times New Roman"/>
        </w:rPr>
        <w:t xml:space="preserve">。本計畫的三個階段，分別對應這三個空白。</w:t>
      </w:r>
    </w:p>
    <w:p>
      <w:pPr>
        <w:keepNext/>
        <w:spacing w:before="120" w:after="80" w:line="360" w:lineRule="exact"/>
        <w:jc w:val="center"/>
      </w:pPr>
      <w:r>
        <w:rPr>
          <w:rFonts w:ascii="Times New Roman" w:hAnsi="Times New Roman" w:eastAsia="標楷體" w:cs="Times New Roman"/>
        </w:rPr>
        <w:t xml:space="preserve">表 4　近五年代表性實證研究之缺口矩陣</w:t>
      </w:r>
    </w:p>
    <w:tbl>
      <w:tblPr>
        <w:tblW w:w="96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57" w:type="dxa"/>
          <w:right w:w="57" w:type="dxa"/>
        </w:tblCellMar>
      </w:tblPr>
      <w:tblGrid>
        <w:gridCol w:w="2700"/>
        <w:gridCol w:w="2338"/>
        <w:gridCol w:w="1150"/>
        <w:gridCol w:w="1150"/>
        <w:gridCol w:w="1150"/>
        <w:gridCol w:w="1150"/>
      </w:tblGrid>
      <w:tr>
        <w:trPr>
          <w:tblHeader/>
          <w:cantSplit/>
        </w:trPr>
        <w:tc>
          <w:tcPr>
            <w:tcW w:w="2700" w:type="dxa"/>
            <w:shd w:val="clear" w:color="auto" w:fill="DDEBF7"/>
            <w:vAlign w:val="center"/>
          </w:tcPr>
          <w:p>
            <w:pPr>
              <w:spacing w:before="20" w:after="20" w:line="300" w:lineRule="exact"/>
              <w:jc w:val="center"/>
            </w:pPr>
            <w:r>
              <w:rPr>
                <w:rFonts w:ascii="Times New Roman" w:hAnsi="Times New Roman" w:eastAsia="標楷體" w:cs="Times New Roman"/>
                <w:b/>
                <w:bCs/>
                <w:sz w:val="19"/>
                <w:szCs w:val="19"/>
              </w:rPr>
              <w:t xml:space="preserve">文獻（期刊等級）</w:t>
            </w:r>
          </w:p>
        </w:tc>
        <w:tc>
          <w:tcPr>
            <w:tcW w:w="2338" w:type="dxa"/>
            <w:shd w:val="clear" w:color="auto" w:fill="DDEBF7"/>
            <w:vAlign w:val="center"/>
          </w:tcPr>
          <w:p>
            <w:pPr>
              <w:spacing w:before="20" w:after="20" w:line="300" w:lineRule="exact"/>
              <w:jc w:val="center"/>
            </w:pPr>
            <w:r>
              <w:rPr>
                <w:rFonts w:ascii="Times New Roman" w:hAnsi="Times New Roman" w:eastAsia="標楷體" w:cs="Times New Roman"/>
                <w:b/>
                <w:bCs/>
                <w:sz w:val="19"/>
                <w:szCs w:val="19"/>
              </w:rPr>
              <w:t xml:space="preserve">研究方法</w:t>
            </w:r>
          </w:p>
        </w:tc>
        <w:tc>
          <w:tcPr>
            <w:tcW w:w="1150" w:type="dxa"/>
            <w:shd w:val="clear" w:color="auto" w:fill="DDEBF7"/>
            <w:vAlign w:val="center"/>
          </w:tcPr>
          <w:p>
            <w:pPr>
              <w:spacing w:before="20" w:after="20" w:line="300" w:lineRule="exact"/>
              <w:jc w:val="center"/>
            </w:pPr>
            <w:r>
              <w:rPr>
                <w:rFonts w:ascii="Times New Roman" w:hAnsi="Times New Roman" w:eastAsia="標楷體" w:cs="Times New Roman"/>
                <w:b/>
                <w:bCs/>
                <w:sz w:val="19"/>
                <w:szCs w:val="19"/>
              </w:rPr>
              <w:t xml:space="preserve">AI vs. 真人</w:t>
            </w:r>
          </w:p>
          <w:p>
            <w:pPr>
              <w:spacing w:before="20" w:after="20" w:line="300" w:lineRule="exact"/>
              <w:jc w:val="center"/>
            </w:pPr>
            <w:r>
              <w:rPr>
                <w:rFonts w:ascii="Times New Roman" w:hAnsi="Times New Roman" w:eastAsia="標楷體" w:cs="Times New Roman"/>
                <w:b/>
                <w:bCs/>
                <w:sz w:val="19"/>
                <w:szCs w:val="19"/>
              </w:rPr>
              <w:t xml:space="preserve">直接比較</w:t>
            </w:r>
          </w:p>
        </w:tc>
        <w:tc>
          <w:tcPr>
            <w:tcW w:w="1150" w:type="dxa"/>
            <w:shd w:val="clear" w:color="auto" w:fill="DDEBF7"/>
            <w:vAlign w:val="center"/>
          </w:tcPr>
          <w:p>
            <w:pPr>
              <w:spacing w:before="20" w:after="20" w:line="300" w:lineRule="exact"/>
              <w:jc w:val="center"/>
            </w:pPr>
            <w:r>
              <w:rPr>
                <w:rFonts w:ascii="Times New Roman" w:hAnsi="Times New Roman" w:eastAsia="標楷體" w:cs="Times New Roman"/>
                <w:b/>
                <w:bCs/>
                <w:sz w:val="19"/>
                <w:szCs w:val="19"/>
              </w:rPr>
              <w:t xml:space="preserve">購後結果</w:t>
            </w:r>
          </w:p>
          <w:p>
            <w:pPr>
              <w:spacing w:before="20" w:after="20" w:line="300" w:lineRule="exact"/>
              <w:jc w:val="center"/>
            </w:pPr>
            <w:r>
              <w:rPr>
                <w:rFonts w:ascii="Times New Roman" w:hAnsi="Times New Roman" w:eastAsia="標楷體" w:cs="Times New Roman"/>
                <w:b/>
                <w:bCs/>
                <w:sz w:val="19"/>
                <w:szCs w:val="19"/>
              </w:rPr>
              <w:t xml:space="preserve">（滿意／退貨）</w:t>
            </w:r>
          </w:p>
        </w:tc>
        <w:tc>
          <w:tcPr>
            <w:tcW w:w="1150" w:type="dxa"/>
            <w:shd w:val="clear" w:color="auto" w:fill="DDEBF7"/>
            <w:vAlign w:val="center"/>
          </w:tcPr>
          <w:p>
            <w:pPr>
              <w:spacing w:before="20" w:after="20" w:line="300" w:lineRule="exact"/>
              <w:jc w:val="center"/>
            </w:pPr>
            <w:r>
              <w:rPr>
                <w:rFonts w:ascii="Times New Roman" w:hAnsi="Times New Roman" w:eastAsia="標楷體" w:cs="Times New Roman"/>
                <w:b/>
                <w:bCs/>
                <w:sz w:val="19"/>
                <w:szCs w:val="19"/>
              </w:rPr>
              <w:t xml:space="preserve">AI 身分</w:t>
            </w:r>
          </w:p>
          <w:p>
            <w:pPr>
              <w:spacing w:before="20" w:after="20" w:line="300" w:lineRule="exact"/>
              <w:jc w:val="center"/>
            </w:pPr>
            <w:r>
              <w:rPr>
                <w:rFonts w:ascii="Times New Roman" w:hAnsi="Times New Roman" w:eastAsia="標楷體" w:cs="Times New Roman"/>
                <w:b/>
                <w:bCs/>
                <w:sz w:val="19"/>
                <w:szCs w:val="19"/>
              </w:rPr>
              <w:t xml:space="preserve">揭露</w:t>
            </w:r>
          </w:p>
        </w:tc>
        <w:tc>
          <w:tcPr>
            <w:tcW w:w="1150" w:type="dxa"/>
            <w:shd w:val="clear" w:color="auto" w:fill="DDEBF7"/>
            <w:vAlign w:val="center"/>
          </w:tcPr>
          <w:p>
            <w:pPr>
              <w:spacing w:before="20" w:after="20" w:line="300" w:lineRule="exact"/>
              <w:jc w:val="center"/>
            </w:pPr>
            <w:r>
              <w:rPr>
                <w:rFonts w:ascii="Times New Roman" w:hAnsi="Times New Roman" w:eastAsia="標楷體" w:cs="Times New Roman"/>
                <w:b/>
                <w:bCs/>
                <w:sz w:val="19"/>
                <w:szCs w:val="19"/>
              </w:rPr>
              <w:t xml:space="preserve">價值層次</w:t>
            </w:r>
          </w:p>
          <w:p>
            <w:pPr>
              <w:spacing w:before="20" w:after="20" w:line="300" w:lineRule="exact"/>
              <w:jc w:val="center"/>
            </w:pPr>
            <w:r>
              <w:rPr>
                <w:rFonts w:ascii="Times New Roman" w:hAnsi="Times New Roman" w:eastAsia="標楷體" w:cs="Times New Roman"/>
                <w:b/>
                <w:bCs/>
                <w:sz w:val="19"/>
                <w:szCs w:val="19"/>
              </w:rPr>
              <w:t xml:space="preserve">（為什麼）</w:t>
            </w:r>
          </w:p>
        </w:tc>
      </w:tr>
      <w:tr>
        <w:trPr>
          <w:cantSplit/>
        </w:trPr>
        <w:tc>
          <w:tcPr>
            <w:tcW w:w="2700" w:type="dxa"/>
            <w:vAlign w:val="center"/>
          </w:tcPr>
          <w:p>
            <w:pPr>
              <w:spacing w:before="20" w:after="20" w:line="300" w:lineRule="exact"/>
              <w:jc w:val="left"/>
            </w:pPr>
            <w:hyperlink r:id="rIdL5" w:history="1">
              <w:r>
                <w:rPr>
                  <w:rStyle w:val="Hyperlink"/>
                  <w:rFonts w:ascii="Times New Roman" w:hAnsi="Times New Roman" w:eastAsia="標楷體" w:cs="Times New Roman"/>
                  <w:sz w:val="19"/>
                  <w:szCs w:val="19"/>
                </w:rPr>
                <w:t xml:space="preserve">Y. Liu et al. (2025)</w:t>
              </w:r>
            </w:hyperlink>
            <w:r>
              <w:rPr>
                <w:rFonts w:ascii="Times New Roman" w:hAnsi="Times New Roman" w:eastAsia="標楷體" w:cs="Times New Roman"/>
                <w:sz w:val="19"/>
                <w:szCs w:val="19"/>
              </w:rPr>
              <w:t xml:space="preserve">（A）</w:t>
            </w:r>
          </w:p>
        </w:tc>
        <w:tc>
          <w:tcPr>
            <w:tcW w:w="2338" w:type="dxa"/>
            <w:vAlign w:val="center"/>
          </w:tcPr>
          <w:p>
            <w:pPr>
              <w:spacing w:before="20" w:after="20" w:line="300" w:lineRule="exact"/>
              <w:jc w:val="left"/>
            </w:pPr>
            <w:r>
              <w:rPr>
                <w:rFonts w:ascii="Times New Roman" w:hAnsi="Times New Roman" w:eastAsia="標楷體" w:cs="Times New Roman"/>
                <w:sz w:val="19"/>
                <w:szCs w:val="19"/>
              </w:rPr>
              <w:t xml:space="preserve">準實驗＋隨機田野實驗</w:t>
            </w:r>
          </w:p>
        </w:tc>
        <w:tc>
          <w:tcPr>
            <w:tcW w:w="1150" w:type="dxa"/>
            <w:vAlign w:val="center"/>
          </w:tcPr>
          <w:p>
            <w:pPr>
              <w:spacing w:before="20" w:after="20" w:line="300" w:lineRule="exact"/>
              <w:jc w:val="center"/>
            </w:pPr>
            <w:r>
              <w:rPr>
                <w:rFonts w:ascii="Times New Roman" w:hAnsi="Times New Roman" w:eastAsia="標楷體" w:cs="Times New Roman"/>
                <w:sz w:val="19"/>
                <w:szCs w:val="19"/>
              </w:rPr>
              <w:t xml:space="preserve">✓</w:t>
            </w:r>
          </w:p>
        </w:tc>
        <w:tc>
          <w:tcPr>
            <w:tcW w:w="1150" w:type="dxa"/>
            <w:vAlign w:val="center"/>
          </w:tcPr>
          <w:p>
            <w:pPr>
              <w:spacing w:before="20" w:after="20" w:line="300" w:lineRule="exact"/>
              <w:jc w:val="center"/>
            </w:pPr>
            <w:r>
              <w:rPr>
                <w:rFonts w:ascii="Times New Roman" w:hAnsi="Times New Roman" w:eastAsia="標楷體" w:cs="Times New Roman"/>
                <w:sz w:val="19"/>
                <w:szCs w:val="19"/>
              </w:rPr>
              <w:t xml:space="preserve">—</w:t>
            </w:r>
          </w:p>
        </w:tc>
        <w:tc>
          <w:tcPr>
            <w:tcW w:w="1150" w:type="dxa"/>
            <w:vAlign w:val="center"/>
          </w:tcPr>
          <w:p>
            <w:pPr>
              <w:spacing w:before="20" w:after="20" w:line="300" w:lineRule="exact"/>
              <w:jc w:val="center"/>
            </w:pPr>
            <w:r>
              <w:rPr>
                <w:rFonts w:ascii="Times New Roman" w:hAnsi="Times New Roman" w:eastAsia="標楷體" w:cs="Times New Roman"/>
                <w:sz w:val="19"/>
                <w:szCs w:val="19"/>
              </w:rPr>
              <w:t xml:space="preserve">—</w:t>
            </w:r>
          </w:p>
        </w:tc>
        <w:tc>
          <w:tcPr>
            <w:tcW w:w="1150" w:type="dxa"/>
            <w:vAlign w:val="center"/>
          </w:tcPr>
          <w:p>
            <w:pPr>
              <w:spacing w:before="20" w:after="20" w:line="300" w:lineRule="exact"/>
              <w:jc w:val="center"/>
            </w:pPr>
            <w:r>
              <w:rPr>
                <w:rFonts w:ascii="Times New Roman" w:hAnsi="Times New Roman" w:eastAsia="標楷體" w:cs="Times New Roman"/>
                <w:sz w:val="19"/>
                <w:szCs w:val="19"/>
              </w:rPr>
              <w:t xml:space="preserve">—</w:t>
            </w:r>
          </w:p>
        </w:tc>
      </w:tr>
      <w:tr>
        <w:trPr>
          <w:cantSplit/>
        </w:trPr>
        <w:tc>
          <w:tcPr>
            <w:tcW w:w="2700" w:type="dxa"/>
            <w:vAlign w:val="center"/>
          </w:tcPr>
          <w:p>
            <w:pPr>
              <w:spacing w:before="20" w:after="20" w:line="300" w:lineRule="exact"/>
              <w:jc w:val="left"/>
            </w:pPr>
            <w:hyperlink r:id="rIdL10" w:history="1">
              <w:r>
                <w:rPr>
                  <w:rStyle w:val="Hyperlink"/>
                  <w:rFonts w:ascii="Times New Roman" w:hAnsi="Times New Roman" w:eastAsia="標楷體" w:cs="Times New Roman"/>
                  <w:sz w:val="19"/>
                  <w:szCs w:val="19"/>
                </w:rPr>
                <w:t xml:space="preserve">Wang et al. (2025)</w:t>
              </w:r>
            </w:hyperlink>
            <w:r>
              <w:rPr>
                <w:rFonts w:ascii="Times New Roman" w:hAnsi="Times New Roman" w:eastAsia="標楷體" w:cs="Times New Roman"/>
                <w:sz w:val="19"/>
                <w:szCs w:val="19"/>
              </w:rPr>
              <w:t xml:space="preserve">（A）</w:t>
            </w:r>
          </w:p>
        </w:tc>
        <w:tc>
          <w:tcPr>
            <w:tcW w:w="2338" w:type="dxa"/>
            <w:vAlign w:val="center"/>
          </w:tcPr>
          <w:p>
            <w:pPr>
              <w:spacing w:before="20" w:after="20" w:line="300" w:lineRule="exact"/>
              <w:jc w:val="left"/>
            </w:pPr>
            <w:r>
              <w:rPr>
                <w:rFonts w:ascii="Times New Roman" w:hAnsi="Times New Roman" w:eastAsia="標楷體" w:cs="Times New Roman"/>
                <w:sz w:val="19"/>
                <w:szCs w:val="19"/>
              </w:rPr>
              <w:t xml:space="preserve">隨機田野實驗</w:t>
            </w:r>
          </w:p>
        </w:tc>
        <w:tc>
          <w:tcPr>
            <w:tcW w:w="1150" w:type="dxa"/>
            <w:vAlign w:val="center"/>
          </w:tcPr>
          <w:p>
            <w:pPr>
              <w:spacing w:before="20" w:after="20" w:line="300" w:lineRule="exact"/>
              <w:jc w:val="center"/>
            </w:pPr>
            <w:r>
              <w:rPr>
                <w:rFonts w:ascii="Times New Roman" w:hAnsi="Times New Roman" w:eastAsia="標楷體" w:cs="Times New Roman"/>
                <w:sz w:val="19"/>
                <w:szCs w:val="19"/>
              </w:rPr>
              <w:t xml:space="preserve">○</w:t>
            </w:r>
          </w:p>
        </w:tc>
        <w:tc>
          <w:tcPr>
            <w:tcW w:w="1150" w:type="dxa"/>
            <w:vAlign w:val="center"/>
          </w:tcPr>
          <w:p>
            <w:pPr>
              <w:spacing w:before="20" w:after="20" w:line="300" w:lineRule="exact"/>
              <w:jc w:val="center"/>
            </w:pPr>
            <w:r>
              <w:rPr>
                <w:rFonts w:ascii="Times New Roman" w:hAnsi="Times New Roman" w:eastAsia="標楷體" w:cs="Times New Roman"/>
                <w:sz w:val="19"/>
                <w:szCs w:val="19"/>
              </w:rPr>
              <w:t xml:space="preserve">✓</w:t>
            </w:r>
          </w:p>
        </w:tc>
        <w:tc>
          <w:tcPr>
            <w:tcW w:w="1150" w:type="dxa"/>
            <w:vAlign w:val="center"/>
          </w:tcPr>
          <w:p>
            <w:pPr>
              <w:spacing w:before="20" w:after="20" w:line="300" w:lineRule="exact"/>
              <w:jc w:val="center"/>
            </w:pPr>
            <w:r>
              <w:rPr>
                <w:rFonts w:ascii="Times New Roman" w:hAnsi="Times New Roman" w:eastAsia="標楷體" w:cs="Times New Roman"/>
                <w:sz w:val="19"/>
                <w:szCs w:val="19"/>
              </w:rPr>
              <w:t xml:space="preserve">—</w:t>
            </w:r>
          </w:p>
        </w:tc>
        <w:tc>
          <w:tcPr>
            <w:tcW w:w="1150" w:type="dxa"/>
            <w:vAlign w:val="center"/>
          </w:tcPr>
          <w:p>
            <w:pPr>
              <w:spacing w:before="20" w:after="20" w:line="300" w:lineRule="exact"/>
              <w:jc w:val="center"/>
            </w:pPr>
            <w:r>
              <w:rPr>
                <w:rFonts w:ascii="Times New Roman" w:hAnsi="Times New Roman" w:eastAsia="標楷體" w:cs="Times New Roman"/>
                <w:sz w:val="19"/>
                <w:szCs w:val="19"/>
              </w:rPr>
              <w:t xml:space="preserve">—</w:t>
            </w:r>
          </w:p>
        </w:tc>
      </w:tr>
      <w:tr>
        <w:trPr>
          <w:cantSplit/>
        </w:trPr>
        <w:tc>
          <w:tcPr>
            <w:tcW w:w="2700" w:type="dxa"/>
            <w:vAlign w:val="center"/>
          </w:tcPr>
          <w:p>
            <w:pPr>
              <w:spacing w:before="20" w:after="20" w:line="300" w:lineRule="exact"/>
              <w:jc w:val="left"/>
            </w:pPr>
            <w:hyperlink r:id="rIdL8" w:history="1">
              <w:r>
                <w:rPr>
                  <w:rStyle w:val="Hyperlink"/>
                  <w:rFonts w:ascii="Times New Roman" w:hAnsi="Times New Roman" w:eastAsia="標楷體" w:cs="Times New Roman"/>
                  <w:sz w:val="19"/>
                  <w:szCs w:val="19"/>
                </w:rPr>
                <w:t xml:space="preserve">Feng et al. (2025)</w:t>
              </w:r>
            </w:hyperlink>
            <w:r>
              <w:rPr>
                <w:rFonts w:ascii="Times New Roman" w:hAnsi="Times New Roman" w:eastAsia="標楷體" w:cs="Times New Roman"/>
                <w:sz w:val="19"/>
                <w:szCs w:val="19"/>
              </w:rPr>
              <w:t xml:space="preserve">（A）</w:t>
            </w:r>
          </w:p>
        </w:tc>
        <w:tc>
          <w:tcPr>
            <w:tcW w:w="2338" w:type="dxa"/>
            <w:vAlign w:val="center"/>
          </w:tcPr>
          <w:p>
            <w:pPr>
              <w:spacing w:before="20" w:after="20" w:line="300" w:lineRule="exact"/>
              <w:jc w:val="left"/>
            </w:pPr>
            <w:r>
              <w:rPr>
                <w:rFonts w:ascii="Times New Roman" w:hAnsi="Times New Roman" w:eastAsia="標楷體" w:cs="Times New Roman"/>
                <w:sz w:val="19"/>
                <w:szCs w:val="19"/>
              </w:rPr>
              <w:t xml:space="preserve">平台交易資料（直播 vs. 重播）</w:t>
            </w:r>
          </w:p>
        </w:tc>
        <w:tc>
          <w:tcPr>
            <w:tcW w:w="1150" w:type="dxa"/>
            <w:vAlign w:val="center"/>
          </w:tcPr>
          <w:p>
            <w:pPr>
              <w:spacing w:before="20" w:after="20" w:line="300" w:lineRule="exact"/>
              <w:jc w:val="center"/>
            </w:pPr>
            <w:r>
              <w:rPr>
                <w:rFonts w:ascii="Times New Roman" w:hAnsi="Times New Roman" w:eastAsia="標楷體" w:cs="Times New Roman"/>
                <w:sz w:val="19"/>
                <w:szCs w:val="19"/>
              </w:rPr>
              <w:t xml:space="preserve">—</w:t>
            </w:r>
          </w:p>
        </w:tc>
        <w:tc>
          <w:tcPr>
            <w:tcW w:w="1150" w:type="dxa"/>
            <w:vAlign w:val="center"/>
          </w:tcPr>
          <w:p>
            <w:pPr>
              <w:spacing w:before="20" w:after="20" w:line="300" w:lineRule="exact"/>
              <w:jc w:val="center"/>
            </w:pPr>
            <w:r>
              <w:rPr>
                <w:rFonts w:ascii="Times New Roman" w:hAnsi="Times New Roman" w:eastAsia="標楷體" w:cs="Times New Roman"/>
                <w:sz w:val="19"/>
                <w:szCs w:val="19"/>
              </w:rPr>
              <w:t xml:space="preserve">✓</w:t>
            </w:r>
          </w:p>
        </w:tc>
        <w:tc>
          <w:tcPr>
            <w:tcW w:w="1150" w:type="dxa"/>
            <w:vAlign w:val="center"/>
          </w:tcPr>
          <w:p>
            <w:pPr>
              <w:spacing w:before="20" w:after="20" w:line="300" w:lineRule="exact"/>
              <w:jc w:val="center"/>
            </w:pPr>
            <w:r>
              <w:rPr>
                <w:rFonts w:ascii="Times New Roman" w:hAnsi="Times New Roman" w:eastAsia="標楷體" w:cs="Times New Roman"/>
                <w:sz w:val="19"/>
                <w:szCs w:val="19"/>
              </w:rPr>
              <w:t xml:space="preserve">—</w:t>
            </w:r>
          </w:p>
        </w:tc>
        <w:tc>
          <w:tcPr>
            <w:tcW w:w="1150" w:type="dxa"/>
            <w:vAlign w:val="center"/>
          </w:tcPr>
          <w:p>
            <w:pPr>
              <w:spacing w:before="20" w:after="20" w:line="300" w:lineRule="exact"/>
              <w:jc w:val="center"/>
            </w:pPr>
            <w:r>
              <w:rPr>
                <w:rFonts w:ascii="Times New Roman" w:hAnsi="Times New Roman" w:eastAsia="標楷體" w:cs="Times New Roman"/>
                <w:sz w:val="19"/>
                <w:szCs w:val="19"/>
              </w:rPr>
              <w:t xml:space="preserve">—</w:t>
            </w:r>
          </w:p>
        </w:tc>
      </w:tr>
      <w:tr>
        <w:trPr>
          <w:cantSplit/>
        </w:trPr>
        <w:tc>
          <w:tcPr>
            <w:tcW w:w="2700" w:type="dxa"/>
            <w:vAlign w:val="center"/>
          </w:tcPr>
          <w:p>
            <w:pPr>
              <w:spacing w:before="20" w:after="20" w:line="300" w:lineRule="exact"/>
              <w:jc w:val="left"/>
            </w:pPr>
            <w:hyperlink r:id="rIdL3" w:history="1">
              <w:r>
                <w:rPr>
                  <w:rStyle w:val="Hyperlink"/>
                  <w:rFonts w:ascii="Times New Roman" w:hAnsi="Times New Roman" w:eastAsia="標楷體" w:cs="Times New Roman"/>
                  <w:sz w:val="19"/>
                  <w:szCs w:val="19"/>
                </w:rPr>
                <w:t xml:space="preserve">Gu et al. (2024)</w:t>
              </w:r>
            </w:hyperlink>
            <w:r>
              <w:rPr>
                <w:rFonts w:ascii="Times New Roman" w:hAnsi="Times New Roman" w:eastAsia="標楷體" w:cs="Times New Roman"/>
                <w:sz w:val="19"/>
                <w:szCs w:val="19"/>
              </w:rPr>
              <w:t xml:space="preserve">（A）</w:t>
            </w:r>
          </w:p>
        </w:tc>
        <w:tc>
          <w:tcPr>
            <w:tcW w:w="2338" w:type="dxa"/>
            <w:vAlign w:val="center"/>
          </w:tcPr>
          <w:p>
            <w:pPr>
              <w:spacing w:before="20" w:after="20" w:line="300" w:lineRule="exact"/>
              <w:jc w:val="left"/>
            </w:pPr>
            <w:r>
              <w:rPr>
                <w:rFonts w:ascii="Times New Roman" w:hAnsi="Times New Roman" w:eastAsia="標楷體" w:cs="Times New Roman"/>
                <w:sz w:val="19"/>
                <w:szCs w:val="19"/>
              </w:rPr>
              <w:t xml:space="preserve">約 130 萬場直播資料</w:t>
            </w:r>
          </w:p>
        </w:tc>
        <w:tc>
          <w:tcPr>
            <w:tcW w:w="1150" w:type="dxa"/>
            <w:vAlign w:val="center"/>
          </w:tcPr>
          <w:p>
            <w:pPr>
              <w:spacing w:before="20" w:after="20" w:line="300" w:lineRule="exact"/>
              <w:jc w:val="center"/>
            </w:pPr>
            <w:r>
              <w:rPr>
                <w:rFonts w:ascii="Times New Roman" w:hAnsi="Times New Roman" w:eastAsia="標楷體" w:cs="Times New Roman"/>
                <w:sz w:val="19"/>
                <w:szCs w:val="19"/>
              </w:rPr>
              <w:t xml:space="preserve">—</w:t>
            </w:r>
          </w:p>
        </w:tc>
        <w:tc>
          <w:tcPr>
            <w:tcW w:w="1150" w:type="dxa"/>
            <w:vAlign w:val="center"/>
          </w:tcPr>
          <w:p>
            <w:pPr>
              <w:spacing w:before="20" w:after="20" w:line="300" w:lineRule="exact"/>
              <w:jc w:val="center"/>
            </w:pPr>
            <w:r>
              <w:rPr>
                <w:rFonts w:ascii="Times New Roman" w:hAnsi="Times New Roman" w:eastAsia="標楷體" w:cs="Times New Roman"/>
                <w:sz w:val="19"/>
                <w:szCs w:val="19"/>
              </w:rPr>
              <w:t xml:space="preserve">—</w:t>
            </w:r>
          </w:p>
        </w:tc>
        <w:tc>
          <w:tcPr>
            <w:tcW w:w="1150" w:type="dxa"/>
            <w:vAlign w:val="center"/>
          </w:tcPr>
          <w:p>
            <w:pPr>
              <w:spacing w:before="20" w:after="20" w:line="300" w:lineRule="exact"/>
              <w:jc w:val="center"/>
            </w:pPr>
            <w:r>
              <w:rPr>
                <w:rFonts w:ascii="Times New Roman" w:hAnsi="Times New Roman" w:eastAsia="標楷體" w:cs="Times New Roman"/>
                <w:sz w:val="19"/>
                <w:szCs w:val="19"/>
              </w:rPr>
              <w:t xml:space="preserve">—</w:t>
            </w:r>
          </w:p>
        </w:tc>
        <w:tc>
          <w:tcPr>
            <w:tcW w:w="1150" w:type="dxa"/>
            <w:vAlign w:val="center"/>
          </w:tcPr>
          <w:p>
            <w:pPr>
              <w:spacing w:before="20" w:after="20" w:line="300" w:lineRule="exact"/>
              <w:jc w:val="center"/>
            </w:pPr>
            <w:r>
              <w:rPr>
                <w:rFonts w:ascii="Times New Roman" w:hAnsi="Times New Roman" w:eastAsia="標楷體" w:cs="Times New Roman"/>
                <w:sz w:val="19"/>
                <w:szCs w:val="19"/>
              </w:rPr>
              <w:t xml:space="preserve">—</w:t>
            </w:r>
          </w:p>
        </w:tc>
      </w:tr>
      <w:tr>
        <w:trPr>
          <w:cantSplit/>
        </w:trPr>
        <w:tc>
          <w:tcPr>
            <w:tcW w:w="2700" w:type="dxa"/>
            <w:vAlign w:val="center"/>
          </w:tcPr>
          <w:p>
            <w:pPr>
              <w:spacing w:before="20" w:after="20" w:line="300" w:lineRule="exact"/>
              <w:jc w:val="left"/>
            </w:pPr>
            <w:hyperlink r:id="rIdL35" w:history="1">
              <w:r>
                <w:rPr>
                  <w:rStyle w:val="Hyperlink"/>
                  <w:rFonts w:ascii="Times New Roman" w:hAnsi="Times New Roman" w:eastAsia="標楷體" w:cs="Times New Roman"/>
                  <w:sz w:val="19"/>
                  <w:szCs w:val="19"/>
                </w:rPr>
                <w:t xml:space="preserve">Gnewuch et al. (2024)</w:t>
              </w:r>
            </w:hyperlink>
            <w:r>
              <w:rPr>
                <w:rFonts w:ascii="Times New Roman" w:hAnsi="Times New Roman" w:eastAsia="標楷體" w:cs="Times New Roman"/>
                <w:sz w:val="19"/>
                <w:szCs w:val="19"/>
              </w:rPr>
              <w:t xml:space="preserve">（A）</w:t>
            </w:r>
          </w:p>
        </w:tc>
        <w:tc>
          <w:tcPr>
            <w:tcW w:w="2338" w:type="dxa"/>
            <w:vAlign w:val="center"/>
          </w:tcPr>
          <w:p>
            <w:pPr>
              <w:spacing w:before="20" w:after="20" w:line="300" w:lineRule="exact"/>
              <w:jc w:val="left"/>
            </w:pPr>
            <w:r>
              <w:rPr>
                <w:rFonts w:ascii="Times New Roman" w:hAnsi="Times New Roman" w:eastAsia="標楷體" w:cs="Times New Roman"/>
                <w:sz w:val="19"/>
                <w:szCs w:val="19"/>
              </w:rPr>
              <w:t xml:space="preserve">田野實驗＋線上實驗</w:t>
            </w:r>
          </w:p>
        </w:tc>
        <w:tc>
          <w:tcPr>
            <w:tcW w:w="1150" w:type="dxa"/>
            <w:vAlign w:val="center"/>
          </w:tcPr>
          <w:p>
            <w:pPr>
              <w:spacing w:before="20" w:after="20" w:line="300" w:lineRule="exact"/>
              <w:jc w:val="center"/>
            </w:pPr>
            <w:r>
              <w:rPr>
                <w:rFonts w:ascii="Times New Roman" w:hAnsi="Times New Roman" w:eastAsia="標楷體" w:cs="Times New Roman"/>
                <w:sz w:val="19"/>
                <w:szCs w:val="19"/>
              </w:rPr>
              <w:t xml:space="preserve">○</w:t>
            </w:r>
          </w:p>
        </w:tc>
        <w:tc>
          <w:tcPr>
            <w:tcW w:w="1150" w:type="dxa"/>
            <w:vAlign w:val="center"/>
          </w:tcPr>
          <w:p>
            <w:pPr>
              <w:spacing w:before="20" w:after="20" w:line="300" w:lineRule="exact"/>
              <w:jc w:val="center"/>
            </w:pPr>
            <w:r>
              <w:rPr>
                <w:rFonts w:ascii="Times New Roman" w:hAnsi="Times New Roman" w:eastAsia="標楷體" w:cs="Times New Roman"/>
                <w:sz w:val="19"/>
                <w:szCs w:val="19"/>
              </w:rPr>
              <w:t xml:space="preserve">—</w:t>
            </w:r>
          </w:p>
        </w:tc>
        <w:tc>
          <w:tcPr>
            <w:tcW w:w="1150" w:type="dxa"/>
            <w:vAlign w:val="center"/>
          </w:tcPr>
          <w:p>
            <w:pPr>
              <w:spacing w:before="20" w:after="20" w:line="300" w:lineRule="exact"/>
              <w:jc w:val="center"/>
            </w:pPr>
            <w:r>
              <w:rPr>
                <w:rFonts w:ascii="Times New Roman" w:hAnsi="Times New Roman" w:eastAsia="標楷體" w:cs="Times New Roman"/>
                <w:sz w:val="19"/>
                <w:szCs w:val="19"/>
              </w:rPr>
              <w:t xml:space="preserve">✓</w:t>
            </w:r>
          </w:p>
        </w:tc>
        <w:tc>
          <w:tcPr>
            <w:tcW w:w="1150" w:type="dxa"/>
            <w:vAlign w:val="center"/>
          </w:tcPr>
          <w:p>
            <w:pPr>
              <w:spacing w:before="20" w:after="20" w:line="300" w:lineRule="exact"/>
              <w:jc w:val="center"/>
            </w:pPr>
            <w:r>
              <w:rPr>
                <w:rFonts w:ascii="Times New Roman" w:hAnsi="Times New Roman" w:eastAsia="標楷體" w:cs="Times New Roman"/>
                <w:sz w:val="19"/>
                <w:szCs w:val="19"/>
              </w:rPr>
              <w:t xml:space="preserve">—</w:t>
            </w:r>
          </w:p>
        </w:tc>
      </w:tr>
      <w:tr>
        <w:trPr>
          <w:cantSplit/>
        </w:trPr>
        <w:tc>
          <w:tcPr>
            <w:tcW w:w="2700" w:type="dxa"/>
            <w:vAlign w:val="center"/>
          </w:tcPr>
          <w:p>
            <w:pPr>
              <w:spacing w:before="20" w:after="20" w:line="300" w:lineRule="exact"/>
              <w:jc w:val="left"/>
            </w:pPr>
            <w:hyperlink r:id="rIdL26" w:history="1">
              <w:r>
                <w:rPr>
                  <w:rStyle w:val="Hyperlink"/>
                  <w:rFonts w:ascii="Times New Roman" w:hAnsi="Times New Roman" w:eastAsia="標楷體" w:cs="Times New Roman"/>
                  <w:sz w:val="19"/>
                  <w:szCs w:val="19"/>
                </w:rPr>
                <w:t xml:space="preserve">Garvey et al. (2023)</w:t>
              </w:r>
            </w:hyperlink>
            <w:r>
              <w:rPr>
                <w:rFonts w:ascii="Times New Roman" w:hAnsi="Times New Roman" w:eastAsia="標楷體" w:cs="Times New Roman"/>
                <w:sz w:val="19"/>
                <w:szCs w:val="19"/>
              </w:rPr>
              <w:t xml:space="preserve">（A）</w:t>
            </w:r>
          </w:p>
        </w:tc>
        <w:tc>
          <w:tcPr>
            <w:tcW w:w="2338" w:type="dxa"/>
            <w:vAlign w:val="center"/>
          </w:tcPr>
          <w:p>
            <w:pPr>
              <w:spacing w:before="20" w:after="20" w:line="300" w:lineRule="exact"/>
              <w:jc w:val="left"/>
            </w:pPr>
            <w:r>
              <w:rPr>
                <w:rFonts w:ascii="Times New Roman" w:hAnsi="Times New Roman" w:eastAsia="標楷體" w:cs="Times New Roman"/>
                <w:sz w:val="19"/>
                <w:szCs w:val="19"/>
              </w:rPr>
              <w:t xml:space="preserve">實驗</w:t>
            </w:r>
          </w:p>
        </w:tc>
        <w:tc>
          <w:tcPr>
            <w:tcW w:w="1150" w:type="dxa"/>
            <w:vAlign w:val="center"/>
          </w:tcPr>
          <w:p>
            <w:pPr>
              <w:spacing w:before="20" w:after="20" w:line="300" w:lineRule="exact"/>
              <w:jc w:val="center"/>
            </w:pPr>
            <w:r>
              <w:rPr>
                <w:rFonts w:ascii="Times New Roman" w:hAnsi="Times New Roman" w:eastAsia="標楷體" w:cs="Times New Roman"/>
                <w:sz w:val="19"/>
                <w:szCs w:val="19"/>
              </w:rPr>
              <w:t xml:space="preserve">✓</w:t>
            </w:r>
          </w:p>
        </w:tc>
        <w:tc>
          <w:tcPr>
            <w:tcW w:w="1150" w:type="dxa"/>
            <w:vAlign w:val="center"/>
          </w:tcPr>
          <w:p>
            <w:pPr>
              <w:spacing w:before="20" w:after="20" w:line="300" w:lineRule="exact"/>
              <w:jc w:val="center"/>
            </w:pPr>
            <w:r>
              <w:rPr>
                <w:rFonts w:ascii="Times New Roman" w:hAnsi="Times New Roman" w:eastAsia="標楷體" w:cs="Times New Roman"/>
                <w:sz w:val="19"/>
                <w:szCs w:val="19"/>
              </w:rPr>
              <w:t xml:space="preserve">—</w:t>
            </w:r>
          </w:p>
        </w:tc>
        <w:tc>
          <w:tcPr>
            <w:tcW w:w="1150" w:type="dxa"/>
            <w:vAlign w:val="center"/>
          </w:tcPr>
          <w:p>
            <w:pPr>
              <w:spacing w:before="20" w:after="20" w:line="300" w:lineRule="exact"/>
              <w:jc w:val="center"/>
            </w:pPr>
            <w:r>
              <w:rPr>
                <w:rFonts w:ascii="Times New Roman" w:hAnsi="Times New Roman" w:eastAsia="標楷體" w:cs="Times New Roman"/>
                <w:sz w:val="19"/>
                <w:szCs w:val="19"/>
              </w:rPr>
              <w:t xml:space="preserve">—</w:t>
            </w:r>
          </w:p>
        </w:tc>
        <w:tc>
          <w:tcPr>
            <w:tcW w:w="1150" w:type="dxa"/>
            <w:vAlign w:val="center"/>
          </w:tcPr>
          <w:p>
            <w:pPr>
              <w:spacing w:before="20" w:after="20" w:line="300" w:lineRule="exact"/>
              <w:jc w:val="center"/>
            </w:pPr>
            <w:r>
              <w:rPr>
                <w:rFonts w:ascii="Times New Roman" w:hAnsi="Times New Roman" w:eastAsia="標楷體" w:cs="Times New Roman"/>
                <w:sz w:val="19"/>
                <w:szCs w:val="19"/>
              </w:rPr>
              <w:t xml:space="preserve">—</w:t>
            </w:r>
          </w:p>
        </w:tc>
      </w:tr>
      <w:tr>
        <w:trPr>
          <w:cantSplit/>
        </w:trPr>
        <w:tc>
          <w:tcPr>
            <w:tcW w:w="2700" w:type="dxa"/>
            <w:vAlign w:val="center"/>
          </w:tcPr>
          <w:p>
            <w:pPr>
              <w:spacing w:before="20" w:after="20" w:line="300" w:lineRule="exact"/>
              <w:jc w:val="left"/>
            </w:pPr>
            <w:hyperlink r:id="rIdL19" w:history="1">
              <w:r>
                <w:rPr>
                  <w:rStyle w:val="Hyperlink"/>
                  <w:rFonts w:ascii="Times New Roman" w:hAnsi="Times New Roman" w:eastAsia="標楷體" w:cs="Times New Roman"/>
                  <w:sz w:val="19"/>
                  <w:szCs w:val="19"/>
                </w:rPr>
                <w:t xml:space="preserve">Longoni &amp; Cian (2022)</w:t>
              </w:r>
            </w:hyperlink>
            <w:r>
              <w:rPr>
                <w:rFonts w:ascii="Times New Roman" w:hAnsi="Times New Roman" w:eastAsia="標楷體" w:cs="Times New Roman"/>
                <w:sz w:val="19"/>
                <w:szCs w:val="19"/>
              </w:rPr>
              <w:t xml:space="preserve">（A）</w:t>
            </w:r>
          </w:p>
        </w:tc>
        <w:tc>
          <w:tcPr>
            <w:tcW w:w="2338" w:type="dxa"/>
            <w:vAlign w:val="center"/>
          </w:tcPr>
          <w:p>
            <w:pPr>
              <w:spacing w:before="20" w:after="20" w:line="300" w:lineRule="exact"/>
              <w:jc w:val="left"/>
            </w:pPr>
            <w:r>
              <w:rPr>
                <w:rFonts w:ascii="Times New Roman" w:hAnsi="Times New Roman" w:eastAsia="標楷體" w:cs="Times New Roman"/>
                <w:sz w:val="19"/>
                <w:szCs w:val="19"/>
              </w:rPr>
              <w:t xml:space="preserve">實驗</w:t>
            </w:r>
          </w:p>
        </w:tc>
        <w:tc>
          <w:tcPr>
            <w:tcW w:w="1150" w:type="dxa"/>
            <w:vAlign w:val="center"/>
          </w:tcPr>
          <w:p>
            <w:pPr>
              <w:spacing w:before="20" w:after="20" w:line="300" w:lineRule="exact"/>
              <w:jc w:val="center"/>
            </w:pPr>
            <w:r>
              <w:rPr>
                <w:rFonts w:ascii="Times New Roman" w:hAnsi="Times New Roman" w:eastAsia="標楷體" w:cs="Times New Roman"/>
                <w:sz w:val="19"/>
                <w:szCs w:val="19"/>
              </w:rPr>
              <w:t xml:space="preserve">✓</w:t>
            </w:r>
          </w:p>
        </w:tc>
        <w:tc>
          <w:tcPr>
            <w:tcW w:w="1150" w:type="dxa"/>
            <w:vAlign w:val="center"/>
          </w:tcPr>
          <w:p>
            <w:pPr>
              <w:spacing w:before="20" w:after="20" w:line="300" w:lineRule="exact"/>
              <w:jc w:val="center"/>
            </w:pPr>
            <w:r>
              <w:rPr>
                <w:rFonts w:ascii="Times New Roman" w:hAnsi="Times New Roman" w:eastAsia="標楷體" w:cs="Times New Roman"/>
                <w:sz w:val="19"/>
                <w:szCs w:val="19"/>
              </w:rPr>
              <w:t xml:space="preserve">—</w:t>
            </w:r>
          </w:p>
        </w:tc>
        <w:tc>
          <w:tcPr>
            <w:tcW w:w="1150" w:type="dxa"/>
            <w:vAlign w:val="center"/>
          </w:tcPr>
          <w:p>
            <w:pPr>
              <w:spacing w:before="20" w:after="20" w:line="300" w:lineRule="exact"/>
              <w:jc w:val="center"/>
            </w:pPr>
            <w:r>
              <w:rPr>
                <w:rFonts w:ascii="Times New Roman" w:hAnsi="Times New Roman" w:eastAsia="標楷體" w:cs="Times New Roman"/>
                <w:sz w:val="19"/>
                <w:szCs w:val="19"/>
              </w:rPr>
              <w:t xml:space="preserve">—</w:t>
            </w:r>
          </w:p>
        </w:tc>
        <w:tc>
          <w:tcPr>
            <w:tcW w:w="1150" w:type="dxa"/>
            <w:vAlign w:val="center"/>
          </w:tcPr>
          <w:p>
            <w:pPr>
              <w:spacing w:before="20" w:after="20" w:line="300" w:lineRule="exact"/>
              <w:jc w:val="center"/>
            </w:pPr>
            <w:r>
              <w:rPr>
                <w:rFonts w:ascii="Times New Roman" w:hAnsi="Times New Roman" w:eastAsia="標楷體" w:cs="Times New Roman"/>
                <w:sz w:val="19"/>
                <w:szCs w:val="19"/>
              </w:rPr>
              <w:t xml:space="preserve">—</w:t>
            </w:r>
          </w:p>
        </w:tc>
      </w:tr>
      <w:tr>
        <w:trPr>
          <w:cantSplit/>
        </w:trPr>
        <w:tc>
          <w:tcPr>
            <w:tcW w:w="2700" w:type="dxa"/>
            <w:vAlign w:val="center"/>
          </w:tcPr>
          <w:p>
            <w:pPr>
              <w:spacing w:before="20" w:after="20" w:line="300" w:lineRule="exact"/>
              <w:jc w:val="left"/>
            </w:pPr>
            <w:hyperlink r:id="rIdL40" w:history="1">
              <w:r>
                <w:rPr>
                  <w:rStyle w:val="Hyperlink"/>
                  <w:rFonts w:ascii="Times New Roman" w:hAnsi="Times New Roman" w:eastAsia="標楷體" w:cs="Times New Roman"/>
                  <w:sz w:val="19"/>
                  <w:szCs w:val="19"/>
                </w:rPr>
                <w:t xml:space="preserve">Crolic et al. (2022)</w:t>
              </w:r>
            </w:hyperlink>
            <w:r>
              <w:rPr>
                <w:rFonts w:ascii="Times New Roman" w:hAnsi="Times New Roman" w:eastAsia="標楷體" w:cs="Times New Roman"/>
                <w:sz w:val="19"/>
                <w:szCs w:val="19"/>
              </w:rPr>
              <w:t xml:space="preserve">（A）</w:t>
            </w:r>
          </w:p>
        </w:tc>
        <w:tc>
          <w:tcPr>
            <w:tcW w:w="2338" w:type="dxa"/>
            <w:vAlign w:val="center"/>
          </w:tcPr>
          <w:p>
            <w:pPr>
              <w:spacing w:before="20" w:after="20" w:line="300" w:lineRule="exact"/>
              <w:jc w:val="left"/>
            </w:pPr>
            <w:r>
              <w:rPr>
                <w:rFonts w:ascii="Times New Roman" w:hAnsi="Times New Roman" w:eastAsia="標楷體" w:cs="Times New Roman"/>
                <w:sz w:val="19"/>
                <w:szCs w:val="19"/>
              </w:rPr>
              <w:t xml:space="preserve">次級資料＋四項實驗</w:t>
            </w:r>
          </w:p>
        </w:tc>
        <w:tc>
          <w:tcPr>
            <w:tcW w:w="1150" w:type="dxa"/>
            <w:vAlign w:val="center"/>
          </w:tcPr>
          <w:p>
            <w:pPr>
              <w:spacing w:before="20" w:after="20" w:line="300" w:lineRule="exact"/>
              <w:jc w:val="center"/>
            </w:pPr>
            <w:r>
              <w:rPr>
                <w:rFonts w:ascii="Times New Roman" w:hAnsi="Times New Roman" w:eastAsia="標楷體" w:cs="Times New Roman"/>
                <w:sz w:val="19"/>
                <w:szCs w:val="19"/>
              </w:rPr>
              <w:t xml:space="preserve">○</w:t>
            </w:r>
          </w:p>
        </w:tc>
        <w:tc>
          <w:tcPr>
            <w:tcW w:w="1150" w:type="dxa"/>
            <w:vAlign w:val="center"/>
          </w:tcPr>
          <w:p>
            <w:pPr>
              <w:spacing w:before="20" w:after="20" w:line="300" w:lineRule="exact"/>
              <w:jc w:val="center"/>
            </w:pPr>
            <w:r>
              <w:rPr>
                <w:rFonts w:ascii="Times New Roman" w:hAnsi="Times New Roman" w:eastAsia="標楷體" w:cs="Times New Roman"/>
                <w:sz w:val="19"/>
                <w:szCs w:val="19"/>
              </w:rPr>
              <w:t xml:space="preserve">○</w:t>
            </w:r>
          </w:p>
        </w:tc>
        <w:tc>
          <w:tcPr>
            <w:tcW w:w="1150" w:type="dxa"/>
            <w:vAlign w:val="center"/>
          </w:tcPr>
          <w:p>
            <w:pPr>
              <w:spacing w:before="20" w:after="20" w:line="300" w:lineRule="exact"/>
              <w:jc w:val="center"/>
            </w:pPr>
            <w:r>
              <w:rPr>
                <w:rFonts w:ascii="Times New Roman" w:hAnsi="Times New Roman" w:eastAsia="標楷體" w:cs="Times New Roman"/>
                <w:sz w:val="19"/>
                <w:szCs w:val="19"/>
              </w:rPr>
              <w:t xml:space="preserve">—</w:t>
            </w:r>
          </w:p>
        </w:tc>
        <w:tc>
          <w:tcPr>
            <w:tcW w:w="1150" w:type="dxa"/>
            <w:vAlign w:val="center"/>
          </w:tcPr>
          <w:p>
            <w:pPr>
              <w:spacing w:before="20" w:after="20" w:line="300" w:lineRule="exact"/>
              <w:jc w:val="center"/>
            </w:pPr>
            <w:r>
              <w:rPr>
                <w:rFonts w:ascii="Times New Roman" w:hAnsi="Times New Roman" w:eastAsia="標楷體" w:cs="Times New Roman"/>
                <w:sz w:val="19"/>
                <w:szCs w:val="19"/>
              </w:rPr>
              <w:t xml:space="preserve">—</w:t>
            </w:r>
          </w:p>
        </w:tc>
      </w:tr>
      <w:tr>
        <w:trPr>
          <w:cantSplit/>
        </w:trPr>
        <w:tc>
          <w:tcPr>
            <w:tcW w:w="2700" w:type="dxa"/>
            <w:vAlign w:val="center"/>
          </w:tcPr>
          <w:p>
            <w:pPr>
              <w:spacing w:before="20" w:after="20" w:line="300" w:lineRule="exact"/>
              <w:jc w:val="left"/>
            </w:pPr>
            <w:hyperlink r:id="rIdL30" w:history="1">
              <w:r>
                <w:rPr>
                  <w:rStyle w:val="Hyperlink"/>
                  <w:rFonts w:ascii="Times New Roman" w:hAnsi="Times New Roman" w:eastAsia="標楷體" w:cs="Times New Roman"/>
                  <w:sz w:val="19"/>
                  <w:szCs w:val="19"/>
                </w:rPr>
                <w:t xml:space="preserve">Yuan et al. (2025)</w:t>
              </w:r>
            </w:hyperlink>
            <w:r>
              <w:rPr>
                <w:rFonts w:ascii="Times New Roman" w:hAnsi="Times New Roman" w:eastAsia="標楷體" w:cs="Times New Roman"/>
                <w:sz w:val="19"/>
                <w:szCs w:val="19"/>
              </w:rPr>
              <w:t xml:space="preserve">（B）</w:t>
            </w:r>
          </w:p>
        </w:tc>
        <w:tc>
          <w:tcPr>
            <w:tcW w:w="2338" w:type="dxa"/>
            <w:vAlign w:val="center"/>
          </w:tcPr>
          <w:p>
            <w:pPr>
              <w:spacing w:before="20" w:after="20" w:line="300" w:lineRule="exact"/>
              <w:jc w:val="left"/>
            </w:pPr>
            <w:r>
              <w:rPr>
                <w:rFonts w:ascii="Times New Roman" w:hAnsi="Times New Roman" w:eastAsia="標楷體" w:cs="Times New Roman"/>
                <w:sz w:val="19"/>
                <w:szCs w:val="19"/>
              </w:rPr>
              <w:t xml:space="preserve">直播面板資料</w:t>
            </w:r>
          </w:p>
        </w:tc>
        <w:tc>
          <w:tcPr>
            <w:tcW w:w="1150" w:type="dxa"/>
            <w:vAlign w:val="center"/>
          </w:tcPr>
          <w:p>
            <w:pPr>
              <w:spacing w:before="20" w:after="20" w:line="300" w:lineRule="exact"/>
              <w:jc w:val="center"/>
            </w:pPr>
            <w:r>
              <w:rPr>
                <w:rFonts w:ascii="Times New Roman" w:hAnsi="Times New Roman" w:eastAsia="標楷體" w:cs="Times New Roman"/>
                <w:sz w:val="19"/>
                <w:szCs w:val="19"/>
              </w:rPr>
              <w:t xml:space="preserve">✓</w:t>
            </w:r>
          </w:p>
        </w:tc>
        <w:tc>
          <w:tcPr>
            <w:tcW w:w="1150" w:type="dxa"/>
            <w:vAlign w:val="center"/>
          </w:tcPr>
          <w:p>
            <w:pPr>
              <w:spacing w:before="20" w:after="20" w:line="300" w:lineRule="exact"/>
              <w:jc w:val="center"/>
            </w:pPr>
            <w:r>
              <w:rPr>
                <w:rFonts w:ascii="Times New Roman" w:hAnsi="Times New Roman" w:eastAsia="標楷體" w:cs="Times New Roman"/>
                <w:sz w:val="19"/>
                <w:szCs w:val="19"/>
              </w:rPr>
              <w:t xml:space="preserve">—</w:t>
            </w:r>
          </w:p>
        </w:tc>
        <w:tc>
          <w:tcPr>
            <w:tcW w:w="1150" w:type="dxa"/>
            <w:vAlign w:val="center"/>
          </w:tcPr>
          <w:p>
            <w:pPr>
              <w:spacing w:before="20" w:after="20" w:line="300" w:lineRule="exact"/>
              <w:jc w:val="center"/>
            </w:pPr>
            <w:r>
              <w:rPr>
                <w:rFonts w:ascii="Times New Roman" w:hAnsi="Times New Roman" w:eastAsia="標楷體" w:cs="Times New Roman"/>
                <w:sz w:val="19"/>
                <w:szCs w:val="19"/>
              </w:rPr>
              <w:t xml:space="preserve">—</w:t>
            </w:r>
          </w:p>
        </w:tc>
        <w:tc>
          <w:tcPr>
            <w:tcW w:w="1150" w:type="dxa"/>
            <w:vAlign w:val="center"/>
          </w:tcPr>
          <w:p>
            <w:pPr>
              <w:spacing w:before="20" w:after="20" w:line="300" w:lineRule="exact"/>
              <w:jc w:val="center"/>
            </w:pPr>
            <w:r>
              <w:rPr>
                <w:rFonts w:ascii="Times New Roman" w:hAnsi="Times New Roman" w:eastAsia="標楷體" w:cs="Times New Roman"/>
                <w:sz w:val="19"/>
                <w:szCs w:val="19"/>
              </w:rPr>
              <w:t xml:space="preserve">—</w:t>
            </w:r>
          </w:p>
        </w:tc>
      </w:tr>
      <w:tr>
        <w:trPr>
          <w:cantSplit/>
        </w:trPr>
        <w:tc>
          <w:tcPr>
            <w:tcW w:w="2700" w:type="dxa"/>
            <w:vAlign w:val="center"/>
          </w:tcPr>
          <w:p>
            <w:pPr>
              <w:spacing w:before="20" w:after="20" w:line="300" w:lineRule="exact"/>
              <w:jc w:val="left"/>
            </w:pPr>
            <w:hyperlink r:id="rIdL7" w:history="1">
              <w:r>
                <w:rPr>
                  <w:rStyle w:val="Hyperlink"/>
                  <w:rFonts w:ascii="Times New Roman" w:hAnsi="Times New Roman" w:eastAsia="標楷體" w:cs="Times New Roman"/>
                  <w:sz w:val="19"/>
                  <w:szCs w:val="19"/>
                </w:rPr>
                <w:t xml:space="preserve">Chang et al. (2025)</w:t>
              </w:r>
            </w:hyperlink>
            <w:r>
              <w:rPr>
                <w:rFonts w:ascii="Times New Roman" w:hAnsi="Times New Roman" w:eastAsia="標楷體" w:cs="Times New Roman"/>
                <w:sz w:val="19"/>
                <w:szCs w:val="19"/>
              </w:rPr>
              <w:t xml:space="preserve">（B）</w:t>
            </w:r>
          </w:p>
        </w:tc>
        <w:tc>
          <w:tcPr>
            <w:tcW w:w="2338" w:type="dxa"/>
            <w:vAlign w:val="center"/>
          </w:tcPr>
          <w:p>
            <w:pPr>
              <w:spacing w:before="20" w:after="20" w:line="300" w:lineRule="exact"/>
              <w:jc w:val="left"/>
            </w:pPr>
            <w:r>
              <w:rPr>
                <w:rFonts w:ascii="Times New Roman" w:hAnsi="Times New Roman" w:eastAsia="標楷體" w:cs="Times New Roman"/>
                <w:sz w:val="19"/>
                <w:szCs w:val="19"/>
              </w:rPr>
              <w:t xml:space="preserve">評論文本＋三項實驗＋訪談</w:t>
            </w:r>
          </w:p>
        </w:tc>
        <w:tc>
          <w:tcPr>
            <w:tcW w:w="1150" w:type="dxa"/>
            <w:vAlign w:val="center"/>
          </w:tcPr>
          <w:p>
            <w:pPr>
              <w:spacing w:before="20" w:after="20" w:line="300" w:lineRule="exact"/>
              <w:jc w:val="center"/>
            </w:pPr>
            <w:r>
              <w:rPr>
                <w:rFonts w:ascii="Times New Roman" w:hAnsi="Times New Roman" w:eastAsia="標楷體" w:cs="Times New Roman"/>
                <w:sz w:val="19"/>
                <w:szCs w:val="19"/>
              </w:rPr>
              <w:t xml:space="preserve">✓</w:t>
            </w:r>
          </w:p>
        </w:tc>
        <w:tc>
          <w:tcPr>
            <w:tcW w:w="1150" w:type="dxa"/>
            <w:vAlign w:val="center"/>
          </w:tcPr>
          <w:p>
            <w:pPr>
              <w:spacing w:before="20" w:after="20" w:line="300" w:lineRule="exact"/>
              <w:jc w:val="center"/>
            </w:pPr>
            <w:r>
              <w:rPr>
                <w:rFonts w:ascii="Times New Roman" w:hAnsi="Times New Roman" w:eastAsia="標楷體" w:cs="Times New Roman"/>
                <w:sz w:val="19"/>
                <w:szCs w:val="19"/>
              </w:rPr>
              <w:t xml:space="preserve">—</w:t>
            </w:r>
          </w:p>
        </w:tc>
        <w:tc>
          <w:tcPr>
            <w:tcW w:w="1150" w:type="dxa"/>
            <w:vAlign w:val="center"/>
          </w:tcPr>
          <w:p>
            <w:pPr>
              <w:spacing w:before="20" w:after="20" w:line="300" w:lineRule="exact"/>
              <w:jc w:val="center"/>
            </w:pPr>
            <w:r>
              <w:rPr>
                <w:rFonts w:ascii="Times New Roman" w:hAnsi="Times New Roman" w:eastAsia="標楷體" w:cs="Times New Roman"/>
                <w:sz w:val="19"/>
                <w:szCs w:val="19"/>
              </w:rPr>
              <w:t xml:space="preserve">—</w:t>
            </w:r>
          </w:p>
        </w:tc>
        <w:tc>
          <w:tcPr>
            <w:tcW w:w="1150" w:type="dxa"/>
            <w:vAlign w:val="center"/>
          </w:tcPr>
          <w:p>
            <w:pPr>
              <w:spacing w:before="20" w:after="20" w:line="300" w:lineRule="exact"/>
              <w:jc w:val="center"/>
            </w:pPr>
            <w:r>
              <w:rPr>
                <w:rFonts w:ascii="Times New Roman" w:hAnsi="Times New Roman" w:eastAsia="標楷體" w:cs="Times New Roman"/>
                <w:sz w:val="19"/>
                <w:szCs w:val="19"/>
              </w:rPr>
              <w:t xml:space="preserve">○</w:t>
            </w:r>
          </w:p>
        </w:tc>
      </w:tr>
      <w:tr>
        <w:trPr>
          <w:cantSplit/>
        </w:trPr>
        <w:tc>
          <w:tcPr>
            <w:tcW w:w="2700" w:type="dxa"/>
            <w:vAlign w:val="center"/>
          </w:tcPr>
          <w:p>
            <w:pPr>
              <w:spacing w:before="20" w:after="20" w:line="300" w:lineRule="exact"/>
              <w:jc w:val="left"/>
            </w:pPr>
            <w:hyperlink r:id="rIdL22" w:history="1">
              <w:r>
                <w:rPr>
                  <w:rStyle w:val="Hyperlink"/>
                  <w:rFonts w:ascii="Times New Roman" w:hAnsi="Times New Roman" w:eastAsia="標楷體" w:cs="Times New Roman"/>
                  <w:sz w:val="19"/>
                  <w:szCs w:val="19"/>
                </w:rPr>
                <w:t xml:space="preserve">Gong et al. (2025)</w:t>
              </w:r>
            </w:hyperlink>
            <w:r>
              <w:rPr>
                <w:rFonts w:ascii="Times New Roman" w:hAnsi="Times New Roman" w:eastAsia="標楷體" w:cs="Times New Roman"/>
                <w:sz w:val="19"/>
                <w:szCs w:val="19"/>
              </w:rPr>
              <w:t xml:space="preserve">（B）</w:t>
            </w:r>
          </w:p>
        </w:tc>
        <w:tc>
          <w:tcPr>
            <w:tcW w:w="2338" w:type="dxa"/>
            <w:vAlign w:val="center"/>
          </w:tcPr>
          <w:p>
            <w:pPr>
              <w:spacing w:before="20" w:after="20" w:line="300" w:lineRule="exact"/>
              <w:jc w:val="left"/>
            </w:pPr>
            <w:r>
              <w:rPr>
                <w:rFonts w:ascii="Times New Roman" w:hAnsi="Times New Roman" w:eastAsia="標楷體" w:cs="Times New Roman"/>
                <w:sz w:val="19"/>
                <w:szCs w:val="19"/>
              </w:rPr>
              <w:t xml:space="preserve">兩項線上實驗＋一項實驗室實驗</w:t>
            </w:r>
          </w:p>
        </w:tc>
        <w:tc>
          <w:tcPr>
            <w:tcW w:w="1150" w:type="dxa"/>
            <w:vAlign w:val="center"/>
          </w:tcPr>
          <w:p>
            <w:pPr>
              <w:spacing w:before="20" w:after="20" w:line="300" w:lineRule="exact"/>
              <w:jc w:val="center"/>
            </w:pPr>
            <w:r>
              <w:rPr>
                <w:rFonts w:ascii="Times New Roman" w:hAnsi="Times New Roman" w:eastAsia="標楷體" w:cs="Times New Roman"/>
                <w:sz w:val="19"/>
                <w:szCs w:val="19"/>
              </w:rPr>
              <w:t xml:space="preserve">✓</w:t>
            </w:r>
          </w:p>
        </w:tc>
        <w:tc>
          <w:tcPr>
            <w:tcW w:w="1150" w:type="dxa"/>
            <w:vAlign w:val="center"/>
          </w:tcPr>
          <w:p>
            <w:pPr>
              <w:spacing w:before="20" w:after="20" w:line="300" w:lineRule="exact"/>
              <w:jc w:val="center"/>
            </w:pPr>
            <w:r>
              <w:rPr>
                <w:rFonts w:ascii="Times New Roman" w:hAnsi="Times New Roman" w:eastAsia="標楷體" w:cs="Times New Roman"/>
                <w:sz w:val="19"/>
                <w:szCs w:val="19"/>
              </w:rPr>
              <w:t xml:space="preserve">—</w:t>
            </w:r>
          </w:p>
        </w:tc>
        <w:tc>
          <w:tcPr>
            <w:tcW w:w="1150" w:type="dxa"/>
            <w:vAlign w:val="center"/>
          </w:tcPr>
          <w:p>
            <w:pPr>
              <w:spacing w:before="20" w:after="20" w:line="300" w:lineRule="exact"/>
              <w:jc w:val="center"/>
            </w:pPr>
            <w:r>
              <w:rPr>
                <w:rFonts w:ascii="Times New Roman" w:hAnsi="Times New Roman" w:eastAsia="標楷體" w:cs="Times New Roman"/>
                <w:sz w:val="19"/>
                <w:szCs w:val="19"/>
              </w:rPr>
              <w:t xml:space="preserve">—</w:t>
            </w:r>
          </w:p>
        </w:tc>
        <w:tc>
          <w:tcPr>
            <w:tcW w:w="1150" w:type="dxa"/>
            <w:vAlign w:val="center"/>
          </w:tcPr>
          <w:p>
            <w:pPr>
              <w:spacing w:before="20" w:after="20" w:line="300" w:lineRule="exact"/>
              <w:jc w:val="center"/>
            </w:pPr>
            <w:r>
              <w:rPr>
                <w:rFonts w:ascii="Times New Roman" w:hAnsi="Times New Roman" w:eastAsia="標楷體" w:cs="Times New Roman"/>
                <w:sz w:val="19"/>
                <w:szCs w:val="19"/>
              </w:rPr>
              <w:t xml:space="preserve">—</w:t>
            </w:r>
          </w:p>
        </w:tc>
      </w:tr>
      <w:tr>
        <w:trPr>
          <w:cantSplit/>
        </w:trPr>
        <w:tc>
          <w:tcPr>
            <w:tcW w:w="2700" w:type="dxa"/>
            <w:vAlign w:val="center"/>
          </w:tcPr>
          <w:p>
            <w:pPr>
              <w:spacing w:before="20" w:after="20" w:line="300" w:lineRule="exact"/>
              <w:jc w:val="left"/>
            </w:pPr>
            <w:hyperlink r:id="rIdL15" w:history="1">
              <w:r>
                <w:rPr>
                  <w:rStyle w:val="Hyperlink"/>
                  <w:rFonts w:ascii="Times New Roman" w:hAnsi="Times New Roman" w:eastAsia="標楷體" w:cs="Times New Roman"/>
                  <w:sz w:val="19"/>
                  <w:szCs w:val="19"/>
                </w:rPr>
                <w:t xml:space="preserve">H. Liu et al. (2025)</w:t>
              </w:r>
            </w:hyperlink>
            <w:r>
              <w:rPr>
                <w:rFonts w:ascii="Times New Roman" w:hAnsi="Times New Roman" w:eastAsia="標楷體" w:cs="Times New Roman"/>
                <w:sz w:val="19"/>
                <w:szCs w:val="19"/>
              </w:rPr>
              <w:t xml:space="preserve">（B）</w:t>
            </w:r>
          </w:p>
        </w:tc>
        <w:tc>
          <w:tcPr>
            <w:tcW w:w="2338" w:type="dxa"/>
            <w:vAlign w:val="center"/>
          </w:tcPr>
          <w:p>
            <w:pPr>
              <w:spacing w:before="20" w:after="20" w:line="300" w:lineRule="exact"/>
              <w:jc w:val="left"/>
            </w:pPr>
            <w:r>
              <w:rPr>
                <w:rFonts w:ascii="Times New Roman" w:hAnsi="Times New Roman" w:eastAsia="標楷體" w:cs="Times New Roman"/>
                <w:sz w:val="19"/>
                <w:szCs w:val="19"/>
              </w:rPr>
              <w:t xml:space="preserve">情境實驗</w:t>
            </w:r>
          </w:p>
        </w:tc>
        <w:tc>
          <w:tcPr>
            <w:tcW w:w="1150" w:type="dxa"/>
            <w:vAlign w:val="center"/>
          </w:tcPr>
          <w:p>
            <w:pPr>
              <w:spacing w:before="20" w:after="20" w:line="300" w:lineRule="exact"/>
              <w:jc w:val="center"/>
            </w:pPr>
            <w:r>
              <w:rPr>
                <w:rFonts w:ascii="Times New Roman" w:hAnsi="Times New Roman" w:eastAsia="標楷體" w:cs="Times New Roman"/>
                <w:sz w:val="19"/>
                <w:szCs w:val="19"/>
              </w:rPr>
              <w:t xml:space="preserve">—</w:t>
            </w:r>
          </w:p>
        </w:tc>
        <w:tc>
          <w:tcPr>
            <w:tcW w:w="1150" w:type="dxa"/>
            <w:vAlign w:val="center"/>
          </w:tcPr>
          <w:p>
            <w:pPr>
              <w:spacing w:before="20" w:after="20" w:line="300" w:lineRule="exact"/>
              <w:jc w:val="center"/>
            </w:pPr>
            <w:r>
              <w:rPr>
                <w:rFonts w:ascii="Times New Roman" w:hAnsi="Times New Roman" w:eastAsia="標楷體" w:cs="Times New Roman"/>
                <w:sz w:val="19"/>
                <w:szCs w:val="19"/>
              </w:rPr>
              <w:t xml:space="preserve">—</w:t>
            </w:r>
          </w:p>
        </w:tc>
        <w:tc>
          <w:tcPr>
            <w:tcW w:w="1150" w:type="dxa"/>
            <w:vAlign w:val="center"/>
          </w:tcPr>
          <w:p>
            <w:pPr>
              <w:spacing w:before="20" w:after="20" w:line="300" w:lineRule="exact"/>
              <w:jc w:val="center"/>
            </w:pPr>
            <w:r>
              <w:rPr>
                <w:rFonts w:ascii="Times New Roman" w:hAnsi="Times New Roman" w:eastAsia="標楷體" w:cs="Times New Roman"/>
                <w:sz w:val="19"/>
                <w:szCs w:val="19"/>
              </w:rPr>
              <w:t xml:space="preserve">—</w:t>
            </w:r>
          </w:p>
        </w:tc>
        <w:tc>
          <w:tcPr>
            <w:tcW w:w="1150" w:type="dxa"/>
            <w:vAlign w:val="center"/>
          </w:tcPr>
          <w:p>
            <w:pPr>
              <w:spacing w:before="20" w:after="20" w:line="300" w:lineRule="exact"/>
              <w:jc w:val="center"/>
            </w:pPr>
            <w:r>
              <w:rPr>
                <w:rFonts w:ascii="Times New Roman" w:hAnsi="Times New Roman" w:eastAsia="標楷體" w:cs="Times New Roman"/>
                <w:sz w:val="19"/>
                <w:szCs w:val="19"/>
              </w:rPr>
              <w:t xml:space="preserve">—</w:t>
            </w:r>
          </w:p>
        </w:tc>
      </w:tr>
      <w:tr>
        <w:trPr>
          <w:cantSplit/>
        </w:trPr>
        <w:tc>
          <w:tcPr>
            <w:tcW w:w="2700" w:type="dxa"/>
            <w:vAlign w:val="center"/>
          </w:tcPr>
          <w:p>
            <w:pPr>
              <w:spacing w:before="20" w:after="20" w:line="300" w:lineRule="exact"/>
              <w:jc w:val="left"/>
            </w:pPr>
            <w:hyperlink r:id="rIdL6" w:history="1">
              <w:r>
                <w:rPr>
                  <w:rStyle w:val="Hyperlink"/>
                  <w:rFonts w:ascii="Times New Roman" w:hAnsi="Times New Roman" w:eastAsia="標楷體" w:cs="Times New Roman"/>
                  <w:sz w:val="19"/>
                  <w:szCs w:val="19"/>
                </w:rPr>
                <w:t xml:space="preserve">Xiao et al. (2025)</w:t>
              </w:r>
            </w:hyperlink>
            <w:r>
              <w:rPr>
                <w:rFonts w:ascii="Times New Roman" w:hAnsi="Times New Roman" w:eastAsia="標楷體" w:cs="Times New Roman"/>
                <w:sz w:val="19"/>
                <w:szCs w:val="19"/>
              </w:rPr>
              <w:t xml:space="preserve">（B）</w:t>
            </w:r>
          </w:p>
        </w:tc>
        <w:tc>
          <w:tcPr>
            <w:tcW w:w="2338" w:type="dxa"/>
            <w:vAlign w:val="center"/>
          </w:tcPr>
          <w:p>
            <w:pPr>
              <w:spacing w:before="20" w:after="20" w:line="300" w:lineRule="exact"/>
              <w:jc w:val="left"/>
            </w:pPr>
            <w:r>
              <w:rPr>
                <w:rFonts w:ascii="Times New Roman" w:hAnsi="Times New Roman" w:eastAsia="標楷體" w:cs="Times New Roman"/>
                <w:sz w:val="19"/>
                <w:szCs w:val="19"/>
              </w:rPr>
              <w:t xml:space="preserve">問卷，PLS-SEM（N = 402）</w:t>
            </w:r>
          </w:p>
        </w:tc>
        <w:tc>
          <w:tcPr>
            <w:tcW w:w="1150" w:type="dxa"/>
            <w:vAlign w:val="center"/>
          </w:tcPr>
          <w:p>
            <w:pPr>
              <w:spacing w:before="20" w:after="20" w:line="300" w:lineRule="exact"/>
              <w:jc w:val="center"/>
            </w:pPr>
            <w:r>
              <w:rPr>
                <w:rFonts w:ascii="Times New Roman" w:hAnsi="Times New Roman" w:eastAsia="標楷體" w:cs="Times New Roman"/>
                <w:sz w:val="19"/>
                <w:szCs w:val="19"/>
              </w:rPr>
              <w:t xml:space="preserve">—</w:t>
            </w:r>
          </w:p>
        </w:tc>
        <w:tc>
          <w:tcPr>
            <w:tcW w:w="1150" w:type="dxa"/>
            <w:vAlign w:val="center"/>
          </w:tcPr>
          <w:p>
            <w:pPr>
              <w:spacing w:before="20" w:after="20" w:line="300" w:lineRule="exact"/>
              <w:jc w:val="center"/>
            </w:pPr>
            <w:r>
              <w:rPr>
                <w:rFonts w:ascii="Times New Roman" w:hAnsi="Times New Roman" w:eastAsia="標楷體" w:cs="Times New Roman"/>
                <w:sz w:val="19"/>
                <w:szCs w:val="19"/>
              </w:rPr>
              <w:t xml:space="preserve">—</w:t>
            </w:r>
          </w:p>
        </w:tc>
        <w:tc>
          <w:tcPr>
            <w:tcW w:w="1150" w:type="dxa"/>
            <w:vAlign w:val="center"/>
          </w:tcPr>
          <w:p>
            <w:pPr>
              <w:spacing w:before="20" w:after="20" w:line="300" w:lineRule="exact"/>
              <w:jc w:val="center"/>
            </w:pPr>
            <w:r>
              <w:rPr>
                <w:rFonts w:ascii="Times New Roman" w:hAnsi="Times New Roman" w:eastAsia="標楷體" w:cs="Times New Roman"/>
                <w:sz w:val="19"/>
                <w:szCs w:val="19"/>
              </w:rPr>
              <w:t xml:space="preserve">—</w:t>
            </w:r>
          </w:p>
        </w:tc>
        <w:tc>
          <w:tcPr>
            <w:tcW w:w="1150" w:type="dxa"/>
            <w:vAlign w:val="center"/>
          </w:tcPr>
          <w:p>
            <w:pPr>
              <w:spacing w:before="20" w:after="20" w:line="300" w:lineRule="exact"/>
              <w:jc w:val="center"/>
            </w:pPr>
            <w:r>
              <w:rPr>
                <w:rFonts w:ascii="Times New Roman" w:hAnsi="Times New Roman" w:eastAsia="標楷體" w:cs="Times New Roman"/>
                <w:sz w:val="19"/>
                <w:szCs w:val="19"/>
              </w:rPr>
              <w:t xml:space="preserve">—</w:t>
            </w:r>
          </w:p>
        </w:tc>
      </w:tr>
      <w:tr>
        <w:trPr>
          <w:cantSplit/>
        </w:trPr>
        <w:tc>
          <w:tcPr>
            <w:tcW w:w="2700" w:type="dxa"/>
            <w:vAlign w:val="center"/>
          </w:tcPr>
          <w:p>
            <w:pPr>
              <w:spacing w:before="20" w:after="20" w:line="300" w:lineRule="exact"/>
              <w:jc w:val="left"/>
            </w:pPr>
            <w:hyperlink r:id="rIdL9" w:history="1">
              <w:r>
                <w:rPr>
                  <w:rStyle w:val="Hyperlink"/>
                  <w:rFonts w:ascii="Times New Roman" w:hAnsi="Times New Roman" w:eastAsia="標楷體" w:cs="Times New Roman"/>
                  <w:sz w:val="19"/>
                  <w:szCs w:val="19"/>
                </w:rPr>
                <w:t xml:space="preserve">Fan et al. (2025)</w:t>
              </w:r>
            </w:hyperlink>
            <w:r>
              <w:rPr>
                <w:rFonts w:ascii="Times New Roman" w:hAnsi="Times New Roman" w:eastAsia="標楷體" w:cs="Times New Roman"/>
                <w:sz w:val="19"/>
                <w:szCs w:val="19"/>
              </w:rPr>
              <w:t xml:space="preserve">（B）</w:t>
            </w:r>
          </w:p>
        </w:tc>
        <w:tc>
          <w:tcPr>
            <w:tcW w:w="2338" w:type="dxa"/>
            <w:vAlign w:val="center"/>
          </w:tcPr>
          <w:p>
            <w:pPr>
              <w:spacing w:before="20" w:after="20" w:line="300" w:lineRule="exact"/>
              <w:jc w:val="left"/>
            </w:pPr>
            <w:r>
              <w:rPr>
                <w:rFonts w:ascii="Times New Roman" w:hAnsi="Times New Roman" w:eastAsia="標楷體" w:cs="Times New Roman"/>
                <w:sz w:val="19"/>
                <w:szCs w:val="19"/>
              </w:rPr>
              <w:t xml:space="preserve">直播資料＋購後評價＋問卷</w:t>
            </w:r>
          </w:p>
        </w:tc>
        <w:tc>
          <w:tcPr>
            <w:tcW w:w="1150" w:type="dxa"/>
            <w:vAlign w:val="center"/>
          </w:tcPr>
          <w:p>
            <w:pPr>
              <w:spacing w:before="20" w:after="20" w:line="300" w:lineRule="exact"/>
              <w:jc w:val="center"/>
            </w:pPr>
            <w:r>
              <w:rPr>
                <w:rFonts w:ascii="Times New Roman" w:hAnsi="Times New Roman" w:eastAsia="標楷體" w:cs="Times New Roman"/>
                <w:sz w:val="19"/>
                <w:szCs w:val="19"/>
              </w:rPr>
              <w:t xml:space="preserve">—</w:t>
            </w:r>
          </w:p>
        </w:tc>
        <w:tc>
          <w:tcPr>
            <w:tcW w:w="1150" w:type="dxa"/>
            <w:vAlign w:val="center"/>
          </w:tcPr>
          <w:p>
            <w:pPr>
              <w:spacing w:before="20" w:after="20" w:line="300" w:lineRule="exact"/>
              <w:jc w:val="center"/>
            </w:pPr>
            <w:r>
              <w:rPr>
                <w:rFonts w:ascii="Times New Roman" w:hAnsi="Times New Roman" w:eastAsia="標楷體" w:cs="Times New Roman"/>
                <w:sz w:val="19"/>
                <w:szCs w:val="19"/>
              </w:rPr>
              <w:t xml:space="preserve">✓</w:t>
            </w:r>
          </w:p>
        </w:tc>
        <w:tc>
          <w:tcPr>
            <w:tcW w:w="1150" w:type="dxa"/>
            <w:vAlign w:val="center"/>
          </w:tcPr>
          <w:p>
            <w:pPr>
              <w:spacing w:before="20" w:after="20" w:line="300" w:lineRule="exact"/>
              <w:jc w:val="center"/>
            </w:pPr>
            <w:r>
              <w:rPr>
                <w:rFonts w:ascii="Times New Roman" w:hAnsi="Times New Roman" w:eastAsia="標楷體" w:cs="Times New Roman"/>
                <w:sz w:val="19"/>
                <w:szCs w:val="19"/>
              </w:rPr>
              <w:t xml:space="preserve">—</w:t>
            </w:r>
          </w:p>
        </w:tc>
        <w:tc>
          <w:tcPr>
            <w:tcW w:w="1150" w:type="dxa"/>
            <w:vAlign w:val="center"/>
          </w:tcPr>
          <w:p>
            <w:pPr>
              <w:spacing w:before="20" w:after="20" w:line="300" w:lineRule="exact"/>
              <w:jc w:val="center"/>
            </w:pPr>
            <w:r>
              <w:rPr>
                <w:rFonts w:ascii="Times New Roman" w:hAnsi="Times New Roman" w:eastAsia="標楷體" w:cs="Times New Roman"/>
                <w:sz w:val="19"/>
                <w:szCs w:val="19"/>
              </w:rPr>
              <w:t xml:space="preserve">—</w:t>
            </w:r>
          </w:p>
        </w:tc>
      </w:tr>
      <w:tr>
        <w:trPr>
          <w:cantSplit/>
        </w:trPr>
        <w:tc>
          <w:tcPr>
            <w:tcW w:w="2700" w:type="dxa"/>
            <w:vAlign w:val="center"/>
          </w:tcPr>
          <w:p>
            <w:pPr>
              <w:spacing w:before="20" w:after="20" w:line="300" w:lineRule="exact"/>
              <w:jc w:val="left"/>
            </w:pPr>
            <w:hyperlink r:id="rIdL24" w:history="1">
              <w:r>
                <w:rPr>
                  <w:rStyle w:val="Hyperlink"/>
                  <w:rFonts w:ascii="Times New Roman" w:hAnsi="Times New Roman" w:eastAsia="標楷體" w:cs="Times New Roman"/>
                  <w:sz w:val="19"/>
                  <w:szCs w:val="19"/>
                </w:rPr>
                <w:t xml:space="preserve">Lv et al. (2025)</w:t>
              </w:r>
            </w:hyperlink>
            <w:r>
              <w:rPr>
                <w:rFonts w:ascii="Times New Roman" w:hAnsi="Times New Roman" w:eastAsia="標楷體" w:cs="Times New Roman"/>
                <w:sz w:val="19"/>
                <w:szCs w:val="19"/>
              </w:rPr>
              <w:t xml:space="preserve">（B）</w:t>
            </w:r>
          </w:p>
        </w:tc>
        <w:tc>
          <w:tcPr>
            <w:tcW w:w="2338" w:type="dxa"/>
            <w:vAlign w:val="center"/>
          </w:tcPr>
          <w:p>
            <w:pPr>
              <w:spacing w:before="20" w:after="20" w:line="300" w:lineRule="exact"/>
              <w:jc w:val="left"/>
            </w:pPr>
            <w:r>
              <w:rPr>
                <w:rFonts w:ascii="Times New Roman" w:hAnsi="Times New Roman" w:eastAsia="標楷體" w:cs="Times New Roman"/>
                <w:sz w:val="19"/>
                <w:szCs w:val="19"/>
              </w:rPr>
              <w:t xml:space="preserve">五項研究</w:t>
            </w:r>
          </w:p>
        </w:tc>
        <w:tc>
          <w:tcPr>
            <w:tcW w:w="1150" w:type="dxa"/>
            <w:vAlign w:val="center"/>
          </w:tcPr>
          <w:p>
            <w:pPr>
              <w:spacing w:before="20" w:after="20" w:line="300" w:lineRule="exact"/>
              <w:jc w:val="center"/>
            </w:pPr>
            <w:r>
              <w:rPr>
                <w:rFonts w:ascii="Times New Roman" w:hAnsi="Times New Roman" w:eastAsia="標楷體" w:cs="Times New Roman"/>
                <w:sz w:val="19"/>
                <w:szCs w:val="19"/>
              </w:rPr>
              <w:t xml:space="preserve">✓</w:t>
            </w:r>
          </w:p>
        </w:tc>
        <w:tc>
          <w:tcPr>
            <w:tcW w:w="1150" w:type="dxa"/>
            <w:vAlign w:val="center"/>
          </w:tcPr>
          <w:p>
            <w:pPr>
              <w:spacing w:before="20" w:after="20" w:line="300" w:lineRule="exact"/>
              <w:jc w:val="center"/>
            </w:pPr>
            <w:r>
              <w:rPr>
                <w:rFonts w:ascii="Times New Roman" w:hAnsi="Times New Roman" w:eastAsia="標楷體" w:cs="Times New Roman"/>
                <w:sz w:val="19"/>
                <w:szCs w:val="19"/>
              </w:rPr>
              <w:t xml:space="preserve">—</w:t>
            </w:r>
          </w:p>
        </w:tc>
        <w:tc>
          <w:tcPr>
            <w:tcW w:w="1150" w:type="dxa"/>
            <w:vAlign w:val="center"/>
          </w:tcPr>
          <w:p>
            <w:pPr>
              <w:spacing w:before="20" w:after="20" w:line="300" w:lineRule="exact"/>
              <w:jc w:val="center"/>
            </w:pPr>
            <w:r>
              <w:rPr>
                <w:rFonts w:ascii="Times New Roman" w:hAnsi="Times New Roman" w:eastAsia="標楷體" w:cs="Times New Roman"/>
                <w:sz w:val="19"/>
                <w:szCs w:val="19"/>
              </w:rPr>
              <w:t xml:space="preserve">—</w:t>
            </w:r>
          </w:p>
        </w:tc>
        <w:tc>
          <w:tcPr>
            <w:tcW w:w="1150" w:type="dxa"/>
            <w:vAlign w:val="center"/>
          </w:tcPr>
          <w:p>
            <w:pPr>
              <w:spacing w:before="20" w:after="20" w:line="300" w:lineRule="exact"/>
              <w:jc w:val="center"/>
            </w:pPr>
            <w:r>
              <w:rPr>
                <w:rFonts w:ascii="Times New Roman" w:hAnsi="Times New Roman" w:eastAsia="標楷體" w:cs="Times New Roman"/>
                <w:sz w:val="19"/>
                <w:szCs w:val="19"/>
              </w:rPr>
              <w:t xml:space="preserve">—</w:t>
            </w:r>
          </w:p>
        </w:tc>
      </w:tr>
      <w:tr>
        <w:trPr>
          <w:cantSplit/>
        </w:trPr>
        <w:tc>
          <w:tcPr>
            <w:tcW w:w="2700" w:type="dxa"/>
            <w:vAlign w:val="center"/>
          </w:tcPr>
          <w:p>
            <w:pPr>
              <w:spacing w:before="20" w:after="20" w:line="300" w:lineRule="exact"/>
              <w:jc w:val="left"/>
            </w:pPr>
            <w:hyperlink r:id="rIdL33" w:history="1">
              <w:r>
                <w:rPr>
                  <w:rStyle w:val="Hyperlink"/>
                  <w:rFonts w:ascii="Times New Roman" w:hAnsi="Times New Roman" w:eastAsia="標楷體" w:cs="Times New Roman"/>
                  <w:sz w:val="19"/>
                  <w:szCs w:val="19"/>
                </w:rPr>
                <w:t xml:space="preserve">Brüns &amp; Meißner (2024)</w:t>
              </w:r>
            </w:hyperlink>
            <w:r>
              <w:rPr>
                <w:rFonts w:ascii="Times New Roman" w:hAnsi="Times New Roman" w:eastAsia="標楷體" w:cs="Times New Roman"/>
                <w:sz w:val="19"/>
                <w:szCs w:val="19"/>
              </w:rPr>
              <w:t xml:space="preserve">（B）</w:t>
            </w:r>
          </w:p>
        </w:tc>
        <w:tc>
          <w:tcPr>
            <w:tcW w:w="2338" w:type="dxa"/>
            <w:vAlign w:val="center"/>
          </w:tcPr>
          <w:p>
            <w:pPr>
              <w:spacing w:before="20" w:after="20" w:line="300" w:lineRule="exact"/>
              <w:jc w:val="left"/>
            </w:pPr>
            <w:r>
              <w:rPr>
                <w:rFonts w:ascii="Times New Roman" w:hAnsi="Times New Roman" w:eastAsia="標楷體" w:cs="Times New Roman"/>
                <w:sz w:val="19"/>
                <w:szCs w:val="19"/>
              </w:rPr>
              <w:t xml:space="preserve">三項實驗</w:t>
            </w:r>
          </w:p>
        </w:tc>
        <w:tc>
          <w:tcPr>
            <w:tcW w:w="1150" w:type="dxa"/>
            <w:vAlign w:val="center"/>
          </w:tcPr>
          <w:p>
            <w:pPr>
              <w:spacing w:before="20" w:after="20" w:line="300" w:lineRule="exact"/>
              <w:jc w:val="center"/>
            </w:pPr>
            <w:r>
              <w:rPr>
                <w:rFonts w:ascii="Times New Roman" w:hAnsi="Times New Roman" w:eastAsia="標楷體" w:cs="Times New Roman"/>
                <w:sz w:val="19"/>
                <w:szCs w:val="19"/>
              </w:rPr>
              <w:t xml:space="preserve">○</w:t>
            </w:r>
          </w:p>
        </w:tc>
        <w:tc>
          <w:tcPr>
            <w:tcW w:w="1150" w:type="dxa"/>
            <w:vAlign w:val="center"/>
          </w:tcPr>
          <w:p>
            <w:pPr>
              <w:spacing w:before="20" w:after="20" w:line="300" w:lineRule="exact"/>
              <w:jc w:val="center"/>
            </w:pPr>
            <w:r>
              <w:rPr>
                <w:rFonts w:ascii="Times New Roman" w:hAnsi="Times New Roman" w:eastAsia="標楷體" w:cs="Times New Roman"/>
                <w:sz w:val="19"/>
                <w:szCs w:val="19"/>
              </w:rPr>
              <w:t xml:space="preserve">—</w:t>
            </w:r>
          </w:p>
        </w:tc>
        <w:tc>
          <w:tcPr>
            <w:tcW w:w="1150" w:type="dxa"/>
            <w:vAlign w:val="center"/>
          </w:tcPr>
          <w:p>
            <w:pPr>
              <w:spacing w:before="20" w:after="20" w:line="300" w:lineRule="exact"/>
              <w:jc w:val="center"/>
            </w:pPr>
            <w:r>
              <w:rPr>
                <w:rFonts w:ascii="Times New Roman" w:hAnsi="Times New Roman" w:eastAsia="標楷體" w:cs="Times New Roman"/>
                <w:sz w:val="19"/>
                <w:szCs w:val="19"/>
              </w:rPr>
              <w:t xml:space="preserve">✓</w:t>
            </w:r>
          </w:p>
        </w:tc>
        <w:tc>
          <w:tcPr>
            <w:tcW w:w="1150" w:type="dxa"/>
            <w:vAlign w:val="center"/>
          </w:tcPr>
          <w:p>
            <w:pPr>
              <w:spacing w:before="20" w:after="20" w:line="300" w:lineRule="exact"/>
              <w:jc w:val="center"/>
            </w:pPr>
            <w:r>
              <w:rPr>
                <w:rFonts w:ascii="Times New Roman" w:hAnsi="Times New Roman" w:eastAsia="標楷體" w:cs="Times New Roman"/>
                <w:sz w:val="19"/>
                <w:szCs w:val="19"/>
              </w:rPr>
              <w:t xml:space="preserve">—</w:t>
            </w:r>
          </w:p>
        </w:tc>
      </w:tr>
      <w:tr>
        <w:trPr>
          <w:cantSplit/>
        </w:trPr>
        <w:tc>
          <w:tcPr>
            <w:tcW w:w="2700" w:type="dxa"/>
            <w:vAlign w:val="center"/>
          </w:tcPr>
          <w:p>
            <w:pPr>
              <w:spacing w:before="20" w:after="20" w:line="300" w:lineRule="exact"/>
              <w:jc w:val="left"/>
            </w:pPr>
            <w:hyperlink r:id="rIdL34" w:history="1">
              <w:r>
                <w:rPr>
                  <w:rStyle w:val="Hyperlink"/>
                  <w:rFonts w:ascii="Times New Roman" w:hAnsi="Times New Roman" w:eastAsia="標楷體" w:cs="Times New Roman"/>
                  <w:sz w:val="19"/>
                  <w:szCs w:val="19"/>
                </w:rPr>
                <w:t xml:space="preserve">Kirk &amp; Givi (2025)</w:t>
              </w:r>
            </w:hyperlink>
            <w:r>
              <w:rPr>
                <w:rFonts w:ascii="Times New Roman" w:hAnsi="Times New Roman" w:eastAsia="標楷體" w:cs="Times New Roman"/>
                <w:sz w:val="19"/>
                <w:szCs w:val="19"/>
              </w:rPr>
              <w:t xml:space="preserve">（B）</w:t>
            </w:r>
          </w:p>
        </w:tc>
        <w:tc>
          <w:tcPr>
            <w:tcW w:w="2338" w:type="dxa"/>
            <w:vAlign w:val="center"/>
          </w:tcPr>
          <w:p>
            <w:pPr>
              <w:spacing w:before="20" w:after="20" w:line="300" w:lineRule="exact"/>
              <w:jc w:val="left"/>
            </w:pPr>
            <w:r>
              <w:rPr>
                <w:rFonts w:ascii="Times New Roman" w:hAnsi="Times New Roman" w:eastAsia="標楷體" w:cs="Times New Roman"/>
                <w:sz w:val="19"/>
                <w:szCs w:val="19"/>
              </w:rPr>
              <w:t xml:space="preserve">七項預先註冊實驗</w:t>
            </w:r>
          </w:p>
        </w:tc>
        <w:tc>
          <w:tcPr>
            <w:tcW w:w="1150" w:type="dxa"/>
            <w:vAlign w:val="center"/>
          </w:tcPr>
          <w:p>
            <w:pPr>
              <w:spacing w:before="20" w:after="20" w:line="300" w:lineRule="exact"/>
              <w:jc w:val="center"/>
            </w:pPr>
            <w:r>
              <w:rPr>
                <w:rFonts w:ascii="Times New Roman" w:hAnsi="Times New Roman" w:eastAsia="標楷體" w:cs="Times New Roman"/>
                <w:sz w:val="19"/>
                <w:szCs w:val="19"/>
              </w:rPr>
              <w:t xml:space="preserve">✓</w:t>
            </w:r>
          </w:p>
        </w:tc>
        <w:tc>
          <w:tcPr>
            <w:tcW w:w="1150" w:type="dxa"/>
            <w:vAlign w:val="center"/>
          </w:tcPr>
          <w:p>
            <w:pPr>
              <w:spacing w:before="20" w:after="20" w:line="300" w:lineRule="exact"/>
              <w:jc w:val="center"/>
            </w:pPr>
            <w:r>
              <w:rPr>
                <w:rFonts w:ascii="Times New Roman" w:hAnsi="Times New Roman" w:eastAsia="標楷體" w:cs="Times New Roman"/>
                <w:sz w:val="19"/>
                <w:szCs w:val="19"/>
              </w:rPr>
              <w:t xml:space="preserve">—</w:t>
            </w:r>
          </w:p>
        </w:tc>
        <w:tc>
          <w:tcPr>
            <w:tcW w:w="1150" w:type="dxa"/>
            <w:vAlign w:val="center"/>
          </w:tcPr>
          <w:p>
            <w:pPr>
              <w:spacing w:before="20" w:after="20" w:line="300" w:lineRule="exact"/>
              <w:jc w:val="center"/>
            </w:pPr>
            <w:r>
              <w:rPr>
                <w:rFonts w:ascii="Times New Roman" w:hAnsi="Times New Roman" w:eastAsia="標楷體" w:cs="Times New Roman"/>
                <w:sz w:val="19"/>
                <w:szCs w:val="19"/>
              </w:rPr>
              <w:t xml:space="preserve">✓</w:t>
            </w:r>
          </w:p>
        </w:tc>
        <w:tc>
          <w:tcPr>
            <w:tcW w:w="1150" w:type="dxa"/>
            <w:vAlign w:val="center"/>
          </w:tcPr>
          <w:p>
            <w:pPr>
              <w:spacing w:before="20" w:after="20" w:line="300" w:lineRule="exact"/>
              <w:jc w:val="center"/>
            </w:pPr>
            <w:r>
              <w:rPr>
                <w:rFonts w:ascii="Times New Roman" w:hAnsi="Times New Roman" w:eastAsia="標楷體" w:cs="Times New Roman"/>
                <w:sz w:val="19"/>
                <w:szCs w:val="19"/>
              </w:rPr>
              <w:t xml:space="preserve">—</w:t>
            </w:r>
          </w:p>
        </w:tc>
      </w:tr>
      <w:tr>
        <w:trPr>
          <w:cantSplit/>
        </w:trPr>
        <w:tc>
          <w:tcPr>
            <w:tcW w:w="2700" w:type="dxa"/>
            <w:vAlign w:val="center"/>
          </w:tcPr>
          <w:p>
            <w:pPr>
              <w:spacing w:before="20" w:after="20" w:line="300" w:lineRule="exact"/>
              <w:jc w:val="left"/>
            </w:pPr>
            <w:r>
              <w:rPr>
                <w:rFonts w:ascii="Times New Roman" w:hAnsi="Times New Roman" w:eastAsia="標楷體" w:cs="Times New Roman"/>
                <w:b/>
                <w:bCs/>
                <w:sz w:val="19"/>
                <w:szCs w:val="19"/>
              </w:rPr>
              <w:t xml:space="preserve">本計畫</w:t>
            </w:r>
          </w:p>
        </w:tc>
        <w:tc>
          <w:tcPr>
            <w:tcW w:w="2338" w:type="dxa"/>
            <w:vAlign w:val="center"/>
          </w:tcPr>
          <w:p>
            <w:pPr>
              <w:spacing w:before="20" w:after="20" w:line="300" w:lineRule="exact"/>
              <w:jc w:val="left"/>
            </w:pPr>
            <w:r>
              <w:rPr>
                <w:rFonts w:ascii="Times New Roman" w:hAnsi="Times New Roman" w:eastAsia="標楷體" w:cs="Times New Roman"/>
                <w:b/>
                <w:bCs/>
                <w:sz w:val="19"/>
                <w:szCs w:val="19"/>
              </w:rPr>
              <w:t xml:space="preserve">MEC＋實驗＋SEM（三品類）</w:t>
            </w:r>
          </w:p>
        </w:tc>
        <w:tc>
          <w:tcPr>
            <w:tcW w:w="1150" w:type="dxa"/>
            <w:vAlign w:val="center"/>
          </w:tcPr>
          <w:p>
            <w:pPr>
              <w:spacing w:before="20" w:after="20" w:line="300" w:lineRule="exact"/>
              <w:jc w:val="center"/>
            </w:pPr>
            <w:r>
              <w:rPr>
                <w:rFonts w:ascii="Times New Roman" w:hAnsi="Times New Roman" w:eastAsia="標楷體" w:cs="Times New Roman"/>
                <w:b/>
                <w:bCs/>
                <w:sz w:val="19"/>
                <w:szCs w:val="19"/>
              </w:rPr>
              <w:t xml:space="preserve">✓</w:t>
            </w:r>
          </w:p>
        </w:tc>
        <w:tc>
          <w:tcPr>
            <w:tcW w:w="1150" w:type="dxa"/>
            <w:vAlign w:val="center"/>
          </w:tcPr>
          <w:p>
            <w:pPr>
              <w:spacing w:before="20" w:after="20" w:line="300" w:lineRule="exact"/>
              <w:jc w:val="center"/>
            </w:pPr>
            <w:r>
              <w:rPr>
                <w:rFonts w:ascii="Times New Roman" w:hAnsi="Times New Roman" w:eastAsia="標楷體" w:cs="Times New Roman"/>
                <w:b/>
                <w:bCs/>
                <w:sz w:val="19"/>
                <w:szCs w:val="19"/>
              </w:rPr>
              <w:t xml:space="preserve">✓</w:t>
            </w:r>
          </w:p>
        </w:tc>
        <w:tc>
          <w:tcPr>
            <w:tcW w:w="1150" w:type="dxa"/>
            <w:vAlign w:val="center"/>
          </w:tcPr>
          <w:p>
            <w:pPr>
              <w:spacing w:before="20" w:after="20" w:line="300" w:lineRule="exact"/>
              <w:jc w:val="center"/>
            </w:pPr>
            <w:r>
              <w:rPr>
                <w:rFonts w:ascii="Times New Roman" w:hAnsi="Times New Roman" w:eastAsia="標楷體" w:cs="Times New Roman"/>
                <w:b/>
                <w:bCs/>
                <w:sz w:val="19"/>
                <w:szCs w:val="19"/>
              </w:rPr>
              <w:t xml:space="preserve">✓</w:t>
            </w:r>
          </w:p>
        </w:tc>
        <w:tc>
          <w:tcPr>
            <w:tcW w:w="1150" w:type="dxa"/>
            <w:vAlign w:val="center"/>
          </w:tcPr>
          <w:p>
            <w:pPr>
              <w:spacing w:before="20" w:after="20" w:line="300" w:lineRule="exact"/>
              <w:jc w:val="center"/>
            </w:pPr>
            <w:r>
              <w:rPr>
                <w:rFonts w:ascii="Times New Roman" w:hAnsi="Times New Roman" w:eastAsia="標楷體" w:cs="Times New Roman"/>
                <w:b/>
                <w:bCs/>
                <w:sz w:val="19"/>
                <w:szCs w:val="19"/>
              </w:rPr>
              <w:t xml:space="preserve">✓</w:t>
            </w:r>
          </w:p>
        </w:tc>
      </w:tr>
      <w:tr>
        <w:trPr>
          <w:cantSplit/>
        </w:trPr>
        <w:tc>
          <w:tcPr>
            <w:tcW w:w="9638" w:type="dxa"/>
            <w:gridSpan w:val="6"/>
            <w:vAlign w:val="center"/>
          </w:tcPr>
          <w:p>
            <w:pPr>
              <w:spacing w:before="20" w:after="20" w:line="300" w:lineRule="exact"/>
              <w:jc w:val="left"/>
            </w:pPr>
            <w:r>
              <w:rPr>
                <w:rFonts w:ascii="Times New Roman" w:hAnsi="Times New Roman" w:eastAsia="標楷體" w:cs="Times New Roman"/>
                <w:sz w:val="19"/>
                <w:szCs w:val="19"/>
              </w:rPr>
              <w:t xml:space="preserve">註：✓ 為該研究直接檢驗；○ 為部分涉及（例如比較 AI 助理與無助理、比較擬人化程度、以訪談補充）；— 為未涉及。內容依各文獻摘要與出版社資訊整理。</w:t>
            </w:r>
          </w:p>
        </w:tc>
      </w:tr>
    </w:tbl>
    <w:p>
      <w:pPr>
        <w:spacing w:before="0" w:after="0" w:line="200" w:lineRule="exact"/>
      </w:pPr>
    </w:p>
    <w:p>
      <w:pPr>
        <w:spacing w:before="0" w:after="0" w:line="440" w:lineRule="exact"/>
        <w:ind w:firstLineChars="200" w:firstLine="480"/>
        <w:jc w:val="both"/>
      </w:pPr>
      <w:r>
        <w:rPr>
          <w:rFonts w:ascii="Times New Roman" w:hAnsi="Times New Roman" w:eastAsia="標楷體" w:cs="Times New Roman"/>
          <w:b/>
          <w:bCs/>
        </w:rPr>
        <w:t xml:space="preserve">小結。</w:t>
      </w:r>
      <w:r>
        <w:rPr>
          <w:rFonts w:ascii="Times New Roman" w:hAnsi="Times New Roman" w:eastAsia="標楷體" w:cs="Times New Roman"/>
        </w:rPr>
        <w:t xml:space="preserve">近五年的研究已確認 AI 主播的銷售效果有條件性 (</w:t>
      </w:r>
      <w:hyperlink r:id="rIdL5" w:history="1">
        <w:r>
          <w:rPr>
            <w:rStyle w:val="Hyperlink"/>
            <w:rFonts w:ascii="Times New Roman" w:hAnsi="Times New Roman" w:eastAsia="標楷體" w:cs="Times New Roman"/>
          </w:rPr>
          <w:t xml:space="preserve">Y. Liu et al., 2025</w:t>
        </w:r>
      </w:hyperlink>
      <w:r>
        <w:rPr>
          <w:rFonts w:ascii="Times New Roman" w:hAnsi="Times New Roman" w:eastAsia="標楷體" w:cs="Times New Roman"/>
        </w:rPr>
        <w:t xml:space="preserve">; </w:t>
      </w:r>
      <w:hyperlink r:id="rIdL7" w:history="1">
        <w:r>
          <w:rPr>
            <w:rStyle w:val="Hyperlink"/>
            <w:rFonts w:ascii="Times New Roman" w:hAnsi="Times New Roman" w:eastAsia="標楷體" w:cs="Times New Roman"/>
          </w:rPr>
          <w:t xml:space="preserve">Chang et al., 2025</w:t>
        </w:r>
      </w:hyperlink>
      <w:r>
        <w:rPr>
          <w:rFonts w:ascii="Times New Roman" w:hAnsi="Times New Roman" w:eastAsia="標楷體" w:cs="Times New Roman"/>
        </w:rPr>
        <w:t xml:space="preserve">)，直播互動會影響退貨與購後滿意 (</w:t>
      </w:r>
      <w:hyperlink r:id="rIdL8" w:history="1">
        <w:r>
          <w:rPr>
            <w:rStyle w:val="Hyperlink"/>
            <w:rFonts w:ascii="Times New Roman" w:hAnsi="Times New Roman" w:eastAsia="標楷體" w:cs="Times New Roman"/>
          </w:rPr>
          <w:t xml:space="preserve">Feng et al., 2025</w:t>
        </w:r>
      </w:hyperlink>
      <w:r>
        <w:rPr>
          <w:rFonts w:ascii="Times New Roman" w:hAnsi="Times New Roman" w:eastAsia="標楷體" w:cs="Times New Roman"/>
        </w:rPr>
        <w:t xml:space="preserve">; </w:t>
      </w:r>
      <w:hyperlink r:id="rIdL9" w:history="1">
        <w:r>
          <w:rPr>
            <w:rStyle w:val="Hyperlink"/>
            <w:rFonts w:ascii="Times New Roman" w:hAnsi="Times New Roman" w:eastAsia="標楷體" w:cs="Times New Roman"/>
          </w:rPr>
          <w:t xml:space="preserve">Fan et al., 2025</w:t>
        </w:r>
      </w:hyperlink>
      <w:r>
        <w:rPr>
          <w:rFonts w:ascii="Times New Roman" w:hAnsi="Times New Roman" w:eastAsia="標楷體" w:cs="Times New Roman"/>
        </w:rPr>
        <w:t xml:space="preserve">)，AI 身分的揭露會改變消費者反應 (</w:t>
      </w:r>
      <w:hyperlink r:id="rIdL32" w:history="1">
        <w:r>
          <w:rPr>
            <w:rStyle w:val="Hyperlink"/>
            <w:rFonts w:ascii="Times New Roman" w:hAnsi="Times New Roman" w:eastAsia="標楷體" w:cs="Times New Roman"/>
          </w:rPr>
          <w:t xml:space="preserve">Luo et al., 2019</w:t>
        </w:r>
      </w:hyperlink>
      <w:r>
        <w:rPr>
          <w:rFonts w:ascii="Times New Roman" w:hAnsi="Times New Roman" w:eastAsia="標楷體" w:cs="Times New Roman"/>
        </w:rPr>
        <w:t xml:space="preserve">; </w:t>
      </w:r>
      <w:hyperlink r:id="rIdL34" w:history="1">
        <w:r>
          <w:rPr>
            <w:rStyle w:val="Hyperlink"/>
            <w:rFonts w:ascii="Times New Roman" w:hAnsi="Times New Roman" w:eastAsia="標楷體" w:cs="Times New Roman"/>
          </w:rPr>
          <w:t xml:space="preserve">Kirk &amp; Givi, 2025</w:t>
        </w:r>
      </w:hyperlink>
      <w:r>
        <w:rPr>
          <w:rFonts w:ascii="Times New Roman" w:hAnsi="Times New Roman" w:eastAsia="標楷體" w:cs="Times New Roman"/>
        </w:rPr>
        <w:t xml:space="preserve">)。然而，這三條研究脈絡尚未交會。本計畫以 AI 主播為交會點，從價值、因果與路徑三個層次介入探討。</w:t>
      </w:r>
    </w:p>
    <w:p>
      <w:pPr>
        <w:keepNext/>
        <w:spacing w:before="120" w:after="40" w:line="440" w:lineRule="exact"/>
      </w:pPr>
      <w:r>
        <w:rPr>
          <w:rFonts w:ascii="Times New Roman" w:hAnsi="Times New Roman" w:eastAsia="標楷體" w:cs="Times New Roman"/>
          <w:b/>
          <w:bCs/>
          <w:u w:val="single"/>
        </w:rPr>
        <w:t xml:space="preserve">第一部分【初步發現】AI 虛擬主播與真人主播之消費者價值內涵探索：方法目的鏈</w:t>
      </w:r>
    </w:p>
    <w:p>
      <w:pPr>
        <w:spacing w:before="0" w:after="0" w:line="440" w:lineRule="exact"/>
        <w:ind w:firstLineChars="200" w:firstLine="480"/>
        <w:jc w:val="both"/>
      </w:pPr>
      <w:r>
        <w:rPr>
          <w:rFonts w:ascii="Times New Roman" w:hAnsi="Times New Roman" w:eastAsia="標楷體" w:cs="Times New Roman"/>
        </w:rPr>
        <w:t xml:space="preserve">第一階段研究以方法目的鏈探索消費者向 AI 虛擬主播與真人主播購買的價值內涵。本階段採用方法目的鏈理論與消費價值理論為理論基礎，以下就相關文獻分述之。</w:t>
      </w:r>
    </w:p>
    <w:p>
      <w:pPr>
        <w:pStyle w:val="Heading3"/>
        <w:keepNext/>
        <w:spacing w:before="120" w:after="40" w:line="440" w:lineRule="exact"/>
        <w:ind w:left="480" w:hanging="480"/>
      </w:pPr>
      <w:r>
        <w:rPr>
          <w:rFonts w:ascii="Times New Roman" w:hAnsi="Times New Roman" w:eastAsia="標楷體" w:cs="Times New Roman"/>
          <w:b/>
          <w:bCs/>
        </w:rPr>
        <w:t xml:space="preserve">（一）AI 虛擬主播與直播電商</w:t>
      </w:r>
    </w:p>
    <w:p>
      <w:pPr>
        <w:spacing w:before="0" w:after="0" w:line="440" w:lineRule="exact"/>
        <w:ind w:firstLineChars="200" w:firstLine="480"/>
        <w:jc w:val="both"/>
      </w:pPr>
      <w:r>
        <w:rPr>
          <w:rFonts w:ascii="Times New Roman" w:hAnsi="Times New Roman" w:eastAsia="標楷體" w:cs="Times New Roman"/>
        </w:rPr>
        <w:t xml:space="preserve">直播電商以即時影音、互動與交易整合為特徵，近年的回顧研究已整理出其理論、情境與方法的發展脈絡 (</w:t>
      </w:r>
      <w:hyperlink r:id="rIdL39" w:history="1">
        <w:r>
          <w:rPr>
            <w:rStyle w:val="Hyperlink"/>
            <w:rFonts w:ascii="Times New Roman" w:hAnsi="Times New Roman" w:eastAsia="標楷體" w:cs="Times New Roman"/>
          </w:rPr>
          <w:t xml:space="preserve">Luo et al., 2025</w:t>
        </w:r>
      </w:hyperlink>
      <w:r>
        <w:rPr>
          <w:rFonts w:ascii="Times New Roman" w:hAnsi="Times New Roman" w:eastAsia="標楷體" w:cs="Times New Roman"/>
        </w:rPr>
        <w:t xml:space="preserve">)。直播之所以能促成購買，在於它讓消費者透過主播的試用示範降低產品不確定性 (</w:t>
      </w:r>
      <w:hyperlink r:id="rIdL2" w:history="1">
        <w:r>
          <w:rPr>
            <w:rStyle w:val="Hyperlink"/>
            <w:rFonts w:ascii="Times New Roman" w:hAnsi="Times New Roman" w:eastAsia="標楷體" w:cs="Times New Roman"/>
          </w:rPr>
          <w:t xml:space="preserve">Lu &amp; Chen, 2021</w:t>
        </w:r>
      </w:hyperlink>
      <w:r>
        <w:rPr>
          <w:rFonts w:ascii="Times New Roman" w:hAnsi="Times New Roman" w:eastAsia="標楷體" w:cs="Times New Roman"/>
        </w:rPr>
        <w:t xml:space="preserve">)，並經由實用、享樂與象徵價值建立對賣家的信任 (</w:t>
      </w:r>
      <w:hyperlink r:id="rIdL1" w:history="1">
        <w:r>
          <w:rPr>
            <w:rStyle w:val="Hyperlink"/>
            <w:rFonts w:ascii="Times New Roman" w:hAnsi="Times New Roman" w:eastAsia="標楷體" w:cs="Times New Roman"/>
          </w:rPr>
          <w:t xml:space="preserve">Wongkitrungrueng &amp; Assarut, 2020</w:t>
        </w:r>
      </w:hyperlink>
      <w:r>
        <w:rPr>
          <w:rFonts w:ascii="Times New Roman" w:hAnsi="Times New Roman" w:eastAsia="標楷體" w:cs="Times New Roman"/>
        </w:rPr>
        <w:t xml:space="preserve">)。主播的語言策略也直接影響銷售，例如獎勵搭配誇張、可信度搭配誇張的組合能提高銷售，可信度搭配邏輯的組合反而降低銷售 (</w:t>
      </w:r>
      <w:hyperlink r:id="rIdL41" w:history="1">
        <w:r>
          <w:rPr>
            <w:rStyle w:val="Hyperlink"/>
            <w:rFonts w:ascii="Times New Roman" w:hAnsi="Times New Roman" w:eastAsia="標楷體" w:cs="Times New Roman"/>
          </w:rPr>
          <w:t xml:space="preserve">Ma et al., 2025</w:t>
        </w:r>
      </w:hyperlink>
      <w:r>
        <w:rPr>
          <w:rFonts w:ascii="Times New Roman" w:hAnsi="Times New Roman" w:eastAsia="標楷體" w:cs="Times New Roman"/>
        </w:rPr>
        <w:t xml:space="preserve">)；網紅的印象管理策略則經由信任影響直播購買意圖 (</w:t>
      </w:r>
      <w:hyperlink r:id="rIdL42" w:history="1">
        <w:r>
          <w:rPr>
            <w:rStyle w:val="Hyperlink"/>
            <w:rFonts w:ascii="Times New Roman" w:hAnsi="Times New Roman" w:eastAsia="標楷體" w:cs="Times New Roman"/>
          </w:rPr>
          <w:t xml:space="preserve">X. Li et al., 2025</w:t>
        </w:r>
      </w:hyperlink>
      <w:r>
        <w:rPr>
          <w:rFonts w:ascii="Times New Roman" w:hAnsi="Times New Roman" w:eastAsia="標楷體" w:cs="Times New Roman"/>
        </w:rPr>
        <w:t xml:space="preserve">)。</w:t>
      </w:r>
    </w:p>
    <w:p>
      <w:pPr>
        <w:spacing w:before="0" w:after="0" w:line="440" w:lineRule="exact"/>
        <w:ind w:firstLineChars="200" w:firstLine="480"/>
        <w:jc w:val="both"/>
      </w:pPr>
      <w:r>
        <w:rPr>
          <w:rFonts w:ascii="Times New Roman" w:hAnsi="Times New Roman" w:eastAsia="標楷體" w:cs="Times New Roman"/>
        </w:rPr>
        <w:t xml:space="preserve">AI 虛擬主播的出現，使「誰來賣」成為新的研究問題。數位主播的外型擬真與行為擬真是影響其效果的兩個設計面向，其中即時回答觀眾問題的能力對銷售提升最大 (</w:t>
      </w:r>
      <w:hyperlink r:id="rIdL5" w:history="1">
        <w:r>
          <w:rPr>
            <w:rStyle w:val="Hyperlink"/>
            <w:rFonts w:ascii="Times New Roman" w:hAnsi="Times New Roman" w:eastAsia="標楷體" w:cs="Times New Roman"/>
          </w:rPr>
          <w:t xml:space="preserve">Y. Liu et al., 2025</w:t>
        </w:r>
      </w:hyperlink>
      <w:r>
        <w:rPr>
          <w:rFonts w:ascii="Times New Roman" w:hAnsi="Times New Roman" w:eastAsia="標楷體" w:cs="Times New Roman"/>
        </w:rPr>
        <w:t xml:space="preserve">)；AI 與真人主播對觀眾投入的影響也會隨時間演變 (</w:t>
      </w:r>
      <w:hyperlink r:id="rIdL30" w:history="1">
        <w:r>
          <w:rPr>
            <w:rStyle w:val="Hyperlink"/>
            <w:rFonts w:ascii="Times New Roman" w:hAnsi="Times New Roman" w:eastAsia="標楷體" w:cs="Times New Roman"/>
          </w:rPr>
          <w:t xml:space="preserve">Yuan et al., 2025</w:t>
        </w:r>
      </w:hyperlink>
      <w:r>
        <w:rPr>
          <w:rFonts w:ascii="Times New Roman" w:hAnsi="Times New Roman" w:eastAsia="標楷體" w:cs="Times New Roman"/>
        </w:rPr>
        <w:t xml:space="preserve">)。虛擬網紅的研究則發現，消費者雖視其為「真實的假人」，虛擬網紅能建立品牌知名度，卻較難促成購買，原因在於真實性、相似性與擬社會關係較弱 (</w:t>
      </w:r>
      <w:hyperlink r:id="rIdL43" w:history="1">
        <w:r>
          <w:rPr>
            <w:rStyle w:val="Hyperlink"/>
            <w:rFonts w:ascii="Times New Roman" w:hAnsi="Times New Roman" w:eastAsia="標楷體" w:cs="Times New Roman"/>
          </w:rPr>
          <w:t xml:space="preserve">Lou et al., 2023</w:t>
        </w:r>
      </w:hyperlink>
      <w:r>
        <w:rPr>
          <w:rFonts w:ascii="Times New Roman" w:hAnsi="Times New Roman" w:eastAsia="標楷體" w:cs="Times New Roman"/>
        </w:rPr>
        <w:t xml:space="preserve">)；虛擬網紅作為廣告代言人究竟「新奇有效」還是「詭異欺騙」，也仍有爭論 (</w:t>
      </w:r>
      <w:hyperlink r:id="rIdL44" w:history="1">
        <w:r>
          <w:rPr>
            <w:rStyle w:val="Hyperlink"/>
            <w:rFonts w:ascii="Times New Roman" w:hAnsi="Times New Roman" w:eastAsia="標楷體" w:cs="Times New Roman"/>
          </w:rPr>
          <w:t xml:space="preserve">Franke et al., 2023</w:t>
        </w:r>
      </w:hyperlink>
      <w:r>
        <w:rPr>
          <w:rFonts w:ascii="Times New Roman" w:hAnsi="Times New Roman" w:eastAsia="標楷體" w:cs="Times New Roman"/>
        </w:rPr>
        <w:t xml:space="preserve">)。</w:t>
      </w:r>
    </w:p>
    <w:p>
      <w:pPr>
        <w:pStyle w:val="Heading3"/>
        <w:keepNext/>
        <w:spacing w:before="120" w:after="40" w:line="440" w:lineRule="exact"/>
        <w:ind w:left="480" w:hanging="480"/>
      </w:pPr>
      <w:r>
        <w:rPr>
          <w:rFonts w:ascii="Times New Roman" w:hAnsi="Times New Roman" w:eastAsia="標楷體" w:cs="Times New Roman"/>
          <w:b/>
          <w:bCs/>
        </w:rPr>
        <w:t xml:space="preserve">（二）消費者對 AI 代理人的反應</w:t>
      </w:r>
    </w:p>
    <w:p>
      <w:pPr>
        <w:spacing w:before="0" w:after="0" w:line="440" w:lineRule="exact"/>
        <w:ind w:firstLineChars="200" w:firstLine="480"/>
        <w:jc w:val="both"/>
      </w:pPr>
      <w:r>
        <w:rPr>
          <w:rFonts w:ascii="Times New Roman" w:hAnsi="Times New Roman" w:eastAsia="標楷體" w:cs="Times New Roman"/>
        </w:rPr>
        <w:t xml:space="preserve">消費者與 AI 的互動可從資料蒐集、分類、委託與社交四種能力加以理解，每一種能力都同時帶來利益與成本 (</w:t>
      </w:r>
      <w:hyperlink r:id="rIdL45" w:history="1">
        <w:r>
          <w:rPr>
            <w:rStyle w:val="Hyperlink"/>
            <w:rFonts w:ascii="Times New Roman" w:hAnsi="Times New Roman" w:eastAsia="標楷體" w:cs="Times New Roman"/>
          </w:rPr>
          <w:t xml:space="preserve">Puntoni et al., 2021</w:t>
        </w:r>
      </w:hyperlink>
      <w:r>
        <w:rPr>
          <w:rFonts w:ascii="Times New Roman" w:hAnsi="Times New Roman" w:eastAsia="標楷體" w:cs="Times New Roman"/>
        </w:rPr>
        <w:t xml:space="preserve">)；行銷中的 AI 亦可分為機械、思考與感受三種智慧 (</w:t>
      </w:r>
      <w:hyperlink r:id="rIdL46" w:history="1">
        <w:r>
          <w:rPr>
            <w:rStyle w:val="Hyperlink"/>
            <w:rFonts w:ascii="Times New Roman" w:hAnsi="Times New Roman" w:eastAsia="標楷體" w:cs="Times New Roman"/>
          </w:rPr>
          <w:t xml:space="preserve">Huang &amp; Rust, 2021</w:t>
        </w:r>
      </w:hyperlink>
      <w:r>
        <w:rPr>
          <w:rFonts w:ascii="Times New Roman" w:hAnsi="Times New Roman" w:eastAsia="標楷體" w:cs="Times New Roman"/>
        </w:rPr>
        <w:t xml:space="preserve">)。整合 108 個樣本、11,053 位受試者的後設分析顯示，服務機器人、聊天機器人等 AI 的擬人化程度會影響顧客的使用意圖 (</w:t>
      </w:r>
      <w:hyperlink r:id="rIdL47" w:history="1">
        <w:r>
          <w:rPr>
            <w:rStyle w:val="Hyperlink"/>
            <w:rFonts w:ascii="Times New Roman" w:hAnsi="Times New Roman" w:eastAsia="標楷體" w:cs="Times New Roman"/>
          </w:rPr>
          <w:t xml:space="preserve">Blut et al., 2021</w:t>
        </w:r>
      </w:hyperlink>
      <w:r>
        <w:rPr>
          <w:rFonts w:ascii="Times New Roman" w:hAnsi="Times New Roman" w:eastAsia="標楷體" w:cs="Times New Roman"/>
        </w:rPr>
        <w:t xml:space="preserve">)。但擬人化並非越高越好：對憤怒的顧客而言，擬人化聊天機器人會提高期望、在問題未解決時降低滿意 (</w:t>
      </w:r>
      <w:hyperlink r:id="rIdL40" w:history="1">
        <w:r>
          <w:rPr>
            <w:rStyle w:val="Hyperlink"/>
            <w:rFonts w:ascii="Times New Roman" w:hAnsi="Times New Roman" w:eastAsia="標楷體" w:cs="Times New Roman"/>
          </w:rPr>
          <w:t xml:space="preserve">Crolic et al., 2022</w:t>
        </w:r>
      </w:hyperlink>
      <w:r>
        <w:rPr>
          <w:rFonts w:ascii="Times New Roman" w:hAnsi="Times New Roman" w:eastAsia="標楷體" w:cs="Times New Roman"/>
        </w:rPr>
        <w:t xml:space="preserve">)；擬人化與服務失誤容忍度之間呈倒 U 型關係 (</w:t>
      </w:r>
      <w:hyperlink r:id="rIdL48" w:history="1">
        <w:r>
          <w:rPr>
            <w:rStyle w:val="Hyperlink"/>
            <w:rFonts w:ascii="Times New Roman" w:hAnsi="Times New Roman" w:eastAsia="標楷體" w:cs="Times New Roman"/>
          </w:rPr>
          <w:t xml:space="preserve">R. Liu et al., 2025</w:t>
        </w:r>
      </w:hyperlink>
      <w:r>
        <w:rPr>
          <w:rFonts w:ascii="Times New Roman" w:hAnsi="Times New Roman" w:eastAsia="標楷體" w:cs="Times New Roman"/>
        </w:rPr>
        <w:t xml:space="preserve">)；高度擬人的機器人也會讓顧客覺得被評斷 (</w:t>
      </w:r>
      <w:hyperlink r:id="rIdL49" w:history="1">
        <w:r>
          <w:rPr>
            <w:rStyle w:val="Hyperlink"/>
            <w:rFonts w:ascii="Times New Roman" w:hAnsi="Times New Roman" w:eastAsia="標楷體" w:cs="Times New Roman"/>
          </w:rPr>
          <w:t xml:space="preserve">Holthöwer &amp; van Doorn, 2023</w:t>
        </w:r>
      </w:hyperlink>
      <w:r>
        <w:rPr>
          <w:rFonts w:ascii="Times New Roman" w:hAnsi="Times New Roman" w:eastAsia="標楷體" w:cs="Times New Roman"/>
        </w:rPr>
        <w:t xml:space="preserve">)，這與恐怖谷理論的預期一致 (</w:t>
      </w:r>
      <w:hyperlink r:id="rIdL50" w:history="1">
        <w:r>
          <w:rPr>
            <w:rStyle w:val="Hyperlink"/>
            <w:rFonts w:ascii="Times New Roman" w:hAnsi="Times New Roman" w:eastAsia="標楷體" w:cs="Times New Roman"/>
          </w:rPr>
          <w:t xml:space="preserve">Mori et al., 2012</w:t>
        </w:r>
      </w:hyperlink>
      <w:r>
        <w:rPr>
          <w:rFonts w:ascii="Times New Roman" w:hAnsi="Times New Roman" w:eastAsia="標楷體" w:cs="Times New Roman"/>
        </w:rPr>
        <w:t xml:space="preserve">)。</w:t>
      </w:r>
    </w:p>
    <w:p>
      <w:pPr>
        <w:spacing w:before="0" w:after="0" w:line="440" w:lineRule="exact"/>
        <w:ind w:firstLineChars="200" w:firstLine="480"/>
        <w:jc w:val="both"/>
      </w:pPr>
      <w:r>
        <w:rPr>
          <w:rFonts w:ascii="Times New Roman" w:hAnsi="Times New Roman" w:eastAsia="標楷體" w:cs="Times New Roman"/>
        </w:rPr>
        <w:t xml:space="preserve">在直播情境中，消費者對 AI 主播的反感來自擬人化與科技恐懼，並經由「不夠溫暖」與「不夠專業」兩條路徑形成，且相依我與獨立我的消費者走的路徑不同 (</w:t>
      </w:r>
      <w:hyperlink r:id="rIdL6" w:history="1">
        <w:r>
          <w:rPr>
            <w:rStyle w:val="Hyperlink"/>
            <w:rFonts w:ascii="Times New Roman" w:hAnsi="Times New Roman" w:eastAsia="標楷體" w:cs="Times New Roman"/>
          </w:rPr>
          <w:t xml:space="preserve">Xiao et al., 2025</w:t>
        </w:r>
      </w:hyperlink>
      <w:r>
        <w:rPr>
          <w:rFonts w:ascii="Times New Roman" w:hAnsi="Times New Roman" w:eastAsia="標楷體" w:cs="Times New Roman"/>
        </w:rPr>
        <w:t xml:space="preserve">)。換言之，同一位 AI 主播，可能因消費者重視的價值不同而有截然不同的意義。這正是本研究以價值鏈比較兩類主播購買者的理由。</w:t>
      </w:r>
    </w:p>
    <w:p>
      <w:pPr>
        <w:pStyle w:val="Heading3"/>
        <w:keepNext/>
        <w:spacing w:before="120" w:after="40" w:line="440" w:lineRule="exact"/>
        <w:ind w:left="480" w:hanging="480"/>
      </w:pPr>
      <w:r>
        <w:rPr>
          <w:rFonts w:ascii="Times New Roman" w:hAnsi="Times New Roman" w:eastAsia="標楷體" w:cs="Times New Roman"/>
          <w:b/>
          <w:bCs/>
        </w:rPr>
        <w:t xml:space="preserve">（三）方法目的鏈理論與階梯法</w:t>
      </w:r>
    </w:p>
    <w:p>
      <w:pPr>
        <w:spacing w:before="0" w:after="0" w:line="440" w:lineRule="exact"/>
        <w:ind w:firstLineChars="200" w:firstLine="480"/>
        <w:jc w:val="both"/>
      </w:pPr>
      <w:r>
        <w:rPr>
          <w:rFonts w:ascii="Times New Roman" w:hAnsi="Times New Roman" w:eastAsia="標楷體" w:cs="Times New Roman"/>
        </w:rPr>
        <w:t xml:space="preserve">方法目的鏈認為，消費者行為是目標導向的，產品的具體屬性（attributes, A）透過使用後的後果（consequences, C），最終連結到個人的終極價值（values, V）(</w:t>
      </w:r>
      <w:hyperlink r:id="rIdL11" w:history="1">
        <w:r>
          <w:rPr>
            <w:rStyle w:val="Hyperlink"/>
            <w:rFonts w:ascii="Times New Roman" w:hAnsi="Times New Roman" w:eastAsia="標楷體" w:cs="Times New Roman"/>
          </w:rPr>
          <w:t xml:space="preserve">Gutman, 1982</w:t>
        </w:r>
      </w:hyperlink>
      <w:r>
        <w:rPr>
          <w:rFonts w:ascii="Times New Roman" w:hAnsi="Times New Roman" w:eastAsia="標楷體" w:cs="Times New Roman"/>
        </w:rPr>
        <w:t xml:space="preserve">)。階梯法以一對一深度訪談，反覆追問「這對你為什麼重要」，引導受訪者由具體屬性逐步上升到抽象價值 (</w:t>
      </w:r>
      <w:hyperlink r:id="rIdL16" w:history="1">
        <w:r>
          <w:rPr>
            <w:rStyle w:val="Hyperlink"/>
            <w:rFonts w:ascii="Times New Roman" w:hAnsi="Times New Roman" w:eastAsia="標楷體" w:cs="Times New Roman"/>
          </w:rPr>
          <w:t xml:space="preserve">Reynolds &amp; Gutman, 1988</w:t>
        </w:r>
      </w:hyperlink>
      <w:r>
        <w:rPr>
          <w:rFonts w:ascii="Times New Roman" w:hAnsi="Times New Roman" w:eastAsia="標楷體" w:cs="Times New Roman"/>
        </w:rPr>
        <w:t xml:space="preserve">)；MEC 亦可用於描述消費者的目標結構 (</w:t>
      </w:r>
      <w:hyperlink r:id="rIdL51" w:history="1">
        <w:r>
          <w:rPr>
            <w:rStyle w:val="Hyperlink"/>
            <w:rFonts w:ascii="Times New Roman" w:hAnsi="Times New Roman" w:eastAsia="標楷體" w:cs="Times New Roman"/>
          </w:rPr>
          <w:t xml:space="preserve">Pieters et al., 1995</w:t>
        </w:r>
      </w:hyperlink>
      <w:r>
        <w:rPr>
          <w:rFonts w:ascii="Times New Roman" w:hAnsi="Times New Roman" w:eastAsia="標楷體" w:cs="Times New Roman"/>
        </w:rPr>
        <w:t xml:space="preserve">)。由於 MEC 的分析尚無統一標準，編碼層級與彙總方式的選擇會改變結果，研究者應依研究問題明確說明分析決策 (</w:t>
      </w:r>
      <w:hyperlink r:id="rIdL31" w:history="1">
        <w:r>
          <w:rPr>
            <w:rStyle w:val="Hyperlink"/>
            <w:rFonts w:ascii="Times New Roman" w:hAnsi="Times New Roman" w:eastAsia="標楷體" w:cs="Times New Roman"/>
          </w:rPr>
          <w:t xml:space="preserve">Kilwinger &amp; van Dam, 2021</w:t>
        </w:r>
      </w:hyperlink>
      <w:r>
        <w:rPr>
          <w:rFonts w:ascii="Times New Roman" w:hAnsi="Times New Roman" w:eastAsia="標楷體" w:cs="Times New Roman"/>
        </w:rPr>
        <w:t xml:space="preserve">)；編碼信度則需以獨立編碼員檢驗 (</w:t>
      </w:r>
      <w:hyperlink r:id="rIdL52" w:history="1">
        <w:r>
          <w:rPr>
            <w:rStyle w:val="Hyperlink"/>
            <w:rFonts w:ascii="Times New Roman" w:hAnsi="Times New Roman" w:eastAsia="標楷體" w:cs="Times New Roman"/>
          </w:rPr>
          <w:t xml:space="preserve">Kassarjian, 1977</w:t>
        </w:r>
      </w:hyperlink>
      <w:r>
        <w:rPr>
          <w:rFonts w:ascii="Times New Roman" w:hAnsi="Times New Roman" w:eastAsia="標楷體" w:cs="Times New Roman"/>
        </w:rPr>
        <w:t xml:space="preserve">; </w:t>
      </w:r>
      <w:hyperlink r:id="rIdL53" w:history="1">
        <w:r>
          <w:rPr>
            <w:rStyle w:val="Hyperlink"/>
            <w:rFonts w:ascii="Times New Roman" w:hAnsi="Times New Roman" w:eastAsia="標楷體" w:cs="Times New Roman"/>
          </w:rPr>
          <w:t xml:space="preserve">Perreault &amp; Leigh, 1989</w:t>
        </w:r>
      </w:hyperlink>
      <w:r>
        <w:rPr>
          <w:rFonts w:ascii="Times New Roman" w:hAnsi="Times New Roman" w:eastAsia="標楷體" w:cs="Times New Roman"/>
        </w:rPr>
        <w:t xml:space="preserve">)。本研究據此事先訂定編碼層級、截斷值與信度標準。</w:t>
      </w:r>
    </w:p>
    <w:p>
      <w:pPr>
        <w:spacing w:before="0" w:after="0" w:line="440" w:lineRule="exact"/>
        <w:ind w:firstLineChars="200" w:firstLine="480"/>
        <w:jc w:val="both"/>
      </w:pPr>
      <w:r>
        <w:rPr>
          <w:rFonts w:ascii="Times New Roman" w:hAnsi="Times New Roman" w:eastAsia="標楷體" w:cs="Times New Roman"/>
        </w:rPr>
        <w:t xml:space="preserve">消費價值理論提供了解讀價值鏈的框架 (</w:t>
      </w:r>
      <w:hyperlink r:id="rIdL18" w:history="1">
        <w:r>
          <w:rPr>
            <w:rStyle w:val="Hyperlink"/>
            <w:rFonts w:ascii="Times New Roman" w:hAnsi="Times New Roman" w:eastAsia="標楷體" w:cs="Times New Roman"/>
          </w:rPr>
          <w:t xml:space="preserve">Sheth et al., 1991</w:t>
        </w:r>
      </w:hyperlink>
      <w:r>
        <w:rPr>
          <w:rFonts w:ascii="Times New Roman" w:hAnsi="Times New Roman" w:eastAsia="標楷體" w:cs="Times New Roman"/>
        </w:rPr>
        <w:t xml:space="preserve">)：例如「主播即時回答尺寸問題」屬功能價值，「直播間熱鬧好玩」屬情感價值 (</w:t>
      </w:r>
      <w:hyperlink r:id="rIdL54" w:history="1">
        <w:r>
          <w:rPr>
            <w:rStyle w:val="Hyperlink"/>
            <w:rFonts w:ascii="Times New Roman" w:hAnsi="Times New Roman" w:eastAsia="標楷體" w:cs="Times New Roman"/>
          </w:rPr>
          <w:t xml:space="preserve">Holbrook &amp; Hirschman, 1982</w:t>
        </w:r>
      </w:hyperlink>
      <w:r>
        <w:rPr>
          <w:rFonts w:ascii="Times New Roman" w:hAnsi="Times New Roman" w:eastAsia="標楷體" w:cs="Times New Roman"/>
        </w:rPr>
        <w:t xml:space="preserve">)，「跟朋友分享買到好東西」屬社會價值，「試試看 AI 主播」屬知識價值。同一項主播屬性，對不同消費者可能對應到不同的價值類型。</w:t>
      </w:r>
    </w:p>
    <w:p>
      <w:pPr>
        <w:pStyle w:val="Heading3"/>
        <w:keepNext/>
        <w:spacing w:before="120" w:after="40" w:line="440" w:lineRule="exact"/>
        <w:ind w:left="480" w:hanging="480"/>
      </w:pPr>
      <w:r>
        <w:rPr>
          <w:rFonts w:ascii="Times New Roman" w:hAnsi="Times New Roman" w:eastAsia="標楷體" w:cs="Times New Roman"/>
          <w:b/>
          <w:bCs/>
        </w:rPr>
        <w:t xml:space="preserve">（四）購後後果：滿意、後悔與退貨</w:t>
      </w:r>
    </w:p>
    <w:p>
      <w:pPr>
        <w:spacing w:before="0" w:after="0" w:line="440" w:lineRule="exact"/>
        <w:ind w:firstLineChars="200" w:firstLine="480"/>
        <w:jc w:val="both"/>
      </w:pPr>
      <w:r>
        <w:rPr>
          <w:rFonts w:ascii="Times New Roman" w:hAnsi="Times New Roman" w:eastAsia="標楷體" w:cs="Times New Roman"/>
        </w:rPr>
        <w:t xml:space="preserve">期望確認理論指出，滿意是購前期望與實際表現比較後的結果 (</w:t>
      </w:r>
      <w:hyperlink r:id="rIdL28" w:history="1">
        <w:r>
          <w:rPr>
            <w:rStyle w:val="Hyperlink"/>
            <w:rFonts w:ascii="Times New Roman" w:hAnsi="Times New Roman" w:eastAsia="標楷體" w:cs="Times New Roman"/>
          </w:rPr>
          <w:t xml:space="preserve">Oliver, 1980</w:t>
        </w:r>
      </w:hyperlink>
      <w:r>
        <w:rPr>
          <w:rFonts w:ascii="Times New Roman" w:hAnsi="Times New Roman" w:eastAsia="標楷體" w:cs="Times New Roman"/>
        </w:rPr>
        <w:t xml:space="preserve">)；後悔則來自對已選與未選方案的比較，並會影響再購與轉換 (</w:t>
      </w:r>
      <w:hyperlink r:id="rIdL27" w:history="1">
        <w:r>
          <w:rPr>
            <w:rStyle w:val="Hyperlink"/>
            <w:rFonts w:ascii="Times New Roman" w:hAnsi="Times New Roman" w:eastAsia="標楷體" w:cs="Times New Roman"/>
          </w:rPr>
          <w:t xml:space="preserve">Tsiros &amp; Mittal, 2000</w:t>
        </w:r>
      </w:hyperlink>
      <w:r>
        <w:rPr>
          <w:rFonts w:ascii="Times New Roman" w:hAnsi="Times New Roman" w:eastAsia="標楷體" w:cs="Times New Roman"/>
        </w:rPr>
        <w:t xml:space="preserve">)。退貨政策的寬鬆程度會同時提高購買與退貨，但對購買的提升較大 (</w:t>
      </w:r>
      <w:hyperlink r:id="rIdL55" w:history="1">
        <w:r>
          <w:rPr>
            <w:rStyle w:val="Hyperlink"/>
            <w:rFonts w:ascii="Times New Roman" w:hAnsi="Times New Roman" w:eastAsia="標楷體" w:cs="Times New Roman"/>
          </w:rPr>
          <w:t xml:space="preserve">Janakiraman et al., 2016</w:t>
        </w:r>
      </w:hyperlink>
      <w:r>
        <w:rPr>
          <w:rFonts w:ascii="Times New Roman" w:hAnsi="Times New Roman" w:eastAsia="標楷體" w:cs="Times New Roman"/>
        </w:rPr>
        <w:t xml:space="preserve">)，各寬鬆面向對退貨傾向與滿意的影響也不相同 (</w:t>
      </w:r>
      <w:hyperlink r:id="rIdL56" w:history="1">
        <w:r>
          <w:rPr>
            <w:rStyle w:val="Hyperlink"/>
            <w:rFonts w:ascii="Times New Roman" w:hAnsi="Times New Roman" w:eastAsia="標楷體" w:cs="Times New Roman"/>
          </w:rPr>
          <w:t xml:space="preserve">Duong et al., 2025</w:t>
        </w:r>
      </w:hyperlink>
      <w:r>
        <w:rPr>
          <w:rFonts w:ascii="Times New Roman" w:hAnsi="Times New Roman" w:eastAsia="標楷體" w:cs="Times New Roman"/>
        </w:rPr>
        <w:t xml:space="preserve">)。直播情境的研究顯示，即時說服會使購前期望超過實際表現而提高退貨 (</w:t>
      </w:r>
      <w:hyperlink r:id="rIdL8" w:history="1">
        <w:r>
          <w:rPr>
            <w:rStyle w:val="Hyperlink"/>
            <w:rFonts w:ascii="Times New Roman" w:hAnsi="Times New Roman" w:eastAsia="標楷體" w:cs="Times New Roman"/>
          </w:rPr>
          <w:t xml:space="preserve">Feng et al., 2025</w:t>
        </w:r>
      </w:hyperlink>
      <w:r>
        <w:rPr>
          <w:rFonts w:ascii="Times New Roman" w:hAnsi="Times New Roman" w:eastAsia="標楷體" w:cs="Times New Roman"/>
        </w:rPr>
        <w:t xml:space="preserve">)，高互動氣氛會降低購後滿意 (</w:t>
      </w:r>
      <w:hyperlink r:id="rIdL9" w:history="1">
        <w:r>
          <w:rPr>
            <w:rStyle w:val="Hyperlink"/>
            <w:rFonts w:ascii="Times New Roman" w:hAnsi="Times New Roman" w:eastAsia="標楷體" w:cs="Times New Roman"/>
          </w:rPr>
          <w:t xml:space="preserve">Fan et al., 2025</w:t>
        </w:r>
      </w:hyperlink>
      <w:r>
        <w:rPr>
          <w:rFonts w:ascii="Times New Roman" w:hAnsi="Times New Roman" w:eastAsia="標楷體" w:cs="Times New Roman"/>
        </w:rPr>
        <w:t xml:space="preserve">)。然而，消費者在說明「為什麼向某位主播購買」時，退貨與後悔位於價值鏈的哪個位置，目前仍無研究。據此，第一階段提出以下研究問題：</w:t>
      </w:r>
    </w:p>
    <w:p>
      <w:pPr>
        <w:spacing w:before="0" w:after="0" w:line="440" w:lineRule="exact"/>
        <w:ind w:left="960" w:hanging="480"/>
        <w:jc w:val="both"/>
      </w:pPr>
      <w:r>
        <w:rPr>
          <w:rFonts w:ascii="Times New Roman" w:hAnsi="Times New Roman" w:eastAsia="標楷體" w:cs="Times New Roman"/>
          <w:b/>
          <w:bCs/>
        </w:rPr>
        <w:t xml:space="preserve">RQ1：消費者向 AI 虛擬主播與真人主播購買時，各自連結到哪些屬性、後果與價值？</w:t>
      </w:r>
    </w:p>
    <w:p>
      <w:pPr>
        <w:spacing w:before="0" w:after="0" w:line="440" w:lineRule="exact"/>
        <w:ind w:left="960" w:hanging="480"/>
        <w:jc w:val="both"/>
      </w:pPr>
      <w:r>
        <w:rPr>
          <w:rFonts w:ascii="Times New Roman" w:hAnsi="Times New Roman" w:eastAsia="標楷體" w:cs="Times New Roman"/>
          <w:b/>
          <w:bCs/>
        </w:rPr>
        <w:t xml:space="preserve">RQ2：哪些價值鏈為兩類主播共通、哪些為各自特有？是否因品類（運動鞋、美妝、家具）而不同？</w:t>
      </w:r>
    </w:p>
    <w:p>
      <w:pPr>
        <w:spacing w:before="0" w:after="0" w:line="440" w:lineRule="exact"/>
        <w:ind w:left="960" w:hanging="480"/>
        <w:jc w:val="both"/>
      </w:pPr>
      <w:r>
        <w:rPr>
          <w:rFonts w:ascii="Times New Roman" w:hAnsi="Times New Roman" w:eastAsia="標楷體" w:cs="Times New Roman"/>
          <w:b/>
          <w:bCs/>
        </w:rPr>
        <w:t xml:space="preserve">RQ3：購後滿意、後悔與退貨位於價值鏈的哪個位置？哪些主播屬性連結到退貨後果？</w:t>
      </w:r>
    </w:p>
    <w:p>
      <w:pPr>
        <w:spacing w:before="0" w:after="0" w:line="440" w:lineRule="exact"/>
        <w:ind w:left="960" w:hanging="480"/>
        <w:jc w:val="both"/>
      </w:pPr>
      <w:r>
        <w:rPr>
          <w:rFonts w:ascii="Times New Roman" w:hAnsi="Times New Roman" w:eastAsia="標楷體" w:cs="Times New Roman"/>
          <w:b/>
          <w:bCs/>
        </w:rPr>
        <w:t xml:space="preserve">RQ4：兩類主播購買者的價值鏈，能否歸納為可測量的價值傾向（如功能型與情感社會型），供第二、三階段使用？</w:t>
      </w:r>
    </w:p>
    <w:p>
      <w:pPr>
        <w:spacing w:before="0" w:after="0" w:line="440" w:lineRule="exact"/>
        <w:ind w:firstLineChars="200" w:firstLine="480"/>
        <w:jc w:val="both"/>
      </w:pPr>
      <w:r>
        <w:rPr>
          <w:rFonts w:ascii="Times New Roman" w:hAnsi="Times New Roman" w:eastAsia="標楷體" w:cs="Times New Roman"/>
          <w:b/>
          <w:bCs/>
        </w:rPr>
        <w:t xml:space="preserve">小結。</w:t>
      </w:r>
      <w:r>
        <w:rPr>
          <w:rFonts w:ascii="Times New Roman" w:hAnsi="Times New Roman" w:eastAsia="標楷體" w:cs="Times New Roman"/>
        </w:rPr>
        <w:t xml:space="preserve">既有 AI 主播研究以問卷與實驗檢驗事先設定的構念，較少回到消費者「為什麼」向 AI 主播購買的價值層次，也較少把退貨與後悔納入。本研究第一階段以軟式階梯訪談比較兩類主播的購買者，從此一缺口介入探討。</w:t>
      </w:r>
    </w:p>
    <w:p>
      <w:pPr>
        <w:keepNext/>
        <w:spacing w:before="120" w:after="40" w:line="440" w:lineRule="exact"/>
      </w:pPr>
      <w:r>
        <w:rPr>
          <w:rFonts w:ascii="Times New Roman" w:hAnsi="Times New Roman" w:eastAsia="標楷體" w:cs="Times New Roman"/>
          <w:b/>
          <w:bCs/>
          <w:u w:val="single"/>
        </w:rPr>
        <w:t xml:space="preserve">第二部分【深入檢驗】主播類型、價值訴求話術與產品類型：實驗設計</w:t>
      </w:r>
    </w:p>
    <w:p>
      <w:pPr>
        <w:spacing w:before="0" w:after="0" w:line="440" w:lineRule="exact"/>
        <w:ind w:firstLineChars="200" w:firstLine="480"/>
        <w:jc w:val="both"/>
      </w:pPr>
      <w:r>
        <w:rPr>
          <w:rFonts w:ascii="Times New Roman" w:hAnsi="Times New Roman" w:eastAsia="標楷體" w:cs="Times New Roman"/>
        </w:rPr>
        <w:t xml:space="preserve">第二階段以第一階段的價值鏈撰寫實驗話術，檢驗主播類型、話術與產品類型的交互作用，以及其對購買與購後預期的影響。本階段採用社會知覺、說服知識與後悔理論為理論基礎，以下就相關文獻分述之。</w:t>
      </w:r>
    </w:p>
    <w:p>
      <w:pPr>
        <w:pStyle w:val="Heading3"/>
        <w:keepNext/>
        <w:spacing w:before="120" w:after="40" w:line="440" w:lineRule="exact"/>
        <w:ind w:left="480" w:hanging="480"/>
      </w:pPr>
      <w:r>
        <w:rPr>
          <w:rFonts w:ascii="Times New Roman" w:hAnsi="Times New Roman" w:eastAsia="標楷體" w:cs="Times New Roman"/>
          <w:b/>
          <w:bCs/>
        </w:rPr>
        <w:t xml:space="preserve">（一）AI 適合什麼樣的訊息？</w:t>
      </w:r>
    </w:p>
    <w:p>
      <w:pPr>
        <w:spacing w:before="0" w:after="0" w:line="440" w:lineRule="exact"/>
        <w:ind w:firstLineChars="200" w:firstLine="480"/>
        <w:jc w:val="both"/>
      </w:pPr>
      <w:r>
        <w:rPr>
          <w:rFonts w:ascii="Times New Roman" w:hAnsi="Times New Roman" w:eastAsia="標楷體" w:cs="Times New Roman"/>
        </w:rPr>
        <w:t xml:space="preserve">消費者相信 AI 較擅長實用性任務、較不擅長享樂性任務，因此在實用性情境較願意接受 AI 的推薦，在享樂性情境則傾向人類推薦，即「機器口碑效果」(</w:t>
      </w:r>
      <w:hyperlink r:id="rIdL19" w:history="1">
        <w:r>
          <w:rPr>
            <w:rStyle w:val="Hyperlink"/>
            <w:rFonts w:ascii="Times New Roman" w:hAnsi="Times New Roman" w:eastAsia="標楷體" w:cs="Times New Roman"/>
          </w:rPr>
          <w:t xml:space="preserve">Longoni &amp; Cian, 2022</w:t>
        </w:r>
      </w:hyperlink>
      <w:r>
        <w:rPr>
          <w:rFonts w:ascii="Times New Roman" w:hAnsi="Times New Roman" w:eastAsia="標楷體" w:cs="Times New Roman"/>
        </w:rPr>
        <w:t xml:space="preserve">)；演算法趨避也取決於任務被視為客觀或主觀 (</w:t>
      </w:r>
      <w:hyperlink r:id="rIdL20" w:history="1">
        <w:r>
          <w:rPr>
            <w:rStyle w:val="Hyperlink"/>
            <w:rFonts w:ascii="Times New Roman" w:hAnsi="Times New Roman" w:eastAsia="標楷體" w:cs="Times New Roman"/>
          </w:rPr>
          <w:t xml:space="preserve">Castelo et al., 2019</w:t>
        </w:r>
      </w:hyperlink>
      <w:r>
        <w:rPr>
          <w:rFonts w:ascii="Times New Roman" w:hAnsi="Times New Roman" w:eastAsia="標楷體" w:cs="Times New Roman"/>
        </w:rPr>
        <w:t xml:space="preserve">)。另一方面，人們以較具體的層次理解 AI，因此 AI 傳遞具體、說明「怎麼做」的訊息時較具說服力 (</w:t>
      </w:r>
      <w:hyperlink r:id="rIdL21" w:history="1">
        <w:r>
          <w:rPr>
            <w:rStyle w:val="Hyperlink"/>
            <w:rFonts w:ascii="Times New Roman" w:hAnsi="Times New Roman" w:eastAsia="標楷體" w:cs="Times New Roman"/>
          </w:rPr>
          <w:t xml:space="preserve">Kim &amp; Duhachek, 2020</w:t>
        </w:r>
      </w:hyperlink>
      <w:r>
        <w:rPr>
          <w:rFonts w:ascii="Times New Roman" w:hAnsi="Times New Roman" w:eastAsia="標楷體" w:cs="Times New Roman"/>
        </w:rPr>
        <w:t xml:space="preserve">)。直播研究也顯示，AI 主播以產品導向互動提高實用型產品的購買意圖、真人主播以社交互動提高享樂型產品的購買意圖 (</w:t>
      </w:r>
      <w:hyperlink r:id="rIdL15" w:history="1">
        <w:r>
          <w:rPr>
            <w:rStyle w:val="Hyperlink"/>
            <w:rFonts w:ascii="Times New Roman" w:hAnsi="Times New Roman" w:eastAsia="標楷體" w:cs="Times New Roman"/>
          </w:rPr>
          <w:t xml:space="preserve">H. Liu et al., 2025</w:t>
        </w:r>
      </w:hyperlink>
      <w:r>
        <w:rPr>
          <w:rFonts w:ascii="Times New Roman" w:hAnsi="Times New Roman" w:eastAsia="標楷體" w:cs="Times New Roman"/>
        </w:rPr>
        <w:t xml:space="preserve">)，AI 主播搭配強勢訊息、真人主播搭配非強勢訊息效果較佳 (</w:t>
      </w:r>
      <w:hyperlink r:id="rIdL22" w:history="1">
        <w:r>
          <w:rPr>
            <w:rStyle w:val="Hyperlink"/>
            <w:rFonts w:ascii="Times New Roman" w:hAnsi="Times New Roman" w:eastAsia="標楷體" w:cs="Times New Roman"/>
          </w:rPr>
          <w:t xml:space="preserve">Gong et al., 2025</w:t>
        </w:r>
      </w:hyperlink>
      <w:r>
        <w:rPr>
          <w:rFonts w:ascii="Times New Roman" w:hAnsi="Times New Roman" w:eastAsia="標楷體" w:cs="Times New Roman"/>
        </w:rPr>
        <w:t xml:space="preserve">)。聊天機器人的研究則發現，有趣的對話風格比溫暖的風格更能提高顧客投入 (</w:t>
      </w:r>
      <w:hyperlink r:id="rIdL57" w:history="1">
        <w:r>
          <w:rPr>
            <w:rStyle w:val="Hyperlink"/>
            <w:rFonts w:ascii="Times New Roman" w:hAnsi="Times New Roman" w:eastAsia="標楷體" w:cs="Times New Roman"/>
          </w:rPr>
          <w:t xml:space="preserve">Bhattacharjee et al., 2025</w:t>
        </w:r>
      </w:hyperlink>
      <w:r>
        <w:rPr>
          <w:rFonts w:ascii="Times New Roman" w:hAnsi="Times New Roman" w:eastAsia="標楷體" w:cs="Times New Roman"/>
        </w:rPr>
        <w:t xml:space="preserve">)。</w:t>
      </w:r>
    </w:p>
    <w:p>
      <w:pPr>
        <w:spacing w:before="0" w:after="0" w:line="440" w:lineRule="exact"/>
        <w:ind w:firstLineChars="200" w:firstLine="480"/>
        <w:jc w:val="both"/>
      </w:pPr>
      <w:r>
        <w:rPr>
          <w:rFonts w:ascii="Times New Roman" w:hAnsi="Times New Roman" w:eastAsia="標楷體" w:cs="Times New Roman"/>
        </w:rPr>
        <w:t xml:space="preserve">本研究將第一階段的價值鏈改寫為兩種價值訴求話術：「功能價值話術」強調尺寸、材質、規格與比價等屬性及其功能後果；「情感社會價值話術」強調穿搭樂趣、他人眼光與自我表現等情感與社會後果。兩種話術的資訊量與長度相同。據此提出：</w:t>
      </w:r>
    </w:p>
    <w:p>
      <w:pPr>
        <w:spacing w:before="0" w:after="0" w:line="440" w:lineRule="exact"/>
        <w:ind w:left="960" w:hanging="480"/>
        <w:jc w:val="both"/>
      </w:pPr>
      <w:r>
        <w:rPr>
          <w:rFonts w:ascii="Times New Roman" w:hAnsi="Times New Roman" w:eastAsia="標楷體" w:cs="Times New Roman"/>
          <w:b/>
          <w:bCs/>
        </w:rPr>
        <w:t xml:space="preserve">H1：主播類型 × 價值訴求話術對購買意圖有交互作用：AI 主播使用功能價值話術、真人主播使用情感社會價值話術時，購買意圖較高。</w:t>
      </w:r>
    </w:p>
    <w:p>
      <w:pPr>
        <w:spacing w:before="0" w:after="0" w:line="440" w:lineRule="exact"/>
        <w:ind w:left="960" w:hanging="480"/>
        <w:jc w:val="both"/>
      </w:pPr>
      <w:r>
        <w:rPr>
          <w:rFonts w:ascii="Times New Roman" w:hAnsi="Times New Roman" w:eastAsia="標楷體" w:cs="Times New Roman"/>
          <w:b/>
          <w:bCs/>
        </w:rPr>
        <w:t xml:space="preserve">H2：產品類型調節 H1：享樂型產品下，AI 主播相對於真人主播的劣勢較大；實用型產品下，此劣勢縮小或消失；此模式跨品類成立。</w:t>
      </w:r>
    </w:p>
    <w:p>
      <w:pPr>
        <w:pStyle w:val="Heading3"/>
        <w:keepNext/>
        <w:spacing w:before="120" w:after="40" w:line="440" w:lineRule="exact"/>
        <w:ind w:left="480" w:hanging="480"/>
      </w:pPr>
      <w:r>
        <w:rPr>
          <w:rFonts w:ascii="Times New Roman" w:hAnsi="Times New Roman" w:eastAsia="標楷體" w:cs="Times New Roman"/>
          <w:b/>
          <w:bCs/>
        </w:rPr>
        <w:t xml:space="preserve">（二）溫暖、能力與說服意圖知覺</w:t>
      </w:r>
    </w:p>
    <w:p>
      <w:pPr>
        <w:spacing w:before="0" w:after="0" w:line="440" w:lineRule="exact"/>
        <w:ind w:firstLineChars="200" w:firstLine="480"/>
        <w:jc w:val="both"/>
      </w:pPr>
      <w:r>
        <w:rPr>
          <w:rFonts w:ascii="Times New Roman" w:hAnsi="Times New Roman" w:eastAsia="標楷體" w:cs="Times New Roman"/>
        </w:rPr>
        <w:t xml:space="preserve">人們以溫暖與能力兩個基本向度評價他人 (</w:t>
      </w:r>
      <w:hyperlink r:id="rIdL23" w:history="1">
        <w:r>
          <w:rPr>
            <w:rStyle w:val="Hyperlink"/>
            <w:rFonts w:ascii="Times New Roman" w:hAnsi="Times New Roman" w:eastAsia="標楷體" w:cs="Times New Roman"/>
          </w:rPr>
          <w:t xml:space="preserve">Fiske et al., 2007</w:t>
        </w:r>
      </w:hyperlink>
      <w:r>
        <w:rPr>
          <w:rFonts w:ascii="Times New Roman" w:hAnsi="Times New Roman" w:eastAsia="標楷體" w:cs="Times New Roman"/>
        </w:rPr>
        <w:t xml:space="preserve">)。以 AI 取代人員服務，會因心智知覺降低而減少顧客的溫暖知覺，但非正式語言與實用性動機能減弱此效果 (</w:t>
      </w:r>
      <w:hyperlink r:id="rIdL24" w:history="1">
        <w:r>
          <w:rPr>
            <w:rStyle w:val="Hyperlink"/>
            <w:rFonts w:ascii="Times New Roman" w:hAnsi="Times New Roman" w:eastAsia="標楷體" w:cs="Times New Roman"/>
          </w:rPr>
          <w:t xml:space="preserve">Lv et al., 2025</w:t>
        </w:r>
      </w:hyperlink>
      <w:r>
        <w:rPr>
          <w:rFonts w:ascii="Times New Roman" w:hAnsi="Times New Roman" w:eastAsia="標楷體" w:cs="Times New Roman"/>
        </w:rPr>
        <w:t xml:space="preserve">)。說服知識模型指出，消費者察覺到說服意圖時，會啟動因應機制 (</w:t>
      </w:r>
      <w:hyperlink r:id="rIdL25" w:history="1">
        <w:r>
          <w:rPr>
            <w:rStyle w:val="Hyperlink"/>
            <w:rFonts w:ascii="Times New Roman" w:hAnsi="Times New Roman" w:eastAsia="標楷體" w:cs="Times New Roman"/>
          </w:rPr>
          <w:t xml:space="preserve">Friestad &amp; Wright, 1994</w:t>
        </w:r>
      </w:hyperlink>
      <w:r>
        <w:rPr>
          <w:rFonts w:ascii="Times New Roman" w:hAnsi="Times New Roman" w:eastAsia="標楷體" w:cs="Times New Roman"/>
        </w:rPr>
        <w:t xml:space="preserve">)；AI 代理人被知覺為意圖較弱，因此在傳遞不利訊息時反而較被接受 (</w:t>
      </w:r>
      <w:hyperlink r:id="rIdL26" w:history="1">
        <w:r>
          <w:rPr>
            <w:rStyle w:val="Hyperlink"/>
            <w:rFonts w:ascii="Times New Roman" w:hAnsi="Times New Roman" w:eastAsia="標楷體" w:cs="Times New Roman"/>
          </w:rPr>
          <w:t xml:space="preserve">Garvey et al., 2023</w:t>
        </w:r>
      </w:hyperlink>
      <w:r>
        <w:rPr>
          <w:rFonts w:ascii="Times New Roman" w:hAnsi="Times New Roman" w:eastAsia="標楷體" w:cs="Times New Roman"/>
        </w:rPr>
        <w:t xml:space="preserve">)，演算法做出的有利決定也較難被消費者歸因於自己 (</w:t>
      </w:r>
      <w:hyperlink r:id="rIdL58" w:history="1">
        <w:r>
          <w:rPr>
            <w:rStyle w:val="Hyperlink"/>
            <w:rFonts w:ascii="Times New Roman" w:hAnsi="Times New Roman" w:eastAsia="標楷體" w:cs="Times New Roman"/>
          </w:rPr>
          <w:t xml:space="preserve">Yalcin et al., 2022</w:t>
        </w:r>
      </w:hyperlink>
      <w:r>
        <w:rPr>
          <w:rFonts w:ascii="Times New Roman" w:hAnsi="Times New Roman" w:eastAsia="標楷體" w:cs="Times New Roman"/>
        </w:rPr>
        <w:t xml:space="preserve">)。</w:t>
      </w:r>
    </w:p>
    <w:p>
      <w:pPr>
        <w:spacing w:before="0" w:after="0" w:line="440" w:lineRule="exact"/>
        <w:ind w:firstLineChars="200" w:firstLine="480"/>
        <w:jc w:val="both"/>
      </w:pPr>
      <w:r>
        <w:rPr>
          <w:rFonts w:ascii="Times New Roman" w:hAnsi="Times New Roman" w:eastAsia="標楷體" w:cs="Times New Roman"/>
        </w:rPr>
        <w:t xml:space="preserve">把這些研究連結到直播情境，可推論出一個尚未被檢驗的機制：真人主播的即時說服會提高購前期望，進而提高退貨 (</w:t>
      </w:r>
      <w:hyperlink r:id="rIdL8" w:history="1">
        <w:r>
          <w:rPr>
            <w:rStyle w:val="Hyperlink"/>
            <w:rFonts w:ascii="Times New Roman" w:hAnsi="Times New Roman" w:eastAsia="標楷體" w:cs="Times New Roman"/>
          </w:rPr>
          <w:t xml:space="preserve">Feng et al., 2025</w:t>
        </w:r>
      </w:hyperlink>
      <w:r>
        <w:rPr>
          <w:rFonts w:ascii="Times New Roman" w:hAnsi="Times New Roman" w:eastAsia="標楷體" w:cs="Times New Roman"/>
        </w:rPr>
        <w:t xml:space="preserve">)；若 AI 主播被知覺為說服意圖較弱，消費者較少因「被說服」而做出超出需求的購買，購後後悔與退貨意圖也可能較低。這與 AI 直播助理能降低退貨的田野實驗結果方向一致 (</w:t>
      </w:r>
      <w:hyperlink r:id="rIdL10" w:history="1">
        <w:r>
          <w:rPr>
            <w:rStyle w:val="Hyperlink"/>
            <w:rFonts w:ascii="Times New Roman" w:hAnsi="Times New Roman" w:eastAsia="標楷體" w:cs="Times New Roman"/>
          </w:rPr>
          <w:t xml:space="preserve">Wang et al., 2025</w:t>
        </w:r>
      </w:hyperlink>
      <w:r>
        <w:rPr>
          <w:rFonts w:ascii="Times New Roman" w:hAnsi="Times New Roman" w:eastAsia="標楷體" w:cs="Times New Roman"/>
        </w:rPr>
        <w:t xml:space="preserve">)。據此提出：</w:t>
      </w:r>
    </w:p>
    <w:p>
      <w:pPr>
        <w:spacing w:before="0" w:after="0" w:line="440" w:lineRule="exact"/>
        <w:ind w:left="960" w:hanging="480"/>
        <w:jc w:val="both"/>
      </w:pPr>
      <w:r>
        <w:rPr>
          <w:rFonts w:ascii="Times New Roman" w:hAnsi="Times New Roman" w:eastAsia="標楷體" w:cs="Times New Roman"/>
          <w:b/>
          <w:bCs/>
        </w:rPr>
        <w:t xml:space="preserve">H3：溫暖感與能力感中介主播類型對購買意圖的影響：AI 主播的溫暖感較低、能力感不低於真人主播。</w:t>
      </w:r>
    </w:p>
    <w:p>
      <w:pPr>
        <w:spacing w:before="0" w:after="0" w:line="440" w:lineRule="exact"/>
        <w:ind w:left="960" w:hanging="480"/>
        <w:jc w:val="both"/>
      </w:pPr>
      <w:r>
        <w:rPr>
          <w:rFonts w:ascii="Times New Roman" w:hAnsi="Times New Roman" w:eastAsia="標楷體" w:cs="Times New Roman"/>
          <w:b/>
          <w:bCs/>
        </w:rPr>
        <w:t xml:space="preserve">H4：相較於真人主播，AI 主播的說服意圖知覺較低，進而降低一週後的預期後悔與退貨意圖。</w:t>
      </w:r>
    </w:p>
    <w:p>
      <w:pPr>
        <w:pStyle w:val="Heading3"/>
        <w:keepNext/>
        <w:spacing w:before="120" w:after="40" w:line="440" w:lineRule="exact"/>
        <w:ind w:left="480" w:hanging="480"/>
      </w:pPr>
      <w:r>
        <w:rPr>
          <w:rFonts w:ascii="Times New Roman" w:hAnsi="Times New Roman" w:eastAsia="標楷體" w:cs="Times New Roman"/>
          <w:b/>
          <w:bCs/>
        </w:rPr>
        <w:t xml:space="preserve">（三）AI 身分的揭露</w:t>
      </w:r>
    </w:p>
    <w:p>
      <w:pPr>
        <w:spacing w:before="0" w:after="0" w:line="440" w:lineRule="exact"/>
        <w:ind w:firstLineChars="200" w:firstLine="480"/>
        <w:jc w:val="both"/>
      </w:pPr>
      <w:r>
        <w:rPr>
          <w:rFonts w:ascii="Times New Roman" w:hAnsi="Times New Roman" w:eastAsia="標楷體" w:cs="Times New Roman"/>
        </w:rPr>
        <w:t xml:space="preserve">在購買前揭露對方是聊天機器人，會使購買率大幅下降，原因是消費者認為機器人較不專業、較缺乏同理心 (</w:t>
      </w:r>
      <w:hyperlink r:id="rIdL32" w:history="1">
        <w:r>
          <w:rPr>
            <w:rStyle w:val="Hyperlink"/>
            <w:rFonts w:ascii="Times New Roman" w:hAnsi="Times New Roman" w:eastAsia="標楷體" w:cs="Times New Roman"/>
          </w:rPr>
          <w:t xml:space="preserve">Luo et al., 2019</w:t>
        </w:r>
      </w:hyperlink>
      <w:r>
        <w:rPr>
          <w:rFonts w:ascii="Times New Roman" w:hAnsi="Times New Roman" w:eastAsia="標楷體" w:cs="Times New Roman"/>
        </w:rPr>
        <w:t xml:space="preserve">)；讓聊天機器人更像人，則會使顧客轉向以公平與議價的心態互動 (</w:t>
      </w:r>
      <w:hyperlink r:id="rIdL59" w:history="1">
        <w:r>
          <w:rPr>
            <w:rStyle w:val="Hyperlink"/>
            <w:rFonts w:ascii="Times New Roman" w:hAnsi="Times New Roman" w:eastAsia="標楷體" w:cs="Times New Roman"/>
          </w:rPr>
          <w:t xml:space="preserve">Schanke et al., 2021</w:t>
        </w:r>
      </w:hyperlink>
      <w:r>
        <w:rPr>
          <w:rFonts w:ascii="Times New Roman" w:hAnsi="Times New Roman" w:eastAsia="標楷體" w:cs="Times New Roman"/>
        </w:rPr>
        <w:t xml:space="preserve">)。揭露有真人參與的混合式客服，會改變顧客的溝通方式 (</w:t>
      </w:r>
      <w:hyperlink r:id="rIdL35" w:history="1">
        <w:r>
          <w:rPr>
            <w:rStyle w:val="Hyperlink"/>
            <w:rFonts w:ascii="Times New Roman" w:hAnsi="Times New Roman" w:eastAsia="標楷體" w:cs="Times New Roman"/>
          </w:rPr>
          <w:t xml:space="preserve">Gnewuch et al., 2024</w:t>
        </w:r>
      </w:hyperlink>
      <w:r>
        <w:rPr>
          <w:rFonts w:ascii="Times New Roman" w:hAnsi="Times New Roman" w:eastAsia="標楷體" w:cs="Times New Roman"/>
        </w:rPr>
        <w:t xml:space="preserve">)。在內容層面，品牌以生成式 AI 製作社群內容會降低品牌真實性，但若 AI 只是輔助人員，負面反應會減弱 (</w:t>
      </w:r>
      <w:hyperlink r:id="rIdL33" w:history="1">
        <w:r>
          <w:rPr>
            <w:rStyle w:val="Hyperlink"/>
            <w:rFonts w:ascii="Times New Roman" w:hAnsi="Times New Roman" w:eastAsia="標楷體" w:cs="Times New Roman"/>
          </w:rPr>
          <w:t xml:space="preserve">Brüns &amp; Meißner, 2024</w:t>
        </w:r>
      </w:hyperlink>
      <w:r>
        <w:rPr>
          <w:rFonts w:ascii="Times New Roman" w:hAnsi="Times New Roman" w:eastAsia="標楷體" w:cs="Times New Roman"/>
        </w:rPr>
        <w:t xml:space="preserve">)；消費者若相信情感性行銷訊息由 AI 撰寫，口碑與忠誠會下降，且由真實性與道德厭惡依序中介，此效果在事實性訊息中較弱 (</w:t>
      </w:r>
      <w:hyperlink r:id="rIdL34" w:history="1">
        <w:r>
          <w:rPr>
            <w:rStyle w:val="Hyperlink"/>
            <w:rFonts w:ascii="Times New Roman" w:hAnsi="Times New Roman" w:eastAsia="標楷體" w:cs="Times New Roman"/>
          </w:rPr>
          <w:t xml:space="preserve">Kirk &amp; Givi, 2025</w:t>
        </w:r>
      </w:hyperlink>
      <w:r>
        <w:rPr>
          <w:rFonts w:ascii="Times New Roman" w:hAnsi="Times New Roman" w:eastAsia="標楷體" w:cs="Times New Roman"/>
        </w:rPr>
        <w:t xml:space="preserve">)。治理研究則指出，AI 主播的廣泛使用已帶來消費者保護的議題 (</w:t>
      </w:r>
      <w:hyperlink r:id="rIdL4" w:history="1">
        <w:r>
          <w:rPr>
            <w:rStyle w:val="Hyperlink"/>
            <w:rFonts w:ascii="Times New Roman" w:hAnsi="Times New Roman" w:eastAsia="標楷體" w:cs="Times New Roman"/>
          </w:rPr>
          <w:t xml:space="preserve">Meng, 2026</w:t>
        </w:r>
      </w:hyperlink>
      <w:r>
        <w:rPr>
          <w:rFonts w:ascii="Times New Roman" w:hAnsi="Times New Roman" w:eastAsia="標楷體" w:cs="Times New Roman"/>
        </w:rPr>
        <w:t xml:space="preserve">)。據此，本研究以 AI 主播為對象，比較不標示、平台標示與主播自述三種揭露方式：</w:t>
      </w:r>
    </w:p>
    <w:p>
      <w:pPr>
        <w:spacing w:before="0" w:after="0" w:line="440" w:lineRule="exact"/>
        <w:ind w:left="960" w:hanging="480"/>
        <w:jc w:val="both"/>
      </w:pPr>
      <w:r>
        <w:rPr>
          <w:rFonts w:ascii="Times New Roman" w:hAnsi="Times New Roman" w:eastAsia="標楷體" w:cs="Times New Roman"/>
          <w:b/>
          <w:bCs/>
        </w:rPr>
        <w:t xml:space="preserve">H5：相較於不標示，揭露 AI 身分會降低信任與購買意圖。</w:t>
      </w:r>
    </w:p>
    <w:p>
      <w:pPr>
        <w:spacing w:before="0" w:after="0" w:line="440" w:lineRule="exact"/>
        <w:ind w:left="960" w:hanging="480"/>
        <w:jc w:val="both"/>
      </w:pPr>
      <w:r>
        <w:rPr>
          <w:rFonts w:ascii="Times New Roman" w:hAnsi="Times New Roman" w:eastAsia="標楷體" w:cs="Times New Roman"/>
          <w:b/>
          <w:bCs/>
        </w:rPr>
        <w:t xml:space="preserve">H6：主播自述「我是 AI 主播」的負面效果，小於平台加註「AI 生成」的標示。</w:t>
      </w:r>
    </w:p>
    <w:p>
      <w:pPr>
        <w:spacing w:before="0" w:after="0" w:line="440" w:lineRule="exact"/>
        <w:ind w:firstLineChars="200" w:firstLine="480"/>
        <w:jc w:val="both"/>
      </w:pPr>
      <w:r>
        <w:rPr>
          <w:rFonts w:ascii="Times New Roman" w:hAnsi="Times New Roman" w:eastAsia="標楷體" w:cs="Times New Roman"/>
          <w:b/>
          <w:bCs/>
        </w:rPr>
        <w:t xml:space="preserve">小結。</w:t>
      </w:r>
      <w:r>
        <w:rPr>
          <w:rFonts w:ascii="Times New Roman" w:hAnsi="Times New Roman" w:eastAsia="標楷體" w:cs="Times New Roman"/>
        </w:rPr>
        <w:t xml:space="preserve">既有研究多以研究者設定的訊息類型比較 AI 與真人主播，依變數停留在購買意圖，揭露研究亦未進入直播情境。本研究第二階段以消費者價值鏈為基礎設計話術，並把購後預期與揭露方式納入，從此一缺口介入探討。</w:t>
      </w:r>
    </w:p>
    <w:p>
      <w:pPr>
        <w:keepNext/>
        <w:spacing w:before="120" w:after="40" w:line="440" w:lineRule="exact"/>
      </w:pPr>
      <w:r>
        <w:rPr>
          <w:rFonts w:ascii="Times New Roman" w:hAnsi="Times New Roman" w:eastAsia="標楷體" w:cs="Times New Roman"/>
          <w:b/>
          <w:bCs/>
          <w:u w:val="single"/>
        </w:rPr>
        <w:t xml:space="preserve">第三部分【推廣驗證】直播購物的購後路徑：結構方程模式</w:t>
      </w:r>
    </w:p>
    <w:p>
      <w:pPr>
        <w:spacing w:before="0" w:after="0" w:line="440" w:lineRule="exact"/>
        <w:ind w:firstLineChars="200" w:firstLine="480"/>
        <w:jc w:val="both"/>
      </w:pPr>
      <w:r>
        <w:rPr>
          <w:rFonts w:ascii="Times New Roman" w:hAnsi="Times New Roman" w:eastAsia="標楷體" w:cs="Times New Roman"/>
        </w:rPr>
        <w:t xml:space="preserve">第三階段以真實直播購買者的資料，驗證從主播知覺到購後結果的路徑，並比較不同主播類型與價值傾向的消費者。本階段採用期望確認、信任與社會知覺理論為理論基礎，以下就相關文獻分述之。</w:t>
      </w:r>
    </w:p>
    <w:p>
      <w:pPr>
        <w:pStyle w:val="Heading3"/>
        <w:keepNext/>
        <w:spacing w:before="120" w:after="40" w:line="440" w:lineRule="exact"/>
        <w:ind w:left="480" w:hanging="480"/>
      </w:pPr>
      <w:r>
        <w:rPr>
          <w:rFonts w:ascii="Times New Roman" w:hAnsi="Times New Roman" w:eastAsia="標楷體" w:cs="Times New Roman"/>
          <w:b/>
          <w:bCs/>
        </w:rPr>
        <w:t xml:space="preserve">（一）主播知覺與信任</w:t>
      </w:r>
    </w:p>
    <w:p>
      <w:pPr>
        <w:spacing w:before="0" w:after="0" w:line="440" w:lineRule="exact"/>
        <w:ind w:firstLineChars="200" w:firstLine="480"/>
        <w:jc w:val="both"/>
      </w:pPr>
      <w:r>
        <w:rPr>
          <w:rFonts w:ascii="Times New Roman" w:hAnsi="Times New Roman" w:eastAsia="標楷體" w:cs="Times New Roman"/>
        </w:rPr>
        <w:t xml:space="preserve">信任是關係行銷的核心 (</w:t>
      </w:r>
      <w:hyperlink r:id="rIdL60" w:history="1">
        <w:r>
          <w:rPr>
            <w:rStyle w:val="Hyperlink"/>
            <w:rFonts w:ascii="Times New Roman" w:hAnsi="Times New Roman" w:eastAsia="標楷體" w:cs="Times New Roman"/>
          </w:rPr>
          <w:t xml:space="preserve">Morgan &amp; Hunt, 1994</w:t>
        </w:r>
      </w:hyperlink>
      <w:r>
        <w:rPr>
          <w:rFonts w:ascii="Times New Roman" w:hAnsi="Times New Roman" w:eastAsia="標楷體" w:cs="Times New Roman"/>
        </w:rPr>
        <w:t xml:space="preserve">)，在網路購物中與知覺有用性同等重要 (</w:t>
      </w:r>
      <w:hyperlink r:id="rIdL61" w:history="1">
        <w:r>
          <w:rPr>
            <w:rStyle w:val="Hyperlink"/>
            <w:rFonts w:ascii="Times New Roman" w:hAnsi="Times New Roman" w:eastAsia="標楷體" w:cs="Times New Roman"/>
          </w:rPr>
          <w:t xml:space="preserve">Gefen et al., 2003</w:t>
        </w:r>
      </w:hyperlink>
      <w:r>
        <w:rPr>
          <w:rFonts w:ascii="Times New Roman" w:hAnsi="Times New Roman" w:eastAsia="標楷體" w:cs="Times New Roman"/>
        </w:rPr>
        <w:t xml:space="preserve">)。直播研究顯示，消費者經由主播傳遞的價值建立對產品與賣家的信任 (</w:t>
      </w:r>
      <w:hyperlink r:id="rIdL1" w:history="1">
        <w:r>
          <w:rPr>
            <w:rStyle w:val="Hyperlink"/>
            <w:rFonts w:ascii="Times New Roman" w:hAnsi="Times New Roman" w:eastAsia="標楷體" w:cs="Times New Roman"/>
          </w:rPr>
          <w:t xml:space="preserve">Wongkitrungrueng &amp; Assarut, 2020</w:t>
        </w:r>
      </w:hyperlink>
      <w:r>
        <w:rPr>
          <w:rFonts w:ascii="Times New Roman" w:hAnsi="Times New Roman" w:eastAsia="標楷體" w:cs="Times New Roman"/>
        </w:rPr>
        <w:t xml:space="preserve">)，主播的示範與價值觀分享是降低不確定性的訊號 (</w:t>
      </w:r>
      <w:hyperlink r:id="rIdL2" w:history="1">
        <w:r>
          <w:rPr>
            <w:rStyle w:val="Hyperlink"/>
            <w:rFonts w:ascii="Times New Roman" w:hAnsi="Times New Roman" w:eastAsia="標楷體" w:cs="Times New Roman"/>
          </w:rPr>
          <w:t xml:space="preserve">Lu &amp; Chen, 2021</w:t>
        </w:r>
      </w:hyperlink>
      <w:r>
        <w:rPr>
          <w:rFonts w:ascii="Times New Roman" w:hAnsi="Times New Roman" w:eastAsia="標楷體" w:cs="Times New Roman"/>
        </w:rPr>
        <w:t xml:space="preserve">)。對 AI 主播而言，消費者的反感同時來自溫暖不足與能力不足 (</w:t>
      </w:r>
      <w:hyperlink r:id="rIdL6" w:history="1">
        <w:r>
          <w:rPr>
            <w:rStyle w:val="Hyperlink"/>
            <w:rFonts w:ascii="Times New Roman" w:hAnsi="Times New Roman" w:eastAsia="標楷體" w:cs="Times New Roman"/>
          </w:rPr>
          <w:t xml:space="preserve">Xiao et al., 2025</w:t>
        </w:r>
      </w:hyperlink>
      <w:r>
        <w:rPr>
          <w:rFonts w:ascii="Times New Roman" w:hAnsi="Times New Roman" w:eastAsia="標楷體" w:cs="Times New Roman"/>
        </w:rPr>
        <w:t xml:space="preserve">)。據此提出：</w:t>
      </w:r>
    </w:p>
    <w:p>
      <w:pPr>
        <w:spacing w:before="0" w:after="0" w:line="440" w:lineRule="exact"/>
        <w:ind w:left="960" w:hanging="480"/>
        <w:jc w:val="both"/>
      </w:pPr>
      <w:r>
        <w:rPr>
          <w:rFonts w:ascii="Times New Roman" w:hAnsi="Times New Roman" w:eastAsia="標楷體" w:cs="Times New Roman"/>
          <w:b/>
          <w:bCs/>
        </w:rPr>
        <w:t xml:space="preserve">H1：主播溫暖感與能力感正向影響消費者對主播與商品的信任。</w:t>
      </w:r>
    </w:p>
    <w:p>
      <w:pPr>
        <w:pStyle w:val="Heading3"/>
        <w:keepNext/>
        <w:spacing w:before="120" w:after="40" w:line="440" w:lineRule="exact"/>
        <w:ind w:left="480" w:hanging="480"/>
      </w:pPr>
      <w:r>
        <w:rPr>
          <w:rFonts w:ascii="Times New Roman" w:hAnsi="Times New Roman" w:eastAsia="標楷體" w:cs="Times New Roman"/>
          <w:b/>
          <w:bCs/>
        </w:rPr>
        <w:t xml:space="preserve">（二）互動強度、期望確認與購後結果</w:t>
      </w:r>
    </w:p>
    <w:p>
      <w:pPr>
        <w:spacing w:before="0" w:after="0" w:line="440" w:lineRule="exact"/>
        <w:ind w:firstLineChars="200" w:firstLine="480"/>
        <w:jc w:val="both"/>
      </w:pPr>
      <w:r>
        <w:rPr>
          <w:rFonts w:ascii="Times New Roman" w:hAnsi="Times New Roman" w:eastAsia="標楷體" w:cs="Times New Roman"/>
        </w:rPr>
        <w:t xml:space="preserve">期望確認理論指出，滿意取決於購前期望與實際表現的比較 (</w:t>
      </w:r>
      <w:hyperlink r:id="rIdL28" w:history="1">
        <w:r>
          <w:rPr>
            <w:rStyle w:val="Hyperlink"/>
            <w:rFonts w:ascii="Times New Roman" w:hAnsi="Times New Roman" w:eastAsia="標楷體" w:cs="Times New Roman"/>
          </w:rPr>
          <w:t xml:space="preserve">Oliver, 1980</w:t>
        </w:r>
      </w:hyperlink>
      <w:r>
        <w:rPr>
          <w:rFonts w:ascii="Times New Roman" w:hAnsi="Times New Roman" w:eastAsia="標楷體" w:cs="Times New Roman"/>
        </w:rPr>
        <w:t xml:space="preserve">)。直播的高互動氣氛雖提高立即購買，卻經由資訊過載與期望落差降低購後滿意 (</w:t>
      </w:r>
      <w:hyperlink r:id="rIdL9" w:history="1">
        <w:r>
          <w:rPr>
            <w:rStyle w:val="Hyperlink"/>
            <w:rFonts w:ascii="Times New Roman" w:hAnsi="Times New Roman" w:eastAsia="標楷體" w:cs="Times New Roman"/>
          </w:rPr>
          <w:t xml:space="preserve">Fan et al., 2025</w:t>
        </w:r>
      </w:hyperlink>
      <w:r>
        <w:rPr>
          <w:rFonts w:ascii="Times New Roman" w:hAnsi="Times New Roman" w:eastAsia="標楷體" w:cs="Times New Roman"/>
        </w:rPr>
        <w:t xml:space="preserve">)；即時互動的說服效果使購前期望超過實際表現，提高退貨 (</w:t>
      </w:r>
      <w:hyperlink r:id="rIdL8" w:history="1">
        <w:r>
          <w:rPr>
            <w:rStyle w:val="Hyperlink"/>
            <w:rFonts w:ascii="Times New Roman" w:hAnsi="Times New Roman" w:eastAsia="標楷體" w:cs="Times New Roman"/>
          </w:rPr>
          <w:t xml:space="preserve">Feng et al., 2025</w:t>
        </w:r>
      </w:hyperlink>
      <w:r>
        <w:rPr>
          <w:rFonts w:ascii="Times New Roman" w:hAnsi="Times New Roman" w:eastAsia="標楷體" w:cs="Times New Roman"/>
        </w:rPr>
        <w:t xml:space="preserve">)。後悔會降低再購並提高轉換 (</w:t>
      </w:r>
      <w:hyperlink r:id="rIdL27" w:history="1">
        <w:r>
          <w:rPr>
            <w:rStyle w:val="Hyperlink"/>
            <w:rFonts w:ascii="Times New Roman" w:hAnsi="Times New Roman" w:eastAsia="標楷體" w:cs="Times New Roman"/>
          </w:rPr>
          <w:t xml:space="preserve">Tsiros &amp; Mittal, 2000</w:t>
        </w:r>
      </w:hyperlink>
      <w:r>
        <w:rPr>
          <w:rFonts w:ascii="Times New Roman" w:hAnsi="Times New Roman" w:eastAsia="標楷體" w:cs="Times New Roman"/>
        </w:rPr>
        <w:t xml:space="preserve">)，退貨政策則同時影響購買與退貨 (</w:t>
      </w:r>
      <w:hyperlink r:id="rIdL55" w:history="1">
        <w:r>
          <w:rPr>
            <w:rStyle w:val="Hyperlink"/>
            <w:rFonts w:ascii="Times New Roman" w:hAnsi="Times New Roman" w:eastAsia="標楷體" w:cs="Times New Roman"/>
          </w:rPr>
          <w:t xml:space="preserve">Janakiraman et al., 2016</w:t>
        </w:r>
      </w:hyperlink>
      <w:r>
        <w:rPr>
          <w:rFonts w:ascii="Times New Roman" w:hAnsi="Times New Roman" w:eastAsia="標楷體" w:cs="Times New Roman"/>
        </w:rPr>
        <w:t xml:space="preserve">)。據此提出：</w:t>
      </w:r>
    </w:p>
    <w:p>
      <w:pPr>
        <w:spacing w:before="0" w:after="0" w:line="440" w:lineRule="exact"/>
        <w:ind w:left="960" w:hanging="480"/>
        <w:jc w:val="both"/>
      </w:pPr>
      <w:r>
        <w:rPr>
          <w:rFonts w:ascii="Times New Roman" w:hAnsi="Times New Roman" w:eastAsia="標楷體" w:cs="Times New Roman"/>
          <w:b/>
          <w:bCs/>
        </w:rPr>
        <w:t xml:space="preserve">H2：信任正向影響期望確認；感知互動強度正向影響購前期望，購前期望負向影響期望確認。</w:t>
      </w:r>
    </w:p>
    <w:p>
      <w:pPr>
        <w:spacing w:before="0" w:after="0" w:line="440" w:lineRule="exact"/>
        <w:ind w:left="960" w:hanging="480"/>
        <w:jc w:val="both"/>
      </w:pPr>
      <w:r>
        <w:rPr>
          <w:rFonts w:ascii="Times New Roman" w:hAnsi="Times New Roman" w:eastAsia="標楷體" w:cs="Times New Roman"/>
          <w:b/>
          <w:bCs/>
        </w:rPr>
        <w:t xml:space="preserve">H3：期望確認正向影響購後滿意；購後滿意負向影響退貨（行為與意圖）、正向影響再購意圖。</w:t>
      </w:r>
    </w:p>
    <w:p>
      <w:pPr>
        <w:pStyle w:val="Heading3"/>
        <w:keepNext/>
        <w:spacing w:before="120" w:after="40" w:line="440" w:lineRule="exact"/>
        <w:ind w:left="480" w:hanging="480"/>
      </w:pPr>
      <w:r>
        <w:rPr>
          <w:rFonts w:ascii="Times New Roman" w:hAnsi="Times New Roman" w:eastAsia="標楷體" w:cs="Times New Roman"/>
          <w:b/>
          <w:bCs/>
        </w:rPr>
        <w:t xml:space="preserve">（三）主播類型與價值傾向的群組差異</w:t>
      </w:r>
    </w:p>
    <w:p>
      <w:pPr>
        <w:spacing w:before="0" w:after="0" w:line="440" w:lineRule="exact"/>
        <w:ind w:firstLineChars="200" w:firstLine="480"/>
        <w:jc w:val="both"/>
      </w:pPr>
      <w:r>
        <w:rPr>
          <w:rFonts w:ascii="Times New Roman" w:hAnsi="Times New Roman" w:eastAsia="標楷體" w:cs="Times New Roman"/>
        </w:rPr>
        <w:t xml:space="preserve">AI 被視為較擅長實用性任務 (</w:t>
      </w:r>
      <w:hyperlink r:id="rIdL19" w:history="1">
        <w:r>
          <w:rPr>
            <w:rStyle w:val="Hyperlink"/>
            <w:rFonts w:ascii="Times New Roman" w:hAnsi="Times New Roman" w:eastAsia="標楷體" w:cs="Times New Roman"/>
          </w:rPr>
          <w:t xml:space="preserve">Longoni &amp; Cian, 2022</w:t>
        </w:r>
      </w:hyperlink>
      <w:r>
        <w:rPr>
          <w:rFonts w:ascii="Times New Roman" w:hAnsi="Times New Roman" w:eastAsia="標楷體" w:cs="Times New Roman"/>
        </w:rPr>
        <w:t xml:space="preserve">)，AI 服務則被知覺為較不溫暖 (</w:t>
      </w:r>
      <w:hyperlink r:id="rIdL24" w:history="1">
        <w:r>
          <w:rPr>
            <w:rStyle w:val="Hyperlink"/>
            <w:rFonts w:ascii="Times New Roman" w:hAnsi="Times New Roman" w:eastAsia="標楷體" w:cs="Times New Roman"/>
          </w:rPr>
          <w:t xml:space="preserve">Lv et al., 2025</w:t>
        </w:r>
      </w:hyperlink>
      <w:r>
        <w:rPr>
          <w:rFonts w:ascii="Times New Roman" w:hAnsi="Times New Roman" w:eastAsia="標楷體" w:cs="Times New Roman"/>
        </w:rPr>
        <w:t xml:space="preserve">)；因此，能力感對信任的影響在 AI 主播購買者中可能較強，溫暖感的影響在真人主播購買者中可能較強。消費者自身的價值傾向也可能改變路徑：重視功能價值者較依賴能力線索，重視情感社會價值者較依賴溫暖線索 (</w:t>
      </w:r>
      <w:hyperlink r:id="rIdL18" w:history="1">
        <w:r>
          <w:rPr>
            <w:rStyle w:val="Hyperlink"/>
            <w:rFonts w:ascii="Times New Roman" w:hAnsi="Times New Roman" w:eastAsia="標楷體" w:cs="Times New Roman"/>
          </w:rPr>
          <w:t xml:space="preserve">Sheth et al., 1991</w:t>
        </w:r>
      </w:hyperlink>
      <w:r>
        <w:rPr>
          <w:rFonts w:ascii="Times New Roman" w:hAnsi="Times New Roman" w:eastAsia="標楷體" w:cs="Times New Roman"/>
        </w:rPr>
        <w:t xml:space="preserve">; </w:t>
      </w:r>
      <w:hyperlink r:id="rIdL23" w:history="1">
        <w:r>
          <w:rPr>
            <w:rStyle w:val="Hyperlink"/>
            <w:rFonts w:ascii="Times New Roman" w:hAnsi="Times New Roman" w:eastAsia="標楷體" w:cs="Times New Roman"/>
          </w:rPr>
          <w:t xml:space="preserve">Fiske et al., 2007</w:t>
        </w:r>
      </w:hyperlink>
      <w:r>
        <w:rPr>
          <w:rFonts w:ascii="Times New Roman" w:hAnsi="Times New Roman" w:eastAsia="標楷體" w:cs="Times New Roman"/>
        </w:rPr>
        <w:t xml:space="preserve">)。群組比較前須先檢驗測量恆等性 (</w:t>
      </w:r>
      <w:hyperlink r:id="rIdL29" w:history="1">
        <w:r>
          <w:rPr>
            <w:rStyle w:val="Hyperlink"/>
            <w:rFonts w:ascii="Times New Roman" w:hAnsi="Times New Roman" w:eastAsia="標楷體" w:cs="Times New Roman"/>
          </w:rPr>
          <w:t xml:space="preserve">Cheung &amp; Rensvold, 2002</w:t>
        </w:r>
      </w:hyperlink>
      <w:r>
        <w:rPr>
          <w:rFonts w:ascii="Times New Roman" w:hAnsi="Times New Roman" w:eastAsia="標楷體" w:cs="Times New Roman"/>
        </w:rPr>
        <w:t xml:space="preserve">; </w:t>
      </w:r>
      <w:hyperlink r:id="rIdL62" w:history="1">
        <w:r>
          <w:rPr>
            <w:rStyle w:val="Hyperlink"/>
            <w:rFonts w:ascii="Times New Roman" w:hAnsi="Times New Roman" w:eastAsia="標楷體" w:cs="Times New Roman"/>
          </w:rPr>
          <w:t xml:space="preserve">Henseler et al., 2016</w:t>
        </w:r>
      </w:hyperlink>
      <w:r>
        <w:rPr>
          <w:rFonts w:ascii="Times New Roman" w:hAnsi="Times New Roman" w:eastAsia="標楷體" w:cs="Times New Roman"/>
        </w:rPr>
        <w:t xml:space="preserve">)。據此提出：</w:t>
      </w:r>
    </w:p>
    <w:p>
      <w:pPr>
        <w:spacing w:before="0" w:after="0" w:line="440" w:lineRule="exact"/>
        <w:ind w:left="960" w:hanging="480"/>
        <w:jc w:val="both"/>
      </w:pPr>
      <w:r>
        <w:rPr>
          <w:rFonts w:ascii="Times New Roman" w:hAnsi="Times New Roman" w:eastAsia="標楷體" w:cs="Times New Roman"/>
          <w:b/>
          <w:bCs/>
        </w:rPr>
        <w:t xml:space="preserve">H4：主播類型調節 H1：AI 主播群組中能力感對信任的影響較強，真人主播群組中溫暖感對信任的影響較強。</w:t>
      </w:r>
    </w:p>
    <w:p>
      <w:pPr>
        <w:spacing w:before="0" w:after="0" w:line="440" w:lineRule="exact"/>
        <w:ind w:left="960" w:hanging="480"/>
        <w:jc w:val="both"/>
      </w:pPr>
      <w:r>
        <w:rPr>
          <w:rFonts w:ascii="Times New Roman" w:hAnsi="Times New Roman" w:eastAsia="標楷體" w:cs="Times New Roman"/>
          <w:b/>
          <w:bCs/>
        </w:rPr>
        <w:t xml:space="preserve">H5：價值傾向調節 H1：功能型消費者中能力感的影響較強，情感社會型消費者中溫暖感的影響較強。</w:t>
      </w:r>
    </w:p>
    <w:p>
      <w:pPr>
        <w:spacing w:before="0" w:after="0" w:line="440" w:lineRule="exact"/>
        <w:ind w:firstLineChars="200" w:firstLine="480"/>
        <w:jc w:val="both"/>
      </w:pPr>
      <w:r>
        <w:rPr>
          <w:rFonts w:ascii="Times New Roman" w:hAnsi="Times New Roman" w:eastAsia="標楷體" w:cs="Times New Roman"/>
          <w:b/>
          <w:bCs/>
        </w:rPr>
        <w:t xml:space="preserve">小結。</w:t>
      </w:r>
      <w:r>
        <w:rPr>
          <w:rFonts w:ascii="Times New Roman" w:hAnsi="Times New Roman" w:eastAsia="標楷體" w:cs="Times New Roman"/>
        </w:rPr>
        <w:t xml:space="preserve">既有直播研究多以單一群體模型估計購買前的路徑，較少把退貨與再購納入，也較少比較 AI 與真人主播的購買者。本研究第三階段以購後路徑模型與多群組 SEM，從此一缺口介入探討。</w:t>
      </w:r>
    </w:p>
    <w:p>
      <w:pPr>
        <w:pStyle w:val="Heading1"/>
        <w:keepNext/>
        <w:spacing w:before="240" w:after="120" w:line="440" w:lineRule="exact"/>
      </w:pPr>
      <w:r>
        <w:rPr>
          <w:rFonts w:ascii="Times New Roman" w:hAnsi="Times New Roman" w:eastAsia="標楷體" w:cs="Times New Roman"/>
          <w:b/>
          <w:bCs/>
          <w:sz w:val="28"/>
          <w:szCs w:val="28"/>
        </w:rPr>
        <w:t xml:space="preserve">貳、研究方法、進行步驟及執行進度</w:t>
      </w:r>
    </w:p>
    <w:p>
      <w:pPr>
        <w:pStyle w:val="Heading2"/>
        <w:keepNext/>
        <w:spacing w:before="160" w:after="80" w:line="440" w:lineRule="exact"/>
      </w:pPr>
      <w:r>
        <w:rPr>
          <w:rFonts w:ascii="Times New Roman" w:hAnsi="Times New Roman" w:eastAsia="標楷體" w:cs="Times New Roman"/>
          <w:b/>
          <w:bCs/>
          <w:bdr w:val="single" w:sz="4" w:space="0" w:color="000000"/>
          <w:shd w:val="clear" w:color="auto" w:fill="E7E6E6"/>
        </w:rPr>
        <w:t xml:space="preserve">一、研究架構與研究假說</w:t>
      </w:r>
    </w:p>
    <w:p>
      <w:pPr>
        <w:pStyle w:val="Heading3"/>
        <w:keepNext/>
        <w:spacing w:before="120" w:after="40" w:line="440" w:lineRule="exact"/>
        <w:ind w:left="480" w:hanging="480"/>
      </w:pPr>
      <w:r>
        <w:rPr>
          <w:rFonts w:ascii="Times New Roman" w:hAnsi="Times New Roman" w:eastAsia="標楷體" w:cs="Times New Roman"/>
          <w:b/>
          <w:bCs/>
        </w:rPr>
        <w:t xml:space="preserve">（一）二年研究計畫架構圖</w:t>
      </w:r>
    </w:p>
    <w:p>
      <w:pPr>
        <w:spacing w:before="0" w:after="0" w:line="440" w:lineRule="exact"/>
        <w:ind w:firstLineChars="200" w:firstLine="480"/>
        <w:jc w:val="both"/>
      </w:pPr>
      <w:r>
        <w:rPr>
          <w:rFonts w:ascii="Times New Roman" w:hAnsi="Times New Roman" w:eastAsia="標楷體" w:cs="Times New Roman"/>
        </w:rPr>
        <w:t xml:space="preserve">本計畫研究架構共分為三個部分，分二年三個階段進行。本計畫以「研究層次」為縱軸、「時間構面」為橫軸：由第一階段的價值發現出發，經第二階段的因果檢驗，推廣到第三階段的真實購物路徑，藉以觀察消費者面對 AI 虛擬主播與真人主播時的心理與行為差異。三個階段共用品類庫與共同量表，最後轉譯為中小企業可用的決策工具。二年三階段研究計畫之架構概略圖如圖 2。</w:t>
      </w:r>
    </w:p>
    <w:p>
      <w:pPr>
        <w:keepNext/>
        <w:spacing w:before="120" w:after="0"/>
        <w:jc w:val="center"/>
      </w:pPr>
      <w:r>
        <mc:AlternateContent>
          <mc:Choice Requires="wpg">
            <w:drawing>
              <wp:inline distT="0" distB="0" distL="0" distR="0">
                <wp:extent cx="6096000" cy="7112000"/>
                <wp:effectExtent l="0" t="0" r="0" b="0"/>
                <wp:docPr id="158" name="圖 2　二年研究計畫架構概略圖"/>
                <wp:cNvGraphicFramePr/>
                <a:graphic>
                  <a:graphicData uri="http://schemas.microsoft.com/office/word/2010/wordprocessingGroup">
                    <wpg:wgp>
                      <wpg:cNvGrpSpPr/>
                      <wpg:grpSpPr>
                        <a:xfrm>
                          <a:off x="0" y="0"/>
                          <a:ext cx="6096000" cy="7112000"/>
                          <a:chOff x="0" y="0"/>
                          <a:chExt cx="6096000" cy="7112000"/>
                        </a:xfrm>
                      </wpg:grpSpPr>
                      <wps:wsp>
                        <wps:cNvPr id="124" name="Line 124"/>
                        <wps:cNvCnPr/>
                        <wps:spPr>
                          <a:xfrm flipV="1">
                            <a:off x="508000" y="101600"/>
                            <a:ext cx="0" cy="2921000"/>
                          </a:xfrm>
                          <a:prstGeom prst="line">
                            <a:avLst/>
                          </a:prstGeom>
                          <a:ln w="12700">
                            <a:solidFill>
                              <a:srgbClr val="404040"/>
                            </a:solidFill>
                            <a:tailEnd type="triangle" w="med" len="med"/>
                          </a:ln>
                        </wps:spPr>
                        <wps:bodyPr/>
                      </wps:wsp>
                      <wps:wsp>
                        <wps:cNvPr id="125" name="Line 125"/>
                        <wps:cNvCnPr/>
                        <wps:spPr>
                          <a:xfrm>
                            <a:off x="508000" y="3022600"/>
                            <a:ext cx="5461000" cy="0"/>
                          </a:xfrm>
                          <a:prstGeom prst="line">
                            <a:avLst/>
                          </a:prstGeom>
                          <a:ln w="12700">
                            <a:solidFill>
                              <a:srgbClr val="404040"/>
                            </a:solidFill>
                            <a:tailEnd type="triangle" w="med" len="med"/>
                          </a:ln>
                        </wps:spPr>
                        <wps:bodyPr/>
                      </wps:wsp>
                      <wps:wsp>
                        <wps:cNvPr id="126" name="Shape 126"/>
                        <wps:cNvSpPr/>
                        <wps:spPr>
                          <a:xfrm>
                            <a:off x="0" y="0"/>
                            <a:ext cx="482600" cy="508000"/>
                          </a:xfrm>
                          <a:prstGeom prst="rect">
                            <a:avLst/>
                          </a:prstGeom>
                          <a:noFill/>
                          <a:ln>
                            <a:noFill/>
                          </a:ln>
                        </wps:spPr>
                        <wps:txbx>
                          <w:txbxContent>
                            <w:p>
                              <w:pPr>
                                <w:spacing w:before="0" w:after="0" w:line="240" w:lineRule="exact"/>
                                <w:jc w:val="center"/>
                              </w:pPr>
                              <w:r>
                                <w:rPr>
                                  <w:rFonts w:ascii="Times New Roman" w:hAnsi="Times New Roman" w:eastAsia="標楷體" w:cs="Times New Roman"/>
                                  <w:b/>
                                  <w:bCs/>
                                  <w:sz w:val="17"/>
                                  <w:szCs w:val="17"/>
                                </w:rPr>
                                <w:t xml:space="preserve">研究</w:t>
                              </w:r>
                            </w:p>
                            <w:p>
                              <w:pPr>
                                <w:spacing w:before="0" w:after="0" w:line="240" w:lineRule="exact"/>
                                <w:jc w:val="center"/>
                              </w:pPr>
                              <w:r>
                                <w:rPr>
                                  <w:rFonts w:ascii="Times New Roman" w:hAnsi="Times New Roman" w:eastAsia="標楷體" w:cs="Times New Roman"/>
                                  <w:b/>
                                  <w:bCs/>
                                  <w:sz w:val="17"/>
                                  <w:szCs w:val="17"/>
                                </w:rPr>
                                <w:t xml:space="preserve">層次</w:t>
                              </w:r>
                            </w:p>
                          </w:txbxContent>
                        </wps:txbx>
                        <wps:bodyPr rot="0" vert="horz" wrap="square" lIns="25400" tIns="12700" rIns="25400" bIns="12700" anchor="ctr" anchorCtr="0">
                          <a:noAutofit/>
                        </wps:bodyPr>
                      </wps:wsp>
                      <wps:wsp>
                        <wps:cNvPr id="127" name="Shape 127"/>
                        <wps:cNvSpPr/>
                        <wps:spPr>
                          <a:xfrm>
                            <a:off x="177800" y="508000"/>
                            <a:ext cx="304800" cy="203200"/>
                          </a:xfrm>
                          <a:prstGeom prst="rect">
                            <a:avLst/>
                          </a:prstGeom>
                          <a:noFill/>
                          <a:ln>
                            <a:noFill/>
                          </a:ln>
                        </wps:spPr>
                        <wps:txbx>
                          <w:txbxContent>
                            <w:p>
                              <w:pPr>
                                <w:spacing w:before="0" w:after="0" w:line="254" w:lineRule="exact"/>
                                <w:jc w:val="center"/>
                              </w:pPr>
                              <w:r>
                                <w:rPr>
                                  <w:rFonts w:ascii="Times New Roman" w:hAnsi="Times New Roman" w:eastAsia="標楷體" w:cs="Times New Roman"/>
                                  <w:sz w:val="18"/>
                                  <w:szCs w:val="18"/>
                                </w:rPr>
                                <w:t xml:space="preserve">高</w:t>
                              </w:r>
                            </w:p>
                          </w:txbxContent>
                        </wps:txbx>
                        <wps:bodyPr rot="0" vert="horz" wrap="square" lIns="25400" tIns="12700" rIns="25400" bIns="12700" anchor="ctr" anchorCtr="0">
                          <a:noAutofit/>
                        </wps:bodyPr>
                      </wps:wsp>
                      <wps:wsp>
                        <wps:cNvPr id="128" name="Shape 128"/>
                        <wps:cNvSpPr/>
                        <wps:spPr>
                          <a:xfrm>
                            <a:off x="177800" y="2603500"/>
                            <a:ext cx="304800" cy="203200"/>
                          </a:xfrm>
                          <a:prstGeom prst="rect">
                            <a:avLst/>
                          </a:prstGeom>
                          <a:noFill/>
                          <a:ln>
                            <a:noFill/>
                          </a:ln>
                        </wps:spPr>
                        <wps:txbx>
                          <w:txbxContent>
                            <w:p>
                              <w:pPr>
                                <w:spacing w:before="0" w:after="0" w:line="254" w:lineRule="exact"/>
                                <w:jc w:val="center"/>
                              </w:pPr>
                              <w:r>
                                <w:rPr>
                                  <w:rFonts w:ascii="Times New Roman" w:hAnsi="Times New Roman" w:eastAsia="標楷體" w:cs="Times New Roman"/>
                                  <w:sz w:val="18"/>
                                  <w:szCs w:val="18"/>
                                </w:rPr>
                                <w:t xml:space="preserve">低</w:t>
                              </w:r>
                            </w:p>
                          </w:txbxContent>
                        </wps:txbx>
                        <wps:bodyPr rot="0" vert="horz" wrap="square" lIns="25400" tIns="12700" rIns="25400" bIns="12700" anchor="ctr" anchorCtr="0">
                          <a:noAutofit/>
                        </wps:bodyPr>
                      </wps:wsp>
                      <wps:wsp>
                        <wps:cNvPr id="129" name="Shape 129"/>
                        <wps:cNvSpPr/>
                        <wps:spPr>
                          <a:xfrm>
                            <a:off x="5334000" y="3048000"/>
                            <a:ext cx="762000" cy="203200"/>
                          </a:xfrm>
                          <a:prstGeom prst="rect">
                            <a:avLst/>
                          </a:prstGeom>
                          <a:noFill/>
                          <a:ln>
                            <a:noFill/>
                          </a:ln>
                        </wps:spPr>
                        <wps:txbx>
                          <w:txbxContent>
                            <w:p>
                              <w:pPr>
                                <w:spacing w:before="0" w:after="0" w:line="240" w:lineRule="exact"/>
                                <w:jc w:val="center"/>
                              </w:pPr>
                              <w:r>
                                <w:rPr>
                                  <w:rFonts w:ascii="Times New Roman" w:hAnsi="Times New Roman" w:eastAsia="標楷體" w:cs="Times New Roman"/>
                                  <w:sz w:val="17"/>
                                  <w:szCs w:val="17"/>
                                </w:rPr>
                                <w:t xml:space="preserve">時間構面</w:t>
                              </w:r>
                            </w:p>
                          </w:txbxContent>
                        </wps:txbx>
                        <wps:bodyPr rot="0" vert="horz" wrap="square" lIns="25400" tIns="12700" rIns="25400" bIns="12700" anchor="ctr" anchorCtr="0">
                          <a:noAutofit/>
                        </wps:bodyPr>
                      </wps:wsp>
                      <wps:wsp>
                        <wps:cNvPr id="130" name="Shape 130"/>
                        <wps:cNvSpPr/>
                        <wps:spPr>
                          <a:xfrm>
                            <a:off x="660400" y="177800"/>
                            <a:ext cx="4191000" cy="2768600"/>
                          </a:xfrm>
                          <a:prstGeom prst="ellipse">
                            <a:avLst/>
                          </a:prstGeom>
                          <a:noFill/>
                          <a:ln w="12700">
                            <a:solidFill>
                              <a:srgbClr val="404040"/>
                            </a:solidFill>
                          </a:ln>
                        </wps:spPr>
                        <wps:bodyPr rot="0" vert="horz" wrap="square" lIns="25400" tIns="12700" rIns="25400" bIns="12700" anchor="ctr" anchorCtr="0">
                          <a:noAutofit/>
                        </wps:bodyPr>
                      </wps:wsp>
                      <wps:wsp>
                        <wps:cNvPr id="131" name="Shape 131"/>
                        <wps:cNvSpPr/>
                        <wps:spPr>
                          <a:xfrm>
                            <a:off x="711200" y="1041400"/>
                            <a:ext cx="2997200" cy="1879600"/>
                          </a:xfrm>
                          <a:prstGeom prst="ellipse">
                            <a:avLst/>
                          </a:prstGeom>
                          <a:noFill/>
                          <a:ln w="12700">
                            <a:solidFill>
                              <a:srgbClr val="404040"/>
                            </a:solidFill>
                          </a:ln>
                        </wps:spPr>
                        <wps:bodyPr rot="0" vert="horz" wrap="square" lIns="25400" tIns="12700" rIns="25400" bIns="12700" anchor="ctr" anchorCtr="0">
                          <a:noAutofit/>
                        </wps:bodyPr>
                      </wps:wsp>
                      <wps:wsp>
                        <wps:cNvPr id="132" name="Shape 132"/>
                        <wps:cNvSpPr/>
                        <wps:spPr>
                          <a:xfrm>
                            <a:off x="762000" y="1854200"/>
                            <a:ext cx="1778000" cy="1041400"/>
                          </a:xfrm>
                          <a:prstGeom prst="ellipse">
                            <a:avLst/>
                          </a:prstGeom>
                          <a:noFill/>
                          <a:ln w="12700">
                            <a:solidFill>
                              <a:srgbClr val="404040"/>
                            </a:solidFill>
                          </a:ln>
                        </wps:spPr>
                        <wps:bodyPr rot="0" vert="horz" wrap="square" lIns="25400" tIns="12700" rIns="25400" bIns="12700" anchor="ctr" anchorCtr="0">
                          <a:noAutofit/>
                        </wps:bodyPr>
                      </wps:wsp>
                      <wps:wsp>
                        <wps:cNvPr id="133" name="Shape 133"/>
                        <wps:cNvSpPr/>
                        <wps:spPr>
                          <a:xfrm>
                            <a:off x="2159000" y="304800"/>
                            <a:ext cx="2413000" cy="558800"/>
                          </a:xfrm>
                          <a:prstGeom prst="rect">
                            <a:avLst/>
                          </a:prstGeom>
                          <a:noFill/>
                          <a:ln>
                            <a:noFill/>
                          </a:ln>
                        </wps:spPr>
                        <wps:txbx>
                          <w:txbxContent>
                            <w:p>
                              <w:pPr>
                                <w:spacing w:before="0" w:after="0" w:line="240" w:lineRule="exact"/>
                                <w:jc w:val="center"/>
                              </w:pPr>
                              <w:r>
                                <w:rPr>
                                  <w:rFonts w:ascii="Times New Roman" w:hAnsi="Times New Roman" w:eastAsia="標楷體" w:cs="Times New Roman"/>
                                  <w:b/>
                                  <w:bCs/>
                                  <w:sz w:val="17"/>
                                  <w:szCs w:val="17"/>
                                </w:rPr>
                                <w:t xml:space="preserve">第三階段【推廣】</w:t>
                              </w:r>
                            </w:p>
                            <w:p>
                              <w:pPr>
                                <w:spacing w:before="0" w:after="0" w:line="240" w:lineRule="exact"/>
                                <w:jc w:val="center"/>
                              </w:pPr>
                              <w:r>
                                <w:rPr>
                                  <w:rFonts w:ascii="Times New Roman" w:hAnsi="Times New Roman" w:eastAsia="標楷體" w:cs="Times New Roman"/>
                                  <w:sz w:val="17"/>
                                  <w:szCs w:val="17"/>
                                </w:rPr>
                                <w:t xml:space="preserve">以 SEM 與多群組 SEM 驗證</w:t>
                              </w:r>
                            </w:p>
                            <w:p>
                              <w:pPr>
                                <w:spacing w:before="0" w:after="0" w:line="240" w:lineRule="exact"/>
                                <w:jc w:val="center"/>
                              </w:pPr>
                              <w:r>
                                <w:rPr>
                                  <w:rFonts w:ascii="Times New Roman" w:hAnsi="Times New Roman" w:eastAsia="標楷體" w:cs="Times New Roman"/>
                                  <w:sz w:val="17"/>
                                  <w:szCs w:val="17"/>
                                </w:rPr>
                                <w:t xml:space="preserve">直播購物的購後路徑</w:t>
                              </w:r>
                            </w:p>
                          </w:txbxContent>
                        </wps:txbx>
                        <wps:bodyPr rot="0" vert="horz" wrap="square" lIns="25400" tIns="12700" rIns="25400" bIns="12700" anchor="ctr" anchorCtr="0">
                          <a:noAutofit/>
                        </wps:bodyPr>
                      </wps:wsp>
                      <wps:wsp>
                        <wps:cNvPr id="134" name="Shape 134"/>
                        <wps:cNvSpPr/>
                        <wps:spPr>
                          <a:xfrm>
                            <a:off x="1498600" y="1143000"/>
                            <a:ext cx="2032000" cy="558800"/>
                          </a:xfrm>
                          <a:prstGeom prst="rect">
                            <a:avLst/>
                          </a:prstGeom>
                          <a:noFill/>
                          <a:ln>
                            <a:noFill/>
                          </a:ln>
                        </wps:spPr>
                        <wps:txbx>
                          <w:txbxContent>
                            <w:p>
                              <w:pPr>
                                <w:spacing w:before="0" w:after="0" w:line="240" w:lineRule="exact"/>
                                <w:jc w:val="center"/>
                              </w:pPr>
                              <w:r>
                                <w:rPr>
                                  <w:rFonts w:ascii="Times New Roman" w:hAnsi="Times New Roman" w:eastAsia="標楷體" w:cs="Times New Roman"/>
                                  <w:b/>
                                  <w:bCs/>
                                  <w:sz w:val="17"/>
                                  <w:szCs w:val="17"/>
                                </w:rPr>
                                <w:t xml:space="preserve">第二階段【檢驗】</w:t>
                              </w:r>
                            </w:p>
                            <w:p>
                              <w:pPr>
                                <w:spacing w:before="0" w:after="0" w:line="240" w:lineRule="exact"/>
                                <w:jc w:val="center"/>
                              </w:pPr>
                              <w:r>
                                <w:rPr>
                                  <w:rFonts w:ascii="Times New Roman" w:hAnsi="Times New Roman" w:eastAsia="標楷體" w:cs="Times New Roman"/>
                                  <w:sz w:val="17"/>
                                  <w:szCs w:val="17"/>
                                </w:rPr>
                                <w:t xml:space="preserve">以實驗設計檢驗主播類型</w:t>
                              </w:r>
                            </w:p>
                            <w:p>
                              <w:pPr>
                                <w:spacing w:before="0" w:after="0" w:line="240" w:lineRule="exact"/>
                                <w:jc w:val="center"/>
                              </w:pPr>
                              <w:r>
                                <w:rPr>
                                  <w:rFonts w:ascii="Times New Roman" w:hAnsi="Times New Roman" w:eastAsia="標楷體" w:cs="Times New Roman"/>
                                  <w:sz w:val="17"/>
                                  <w:szCs w:val="17"/>
                                </w:rPr>
                                <w:t xml:space="preserve">× 話術 × 產品類型</w:t>
                              </w:r>
                            </w:p>
                          </w:txbxContent>
                        </wps:txbx>
                        <wps:bodyPr rot="0" vert="horz" wrap="square" lIns="25400" tIns="12700" rIns="25400" bIns="12700" anchor="ctr" anchorCtr="0">
                          <a:noAutofit/>
                        </wps:bodyPr>
                      </wps:wsp>
                      <wps:wsp>
                        <wps:cNvPr id="135" name="Shape 135"/>
                        <wps:cNvSpPr/>
                        <wps:spPr>
                          <a:xfrm>
                            <a:off x="838200" y="2032000"/>
                            <a:ext cx="1625600" cy="711200"/>
                          </a:xfrm>
                          <a:prstGeom prst="rect">
                            <a:avLst/>
                          </a:prstGeom>
                          <a:noFill/>
                          <a:ln>
                            <a:noFill/>
                          </a:ln>
                        </wps:spPr>
                        <wps:txbx>
                          <w:txbxContent>
                            <w:p>
                              <w:pPr>
                                <w:spacing w:before="0" w:after="0" w:line="240" w:lineRule="exact"/>
                                <w:jc w:val="center"/>
                              </w:pPr>
                              <w:r>
                                <w:rPr>
                                  <w:rFonts w:ascii="Times New Roman" w:hAnsi="Times New Roman" w:eastAsia="標楷體" w:cs="Times New Roman"/>
                                  <w:b/>
                                  <w:bCs/>
                                  <w:sz w:val="17"/>
                                  <w:szCs w:val="17"/>
                                </w:rPr>
                                <w:t xml:space="preserve">第一階段【發現】</w:t>
                              </w:r>
                            </w:p>
                            <w:p>
                              <w:pPr>
                                <w:spacing w:before="0" w:after="0" w:line="240" w:lineRule="exact"/>
                                <w:jc w:val="center"/>
                              </w:pPr>
                              <w:r>
                                <w:rPr>
                                  <w:rFonts w:ascii="Times New Roman" w:hAnsi="Times New Roman" w:eastAsia="標楷體" w:cs="Times New Roman"/>
                                  <w:sz w:val="17"/>
                                  <w:szCs w:val="17"/>
                                </w:rPr>
                                <w:t xml:space="preserve">以 MEC 探索 AI 與</w:t>
                              </w:r>
                            </w:p>
                            <w:p>
                              <w:pPr>
                                <w:spacing w:before="0" w:after="0" w:line="240" w:lineRule="exact"/>
                                <w:jc w:val="center"/>
                              </w:pPr>
                              <w:r>
                                <w:rPr>
                                  <w:rFonts w:ascii="Times New Roman" w:hAnsi="Times New Roman" w:eastAsia="標楷體" w:cs="Times New Roman"/>
                                  <w:sz w:val="17"/>
                                  <w:szCs w:val="17"/>
                                </w:rPr>
                                <w:t xml:space="preserve">真人主播的價值鏈</w:t>
                              </w:r>
                            </w:p>
                          </w:txbxContent>
                        </wps:txbx>
                        <wps:bodyPr rot="0" vert="horz" wrap="square" lIns="25400" tIns="12700" rIns="25400" bIns="12700" anchor="ctr" anchorCtr="0">
                          <a:noAutofit/>
                        </wps:bodyPr>
                      </wps:wsp>
                      <wps:wsp>
                        <wps:cNvPr id="136" name="Shape 136"/>
                        <wps:cNvSpPr/>
                        <wps:spPr>
                          <a:xfrm>
                            <a:off x="4927600" y="1168400"/>
                            <a:ext cx="1066800" cy="838200"/>
                          </a:xfrm>
                          <a:prstGeom prst="rect">
                            <a:avLst/>
                          </a:prstGeom>
                          <a:solidFill>
                            <a:srgbClr val="FFFFFF"/>
                          </a:solidFill>
                          <a:ln w="15240">
                            <a:solidFill>
                              <a:srgbClr val="404040"/>
                            </a:solidFill>
                          </a:ln>
                        </wps:spPr>
                        <wps:txbx>
                          <w:txbxContent>
                            <w:p>
                              <w:pPr>
                                <w:spacing w:before="0" w:after="0" w:line="240" w:lineRule="exact"/>
                                <w:jc w:val="center"/>
                              </w:pPr>
                              <w:r>
                                <w:rPr>
                                  <w:rFonts w:ascii="Times New Roman" w:hAnsi="Times New Roman" w:eastAsia="標楷體" w:cs="Times New Roman"/>
                                  <w:b/>
                                  <w:bCs/>
                                  <w:sz w:val="17"/>
                                  <w:szCs w:val="17"/>
                                </w:rPr>
                                <w:t xml:space="preserve">AI 虛擬主播與</w:t>
                              </w:r>
                            </w:p>
                            <w:p>
                              <w:pPr>
                                <w:spacing w:before="0" w:after="0" w:line="240" w:lineRule="exact"/>
                                <w:jc w:val="center"/>
                              </w:pPr>
                              <w:r>
                                <w:rPr>
                                  <w:rFonts w:ascii="Times New Roman" w:hAnsi="Times New Roman" w:eastAsia="標楷體" w:cs="Times New Roman"/>
                                  <w:b/>
                                  <w:bCs/>
                                  <w:sz w:val="17"/>
                                  <w:szCs w:val="17"/>
                                </w:rPr>
                                <w:t xml:space="preserve">真人主播的</w:t>
                              </w:r>
                            </w:p>
                            <w:p>
                              <w:pPr>
                                <w:spacing w:before="0" w:after="0" w:line="240" w:lineRule="exact"/>
                                <w:jc w:val="center"/>
                              </w:pPr>
                              <w:r>
                                <w:rPr>
                                  <w:rFonts w:ascii="Times New Roman" w:hAnsi="Times New Roman" w:eastAsia="標楷體" w:cs="Times New Roman"/>
                                  <w:b/>
                                  <w:bCs/>
                                  <w:sz w:val="17"/>
                                  <w:szCs w:val="17"/>
                                </w:rPr>
                                <w:t xml:space="preserve">價值說服與</w:t>
                              </w:r>
                            </w:p>
                            <w:p>
                              <w:pPr>
                                <w:spacing w:before="0" w:after="0" w:line="240" w:lineRule="exact"/>
                                <w:jc w:val="center"/>
                              </w:pPr>
                              <w:r>
                                <w:rPr>
                                  <w:rFonts w:ascii="Times New Roman" w:hAnsi="Times New Roman" w:eastAsia="標楷體" w:cs="Times New Roman"/>
                                  <w:b/>
                                  <w:bCs/>
                                  <w:sz w:val="17"/>
                                  <w:szCs w:val="17"/>
                                </w:rPr>
                                <w:t xml:space="preserve">購後後果</w:t>
                              </w:r>
                            </w:p>
                          </w:txbxContent>
                        </wps:txbx>
                        <wps:bodyPr rot="0" vert="horz" wrap="square" lIns="25400" tIns="12700" rIns="25400" bIns="12700" anchor="ctr" anchorCtr="0">
                          <a:noAutofit/>
                        </wps:bodyPr>
                      </wps:wsp>
                      <wps:wsp>
                        <wps:cNvPr id="137" name="Line 137"/>
                        <wps:cNvCnPr/>
                        <wps:spPr>
                          <a:xfrm>
                            <a:off x="4851400" y="1574800"/>
                            <a:ext cx="76200" cy="0"/>
                          </a:xfrm>
                          <a:prstGeom prst="line">
                            <a:avLst/>
                          </a:prstGeom>
                          <a:ln w="12700">
                            <a:solidFill>
                              <a:srgbClr val="404040"/>
                            </a:solidFill>
                            <a:tailEnd type="triangle" w="med" len="med"/>
                          </a:ln>
                        </wps:spPr>
                        <wps:bodyPr/>
                      </wps:wsp>
                      <wps:wsp>
                        <wps:cNvPr id="138" name="Shape 138"/>
                        <wps:cNvSpPr/>
                        <wps:spPr>
                          <a:xfrm>
                            <a:off x="584200" y="3073400"/>
                            <a:ext cx="1524000" cy="330200"/>
                          </a:xfrm>
                          <a:prstGeom prst="rect">
                            <a:avLst/>
                          </a:prstGeom>
                          <a:noFill/>
                          <a:ln>
                            <a:noFill/>
                          </a:ln>
                        </wps:spPr>
                        <wps:txbx>
                          <w:txbxContent>
                            <w:p>
                              <w:pPr>
                                <w:spacing w:before="0" w:after="0" w:line="226" w:lineRule="exact"/>
                                <w:jc w:val="center"/>
                              </w:pPr>
                              <w:r>
                                <w:rPr>
                                  <w:rFonts w:ascii="Times New Roman" w:hAnsi="Times New Roman" w:eastAsia="標楷體" w:cs="Times New Roman"/>
                                  <w:sz w:val="16"/>
                                  <w:szCs w:val="16"/>
                                </w:rPr>
                                <w:t xml:space="preserve">第一階段</w:t>
                              </w:r>
                            </w:p>
                            <w:p>
                              <w:pPr>
                                <w:spacing w:before="0" w:after="0" w:line="226" w:lineRule="exact"/>
                                <w:jc w:val="center"/>
                              </w:pPr>
                              <w:r>
                                <w:rPr>
                                  <w:rFonts w:ascii="Times New Roman" w:hAnsi="Times New Roman" w:eastAsia="標楷體" w:cs="Times New Roman"/>
                                  <w:sz w:val="16"/>
                                  <w:szCs w:val="16"/>
                                </w:rPr>
                                <w:t xml:space="preserve">2027.08–2028.01</w:t>
                              </w:r>
                            </w:p>
                          </w:txbxContent>
                        </wps:txbx>
                        <wps:bodyPr rot="0" vert="horz" wrap="square" lIns="25400" tIns="12700" rIns="25400" bIns="12700" anchor="ctr" anchorCtr="0">
                          <a:noAutofit/>
                        </wps:bodyPr>
                      </wps:wsp>
                      <wps:wsp>
                        <wps:cNvPr id="139" name="Shape 139"/>
                        <wps:cNvSpPr/>
                        <wps:spPr>
                          <a:xfrm>
                            <a:off x="2133600" y="3073400"/>
                            <a:ext cx="1524000" cy="330200"/>
                          </a:xfrm>
                          <a:prstGeom prst="rect">
                            <a:avLst/>
                          </a:prstGeom>
                          <a:noFill/>
                          <a:ln>
                            <a:noFill/>
                          </a:ln>
                        </wps:spPr>
                        <wps:txbx>
                          <w:txbxContent>
                            <w:p>
                              <w:pPr>
                                <w:spacing w:before="0" w:after="0" w:line="226" w:lineRule="exact"/>
                                <w:jc w:val="center"/>
                              </w:pPr>
                              <w:r>
                                <w:rPr>
                                  <w:rFonts w:ascii="Times New Roman" w:hAnsi="Times New Roman" w:eastAsia="標楷體" w:cs="Times New Roman"/>
                                  <w:sz w:val="16"/>
                                  <w:szCs w:val="16"/>
                                </w:rPr>
                                <w:t xml:space="preserve">第二階段</w:t>
                              </w:r>
                            </w:p>
                            <w:p>
                              <w:pPr>
                                <w:spacing w:before="0" w:after="0" w:line="226" w:lineRule="exact"/>
                                <w:jc w:val="center"/>
                              </w:pPr>
                              <w:r>
                                <w:rPr>
                                  <w:rFonts w:ascii="Times New Roman" w:hAnsi="Times New Roman" w:eastAsia="標楷體" w:cs="Times New Roman"/>
                                  <w:sz w:val="16"/>
                                  <w:szCs w:val="16"/>
                                </w:rPr>
                                <w:t xml:space="preserve">2028.02–2028.10</w:t>
                              </w:r>
                            </w:p>
                          </w:txbxContent>
                        </wps:txbx>
                        <wps:bodyPr rot="0" vert="horz" wrap="square" lIns="25400" tIns="12700" rIns="25400" bIns="12700" anchor="ctr" anchorCtr="0">
                          <a:noAutofit/>
                        </wps:bodyPr>
                      </wps:wsp>
                      <wps:wsp>
                        <wps:cNvPr id="140" name="Shape 140"/>
                        <wps:cNvSpPr/>
                        <wps:spPr>
                          <a:xfrm>
                            <a:off x="3683000" y="3073400"/>
                            <a:ext cx="1524000" cy="330200"/>
                          </a:xfrm>
                          <a:prstGeom prst="rect">
                            <a:avLst/>
                          </a:prstGeom>
                          <a:noFill/>
                          <a:ln>
                            <a:noFill/>
                          </a:ln>
                        </wps:spPr>
                        <wps:txbx>
                          <w:txbxContent>
                            <w:p>
                              <w:pPr>
                                <w:spacing w:before="0" w:after="0" w:line="226" w:lineRule="exact"/>
                                <w:jc w:val="center"/>
                              </w:pPr>
                              <w:r>
                                <w:rPr>
                                  <w:rFonts w:ascii="Times New Roman" w:hAnsi="Times New Roman" w:eastAsia="標楷體" w:cs="Times New Roman"/>
                                  <w:sz w:val="16"/>
                                  <w:szCs w:val="16"/>
                                </w:rPr>
                                <w:t xml:space="preserve">第三階段</w:t>
                              </w:r>
                            </w:p>
                            <w:p>
                              <w:pPr>
                                <w:spacing w:before="0" w:after="0" w:line="226" w:lineRule="exact"/>
                                <w:jc w:val="center"/>
                              </w:pPr>
                              <w:r>
                                <w:rPr>
                                  <w:rFonts w:ascii="Times New Roman" w:hAnsi="Times New Roman" w:eastAsia="標楷體" w:cs="Times New Roman"/>
                                  <w:sz w:val="16"/>
                                  <w:szCs w:val="16"/>
                                </w:rPr>
                                <w:t xml:space="preserve">2028.06–2029.04</w:t>
                              </w:r>
                            </w:p>
                          </w:txbxContent>
                        </wps:txbx>
                        <wps:bodyPr rot="0" vert="horz" wrap="square" lIns="25400" tIns="12700" rIns="25400" bIns="12700" anchor="ctr" anchorCtr="0">
                          <a:noAutofit/>
                        </wps:bodyPr>
                      </wps:wsp>
                      <wps:wsp>
                        <wps:cNvPr id="141" name="Line 141"/>
                        <wps:cNvCnPr/>
                        <wps:spPr>
                          <a:xfrm>
                            <a:off x="584200" y="3479800"/>
                            <a:ext cx="2590800" cy="0"/>
                          </a:xfrm>
                          <a:prstGeom prst="line">
                            <a:avLst/>
                          </a:prstGeom>
                          <a:ln w="12700">
                            <a:solidFill>
                              <a:srgbClr val="404040"/>
                            </a:solidFill>
                            <a:prstDash val="dash"/>
                          </a:ln>
                        </wps:spPr>
                        <wps:bodyPr/>
                      </wps:wsp>
                      <wps:wsp>
                        <wps:cNvPr id="142" name="Shape 142"/>
                        <wps:cNvSpPr/>
                        <wps:spPr>
                          <a:xfrm>
                            <a:off x="1397000" y="3403600"/>
                            <a:ext cx="1016000" cy="177800"/>
                          </a:xfrm>
                          <a:prstGeom prst="rect">
                            <a:avLst/>
                          </a:prstGeom>
                          <a:solidFill>
                            <a:srgbClr val="FFFFFF"/>
                          </a:solidFill>
                          <a:ln>
                            <a:noFill/>
                          </a:ln>
                        </wps:spPr>
                        <wps:txbx>
                          <w:txbxContent>
                            <w:p>
                              <w:pPr>
                                <w:spacing w:before="0" w:after="0" w:line="226" w:lineRule="exact"/>
                                <w:jc w:val="center"/>
                              </w:pPr>
                              <w:r>
                                <w:rPr>
                                  <w:rFonts w:ascii="Times New Roman" w:hAnsi="Times New Roman" w:eastAsia="標楷體" w:cs="Times New Roman"/>
                                  <w:sz w:val="16"/>
                                  <w:szCs w:val="16"/>
                                </w:rPr>
                                <w:t xml:space="preserve">第一年</w:t>
                              </w:r>
                            </w:p>
                          </w:txbxContent>
                        </wps:txbx>
                        <wps:bodyPr rot="0" vert="horz" wrap="square" lIns="25400" tIns="12700" rIns="25400" bIns="12700" anchor="ctr" anchorCtr="0">
                          <a:noAutofit/>
                        </wps:bodyPr>
                      </wps:wsp>
                      <wps:wsp>
                        <wps:cNvPr id="143" name="Line 143"/>
                        <wps:cNvCnPr/>
                        <wps:spPr>
                          <a:xfrm>
                            <a:off x="3251200" y="3479800"/>
                            <a:ext cx="2717800" cy="0"/>
                          </a:xfrm>
                          <a:prstGeom prst="line">
                            <a:avLst/>
                          </a:prstGeom>
                          <a:ln w="12700">
                            <a:solidFill>
                              <a:srgbClr val="404040"/>
                            </a:solidFill>
                            <a:prstDash val="dash"/>
                          </a:ln>
                        </wps:spPr>
                        <wps:bodyPr/>
                      </wps:wsp>
                      <wps:wsp>
                        <wps:cNvPr id="144" name="Shape 144"/>
                        <wps:cNvSpPr/>
                        <wps:spPr>
                          <a:xfrm>
                            <a:off x="4064000" y="3403600"/>
                            <a:ext cx="1016000" cy="177800"/>
                          </a:xfrm>
                          <a:prstGeom prst="rect">
                            <a:avLst/>
                          </a:prstGeom>
                          <a:solidFill>
                            <a:srgbClr val="FFFFFF"/>
                          </a:solidFill>
                          <a:ln>
                            <a:noFill/>
                          </a:ln>
                        </wps:spPr>
                        <wps:txbx>
                          <w:txbxContent>
                            <w:p>
                              <w:pPr>
                                <w:spacing w:before="0" w:after="0" w:line="226" w:lineRule="exact"/>
                                <w:jc w:val="center"/>
                              </w:pPr>
                              <w:r>
                                <w:rPr>
                                  <w:rFonts w:ascii="Times New Roman" w:hAnsi="Times New Roman" w:eastAsia="標楷體" w:cs="Times New Roman"/>
                                  <w:sz w:val="16"/>
                                  <w:szCs w:val="16"/>
                                </w:rPr>
                                <w:t xml:space="preserve">第二年</w:t>
                              </w:r>
                            </w:p>
                          </w:txbxContent>
                        </wps:txbx>
                        <wps:bodyPr rot="0" vert="horz" wrap="square" lIns="25400" tIns="12700" rIns="25400" bIns="12700" anchor="ctr" anchorCtr="0">
                          <a:noAutofit/>
                        </wps:bodyPr>
                      </wps:wsp>
                      <wps:wsp>
                        <wps:cNvPr id="145" name="Shape 145"/>
                        <wps:cNvSpPr/>
                        <wps:spPr>
                          <a:xfrm>
                            <a:off x="2857500" y="3606800"/>
                            <a:ext cx="381000" cy="279400"/>
                          </a:xfrm>
                          <a:prstGeom prst="downArrow">
                            <a:avLst/>
                          </a:prstGeom>
                          <a:solidFill>
                            <a:srgbClr val="D9D9D9"/>
                          </a:solidFill>
                          <a:ln w="12700">
                            <a:solidFill>
                              <a:srgbClr val="7F7F7F"/>
                            </a:solidFill>
                          </a:ln>
                        </wps:spPr>
                        <wps:bodyPr rot="0" vert="horz" wrap="square" lIns="25400" tIns="12700" rIns="25400" bIns="12700" anchor="ctr" anchorCtr="0">
                          <a:noAutofit/>
                        </wps:bodyPr>
                      </wps:wsp>
                      <wps:wsp>
                        <wps:cNvPr id="146" name="Shape 146"/>
                        <wps:cNvSpPr/>
                        <wps:spPr>
                          <a:xfrm>
                            <a:off x="1498600" y="3937000"/>
                            <a:ext cx="1219200" cy="330200"/>
                          </a:xfrm>
                          <a:prstGeom prst="rect">
                            <a:avLst/>
                          </a:prstGeom>
                          <a:noFill/>
                          <a:ln>
                            <a:noFill/>
                          </a:ln>
                        </wps:spPr>
                        <wps:txbx>
                          <w:txbxContent>
                            <w:p>
                              <w:pPr>
                                <w:spacing w:before="0" w:after="0" w:line="226" w:lineRule="exact"/>
                                <w:jc w:val="center"/>
                              </w:pPr>
                              <w:r>
                                <w:rPr>
                                  <w:rFonts w:ascii="Times New Roman" w:hAnsi="Times New Roman" w:eastAsia="標楷體" w:cs="Times New Roman"/>
                                  <w:color w:val="1F4E79"/>
                                  <w:sz w:val="16"/>
                                  <w:szCs w:val="16"/>
                                </w:rPr>
                                <w:t xml:space="preserve">價值鏈改寫為</w:t>
                              </w:r>
                            </w:p>
                            <w:p>
                              <w:pPr>
                                <w:spacing w:before="0" w:after="0" w:line="226" w:lineRule="exact"/>
                                <w:jc w:val="center"/>
                              </w:pPr>
                              <w:r>
                                <w:rPr>
                                  <w:rFonts w:ascii="Times New Roman" w:hAnsi="Times New Roman" w:eastAsia="標楷體" w:cs="Times New Roman"/>
                                  <w:color w:val="1F4E79"/>
                                  <w:sz w:val="16"/>
                                  <w:szCs w:val="16"/>
                                </w:rPr>
                                <w:t xml:space="preserve">實驗話術</w:t>
                              </w:r>
                            </w:p>
                          </w:txbxContent>
                        </wps:txbx>
                        <wps:bodyPr rot="0" vert="horz" wrap="square" lIns="25400" tIns="12700" rIns="25400" bIns="12700" anchor="ctr" anchorCtr="0">
                          <a:noAutofit/>
                        </wps:bodyPr>
                      </wps:wsp>
                      <wps:wsp>
                        <wps:cNvPr id="147" name="Shape 147"/>
                        <wps:cNvSpPr/>
                        <wps:spPr>
                          <a:xfrm>
                            <a:off x="3530600" y="3937000"/>
                            <a:ext cx="1219200" cy="330200"/>
                          </a:xfrm>
                          <a:prstGeom prst="rect">
                            <a:avLst/>
                          </a:prstGeom>
                          <a:noFill/>
                          <a:ln>
                            <a:noFill/>
                          </a:ln>
                        </wps:spPr>
                        <wps:txbx>
                          <w:txbxContent>
                            <w:p>
                              <w:pPr>
                                <w:spacing w:before="0" w:after="0" w:line="226" w:lineRule="exact"/>
                                <w:jc w:val="center"/>
                              </w:pPr>
                              <w:r>
                                <w:rPr>
                                  <w:rFonts w:ascii="Times New Roman" w:hAnsi="Times New Roman" w:eastAsia="標楷體" w:cs="Times New Roman"/>
                                  <w:color w:val="1F4E79"/>
                                  <w:sz w:val="16"/>
                                  <w:szCs w:val="16"/>
                                </w:rPr>
                                <w:t xml:space="preserve">價值傾向量表</w:t>
                              </w:r>
                            </w:p>
                            <w:p>
                              <w:pPr>
                                <w:spacing w:before="0" w:after="0" w:line="226" w:lineRule="exact"/>
                                <w:jc w:val="center"/>
                              </w:pPr>
                              <w:r>
                                <w:rPr>
                                  <w:rFonts w:ascii="Times New Roman" w:hAnsi="Times New Roman" w:eastAsia="標楷體" w:cs="Times New Roman"/>
                                  <w:color w:val="1F4E79"/>
                                  <w:sz w:val="16"/>
                                  <w:szCs w:val="16"/>
                                </w:rPr>
                                <w:t xml:space="preserve">成為分組變數</w:t>
                              </w:r>
                            </w:p>
                          </w:txbxContent>
                        </wps:txbx>
                        <wps:bodyPr rot="0" vert="horz" wrap="square" lIns="25400" tIns="12700" rIns="25400" bIns="12700" anchor="ctr" anchorCtr="0">
                          <a:noAutofit/>
                        </wps:bodyPr>
                      </wps:wsp>
                      <wps:wsp>
                        <wps:cNvPr id="148" name="Shape 148"/>
                        <wps:cNvSpPr/>
                        <wps:spPr>
                          <a:xfrm>
                            <a:off x="101600" y="4318000"/>
                            <a:ext cx="1803400" cy="1092200"/>
                          </a:xfrm>
                          <a:prstGeom prst="roundRect">
                            <a:avLst>
                              <a:gd name="adj" fmla="val 12000"/>
                            </a:avLst>
                          </a:prstGeom>
                          <a:solidFill>
                            <a:srgbClr val="FBE5D6"/>
                          </a:solidFill>
                          <a:ln w="12700">
                            <a:solidFill>
                              <a:srgbClr val="404040"/>
                            </a:solidFill>
                          </a:ln>
                        </wps:spPr>
                        <wps:txbx>
                          <w:txbxContent>
                            <w:p>
                              <w:pPr>
                                <w:spacing w:before="0" w:after="0" w:line="240" w:lineRule="exact"/>
                                <w:jc w:val="left"/>
                              </w:pPr>
                              <w:r>
                                <w:rPr>
                                  <w:rFonts w:ascii="Times New Roman" w:hAnsi="Times New Roman" w:eastAsia="標楷體" w:cs="Times New Roman"/>
                                  <w:b/>
                                  <w:bCs/>
                                  <w:sz w:val="17"/>
                                  <w:szCs w:val="17"/>
                                </w:rPr>
                                <w:t xml:space="preserve">第一階段【發現】</w:t>
                              </w:r>
                            </w:p>
                            <w:p>
                              <w:pPr>
                                <w:spacing w:before="0" w:after="0" w:line="240" w:lineRule="exact"/>
                                <w:jc w:val="left"/>
                              </w:pPr>
                              <w:r>
                                <w:rPr>
                                  <w:rFonts w:ascii="Times New Roman" w:hAnsi="Times New Roman" w:eastAsia="標楷體" w:cs="Times New Roman"/>
                                  <w:sz w:val="17"/>
                                  <w:szCs w:val="17"/>
                                </w:rPr>
                                <w:t xml:space="preserve">方法：MEC 軟式階梯訪談</w:t>
                              </w:r>
                            </w:p>
                            <w:p>
                              <w:pPr>
                                <w:spacing w:before="0" w:after="0" w:line="240" w:lineRule="exact"/>
                                <w:jc w:val="left"/>
                              </w:pPr>
                              <w:r>
                                <w:rPr>
                                  <w:rFonts w:ascii="Times New Roman" w:hAnsi="Times New Roman" w:eastAsia="標楷體" w:cs="Times New Roman"/>
                                  <w:sz w:val="17"/>
                                  <w:szCs w:val="17"/>
                                </w:rPr>
                                <w:t xml:space="preserve">對象：AI／真人主播購買者</w:t>
                              </w:r>
                            </w:p>
                            <w:p>
                              <w:pPr>
                                <w:spacing w:before="0" w:after="0" w:line="240" w:lineRule="exact"/>
                                <w:jc w:val="left"/>
                              </w:pPr>
                              <w:r>
                                <w:rPr>
                                  <w:rFonts w:ascii="Times New Roman" w:hAnsi="Times New Roman" w:eastAsia="標楷體" w:cs="Times New Roman"/>
                                  <w:sz w:val="17"/>
                                  <w:szCs w:val="17"/>
                                </w:rPr>
                                <w:t xml:space="preserve">分析：人工編碼、HVM</w:t>
                              </w:r>
                            </w:p>
                            <w:p>
                              <w:pPr>
                                <w:spacing w:before="0" w:after="0" w:line="240" w:lineRule="exact"/>
                                <w:jc w:val="left"/>
                              </w:pPr>
                              <w:r>
                                <w:rPr>
                                  <w:rFonts w:ascii="Times New Roman" w:hAnsi="Times New Roman" w:eastAsia="標楷體" w:cs="Times New Roman"/>
                                  <w:sz w:val="17"/>
                                  <w:szCs w:val="17"/>
                                </w:rPr>
                                <w:t xml:space="preserve">產出：價值鏈與價值訴求</w:t>
                              </w:r>
                            </w:p>
                          </w:txbxContent>
                        </wps:txbx>
                        <wps:bodyPr rot="0" vert="horz" wrap="square" lIns="25400" tIns="12700" rIns="25400" bIns="12700" anchor="t" anchorCtr="0">
                          <a:noAutofit/>
                        </wps:bodyPr>
                      </wps:wsp>
                      <wps:wsp>
                        <wps:cNvPr id="149" name="Shape 149"/>
                        <wps:cNvSpPr/>
                        <wps:spPr>
                          <a:xfrm>
                            <a:off x="2146300" y="4318000"/>
                            <a:ext cx="1803400" cy="1092200"/>
                          </a:xfrm>
                          <a:prstGeom prst="roundRect">
                            <a:avLst>
                              <a:gd name="adj" fmla="val 12000"/>
                            </a:avLst>
                          </a:prstGeom>
                          <a:solidFill>
                            <a:srgbClr val="E2F0D9"/>
                          </a:solidFill>
                          <a:ln w="12700">
                            <a:solidFill>
                              <a:srgbClr val="404040"/>
                            </a:solidFill>
                          </a:ln>
                        </wps:spPr>
                        <wps:txbx>
                          <w:txbxContent>
                            <w:p>
                              <w:pPr>
                                <w:spacing w:before="0" w:after="0" w:line="240" w:lineRule="exact"/>
                                <w:jc w:val="left"/>
                              </w:pPr>
                              <w:r>
                                <w:rPr>
                                  <w:rFonts w:ascii="Times New Roman" w:hAnsi="Times New Roman" w:eastAsia="標楷體" w:cs="Times New Roman"/>
                                  <w:b/>
                                  <w:bCs/>
                                  <w:sz w:val="17"/>
                                  <w:szCs w:val="17"/>
                                </w:rPr>
                                <w:t xml:space="preserve">第二階段【檢驗】</w:t>
                              </w:r>
                            </w:p>
                            <w:p>
                              <w:pPr>
                                <w:spacing w:before="0" w:after="0" w:line="240" w:lineRule="exact"/>
                                <w:jc w:val="left"/>
                              </w:pPr>
                              <w:r>
                                <w:rPr>
                                  <w:rFonts w:ascii="Times New Roman" w:hAnsi="Times New Roman" w:eastAsia="標楷體" w:cs="Times New Roman"/>
                                  <w:sz w:val="17"/>
                                  <w:szCs w:val="17"/>
                                </w:rPr>
                                <w:t xml:space="preserve">方法：2×2×2 實驗設計</w:t>
                              </w:r>
                            </w:p>
                            <w:p>
                              <w:pPr>
                                <w:spacing w:before="0" w:after="0" w:line="240" w:lineRule="exact"/>
                                <w:jc w:val="left"/>
                              </w:pPr>
                              <w:r>
                                <w:rPr>
                                  <w:rFonts w:ascii="Times New Roman" w:hAnsi="Times New Roman" w:eastAsia="標楷體" w:cs="Times New Roman"/>
                                  <w:sz w:val="17"/>
                                  <w:szCs w:val="17"/>
                                </w:rPr>
                                <w:t xml:space="preserve">＋AI 身分揭露實驗</w:t>
                              </w:r>
                            </w:p>
                            <w:p>
                              <w:pPr>
                                <w:spacing w:before="0" w:after="0" w:line="240" w:lineRule="exact"/>
                                <w:jc w:val="left"/>
                              </w:pPr>
                              <w:r>
                                <w:rPr>
                                  <w:rFonts w:ascii="Times New Roman" w:hAnsi="Times New Roman" w:eastAsia="標楷體" w:cs="Times New Roman"/>
                                  <w:sz w:val="17"/>
                                  <w:szCs w:val="17"/>
                                </w:rPr>
                                <w:t xml:space="preserve">結果：購買與購後預期</w:t>
                              </w:r>
                            </w:p>
                            <w:p>
                              <w:pPr>
                                <w:spacing w:before="0" w:after="0" w:line="240" w:lineRule="exact"/>
                                <w:jc w:val="left"/>
                              </w:pPr>
                              <w:r>
                                <w:rPr>
                                  <w:rFonts w:ascii="Times New Roman" w:hAnsi="Times New Roman" w:eastAsia="標楷體" w:cs="Times New Roman"/>
                                  <w:sz w:val="17"/>
                                  <w:szCs w:val="17"/>
                                </w:rPr>
                                <w:t xml:space="preserve">產出：主播 × 話術對照表</w:t>
                              </w:r>
                            </w:p>
                          </w:txbxContent>
                        </wps:txbx>
                        <wps:bodyPr rot="0" vert="horz" wrap="square" lIns="25400" tIns="12700" rIns="25400" bIns="12700" anchor="t" anchorCtr="0">
                          <a:noAutofit/>
                        </wps:bodyPr>
                      </wps:wsp>
                      <wps:wsp>
                        <wps:cNvPr id="150" name="Shape 150"/>
                        <wps:cNvSpPr/>
                        <wps:spPr>
                          <a:xfrm>
                            <a:off x="4191000" y="4318000"/>
                            <a:ext cx="1803400" cy="1092200"/>
                          </a:xfrm>
                          <a:prstGeom prst="roundRect">
                            <a:avLst>
                              <a:gd name="adj" fmla="val 12000"/>
                            </a:avLst>
                          </a:prstGeom>
                          <a:solidFill>
                            <a:srgbClr val="DEEBF7"/>
                          </a:solidFill>
                          <a:ln w="12700">
                            <a:solidFill>
                              <a:srgbClr val="404040"/>
                            </a:solidFill>
                          </a:ln>
                        </wps:spPr>
                        <wps:txbx>
                          <w:txbxContent>
                            <w:p>
                              <w:pPr>
                                <w:spacing w:before="0" w:after="0" w:line="240" w:lineRule="exact"/>
                                <w:jc w:val="left"/>
                              </w:pPr>
                              <w:r>
                                <w:rPr>
                                  <w:rFonts w:ascii="Times New Roman" w:hAnsi="Times New Roman" w:eastAsia="標楷體" w:cs="Times New Roman"/>
                                  <w:b/>
                                  <w:bCs/>
                                  <w:sz w:val="17"/>
                                  <w:szCs w:val="17"/>
                                </w:rPr>
                                <w:t xml:space="preserve">第三階段【推廣】</w:t>
                              </w:r>
                            </w:p>
                            <w:p>
                              <w:pPr>
                                <w:spacing w:before="0" w:after="0" w:line="240" w:lineRule="exact"/>
                                <w:jc w:val="left"/>
                              </w:pPr>
                              <w:r>
                                <w:rPr>
                                  <w:rFonts w:ascii="Times New Roman" w:hAnsi="Times New Roman" w:eastAsia="標楷體" w:cs="Times New Roman"/>
                                  <w:sz w:val="17"/>
                                  <w:szCs w:val="17"/>
                                </w:rPr>
                                <w:t xml:space="preserve">方法：SEM、多群組 SEM</w:t>
                              </w:r>
                            </w:p>
                            <w:p>
                              <w:pPr>
                                <w:spacing w:before="0" w:after="0" w:line="240" w:lineRule="exact"/>
                                <w:jc w:val="left"/>
                              </w:pPr>
                              <w:r>
                                <w:rPr>
                                  <w:rFonts w:ascii="Times New Roman" w:hAnsi="Times New Roman" w:eastAsia="標楷體" w:cs="Times New Roman"/>
                                  <w:sz w:val="17"/>
                                  <w:szCs w:val="17"/>
                                </w:rPr>
                                <w:t xml:space="preserve">對象：直播實際購買者</w:t>
                              </w:r>
                            </w:p>
                            <w:p>
                              <w:pPr>
                                <w:spacing w:before="0" w:after="0" w:line="240" w:lineRule="exact"/>
                                <w:jc w:val="left"/>
                              </w:pPr>
                              <w:r>
                                <w:rPr>
                                  <w:rFonts w:ascii="Times New Roman" w:hAnsi="Times New Roman" w:eastAsia="標楷體" w:cs="Times New Roman"/>
                                  <w:sz w:val="17"/>
                                  <w:szCs w:val="17"/>
                                </w:rPr>
                                <w:t xml:space="preserve">結果：滿意、退貨、再購</w:t>
                              </w:r>
                            </w:p>
                            <w:p>
                              <w:pPr>
                                <w:spacing w:before="0" w:after="0" w:line="240" w:lineRule="exact"/>
                                <w:jc w:val="left"/>
                              </w:pPr>
                              <w:r>
                                <w:rPr>
                                  <w:rFonts w:ascii="Times New Roman" w:hAnsi="Times New Roman" w:eastAsia="標楷體" w:cs="Times New Roman"/>
                                  <w:sz w:val="17"/>
                                  <w:szCs w:val="17"/>
                                </w:rPr>
                                <w:t xml:space="preserve">產出：購後路徑模型</w:t>
                              </w:r>
                            </w:p>
                          </w:txbxContent>
                        </wps:txbx>
                        <wps:bodyPr rot="0" vert="horz" wrap="square" lIns="25400" tIns="12700" rIns="25400" bIns="12700" anchor="t" anchorCtr="0">
                          <a:noAutofit/>
                        </wps:bodyPr>
                      </wps:wsp>
                      <wps:wsp>
                        <wps:cNvPr id="151" name="Line 151"/>
                        <wps:cNvCnPr/>
                        <wps:spPr>
                          <a:xfrm>
                            <a:off x="1905000" y="4864100"/>
                            <a:ext cx="241300" cy="0"/>
                          </a:xfrm>
                          <a:prstGeom prst="line">
                            <a:avLst/>
                          </a:prstGeom>
                          <a:ln w="12700">
                            <a:solidFill>
                              <a:srgbClr val="404040"/>
                            </a:solidFill>
                            <a:tailEnd type="triangle" w="med" len="med"/>
                          </a:ln>
                        </wps:spPr>
                        <wps:bodyPr/>
                      </wps:wsp>
                      <wps:wsp>
                        <wps:cNvPr id="152" name="Line 152"/>
                        <wps:cNvCnPr/>
                        <wps:spPr>
                          <a:xfrm>
                            <a:off x="3949700" y="4864100"/>
                            <a:ext cx="241300" cy="0"/>
                          </a:xfrm>
                          <a:prstGeom prst="line">
                            <a:avLst/>
                          </a:prstGeom>
                          <a:ln w="12700">
                            <a:solidFill>
                              <a:srgbClr val="404040"/>
                            </a:solidFill>
                            <a:tailEnd type="triangle" w="med" len="med"/>
                          </a:ln>
                        </wps:spPr>
                        <wps:bodyPr/>
                      </wps:wsp>
                      <wps:wsp>
                        <wps:cNvPr id="153" name="Line 153"/>
                        <wps:cNvCnPr/>
                        <wps:spPr>
                          <a:xfrm>
                            <a:off x="1003300" y="5410200"/>
                            <a:ext cx="0" cy="254000"/>
                          </a:xfrm>
                          <a:prstGeom prst="line">
                            <a:avLst/>
                          </a:prstGeom>
                          <a:ln w="12700">
                            <a:solidFill>
                              <a:srgbClr val="404040"/>
                            </a:solidFill>
                            <a:prstDash val="dash"/>
                          </a:ln>
                        </wps:spPr>
                        <wps:bodyPr/>
                      </wps:wsp>
                      <wps:wsp>
                        <wps:cNvPr id="154" name="Line 154"/>
                        <wps:cNvCnPr/>
                        <wps:spPr>
                          <a:xfrm>
                            <a:off x="3048000" y="5410200"/>
                            <a:ext cx="0" cy="254000"/>
                          </a:xfrm>
                          <a:prstGeom prst="line">
                            <a:avLst/>
                          </a:prstGeom>
                          <a:ln w="12700">
                            <a:solidFill>
                              <a:srgbClr val="404040"/>
                            </a:solidFill>
                            <a:prstDash val="dash"/>
                          </a:ln>
                        </wps:spPr>
                        <wps:bodyPr/>
                      </wps:wsp>
                      <wps:wsp>
                        <wps:cNvPr id="155" name="Line 155"/>
                        <wps:cNvCnPr/>
                        <wps:spPr>
                          <a:xfrm>
                            <a:off x="5092700" y="5410200"/>
                            <a:ext cx="0" cy="254000"/>
                          </a:xfrm>
                          <a:prstGeom prst="line">
                            <a:avLst/>
                          </a:prstGeom>
                          <a:ln w="12700">
                            <a:solidFill>
                              <a:srgbClr val="404040"/>
                            </a:solidFill>
                            <a:prstDash val="dash"/>
                          </a:ln>
                        </wps:spPr>
                        <wps:bodyPr/>
                      </wps:wsp>
                      <wps:wsp>
                        <wps:cNvPr id="156" name="Shape 156"/>
                        <wps:cNvSpPr/>
                        <wps:spPr>
                          <a:xfrm>
                            <a:off x="101600" y="5664200"/>
                            <a:ext cx="5892800" cy="660400"/>
                          </a:xfrm>
                          <a:prstGeom prst="roundRect">
                            <a:avLst>
                              <a:gd name="adj" fmla="val 12000"/>
                            </a:avLst>
                          </a:prstGeom>
                          <a:solidFill>
                            <a:srgbClr val="EDEDED"/>
                          </a:solidFill>
                          <a:ln w="12700">
                            <a:solidFill>
                              <a:srgbClr val="404040"/>
                            </a:solidFill>
                          </a:ln>
                        </wps:spPr>
                        <wps:txbx>
                          <w:txbxContent>
                            <w:p>
                              <w:pPr>
                                <w:spacing w:before="0" w:after="0" w:line="240" w:lineRule="exact"/>
                                <w:jc w:val="left"/>
                              </w:pPr>
                              <w:r>
                                <w:rPr>
                                  <w:rFonts w:ascii="Times New Roman" w:hAnsi="Times New Roman" w:eastAsia="標楷體" w:cs="Times New Roman"/>
                                  <w:b/>
                                  <w:bCs/>
                                  <w:sz w:val="17"/>
                                  <w:szCs w:val="17"/>
                                </w:rPr>
                                <w:t xml:space="preserve">共同基礎（三階段共用）</w:t>
                              </w:r>
                            </w:p>
                            <w:p>
                              <w:pPr>
                                <w:spacing w:before="0" w:after="0" w:line="240" w:lineRule="exact"/>
                                <w:jc w:val="left"/>
                              </w:pPr>
                              <w:r>
                                <w:rPr>
                                  <w:rFonts w:ascii="Times New Roman" w:hAnsi="Times New Roman" w:eastAsia="標楷體" w:cs="Times New Roman"/>
                                  <w:sz w:val="17"/>
                                  <w:szCs w:val="17"/>
                                </w:rPr>
                                <w:t xml:space="preserve">品類庫：運動鞋（錨定）、美妝保養、居家家具，各含享樂型與實用型｜共同量表：價值傾向、主播知覺</w:t>
                              </w:r>
                            </w:p>
                            <w:p>
                              <w:pPr>
                                <w:spacing w:before="0" w:after="0" w:line="240" w:lineRule="exact"/>
                                <w:jc w:val="left"/>
                              </w:pPr>
                              <w:r>
                                <w:rPr>
                                  <w:rFonts w:ascii="Times New Roman" w:hAnsi="Times New Roman" w:eastAsia="標楷體" w:cs="Times New Roman"/>
                                  <w:sz w:val="17"/>
                                  <w:szCs w:val="17"/>
                                </w:rPr>
                                <w:t xml:space="preserve">效度程序：預先註冊、操弄檢驗、刺激抽樣、共同方法變異檢查、測量恆等性</w:t>
                              </w:r>
                            </w:p>
                          </w:txbxContent>
                        </wps:txbx>
                        <wps:bodyPr rot="0" vert="horz" wrap="square" lIns="25400" tIns="12700" rIns="25400" bIns="12700" anchor="ctr" anchorCtr="0">
                          <a:noAutofit/>
                        </wps:bodyPr>
                      </wps:wsp>
                      <wps:wsp>
                        <wps:cNvPr id="157" name="Line 157"/>
                        <wps:cNvCnPr/>
                        <wps:spPr>
                          <a:xfrm>
                            <a:off x="3048000" y="6324600"/>
                            <a:ext cx="0" cy="203200"/>
                          </a:xfrm>
                          <a:prstGeom prst="line">
                            <a:avLst/>
                          </a:prstGeom>
                          <a:ln w="12700">
                            <a:solidFill>
                              <a:srgbClr val="404040"/>
                            </a:solidFill>
                            <a:tailEnd type="triangle" w="med" len="med"/>
                          </a:ln>
                        </wps:spPr>
                        <wps:bodyPr/>
                      </wps:wsp>
                      <wps:wsp>
                        <wps:cNvPr id="158" name="Shape 158"/>
                        <wps:cNvSpPr/>
                        <wps:spPr>
                          <a:xfrm>
                            <a:off x="101600" y="6527800"/>
                            <a:ext cx="5892800" cy="431800"/>
                          </a:xfrm>
                          <a:prstGeom prst="roundRect">
                            <a:avLst>
                              <a:gd name="adj" fmla="val 12000"/>
                            </a:avLst>
                          </a:prstGeom>
                          <a:solidFill>
                            <a:srgbClr val="FFF2CC"/>
                          </a:solidFill>
                          <a:ln w="16510">
                            <a:solidFill>
                              <a:srgbClr val="1F4E79"/>
                            </a:solidFill>
                          </a:ln>
                        </wps:spPr>
                        <wps:txbx>
                          <w:txbxContent>
                            <w:p>
                              <w:pPr>
                                <w:spacing w:before="0" w:after="0" w:line="254" w:lineRule="exact"/>
                                <w:jc w:val="center"/>
                              </w:pPr>
                              <w:r>
                                <w:rPr>
                                  <w:rFonts w:ascii="Times New Roman" w:hAnsi="Times New Roman" w:eastAsia="標楷體" w:cs="Times New Roman"/>
                                  <w:b/>
                                  <w:bCs/>
                                  <w:sz w:val="18"/>
                                  <w:szCs w:val="18"/>
                                </w:rPr>
                                <w:t xml:space="preserve">實務轉譯（主題五）：中小企業「主播類型 × 話術 × 品類」決策表、AI 主播揭露與退貨溝通指引</w:t>
                              </w:r>
                            </w:p>
                          </w:txbxContent>
                        </wps:txbx>
                        <wps:bodyPr rot="0" vert="horz" wrap="square" lIns="25400" tIns="12700" rIns="25400" bIns="12700" anchor="ctr" anchorCtr="0">
                          <a:noAutofit/>
                        </wps:bodyPr>
                      </wps:wsp>
                    </wpg:wgp>
                  </a:graphicData>
                </a:graphic>
              </wp:inline>
            </w:drawing>
          </mc:Choice>
        </mc:AlternateContent>
      </w:r>
    </w:p>
    <w:p>
      <w:pPr>
        <w:spacing w:before="120" w:after="80" w:line="360" w:lineRule="exact"/>
        <w:jc w:val="center"/>
      </w:pPr>
      <w:r>
        <w:rPr>
          <w:rFonts w:ascii="Times New Roman" w:hAnsi="Times New Roman" w:eastAsia="標楷體" w:cs="Times New Roman"/>
        </w:rPr>
        <w:t xml:space="preserve">圖 2　二年研究計畫架構概略圖</w:t>
      </w:r>
    </w:p>
    <w:p>
      <w:pPr>
        <w:spacing w:before="0" w:after="0" w:line="440" w:lineRule="exact"/>
        <w:ind w:firstLineChars="200" w:firstLine="480"/>
        <w:jc w:val="both"/>
      </w:pPr>
      <w:r>
        <w:rPr>
          <w:rFonts w:ascii="Times New Roman" w:hAnsi="Times New Roman" w:eastAsia="標楷體" w:cs="Times New Roman"/>
          <w:b/>
          <w:bCs/>
        </w:rPr>
        <w:t xml:space="preserve">研究共同基礎。</w:t>
      </w:r>
      <w:r>
        <w:rPr>
          <w:rFonts w:ascii="Times New Roman" w:hAnsi="Times New Roman" w:eastAsia="標楷體" w:cs="Times New Roman"/>
        </w:rPr>
        <w:t xml:space="preserve">品類抽樣框架為：運動鞋（潮流聯名鞋 vs. 機能跑鞋，錨定案例、最大樣本）、美妝保養（彩妝 vs. 防曬機能保養）、居家家具（裝飾燈具 vs. 人體工學椅），每個品類內各有享樂型與實用型產品 (</w:t>
      </w:r>
      <w:hyperlink r:id="rIdL14" w:history="1">
        <w:r>
          <w:rPr>
            <w:rStyle w:val="Hyperlink"/>
            <w:rFonts w:ascii="Times New Roman" w:hAnsi="Times New Roman" w:eastAsia="標楷體" w:cs="Times New Roman"/>
          </w:rPr>
          <w:t xml:space="preserve">Dhar &amp; Wertenbroch, 2000</w:t>
        </w:r>
      </w:hyperlink>
      <w:r>
        <w:rPr>
          <w:rFonts w:ascii="Times New Roman" w:hAnsi="Times New Roman" w:eastAsia="標楷體" w:cs="Times New Roman"/>
        </w:rPr>
        <w:t xml:space="preserve">; </w:t>
      </w:r>
      <w:hyperlink r:id="rIdL63" w:history="1">
        <w:r>
          <w:rPr>
            <w:rStyle w:val="Hyperlink"/>
            <w:rFonts w:ascii="Times New Roman" w:hAnsi="Times New Roman" w:eastAsia="標楷體" w:cs="Times New Roman"/>
          </w:rPr>
          <w:t xml:space="preserve">Voss et al., 2003</w:t>
        </w:r>
      </w:hyperlink>
      <w:r>
        <w:rPr>
          <w:rFonts w:ascii="Times New Roman" w:hAnsi="Times New Roman" w:eastAsia="標楷體" w:cs="Times New Roman"/>
        </w:rPr>
        <w:t xml:space="preserve">)。所有受試者填寫共同量表：第一階段發展的價值傾向量表、主播溫暖與能力知覺、品類涉入 (</w:t>
      </w:r>
      <w:hyperlink r:id="rIdL64" w:history="1">
        <w:r>
          <w:rPr>
            <w:rStyle w:val="Hyperlink"/>
            <w:rFonts w:ascii="Times New Roman" w:hAnsi="Times New Roman" w:eastAsia="標楷體" w:cs="Times New Roman"/>
          </w:rPr>
          <w:t xml:space="preserve">Zaichkowsky, 1985</w:t>
        </w:r>
      </w:hyperlink>
      <w:r>
        <w:rPr>
          <w:rFonts w:ascii="Times New Roman" w:hAnsi="Times New Roman" w:eastAsia="標楷體" w:cs="Times New Roman"/>
        </w:rPr>
        <w:t xml:space="preserve">)、認知需求 (</w:t>
      </w:r>
      <w:hyperlink r:id="rIdL65" w:history="1">
        <w:r>
          <w:rPr>
            <w:rStyle w:val="Hyperlink"/>
            <w:rFonts w:ascii="Times New Roman" w:hAnsi="Times New Roman" w:eastAsia="標楷體" w:cs="Times New Roman"/>
          </w:rPr>
          <w:t xml:space="preserve">Cacioppo et al., 1984</w:t>
        </w:r>
      </w:hyperlink>
      <w:r>
        <w:rPr>
          <w:rFonts w:ascii="Times New Roman" w:hAnsi="Times New Roman" w:eastAsia="標楷體" w:cs="Times New Roman"/>
        </w:rPr>
        <w:t xml:space="preserve">) 與直播購物經驗。實驗刺激物一律使用虛構品牌；AI 主播與真人主播使用相同的外型設定、背景與腳本長度，僅以聲音與動作的呈現方式及開場自我介紹區分，以控制擬真程度的干擾 (</w:t>
      </w:r>
      <w:hyperlink r:id="rIdL5" w:history="1">
        <w:r>
          <w:rPr>
            <w:rStyle w:val="Hyperlink"/>
            <w:rFonts w:ascii="Times New Roman" w:hAnsi="Times New Roman" w:eastAsia="標楷體" w:cs="Times New Roman"/>
          </w:rPr>
          <w:t xml:space="preserve">Y. Liu et al., 2025</w:t>
        </w:r>
      </w:hyperlink>
      <w:r>
        <w:rPr>
          <w:rFonts w:ascii="Times New Roman" w:hAnsi="Times New Roman" w:eastAsia="標楷體" w:cs="Times New Roman"/>
        </w:rPr>
        <w:t xml:space="preserve">; </w:t>
      </w:r>
      <w:hyperlink r:id="rIdL50" w:history="1">
        <w:r>
          <w:rPr>
            <w:rStyle w:val="Hyperlink"/>
            <w:rFonts w:ascii="Times New Roman" w:hAnsi="Times New Roman" w:eastAsia="標楷體" w:cs="Times New Roman"/>
          </w:rPr>
          <w:t xml:space="preserve">Mori et al., 2012</w:t>
        </w:r>
      </w:hyperlink>
      <w:r>
        <w:rPr>
          <w:rFonts w:ascii="Times New Roman" w:hAnsi="Times New Roman" w:eastAsia="標楷體" w:cs="Times New Roman"/>
        </w:rPr>
        <w:t xml:space="preserve">)。</w:t>
      </w:r>
    </w:p>
    <w:p>
      <w:pPr>
        <w:pStyle w:val="Heading3"/>
        <w:keepNext/>
        <w:spacing w:before="120" w:after="40" w:line="440" w:lineRule="exact"/>
        <w:ind w:left="480" w:hanging="480"/>
      </w:pPr>
      <w:r>
        <w:rPr>
          <w:rFonts w:ascii="Times New Roman" w:hAnsi="Times New Roman" w:eastAsia="標楷體" w:cs="Times New Roman"/>
          <w:b/>
          <w:bCs/>
        </w:rPr>
        <w:t xml:space="preserve">（二）第一階段研究架構概念呈現：【初步發現】AI 虛擬主播與真人主播之消費者價值鏈：方法目的鏈</w:t>
      </w:r>
    </w:p>
    <w:p>
      <w:pPr>
        <w:spacing w:before="0" w:after="0" w:line="440" w:lineRule="exact"/>
        <w:ind w:firstLineChars="200" w:firstLine="480"/>
        <w:jc w:val="both"/>
      </w:pPr>
      <w:r>
        <w:rPr>
          <w:rFonts w:ascii="Times New Roman" w:hAnsi="Times New Roman" w:eastAsia="標楷體" w:cs="Times New Roman"/>
        </w:rPr>
        <w:t xml:space="preserve">第一階段以方法目的鏈對直播購買者進行價值內涵探索（屬性、後果及價值），並比較向 AI 虛擬主播與向真人主播購買的兩組消費者。</w:t>
      </w:r>
    </w:p>
    <w:p>
      <w:pPr>
        <w:spacing w:before="0" w:after="0" w:line="440" w:lineRule="exact"/>
        <w:ind w:left="480" w:hanging="480"/>
        <w:jc w:val="both"/>
      </w:pPr>
      <w:r>
        <w:rPr>
          <w:rFonts w:ascii="Times New Roman" w:hAnsi="Times New Roman" w:eastAsia="標楷體" w:cs="Times New Roman"/>
        </w:rPr>
        <w:t xml:space="preserve">1. 主要框架：以「在直播中向主播購買（三品類）」為主題做 MEC（屬性 → 後果 → 價值），使萃取的屬性、後果與價值具跨品類代表性。</w:t>
      </w:r>
    </w:p>
    <w:p>
      <w:pPr>
        <w:spacing w:before="0" w:after="0" w:line="440" w:lineRule="exact"/>
        <w:ind w:left="480" w:hanging="480"/>
        <w:jc w:val="both"/>
      </w:pPr>
      <w:r>
        <w:rPr>
          <w:rFonts w:ascii="Times New Roman" w:hAnsi="Times New Roman" w:eastAsia="標楷體" w:cs="Times New Roman"/>
        </w:rPr>
        <w:t xml:space="preserve">2. 在每一組屬性的追問中，系統性詢問「收到商品後的滿意、後悔與退貨」相關後果，把購後結果放入後果層級，以回答 RQ3。</w:t>
      </w:r>
    </w:p>
    <w:p>
      <w:pPr>
        <w:spacing w:before="0" w:after="0" w:line="440" w:lineRule="exact"/>
        <w:ind w:left="480" w:hanging="480"/>
        <w:jc w:val="both"/>
      </w:pPr>
      <w:r>
        <w:rPr>
          <w:rFonts w:ascii="Times New Roman" w:hAnsi="Times New Roman" w:eastAsia="標楷體" w:cs="Times New Roman"/>
        </w:rPr>
        <w:t xml:space="preserve">3. 把「主播類型（AI vs. 真人）」視為比較的分組：兩組受訪者使用相同訪談大綱，以比較兩組的價值鏈（RQ1、RQ2）。訪談的開放式問題架構見表 5。</w:t>
      </w:r>
    </w:p>
    <w:p>
      <w:pPr>
        <w:keepNext/>
        <w:spacing w:before="120" w:after="80" w:line="360" w:lineRule="exact"/>
        <w:jc w:val="center"/>
      </w:pPr>
      <w:r>
        <w:rPr>
          <w:rFonts w:ascii="Times New Roman" w:hAnsi="Times New Roman" w:eastAsia="標楷體" w:cs="Times New Roman"/>
        </w:rPr>
        <w:t xml:space="preserve">表 5　第一階段依據屬性、後果及價值之訪談開放式問題架構</w:t>
      </w:r>
    </w:p>
    <w:tbl>
      <w:tblPr>
        <w:tblW w:w="96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57" w:type="dxa"/>
          <w:right w:w="57" w:type="dxa"/>
        </w:tblCellMar>
      </w:tblPr>
      <w:tblGrid>
        <w:gridCol w:w="1700"/>
        <w:gridCol w:w="7938"/>
      </w:tblGrid>
      <w:tr>
        <w:trPr>
          <w:tblHeader/>
          <w:cantSplit/>
        </w:trPr>
        <w:tc>
          <w:tcPr>
            <w:tcW w:w="1700"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層級</w:t>
            </w:r>
          </w:p>
        </w:tc>
        <w:tc>
          <w:tcPr>
            <w:tcW w:w="7938"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開放式問題</w:t>
            </w:r>
          </w:p>
        </w:tc>
      </w:tr>
      <w:tr>
        <w:trPr>
          <w:cantSplit/>
        </w:trPr>
        <w:tc>
          <w:tcPr>
            <w:tcW w:w="1700" w:type="dxa"/>
            <w:vAlign w:val="center"/>
          </w:tcPr>
          <w:p>
            <w:pPr>
              <w:spacing w:before="20" w:after="20" w:line="300" w:lineRule="exact"/>
              <w:jc w:val="center"/>
            </w:pPr>
            <w:r>
              <w:rPr>
                <w:rFonts w:ascii="Times New Roman" w:hAnsi="Times New Roman" w:eastAsia="標楷體" w:cs="Times New Roman"/>
                <w:b/>
                <w:bCs/>
                <w:sz w:val="21"/>
                <w:szCs w:val="21"/>
              </w:rPr>
              <w:t xml:space="preserve">Attributes</w:t>
            </w:r>
          </w:p>
          <w:p>
            <w:pPr>
              <w:spacing w:before="20" w:after="20" w:line="300" w:lineRule="exact"/>
              <w:jc w:val="center"/>
            </w:pPr>
            <w:r>
              <w:rPr>
                <w:rFonts w:ascii="Times New Roman" w:hAnsi="Times New Roman" w:eastAsia="標楷體" w:cs="Times New Roman"/>
                <w:b/>
                <w:bCs/>
                <w:sz w:val="21"/>
                <w:szCs w:val="21"/>
              </w:rPr>
              <w:t xml:space="preserve">屬性</w:t>
            </w:r>
          </w:p>
        </w:tc>
        <w:tc>
          <w:tcPr>
            <w:tcW w:w="7938" w:type="dxa"/>
            <w:vAlign w:val="center"/>
          </w:tcPr>
          <w:p>
            <w:pPr>
              <w:spacing w:before="20" w:after="20" w:line="300" w:lineRule="exact"/>
              <w:jc w:val="left"/>
            </w:pPr>
            <w:r>
              <w:rPr>
                <w:rFonts w:ascii="Times New Roman" w:hAnsi="Times New Roman" w:eastAsia="標楷體" w:cs="Times New Roman"/>
                <w:sz w:val="21"/>
                <w:szCs w:val="21"/>
              </w:rPr>
              <w:t xml:space="preserve">1. 您在那場直播中，主播的哪些表現或直播間的哪些功能最吸引您？</w:t>
            </w:r>
          </w:p>
          <w:p>
            <w:pPr>
              <w:spacing w:before="20" w:after="20" w:line="300" w:lineRule="exact"/>
              <w:jc w:val="left"/>
            </w:pPr>
            <w:r>
              <w:rPr>
                <w:rFonts w:ascii="Times New Roman" w:hAnsi="Times New Roman" w:eastAsia="標楷體" w:cs="Times New Roman"/>
                <w:sz w:val="21"/>
                <w:szCs w:val="21"/>
              </w:rPr>
              <w:t xml:space="preserve">2. 和其他直播主或一般網購頁面相比，這位主播有哪些不同？</w:t>
            </w:r>
          </w:p>
          <w:p>
            <w:pPr>
              <w:spacing w:before="20" w:after="20" w:line="300" w:lineRule="exact"/>
              <w:jc w:val="left"/>
            </w:pPr>
            <w:r>
              <w:rPr>
                <w:rFonts w:ascii="Times New Roman" w:hAnsi="Times New Roman" w:eastAsia="標楷體" w:cs="Times New Roman"/>
                <w:sz w:val="21"/>
                <w:szCs w:val="21"/>
              </w:rPr>
              <w:t xml:space="preserve">3. 您知道這位主播是 AI（或真人）嗎？這件事對您有什麼影響？</w:t>
            </w:r>
          </w:p>
        </w:tc>
      </w:tr>
      <w:tr>
        <w:trPr>
          <w:cantSplit/>
        </w:trPr>
        <w:tc>
          <w:tcPr>
            <w:tcW w:w="1700" w:type="dxa"/>
            <w:vAlign w:val="center"/>
          </w:tcPr>
          <w:p>
            <w:pPr>
              <w:spacing w:before="20" w:after="20" w:line="300" w:lineRule="exact"/>
              <w:jc w:val="center"/>
            </w:pPr>
            <w:r>
              <w:rPr>
                <w:rFonts w:ascii="Times New Roman" w:hAnsi="Times New Roman" w:eastAsia="標楷體" w:cs="Times New Roman"/>
                <w:b/>
                <w:bCs/>
                <w:sz w:val="21"/>
                <w:szCs w:val="21"/>
              </w:rPr>
              <w:t xml:space="preserve">Consequences</w:t>
            </w:r>
          </w:p>
          <w:p>
            <w:pPr>
              <w:spacing w:before="20" w:after="20" w:line="300" w:lineRule="exact"/>
              <w:jc w:val="center"/>
            </w:pPr>
            <w:r>
              <w:rPr>
                <w:rFonts w:ascii="Times New Roman" w:hAnsi="Times New Roman" w:eastAsia="標楷體" w:cs="Times New Roman"/>
                <w:b/>
                <w:bCs/>
                <w:sz w:val="21"/>
                <w:szCs w:val="21"/>
              </w:rPr>
              <w:t xml:space="preserve">後果</w:t>
            </w:r>
          </w:p>
        </w:tc>
        <w:tc>
          <w:tcPr>
            <w:tcW w:w="7938" w:type="dxa"/>
            <w:vAlign w:val="center"/>
          </w:tcPr>
          <w:p>
            <w:pPr>
              <w:spacing w:before="20" w:after="20" w:line="300" w:lineRule="exact"/>
              <w:jc w:val="left"/>
            </w:pPr>
            <w:r>
              <w:rPr>
                <w:rFonts w:ascii="Times New Roman" w:hAnsi="Times New Roman" w:eastAsia="標楷體" w:cs="Times New Roman"/>
                <w:sz w:val="21"/>
                <w:szCs w:val="21"/>
              </w:rPr>
              <w:t xml:space="preserve">1. 剛剛提到的這些表現，為您帶來什麼樣的感受或結果？</w:t>
            </w:r>
          </w:p>
          <w:p>
            <w:pPr>
              <w:spacing w:before="20" w:after="20" w:line="300" w:lineRule="exact"/>
              <w:jc w:val="left"/>
            </w:pPr>
            <w:r>
              <w:rPr>
                <w:rFonts w:ascii="Times New Roman" w:hAnsi="Times New Roman" w:eastAsia="標楷體" w:cs="Times New Roman"/>
                <w:sz w:val="21"/>
                <w:szCs w:val="21"/>
              </w:rPr>
              <w:t xml:space="preserve">2. 收到商品後，實際使用的感覺和您在直播中的期待一樣嗎？</w:t>
            </w:r>
          </w:p>
          <w:p>
            <w:pPr>
              <w:spacing w:before="20" w:after="20" w:line="300" w:lineRule="exact"/>
              <w:jc w:val="left"/>
            </w:pPr>
            <w:r>
              <w:rPr>
                <w:rFonts w:ascii="Times New Roman" w:hAnsi="Times New Roman" w:eastAsia="標楷體" w:cs="Times New Roman"/>
                <w:sz w:val="21"/>
                <w:szCs w:val="21"/>
              </w:rPr>
              <w:t xml:space="preserve">3. 您有沒有想過退貨或後悔購買？為什麼？</w:t>
            </w:r>
          </w:p>
        </w:tc>
      </w:tr>
      <w:tr>
        <w:trPr>
          <w:cantSplit/>
        </w:trPr>
        <w:tc>
          <w:tcPr>
            <w:tcW w:w="1700" w:type="dxa"/>
            <w:vAlign w:val="center"/>
          </w:tcPr>
          <w:p>
            <w:pPr>
              <w:spacing w:before="20" w:after="20" w:line="300" w:lineRule="exact"/>
              <w:jc w:val="center"/>
            </w:pPr>
            <w:r>
              <w:rPr>
                <w:rFonts w:ascii="Times New Roman" w:hAnsi="Times New Roman" w:eastAsia="標楷體" w:cs="Times New Roman"/>
                <w:b/>
                <w:bCs/>
                <w:sz w:val="21"/>
                <w:szCs w:val="21"/>
              </w:rPr>
              <w:t xml:space="preserve">Values</w:t>
            </w:r>
          </w:p>
          <w:p>
            <w:pPr>
              <w:spacing w:before="20" w:after="20" w:line="300" w:lineRule="exact"/>
              <w:jc w:val="center"/>
            </w:pPr>
            <w:r>
              <w:rPr>
                <w:rFonts w:ascii="Times New Roman" w:hAnsi="Times New Roman" w:eastAsia="標楷體" w:cs="Times New Roman"/>
                <w:b/>
                <w:bCs/>
                <w:sz w:val="21"/>
                <w:szCs w:val="21"/>
              </w:rPr>
              <w:t xml:space="preserve">價值</w:t>
            </w:r>
          </w:p>
        </w:tc>
        <w:tc>
          <w:tcPr>
            <w:tcW w:w="7938" w:type="dxa"/>
            <w:vAlign w:val="center"/>
          </w:tcPr>
          <w:p>
            <w:pPr>
              <w:spacing w:before="20" w:after="20" w:line="300" w:lineRule="exact"/>
              <w:jc w:val="left"/>
            </w:pPr>
            <w:r>
              <w:rPr>
                <w:rFonts w:ascii="Times New Roman" w:hAnsi="Times New Roman" w:eastAsia="標楷體" w:cs="Times New Roman"/>
                <w:sz w:val="21"/>
                <w:szCs w:val="21"/>
              </w:rPr>
              <w:t xml:space="preserve">1. 這樣的結果對您個人而言，最重要的意義是什麼？</w:t>
            </w:r>
          </w:p>
          <w:p>
            <w:pPr>
              <w:spacing w:before="20" w:after="20" w:line="300" w:lineRule="exact"/>
              <w:jc w:val="left"/>
            </w:pPr>
            <w:r>
              <w:rPr>
                <w:rFonts w:ascii="Times New Roman" w:hAnsi="Times New Roman" w:eastAsia="標楷體" w:cs="Times New Roman"/>
                <w:sz w:val="21"/>
                <w:szCs w:val="21"/>
              </w:rPr>
              <w:t xml:space="preserve">2. 如果這次「買對了」，這代表您是一個什麼樣的人？</w:t>
            </w:r>
          </w:p>
          <w:p>
            <w:pPr>
              <w:spacing w:before="20" w:after="20" w:line="300" w:lineRule="exact"/>
              <w:jc w:val="left"/>
            </w:pPr>
            <w:r>
              <w:rPr>
                <w:rFonts w:ascii="Times New Roman" w:hAnsi="Times New Roman" w:eastAsia="標楷體" w:cs="Times New Roman"/>
                <w:sz w:val="21"/>
                <w:szCs w:val="21"/>
              </w:rPr>
              <w:t xml:space="preserve">3. 若商品和直播中說的不同，會影響您重視的哪些事情？</w:t>
            </w:r>
          </w:p>
        </w:tc>
      </w:tr>
      <w:tr>
        <w:trPr>
          <w:cantSplit/>
        </w:trPr>
        <w:tc>
          <w:tcPr>
            <w:tcW w:w="1700" w:type="dxa"/>
            <w:vAlign w:val="center"/>
          </w:tcPr>
          <w:p>
            <w:pPr>
              <w:spacing w:before="20" w:after="20" w:line="300" w:lineRule="exact"/>
              <w:jc w:val="center"/>
            </w:pPr>
            <w:r>
              <w:rPr>
                <w:rFonts w:ascii="Times New Roman" w:hAnsi="Times New Roman" w:eastAsia="標楷體" w:cs="Times New Roman"/>
                <w:b/>
                <w:bCs/>
                <w:sz w:val="21"/>
                <w:szCs w:val="21"/>
              </w:rPr>
              <w:t xml:space="preserve">主播比較</w:t>
            </w:r>
          </w:p>
        </w:tc>
        <w:tc>
          <w:tcPr>
            <w:tcW w:w="7938" w:type="dxa"/>
            <w:vAlign w:val="center"/>
          </w:tcPr>
          <w:p>
            <w:pPr>
              <w:spacing w:before="20" w:after="20" w:line="300" w:lineRule="exact"/>
              <w:jc w:val="left"/>
            </w:pPr>
            <w:r>
              <w:rPr>
                <w:rFonts w:ascii="Times New Roman" w:hAnsi="Times New Roman" w:eastAsia="標楷體" w:cs="Times New Roman"/>
                <w:sz w:val="21"/>
                <w:szCs w:val="21"/>
              </w:rPr>
              <w:t xml:space="preserve">1. 如果同一件商品改由 AI 主播（或真人主播）介紹，您的決定會不同嗎？</w:t>
            </w:r>
          </w:p>
          <w:p>
            <w:pPr>
              <w:spacing w:before="20" w:after="20" w:line="300" w:lineRule="exact"/>
              <w:jc w:val="left"/>
            </w:pPr>
            <w:r>
              <w:rPr>
                <w:rFonts w:ascii="Times New Roman" w:hAnsi="Times New Roman" w:eastAsia="標楷體" w:cs="Times New Roman"/>
                <w:sz w:val="21"/>
                <w:szCs w:val="21"/>
              </w:rPr>
              <w:t xml:space="preserve">2. 有沒有哪些事情，您比較相信 AI 主播說的、或比較相信真人主播說的？</w:t>
            </w:r>
          </w:p>
        </w:tc>
      </w:tr>
      <w:tr>
        <w:trPr>
          <w:cantSplit/>
        </w:trPr>
        <w:tc>
          <w:tcPr>
            <w:tcW w:w="1700" w:type="dxa"/>
            <w:vAlign w:val="center"/>
          </w:tcPr>
          <w:p>
            <w:pPr>
              <w:spacing w:before="20" w:after="20" w:line="300" w:lineRule="exact"/>
              <w:jc w:val="center"/>
            </w:pPr>
            <w:r>
              <w:rPr>
                <w:rFonts w:ascii="Times New Roman" w:hAnsi="Times New Roman" w:eastAsia="標楷體" w:cs="Times New Roman"/>
                <w:b/>
                <w:bCs/>
                <w:sz w:val="21"/>
                <w:szCs w:val="21"/>
              </w:rPr>
              <w:t xml:space="preserve">結尾</w:t>
            </w:r>
          </w:p>
          <w:p>
            <w:pPr>
              <w:spacing w:before="20" w:after="20" w:line="300" w:lineRule="exact"/>
              <w:jc w:val="center"/>
            </w:pPr>
            <w:r>
              <w:rPr>
                <w:rFonts w:ascii="Times New Roman" w:hAnsi="Times New Roman" w:eastAsia="標楷體" w:cs="Times New Roman"/>
                <w:b/>
                <w:bCs/>
                <w:sz w:val="21"/>
                <w:szCs w:val="21"/>
              </w:rPr>
              <w:t xml:space="preserve">價值驗證</w:t>
            </w:r>
          </w:p>
        </w:tc>
        <w:tc>
          <w:tcPr>
            <w:tcW w:w="7938" w:type="dxa"/>
            <w:vAlign w:val="center"/>
          </w:tcPr>
          <w:p>
            <w:pPr>
              <w:spacing w:before="20" w:after="20" w:line="300" w:lineRule="exact"/>
              <w:jc w:val="left"/>
            </w:pPr>
            <w:r>
              <w:rPr>
                <w:rFonts w:ascii="Times New Roman" w:hAnsi="Times New Roman" w:eastAsia="標楷體" w:cs="Times New Roman"/>
                <w:sz w:val="21"/>
                <w:szCs w:val="21"/>
              </w:rPr>
              <w:t xml:space="preserve">1. 您認為主播做到哪些事，最會讓您真正購買又不後悔？</w:t>
            </w:r>
          </w:p>
          <w:p>
            <w:pPr>
              <w:spacing w:before="20" w:after="20" w:line="300" w:lineRule="exact"/>
              <w:jc w:val="left"/>
            </w:pPr>
            <w:r>
              <w:rPr>
                <w:rFonts w:ascii="Times New Roman" w:hAnsi="Times New Roman" w:eastAsia="標楷體" w:cs="Times New Roman"/>
                <w:sz w:val="21"/>
                <w:szCs w:val="21"/>
              </w:rPr>
              <w:t xml:space="preserve">2. 如果用一句話說明您對直播主播的期待，您會怎麼說？</w:t>
            </w:r>
          </w:p>
        </w:tc>
      </w:tr>
    </w:tbl>
    <w:p>
      <w:pPr>
        <w:spacing w:before="0" w:after="0" w:line="200" w:lineRule="exact"/>
      </w:pPr>
    </w:p>
    <w:p>
      <w:pPr>
        <w:spacing w:before="0" w:after="0" w:line="440" w:lineRule="exact"/>
        <w:ind w:firstLineChars="200" w:firstLine="480"/>
        <w:jc w:val="both"/>
      </w:pPr>
      <w:r>
        <w:rPr>
          <w:rFonts w:ascii="Times New Roman" w:hAnsi="Times New Roman" w:eastAsia="標楷體" w:cs="Times New Roman"/>
          <w:b/>
          <w:bCs/>
        </w:rPr>
        <w:t xml:space="preserve">本計畫尚未進行正式訪談。</w:t>
      </w:r>
      <w:r>
        <w:rPr>
          <w:rFonts w:ascii="Times New Roman" w:hAnsi="Times New Roman" w:eastAsia="標楷體" w:cs="Times New Roman"/>
        </w:rPr>
        <w:t xml:space="preserve">為使編碼簿有明確起點，本計畫依據前述文獻預擬直播主播的初始屬性、後果與價值要素（表 6）。研究 1b 的訪談將以此為基礎進行開放編碼，新增、合併或刪除要素，產出正式編碼簿。</w:t>
      </w:r>
    </w:p>
    <w:p>
      <w:pPr>
        <w:keepNext/>
        <w:spacing w:before="120" w:after="80" w:line="360" w:lineRule="exact"/>
        <w:jc w:val="center"/>
      </w:pPr>
      <w:r>
        <w:rPr>
          <w:rFonts w:ascii="Times New Roman" w:hAnsi="Times New Roman" w:eastAsia="標楷體" w:cs="Times New Roman"/>
        </w:rPr>
        <w:t xml:space="preserve">表 6　依文獻預擬之直播主播屬性、後果及價值各層級要素（初始編碼簿）</w:t>
      </w:r>
    </w:p>
    <w:tbl>
      <w:tblPr>
        <w:tblW w:w="96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57" w:type="dxa"/>
          <w:right w:w="57" w:type="dxa"/>
        </w:tblCellMar>
      </w:tblPr>
      <w:tblGrid>
        <w:gridCol w:w="3212"/>
        <w:gridCol w:w="3213"/>
        <w:gridCol w:w="3213"/>
      </w:tblGrid>
      <w:tr>
        <w:trPr>
          <w:tblHeader/>
          <w:cantSplit/>
        </w:trPr>
        <w:tc>
          <w:tcPr>
            <w:tcW w:w="3212"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屬性（A）</w:t>
            </w:r>
          </w:p>
        </w:tc>
        <w:tc>
          <w:tcPr>
            <w:tcW w:w="3213"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後果（C）</w:t>
            </w:r>
          </w:p>
        </w:tc>
        <w:tc>
          <w:tcPr>
            <w:tcW w:w="3213"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價值（V）</w:t>
            </w:r>
          </w:p>
        </w:tc>
      </w:tr>
      <w:tr>
        <w:trPr>
          <w:cantSplit/>
        </w:trPr>
        <w:tc>
          <w:tcPr>
            <w:tcW w:w="3212" w:type="dxa"/>
            <w:vAlign w:val="center"/>
          </w:tcPr>
          <w:p>
            <w:pPr>
              <w:spacing w:before="20" w:after="20" w:line="300" w:lineRule="exact"/>
              <w:jc w:val="left"/>
            </w:pPr>
            <w:r>
              <w:rPr>
                <w:rFonts w:ascii="Times New Roman" w:hAnsi="Times New Roman" w:eastAsia="標楷體" w:cs="Times New Roman"/>
                <w:sz w:val="21"/>
                <w:szCs w:val="21"/>
              </w:rPr>
              <w:t xml:space="preserve">A01 即時回答問題 (</w:t>
            </w:r>
            <w:hyperlink r:id="rIdL5" w:history="1">
              <w:r>
                <w:rPr>
                  <w:rStyle w:val="Hyperlink"/>
                  <w:rFonts w:ascii="Times New Roman" w:hAnsi="Times New Roman" w:eastAsia="標楷體" w:cs="Times New Roman"/>
                  <w:sz w:val="21"/>
                  <w:szCs w:val="21"/>
                </w:rPr>
                <w:t xml:space="preserve">Y. Liu et al., 2025</w:t>
              </w:r>
            </w:hyperlink>
            <w:r>
              <w:rPr>
                <w:rFonts w:ascii="Times New Roman" w:hAnsi="Times New Roman" w:eastAsia="標楷體" w:cs="Times New Roman"/>
                <w:sz w:val="21"/>
                <w:szCs w:val="21"/>
              </w:rPr>
              <w:t xml:space="preserve">)</w:t>
            </w:r>
          </w:p>
        </w:tc>
        <w:tc>
          <w:tcPr>
            <w:tcW w:w="3213" w:type="dxa"/>
            <w:vAlign w:val="center"/>
          </w:tcPr>
          <w:p>
            <w:pPr>
              <w:spacing w:before="20" w:after="20" w:line="300" w:lineRule="exact"/>
              <w:jc w:val="left"/>
            </w:pPr>
            <w:r>
              <w:rPr>
                <w:rFonts w:ascii="Times New Roman" w:hAnsi="Times New Roman" w:eastAsia="標楷體" w:cs="Times New Roman"/>
                <w:sz w:val="21"/>
                <w:szCs w:val="21"/>
              </w:rPr>
              <w:t xml:space="preserve">C01 降低產品不確定性 (</w:t>
            </w:r>
            <w:hyperlink r:id="rIdL2" w:history="1">
              <w:r>
                <w:rPr>
                  <w:rStyle w:val="Hyperlink"/>
                  <w:rFonts w:ascii="Times New Roman" w:hAnsi="Times New Roman" w:eastAsia="標楷體" w:cs="Times New Roman"/>
                  <w:sz w:val="21"/>
                  <w:szCs w:val="21"/>
                </w:rPr>
                <w:t xml:space="preserve">Lu &amp; Chen, 2021</w:t>
              </w:r>
            </w:hyperlink>
            <w:r>
              <w:rPr>
                <w:rFonts w:ascii="Times New Roman" w:hAnsi="Times New Roman" w:eastAsia="標楷體" w:cs="Times New Roman"/>
                <w:sz w:val="21"/>
                <w:szCs w:val="21"/>
              </w:rPr>
              <w:t xml:space="preserve">)</w:t>
            </w:r>
          </w:p>
        </w:tc>
        <w:tc>
          <w:tcPr>
            <w:tcW w:w="3213" w:type="dxa"/>
            <w:vAlign w:val="center"/>
          </w:tcPr>
          <w:p>
            <w:pPr>
              <w:spacing w:before="20" w:after="20" w:line="300" w:lineRule="exact"/>
              <w:jc w:val="left"/>
            </w:pPr>
            <w:r>
              <w:rPr>
                <w:rFonts w:ascii="Times New Roman" w:hAnsi="Times New Roman" w:eastAsia="標楷體" w:cs="Times New Roman"/>
                <w:sz w:val="21"/>
                <w:szCs w:val="21"/>
              </w:rPr>
              <w:t xml:space="preserve">V01 精明消費（不浪費）</w:t>
            </w:r>
          </w:p>
        </w:tc>
      </w:tr>
      <w:tr>
        <w:trPr>
          <w:cantSplit/>
        </w:trPr>
        <w:tc>
          <w:tcPr>
            <w:tcW w:w="3212" w:type="dxa"/>
            <w:vAlign w:val="center"/>
          </w:tcPr>
          <w:p>
            <w:pPr>
              <w:spacing w:before="20" w:after="20" w:line="300" w:lineRule="exact"/>
              <w:jc w:val="left"/>
            </w:pPr>
            <w:r>
              <w:rPr>
                <w:rFonts w:ascii="Times New Roman" w:hAnsi="Times New Roman" w:eastAsia="標楷體" w:cs="Times New Roman"/>
                <w:sz w:val="21"/>
                <w:szCs w:val="21"/>
              </w:rPr>
              <w:t xml:space="preserve">A02 試用示範 (</w:t>
            </w:r>
            <w:hyperlink r:id="rIdL2" w:history="1">
              <w:r>
                <w:rPr>
                  <w:rStyle w:val="Hyperlink"/>
                  <w:rFonts w:ascii="Times New Roman" w:hAnsi="Times New Roman" w:eastAsia="標楷體" w:cs="Times New Roman"/>
                  <w:sz w:val="21"/>
                  <w:szCs w:val="21"/>
                </w:rPr>
                <w:t xml:space="preserve">Lu &amp; Chen, 2021</w:t>
              </w:r>
            </w:hyperlink>
            <w:r>
              <w:rPr>
                <w:rFonts w:ascii="Times New Roman" w:hAnsi="Times New Roman" w:eastAsia="標楷體" w:cs="Times New Roman"/>
                <w:sz w:val="21"/>
                <w:szCs w:val="21"/>
              </w:rPr>
              <w:t xml:space="preserve">)</w:t>
            </w:r>
          </w:p>
        </w:tc>
        <w:tc>
          <w:tcPr>
            <w:tcW w:w="3213" w:type="dxa"/>
            <w:vAlign w:val="center"/>
          </w:tcPr>
          <w:p>
            <w:pPr>
              <w:spacing w:before="20" w:after="20" w:line="300" w:lineRule="exact"/>
              <w:jc w:val="left"/>
            </w:pPr>
            <w:r>
              <w:rPr>
                <w:rFonts w:ascii="Times New Roman" w:hAnsi="Times New Roman" w:eastAsia="標楷體" w:cs="Times New Roman"/>
                <w:sz w:val="21"/>
                <w:szCs w:val="21"/>
              </w:rPr>
              <w:t xml:space="preserve">C02 信任主播與賣家 (</w:t>
            </w:r>
            <w:hyperlink r:id="rIdL1" w:history="1">
              <w:r>
                <w:rPr>
                  <w:rStyle w:val="Hyperlink"/>
                  <w:rFonts w:ascii="Times New Roman" w:hAnsi="Times New Roman" w:eastAsia="標楷體" w:cs="Times New Roman"/>
                  <w:sz w:val="21"/>
                  <w:szCs w:val="21"/>
                </w:rPr>
                <w:t xml:space="preserve">Wongkitrungrueng &amp; Assarut, 2020</w:t>
              </w:r>
            </w:hyperlink>
            <w:r>
              <w:rPr>
                <w:rFonts w:ascii="Times New Roman" w:hAnsi="Times New Roman" w:eastAsia="標楷體" w:cs="Times New Roman"/>
                <w:sz w:val="21"/>
                <w:szCs w:val="21"/>
              </w:rPr>
              <w:t xml:space="preserve">)</w:t>
            </w:r>
          </w:p>
        </w:tc>
        <w:tc>
          <w:tcPr>
            <w:tcW w:w="3213" w:type="dxa"/>
            <w:vAlign w:val="center"/>
          </w:tcPr>
          <w:p>
            <w:pPr>
              <w:spacing w:before="20" w:after="20" w:line="300" w:lineRule="exact"/>
              <w:jc w:val="left"/>
            </w:pPr>
            <w:r>
              <w:rPr>
                <w:rFonts w:ascii="Times New Roman" w:hAnsi="Times New Roman" w:eastAsia="標楷體" w:cs="Times New Roman"/>
                <w:sz w:val="21"/>
                <w:szCs w:val="21"/>
              </w:rPr>
              <w:t xml:space="preserve">V02 安全感</w:t>
            </w:r>
          </w:p>
        </w:tc>
      </w:tr>
      <w:tr>
        <w:trPr>
          <w:cantSplit/>
        </w:trPr>
        <w:tc>
          <w:tcPr>
            <w:tcW w:w="3212" w:type="dxa"/>
            <w:vAlign w:val="center"/>
          </w:tcPr>
          <w:p>
            <w:pPr>
              <w:spacing w:before="20" w:after="20" w:line="300" w:lineRule="exact"/>
              <w:jc w:val="left"/>
            </w:pPr>
            <w:r>
              <w:rPr>
                <w:rFonts w:ascii="Times New Roman" w:hAnsi="Times New Roman" w:eastAsia="標楷體" w:cs="Times New Roman"/>
                <w:sz w:val="21"/>
                <w:szCs w:val="21"/>
              </w:rPr>
              <w:t xml:space="preserve">A03 擬人外型與聲音 (</w:t>
            </w:r>
            <w:hyperlink r:id="rIdL47" w:history="1">
              <w:r>
                <w:rPr>
                  <w:rStyle w:val="Hyperlink"/>
                  <w:rFonts w:ascii="Times New Roman" w:hAnsi="Times New Roman" w:eastAsia="標楷體" w:cs="Times New Roman"/>
                  <w:sz w:val="21"/>
                  <w:szCs w:val="21"/>
                </w:rPr>
                <w:t xml:space="preserve">Blut et al., 2021</w:t>
              </w:r>
            </w:hyperlink>
            <w:r>
              <w:rPr>
                <w:rFonts w:ascii="Times New Roman" w:hAnsi="Times New Roman" w:eastAsia="標楷體" w:cs="Times New Roman"/>
                <w:sz w:val="21"/>
                <w:szCs w:val="21"/>
              </w:rPr>
              <w:t xml:space="preserve">)</w:t>
            </w:r>
          </w:p>
        </w:tc>
        <w:tc>
          <w:tcPr>
            <w:tcW w:w="3213" w:type="dxa"/>
            <w:vAlign w:val="center"/>
          </w:tcPr>
          <w:p>
            <w:pPr>
              <w:spacing w:before="20" w:after="20" w:line="300" w:lineRule="exact"/>
              <w:jc w:val="left"/>
            </w:pPr>
            <w:r>
              <w:rPr>
                <w:rFonts w:ascii="Times New Roman" w:hAnsi="Times New Roman" w:eastAsia="標楷體" w:cs="Times New Roman"/>
                <w:sz w:val="21"/>
                <w:szCs w:val="21"/>
              </w:rPr>
              <w:t xml:space="preserve">C03 被說服、衝動購買 (</w:t>
            </w:r>
            <w:hyperlink r:id="rIdL8" w:history="1">
              <w:r>
                <w:rPr>
                  <w:rStyle w:val="Hyperlink"/>
                  <w:rFonts w:ascii="Times New Roman" w:hAnsi="Times New Roman" w:eastAsia="標楷體" w:cs="Times New Roman"/>
                  <w:sz w:val="21"/>
                  <w:szCs w:val="21"/>
                </w:rPr>
                <w:t xml:space="preserve">Feng et al., 2025</w:t>
              </w:r>
            </w:hyperlink>
            <w:r>
              <w:rPr>
                <w:rFonts w:ascii="Times New Roman" w:hAnsi="Times New Roman" w:eastAsia="標楷體" w:cs="Times New Roman"/>
                <w:sz w:val="21"/>
                <w:szCs w:val="21"/>
              </w:rPr>
              <w:t xml:space="preserve">)</w:t>
            </w:r>
          </w:p>
        </w:tc>
        <w:tc>
          <w:tcPr>
            <w:tcW w:w="3213" w:type="dxa"/>
            <w:vAlign w:val="center"/>
          </w:tcPr>
          <w:p>
            <w:pPr>
              <w:spacing w:before="20" w:after="20" w:line="300" w:lineRule="exact"/>
              <w:jc w:val="left"/>
            </w:pPr>
            <w:r>
              <w:rPr>
                <w:rFonts w:ascii="Times New Roman" w:hAnsi="Times New Roman" w:eastAsia="標楷體" w:cs="Times New Roman"/>
                <w:sz w:val="21"/>
                <w:szCs w:val="21"/>
              </w:rPr>
              <w:t xml:space="preserve">V03 自主（不被推銷）</w:t>
            </w:r>
          </w:p>
        </w:tc>
      </w:tr>
      <w:tr>
        <w:trPr>
          <w:cantSplit/>
        </w:trPr>
        <w:tc>
          <w:tcPr>
            <w:tcW w:w="3212" w:type="dxa"/>
            <w:vAlign w:val="center"/>
          </w:tcPr>
          <w:p>
            <w:pPr>
              <w:spacing w:before="20" w:after="20" w:line="300" w:lineRule="exact"/>
              <w:jc w:val="left"/>
            </w:pPr>
            <w:r>
              <w:rPr>
                <w:rFonts w:ascii="Times New Roman" w:hAnsi="Times New Roman" w:eastAsia="標楷體" w:cs="Times New Roman"/>
                <w:sz w:val="21"/>
                <w:szCs w:val="21"/>
              </w:rPr>
              <w:t xml:space="preserve">A04 話術風格與促銷資訊 (</w:t>
            </w:r>
            <w:hyperlink r:id="rIdL41" w:history="1">
              <w:r>
                <w:rPr>
                  <w:rStyle w:val="Hyperlink"/>
                  <w:rFonts w:ascii="Times New Roman" w:hAnsi="Times New Roman" w:eastAsia="標楷體" w:cs="Times New Roman"/>
                  <w:sz w:val="21"/>
                  <w:szCs w:val="21"/>
                </w:rPr>
                <w:t xml:space="preserve">Ma et al., 2025</w:t>
              </w:r>
            </w:hyperlink>
            <w:r>
              <w:rPr>
                <w:rFonts w:ascii="Times New Roman" w:hAnsi="Times New Roman" w:eastAsia="標楷體" w:cs="Times New Roman"/>
                <w:sz w:val="21"/>
                <w:szCs w:val="21"/>
              </w:rPr>
              <w:t xml:space="preserve">; </w:t>
            </w:r>
            <w:hyperlink r:id="rIdL7" w:history="1">
              <w:r>
                <w:rPr>
                  <w:rStyle w:val="Hyperlink"/>
                  <w:rFonts w:ascii="Times New Roman" w:hAnsi="Times New Roman" w:eastAsia="標楷體" w:cs="Times New Roman"/>
                  <w:sz w:val="21"/>
                  <w:szCs w:val="21"/>
                </w:rPr>
                <w:t xml:space="preserve">Chang et al., 2025</w:t>
              </w:r>
            </w:hyperlink>
            <w:r>
              <w:rPr>
                <w:rFonts w:ascii="Times New Roman" w:hAnsi="Times New Roman" w:eastAsia="標楷體" w:cs="Times New Roman"/>
                <w:sz w:val="21"/>
                <w:szCs w:val="21"/>
              </w:rPr>
              <w:t xml:space="preserve">)</w:t>
            </w:r>
          </w:p>
        </w:tc>
        <w:tc>
          <w:tcPr>
            <w:tcW w:w="3213" w:type="dxa"/>
            <w:vAlign w:val="center"/>
          </w:tcPr>
          <w:p>
            <w:pPr>
              <w:spacing w:before="20" w:after="20" w:line="300" w:lineRule="exact"/>
              <w:jc w:val="left"/>
            </w:pPr>
            <w:r>
              <w:rPr>
                <w:rFonts w:ascii="Times New Roman" w:hAnsi="Times New Roman" w:eastAsia="標楷體" w:cs="Times New Roman"/>
                <w:sz w:val="21"/>
                <w:szCs w:val="21"/>
              </w:rPr>
              <w:t xml:space="preserve">C04 直播的樂趣與陪伴 (</w:t>
            </w:r>
            <w:hyperlink r:id="rIdL54" w:history="1">
              <w:r>
                <w:rPr>
                  <w:rStyle w:val="Hyperlink"/>
                  <w:rFonts w:ascii="Times New Roman" w:hAnsi="Times New Roman" w:eastAsia="標楷體" w:cs="Times New Roman"/>
                  <w:sz w:val="21"/>
                  <w:szCs w:val="21"/>
                </w:rPr>
                <w:t xml:space="preserve">Holbrook &amp; Hirschman, 1982</w:t>
              </w:r>
            </w:hyperlink>
            <w:r>
              <w:rPr>
                <w:rFonts w:ascii="Times New Roman" w:hAnsi="Times New Roman" w:eastAsia="標楷體" w:cs="Times New Roman"/>
                <w:sz w:val="21"/>
                <w:szCs w:val="21"/>
              </w:rPr>
              <w:t xml:space="preserve">)</w:t>
            </w:r>
          </w:p>
        </w:tc>
        <w:tc>
          <w:tcPr>
            <w:tcW w:w="3213" w:type="dxa"/>
            <w:vAlign w:val="center"/>
          </w:tcPr>
          <w:p>
            <w:pPr>
              <w:spacing w:before="20" w:after="20" w:line="300" w:lineRule="exact"/>
              <w:jc w:val="left"/>
            </w:pPr>
            <w:r>
              <w:rPr>
                <w:rFonts w:ascii="Times New Roman" w:hAnsi="Times New Roman" w:eastAsia="標楷體" w:cs="Times New Roman"/>
                <w:sz w:val="21"/>
                <w:szCs w:val="21"/>
              </w:rPr>
              <w:t xml:space="preserve">V04 歸屬感</w:t>
            </w:r>
          </w:p>
        </w:tc>
      </w:tr>
      <w:tr>
        <w:trPr>
          <w:cantSplit/>
        </w:trPr>
        <w:tc>
          <w:tcPr>
            <w:tcW w:w="3212" w:type="dxa"/>
            <w:vAlign w:val="center"/>
          </w:tcPr>
          <w:p>
            <w:pPr>
              <w:spacing w:before="20" w:after="20" w:line="300" w:lineRule="exact"/>
              <w:jc w:val="left"/>
            </w:pPr>
            <w:r>
              <w:rPr>
                <w:rFonts w:ascii="Times New Roman" w:hAnsi="Times New Roman" w:eastAsia="標楷體" w:cs="Times New Roman"/>
                <w:sz w:val="21"/>
                <w:szCs w:val="21"/>
              </w:rPr>
              <w:t xml:space="preserve">A05 主播的溫暖與親和力 (</w:t>
            </w:r>
            <w:hyperlink r:id="rIdL24" w:history="1">
              <w:r>
                <w:rPr>
                  <w:rStyle w:val="Hyperlink"/>
                  <w:rFonts w:ascii="Times New Roman" w:hAnsi="Times New Roman" w:eastAsia="標楷體" w:cs="Times New Roman"/>
                  <w:sz w:val="21"/>
                  <w:szCs w:val="21"/>
                </w:rPr>
                <w:t xml:space="preserve">Lv et al., 2025</w:t>
              </w:r>
            </w:hyperlink>
            <w:r>
              <w:rPr>
                <w:rFonts w:ascii="Times New Roman" w:hAnsi="Times New Roman" w:eastAsia="標楷體" w:cs="Times New Roman"/>
                <w:sz w:val="21"/>
                <w:szCs w:val="21"/>
              </w:rPr>
              <w:t xml:space="preserve">)</w:t>
            </w:r>
          </w:p>
        </w:tc>
        <w:tc>
          <w:tcPr>
            <w:tcW w:w="3213" w:type="dxa"/>
            <w:vAlign w:val="center"/>
          </w:tcPr>
          <w:p>
            <w:pPr>
              <w:spacing w:before="20" w:after="20" w:line="300" w:lineRule="exact"/>
              <w:jc w:val="left"/>
            </w:pPr>
            <w:r>
              <w:rPr>
                <w:rFonts w:ascii="Times New Roman" w:hAnsi="Times New Roman" w:eastAsia="標楷體" w:cs="Times New Roman"/>
                <w:sz w:val="21"/>
                <w:szCs w:val="21"/>
              </w:rPr>
              <w:t xml:space="preserve">C05 購後滿意或後悔 (</w:t>
            </w:r>
            <w:hyperlink r:id="rIdL27" w:history="1">
              <w:r>
                <w:rPr>
                  <w:rStyle w:val="Hyperlink"/>
                  <w:rFonts w:ascii="Times New Roman" w:hAnsi="Times New Roman" w:eastAsia="標楷體" w:cs="Times New Roman"/>
                  <w:sz w:val="21"/>
                  <w:szCs w:val="21"/>
                </w:rPr>
                <w:t xml:space="preserve">Tsiros &amp; Mittal, 2000</w:t>
              </w:r>
            </w:hyperlink>
            <w:r>
              <w:rPr>
                <w:rFonts w:ascii="Times New Roman" w:hAnsi="Times New Roman" w:eastAsia="標楷體" w:cs="Times New Roman"/>
                <w:sz w:val="21"/>
                <w:szCs w:val="21"/>
              </w:rPr>
              <w:t xml:space="preserve">)</w:t>
            </w:r>
          </w:p>
        </w:tc>
        <w:tc>
          <w:tcPr>
            <w:tcW w:w="3213" w:type="dxa"/>
            <w:vAlign w:val="center"/>
          </w:tcPr>
          <w:p>
            <w:pPr>
              <w:spacing w:before="20" w:after="20" w:line="300" w:lineRule="exact"/>
              <w:jc w:val="left"/>
            </w:pPr>
            <w:r>
              <w:rPr>
                <w:rFonts w:ascii="Times New Roman" w:hAnsi="Times New Roman" w:eastAsia="標楷體" w:cs="Times New Roman"/>
                <w:sz w:val="21"/>
                <w:szCs w:val="21"/>
              </w:rPr>
              <w:t xml:space="preserve">V05 自我表現</w:t>
            </w:r>
          </w:p>
        </w:tc>
      </w:tr>
      <w:tr>
        <w:trPr>
          <w:cantSplit/>
        </w:trPr>
        <w:tc>
          <w:tcPr>
            <w:tcW w:w="3212" w:type="dxa"/>
            <w:vAlign w:val="center"/>
          </w:tcPr>
          <w:p>
            <w:pPr>
              <w:spacing w:before="20" w:after="20" w:line="300" w:lineRule="exact"/>
              <w:jc w:val="left"/>
            </w:pPr>
            <w:r>
              <w:rPr>
                <w:rFonts w:ascii="Times New Roman" w:hAnsi="Times New Roman" w:eastAsia="標楷體" w:cs="Times New Roman"/>
                <w:sz w:val="21"/>
                <w:szCs w:val="21"/>
              </w:rPr>
              <w:t xml:space="preserve">A06 AI 身分標示 (</w:t>
            </w:r>
            <w:hyperlink r:id="rIdL4" w:history="1">
              <w:r>
                <w:rPr>
                  <w:rStyle w:val="Hyperlink"/>
                  <w:rFonts w:ascii="Times New Roman" w:hAnsi="Times New Roman" w:eastAsia="標楷體" w:cs="Times New Roman"/>
                  <w:sz w:val="21"/>
                  <w:szCs w:val="21"/>
                </w:rPr>
                <w:t xml:space="preserve">Meng, 2026</w:t>
              </w:r>
            </w:hyperlink>
            <w:r>
              <w:rPr>
                <w:rFonts w:ascii="Times New Roman" w:hAnsi="Times New Roman" w:eastAsia="標楷體" w:cs="Times New Roman"/>
                <w:sz w:val="21"/>
                <w:szCs w:val="21"/>
              </w:rPr>
              <w:t xml:space="preserve">)</w:t>
            </w:r>
          </w:p>
        </w:tc>
        <w:tc>
          <w:tcPr>
            <w:tcW w:w="3213" w:type="dxa"/>
            <w:vAlign w:val="center"/>
          </w:tcPr>
          <w:p>
            <w:pPr>
              <w:spacing w:before="20" w:after="20" w:line="300" w:lineRule="exact"/>
              <w:jc w:val="left"/>
            </w:pPr>
            <w:r>
              <w:rPr>
                <w:rFonts w:ascii="Times New Roman" w:hAnsi="Times New Roman" w:eastAsia="標楷體" w:cs="Times New Roman"/>
                <w:sz w:val="21"/>
                <w:szCs w:val="21"/>
              </w:rPr>
              <w:t xml:space="preserve">C06 退貨與退貨成本 (</w:t>
            </w:r>
            <w:hyperlink r:id="rIdL56" w:history="1">
              <w:r>
                <w:rPr>
                  <w:rStyle w:val="Hyperlink"/>
                  <w:rFonts w:ascii="Times New Roman" w:hAnsi="Times New Roman" w:eastAsia="標楷體" w:cs="Times New Roman"/>
                  <w:sz w:val="21"/>
                  <w:szCs w:val="21"/>
                </w:rPr>
                <w:t xml:space="preserve">Duong et al., 2025</w:t>
              </w:r>
            </w:hyperlink>
            <w:r>
              <w:rPr>
                <w:rFonts w:ascii="Times New Roman" w:hAnsi="Times New Roman" w:eastAsia="標楷體" w:cs="Times New Roman"/>
                <w:sz w:val="21"/>
                <w:szCs w:val="21"/>
              </w:rPr>
              <w:t xml:space="preserve">)</w:t>
            </w:r>
          </w:p>
        </w:tc>
        <w:tc>
          <w:tcPr>
            <w:tcW w:w="3213" w:type="dxa"/>
            <w:vAlign w:val="center"/>
          </w:tcPr>
          <w:p>
            <w:pPr>
              <w:spacing w:before="20" w:after="20" w:line="300" w:lineRule="exact"/>
              <w:jc w:val="left"/>
            </w:pPr>
            <w:r>
              <w:rPr>
                <w:rFonts w:ascii="Times New Roman" w:hAnsi="Times New Roman" w:eastAsia="標楷體" w:cs="Times New Roman"/>
                <w:sz w:val="21"/>
                <w:szCs w:val="21"/>
              </w:rPr>
              <w:t xml:space="preserve">V06 新奇與探索</w:t>
            </w:r>
          </w:p>
        </w:tc>
      </w:tr>
      <w:tr>
        <w:trPr>
          <w:cantSplit/>
        </w:trPr>
        <w:tc>
          <w:tcPr>
            <w:tcW w:w="9638" w:type="dxa"/>
            <w:gridSpan w:val="3"/>
            <w:vAlign w:val="center"/>
          </w:tcPr>
          <w:p>
            <w:pPr>
              <w:spacing w:before="20" w:after="20" w:line="300" w:lineRule="exact"/>
              <w:jc w:val="left"/>
            </w:pPr>
            <w:r>
              <w:rPr>
                <w:rFonts w:ascii="Times New Roman" w:hAnsi="Times New Roman" w:eastAsia="標楷體" w:cs="Times New Roman"/>
                <w:sz w:val="21"/>
                <w:szCs w:val="21"/>
              </w:rPr>
              <w:t xml:space="preserve">註：要素依 </w:t>
            </w:r>
            <w:hyperlink r:id="rIdL11" w:history="1">
              <w:r>
                <w:rPr>
                  <w:rStyle w:val="Hyperlink"/>
                  <w:rFonts w:ascii="Times New Roman" w:hAnsi="Times New Roman" w:eastAsia="標楷體" w:cs="Times New Roman"/>
                  <w:sz w:val="21"/>
                  <w:szCs w:val="21"/>
                </w:rPr>
                <w:t xml:space="preserve">Gutman (1982)</w:t>
              </w:r>
            </w:hyperlink>
            <w:r>
              <w:rPr>
                <w:rFonts w:ascii="Times New Roman" w:hAnsi="Times New Roman" w:eastAsia="標楷體" w:cs="Times New Roman"/>
                <w:sz w:val="21"/>
                <w:szCs w:val="21"/>
              </w:rPr>
              <w:t xml:space="preserve"> 的三層級定義預擬，正式要素以研究 1b 的訪談與編碼結果為準。</w:t>
            </w:r>
          </w:p>
        </w:tc>
      </w:tr>
    </w:tbl>
    <w:p>
      <w:pPr>
        <w:spacing w:before="0" w:after="0" w:line="200" w:lineRule="exact"/>
      </w:pPr>
    </w:p>
    <w:p>
      <w:pPr>
        <w:pStyle w:val="Heading3"/>
        <w:keepNext/>
        <w:spacing w:before="120" w:after="40" w:line="440" w:lineRule="exact"/>
        <w:ind w:left="480" w:hanging="480"/>
      </w:pPr>
      <w:r>
        <w:rPr>
          <w:rFonts w:ascii="Times New Roman" w:hAnsi="Times New Roman" w:eastAsia="標楷體" w:cs="Times New Roman"/>
          <w:b/>
          <w:bCs/>
        </w:rPr>
        <w:t xml:space="preserve">（三）第二階段研究架構圖：【深入檢驗】主播類型 × 價值訴求話術 × 產品類型：實驗設計</w:t>
      </w:r>
    </w:p>
    <w:p>
      <w:pPr>
        <w:spacing w:before="0" w:after="0" w:line="440" w:lineRule="exact"/>
        <w:ind w:firstLineChars="200" w:firstLine="480"/>
        <w:jc w:val="both"/>
      </w:pPr>
      <w:r>
        <w:rPr>
          <w:rFonts w:ascii="Times New Roman" w:hAnsi="Times New Roman" w:eastAsia="標楷體" w:cs="Times New Roman"/>
        </w:rPr>
        <w:t xml:space="preserve">第二階段以主播類型、價值訴求話術與產品類型三個操弄變數，檢驗其對溫暖感、能力感與說服意圖知覺的影響，進而影響購買意圖與一週後的預期後悔及退貨意圖；另以單因子實驗檢驗 AI 身分揭露方式，如圖 3 所示。</w:t>
      </w:r>
    </w:p>
    <w:p>
      <w:pPr>
        <w:keepNext/>
        <w:spacing w:before="120" w:after="0"/>
        <w:jc w:val="center"/>
      </w:pPr>
      <w:r>
        <mc:AlternateContent>
          <mc:Choice Requires="wpg">
            <w:drawing>
              <wp:inline distT="0" distB="0" distL="0" distR="0">
                <wp:extent cx="6096000" cy="3810000"/>
                <wp:effectExtent l="0" t="0" r="0" b="0"/>
                <wp:docPr id="188" name="圖 3　第二階段研究架構圖"/>
                <wp:cNvGraphicFramePr/>
                <a:graphic>
                  <a:graphicData uri="http://schemas.microsoft.com/office/word/2010/wordprocessingGroup">
                    <wpg:wgp>
                      <wpg:cNvGrpSpPr/>
                      <wpg:grpSpPr>
                        <a:xfrm>
                          <a:off x="0" y="0"/>
                          <a:ext cx="6096000" cy="3810000"/>
                          <a:chOff x="0" y="0"/>
                          <a:chExt cx="6096000" cy="3810000"/>
                        </a:xfrm>
                      </wpg:grpSpPr>
                      <wps:wsp>
                        <wps:cNvPr id="160" name="Shape 160"/>
                        <wps:cNvSpPr/>
                        <wps:spPr>
                          <a:xfrm>
                            <a:off x="50800" y="330200"/>
                            <a:ext cx="1574800" cy="2489200"/>
                          </a:xfrm>
                          <a:prstGeom prst="rect">
                            <a:avLst/>
                          </a:prstGeom>
                          <a:noFill/>
                          <a:ln w="12700">
                            <a:solidFill>
                              <a:srgbClr val="2E75B6"/>
                            </a:solidFill>
                            <a:prstDash val="dash"/>
                          </a:ln>
                        </wps:spPr>
                        <wps:bodyPr rot="0" vert="horz" wrap="square" lIns="25400" tIns="12700" rIns="25400" bIns="12700" anchor="ctr" anchorCtr="0">
                          <a:noAutofit/>
                        </wps:bodyPr>
                      </wps:wsp>
                      <wps:wsp>
                        <wps:cNvPr id="161" name="Shape 161"/>
                        <wps:cNvSpPr/>
                        <wps:spPr>
                          <a:xfrm>
                            <a:off x="50800" y="101600"/>
                            <a:ext cx="1574800" cy="203200"/>
                          </a:xfrm>
                          <a:prstGeom prst="rect">
                            <a:avLst/>
                          </a:prstGeom>
                          <a:noFill/>
                          <a:ln>
                            <a:noFill/>
                          </a:ln>
                        </wps:spPr>
                        <wps:txbx>
                          <w:txbxContent>
                            <w:p>
                              <w:pPr>
                                <w:spacing w:before="0" w:after="0" w:line="226" w:lineRule="exact"/>
                                <w:jc w:val="center"/>
                              </w:pPr>
                              <w:r>
                                <w:rPr>
                                  <w:rFonts w:ascii="Times New Roman" w:hAnsi="Times New Roman" w:eastAsia="標楷體" w:cs="Times New Roman"/>
                                  <w:b/>
                                  <w:bCs/>
                                  <w:color w:val="2E75B6"/>
                                  <w:sz w:val="16"/>
                                  <w:szCs w:val="16"/>
                                </w:rPr>
                                <w:t xml:space="preserve">操弄變數（2×2×2，受試者間）</w:t>
                              </w:r>
                            </w:p>
                          </w:txbxContent>
                        </wps:txbx>
                        <wps:bodyPr rot="0" vert="horz" wrap="square" lIns="25400" tIns="12700" rIns="25400" bIns="12700" anchor="ctr" anchorCtr="0">
                          <a:noAutofit/>
                        </wps:bodyPr>
                      </wps:wsp>
                      <wps:wsp>
                        <wps:cNvPr id="162" name="Shape 162"/>
                        <wps:cNvSpPr/>
                        <wps:spPr>
                          <a:xfrm>
                            <a:off x="177800" y="457200"/>
                            <a:ext cx="1320800" cy="660400"/>
                          </a:xfrm>
                          <a:prstGeom prst="rect">
                            <a:avLst/>
                          </a:prstGeom>
                          <a:solidFill>
                            <a:srgbClr val="FFFFFF"/>
                          </a:solidFill>
                          <a:ln w="12700">
                            <a:solidFill>
                              <a:srgbClr val="404040"/>
                            </a:solidFill>
                          </a:ln>
                        </wps:spPr>
                        <wps:txbx>
                          <w:txbxContent>
                            <w:p>
                              <w:pPr>
                                <w:spacing w:before="0" w:after="0" w:line="240" w:lineRule="exact"/>
                                <w:jc w:val="center"/>
                              </w:pPr>
                              <w:r>
                                <w:rPr>
                                  <w:rFonts w:ascii="Times New Roman" w:hAnsi="Times New Roman" w:eastAsia="標楷體" w:cs="Times New Roman"/>
                                  <w:b/>
                                  <w:bCs/>
                                  <w:sz w:val="17"/>
                                  <w:szCs w:val="17"/>
                                </w:rPr>
                                <w:t xml:space="preserve">主播類型</w:t>
                              </w:r>
                            </w:p>
                            <w:p>
                              <w:pPr>
                                <w:spacing w:before="0" w:after="0" w:line="240" w:lineRule="exact"/>
                                <w:jc w:val="center"/>
                              </w:pPr>
                              <w:r>
                                <w:rPr>
                                  <w:rFonts w:ascii="Times New Roman" w:hAnsi="Times New Roman" w:eastAsia="標楷體" w:cs="Times New Roman"/>
                                  <w:sz w:val="17"/>
                                  <w:szCs w:val="17"/>
                                </w:rPr>
                                <w:t xml:space="preserve">AI 虛擬主播／</w:t>
                              </w:r>
                            </w:p>
                            <w:p>
                              <w:pPr>
                                <w:spacing w:before="0" w:after="0" w:line="240" w:lineRule="exact"/>
                                <w:jc w:val="center"/>
                              </w:pPr>
                              <w:r>
                                <w:rPr>
                                  <w:rFonts w:ascii="Times New Roman" w:hAnsi="Times New Roman" w:eastAsia="標楷體" w:cs="Times New Roman"/>
                                  <w:sz w:val="17"/>
                                  <w:szCs w:val="17"/>
                                </w:rPr>
                                <w:t xml:space="preserve">真人主播</w:t>
                              </w:r>
                            </w:p>
                          </w:txbxContent>
                        </wps:txbx>
                        <wps:bodyPr rot="0" vert="horz" wrap="square" lIns="25400" tIns="12700" rIns="25400" bIns="12700" anchor="ctr" anchorCtr="0">
                          <a:noAutofit/>
                        </wps:bodyPr>
                      </wps:wsp>
                      <wps:wsp>
                        <wps:cNvPr id="163" name="Shape 163"/>
                        <wps:cNvSpPr/>
                        <wps:spPr>
                          <a:xfrm>
                            <a:off x="177800" y="1244600"/>
                            <a:ext cx="1320800" cy="660400"/>
                          </a:xfrm>
                          <a:prstGeom prst="rect">
                            <a:avLst/>
                          </a:prstGeom>
                          <a:solidFill>
                            <a:srgbClr val="FFFFFF"/>
                          </a:solidFill>
                          <a:ln w="12700">
                            <a:solidFill>
                              <a:srgbClr val="404040"/>
                            </a:solidFill>
                          </a:ln>
                        </wps:spPr>
                        <wps:txbx>
                          <w:txbxContent>
                            <w:p>
                              <w:pPr>
                                <w:spacing w:before="0" w:after="0" w:line="240" w:lineRule="exact"/>
                                <w:jc w:val="center"/>
                              </w:pPr>
                              <w:r>
                                <w:rPr>
                                  <w:rFonts w:ascii="Times New Roman" w:hAnsi="Times New Roman" w:eastAsia="標楷體" w:cs="Times New Roman"/>
                                  <w:b/>
                                  <w:bCs/>
                                  <w:sz w:val="17"/>
                                  <w:szCs w:val="17"/>
                                </w:rPr>
                                <w:t xml:space="preserve">價值訴求話術</w:t>
                              </w:r>
                            </w:p>
                            <w:p>
                              <w:pPr>
                                <w:spacing w:before="0" w:after="0" w:line="240" w:lineRule="exact"/>
                                <w:jc w:val="center"/>
                              </w:pPr>
                              <w:r>
                                <w:rPr>
                                  <w:rFonts w:ascii="Times New Roman" w:hAnsi="Times New Roman" w:eastAsia="標楷體" w:cs="Times New Roman"/>
                                  <w:sz w:val="17"/>
                                  <w:szCs w:val="17"/>
                                </w:rPr>
                                <w:t xml:space="preserve">功能價值／</w:t>
                              </w:r>
                            </w:p>
                            <w:p>
                              <w:pPr>
                                <w:spacing w:before="0" w:after="0" w:line="240" w:lineRule="exact"/>
                                <w:jc w:val="center"/>
                              </w:pPr>
                              <w:r>
                                <w:rPr>
                                  <w:rFonts w:ascii="Times New Roman" w:hAnsi="Times New Roman" w:eastAsia="標楷體" w:cs="Times New Roman"/>
                                  <w:sz w:val="17"/>
                                  <w:szCs w:val="17"/>
                                </w:rPr>
                                <w:t xml:space="preserve">情感社會價值</w:t>
                              </w:r>
                            </w:p>
                          </w:txbxContent>
                        </wps:txbx>
                        <wps:bodyPr rot="0" vert="horz" wrap="square" lIns="25400" tIns="12700" rIns="25400" bIns="12700" anchor="ctr" anchorCtr="0">
                          <a:noAutofit/>
                        </wps:bodyPr>
                      </wps:wsp>
                      <wps:wsp>
                        <wps:cNvPr id="164" name="Shape 164"/>
                        <wps:cNvSpPr/>
                        <wps:spPr>
                          <a:xfrm>
                            <a:off x="177800" y="2032000"/>
                            <a:ext cx="1320800" cy="660400"/>
                          </a:xfrm>
                          <a:prstGeom prst="rect">
                            <a:avLst/>
                          </a:prstGeom>
                          <a:solidFill>
                            <a:srgbClr val="FFFFFF"/>
                          </a:solidFill>
                          <a:ln w="12700">
                            <a:solidFill>
                              <a:srgbClr val="404040"/>
                            </a:solidFill>
                          </a:ln>
                        </wps:spPr>
                        <wps:txbx>
                          <w:txbxContent>
                            <w:p>
                              <w:pPr>
                                <w:spacing w:before="0" w:after="0" w:line="240" w:lineRule="exact"/>
                                <w:jc w:val="center"/>
                              </w:pPr>
                              <w:r>
                                <w:rPr>
                                  <w:rFonts w:ascii="Times New Roman" w:hAnsi="Times New Roman" w:eastAsia="標楷體" w:cs="Times New Roman"/>
                                  <w:b/>
                                  <w:bCs/>
                                  <w:sz w:val="17"/>
                                  <w:szCs w:val="17"/>
                                </w:rPr>
                                <w:t xml:space="preserve">產品類型</w:t>
                              </w:r>
                            </w:p>
                            <w:p>
                              <w:pPr>
                                <w:spacing w:before="0" w:after="0" w:line="240" w:lineRule="exact"/>
                                <w:jc w:val="center"/>
                              </w:pPr>
                              <w:r>
                                <w:rPr>
                                  <w:rFonts w:ascii="Times New Roman" w:hAnsi="Times New Roman" w:eastAsia="標楷體" w:cs="Times New Roman"/>
                                  <w:sz w:val="17"/>
                                  <w:szCs w:val="17"/>
                                </w:rPr>
                                <w:t xml:space="preserve">享樂型／實用型</w:t>
                              </w:r>
                            </w:p>
                            <w:p>
                              <w:pPr>
                                <w:spacing w:before="0" w:after="0" w:line="240" w:lineRule="exact"/>
                                <w:jc w:val="center"/>
                              </w:pPr>
                              <w:r>
                                <w:rPr>
                                  <w:rFonts w:ascii="Times New Roman" w:hAnsi="Times New Roman" w:eastAsia="標楷體" w:cs="Times New Roman"/>
                                  <w:sz w:val="17"/>
                                  <w:szCs w:val="17"/>
                                </w:rPr>
                                <w:t xml:space="preserve">（三品類各一組）</w:t>
                              </w:r>
                            </w:p>
                          </w:txbxContent>
                        </wps:txbx>
                        <wps:bodyPr rot="0" vert="horz" wrap="square" lIns="25400" tIns="12700" rIns="25400" bIns="12700" anchor="ctr" anchorCtr="0">
                          <a:noAutofit/>
                        </wps:bodyPr>
                      </wps:wsp>
                      <wps:wsp>
                        <wps:cNvPr id="165" name="Shape 165"/>
                        <wps:cNvSpPr/>
                        <wps:spPr>
                          <a:xfrm>
                            <a:off x="2159000" y="431800"/>
                            <a:ext cx="1219200" cy="406400"/>
                          </a:xfrm>
                          <a:prstGeom prst="ellipse">
                            <a:avLst/>
                          </a:prstGeom>
                          <a:noFill/>
                          <a:ln w="12700">
                            <a:solidFill>
                              <a:srgbClr val="404040"/>
                            </a:solidFill>
                          </a:ln>
                        </wps:spPr>
                        <wps:txbx>
                          <w:txbxContent>
                            <w:p>
                              <w:pPr>
                                <w:spacing w:before="0" w:after="0" w:line="254" w:lineRule="exact"/>
                                <w:jc w:val="center"/>
                              </w:pPr>
                              <w:r>
                                <w:rPr>
                                  <w:rFonts w:ascii="Times New Roman" w:hAnsi="Times New Roman" w:eastAsia="標楷體" w:cs="Times New Roman"/>
                                  <w:sz w:val="18"/>
                                  <w:szCs w:val="18"/>
                                </w:rPr>
                                <w:t xml:space="preserve">溫暖感</w:t>
                              </w:r>
                            </w:p>
                          </w:txbxContent>
                        </wps:txbx>
                        <wps:bodyPr rot="0" vert="horz" wrap="square" lIns="25400" tIns="12700" rIns="25400" bIns="12700" anchor="ctr" anchorCtr="0">
                          <a:noAutofit/>
                        </wps:bodyPr>
                      </wps:wsp>
                      <wps:wsp>
                        <wps:cNvPr id="166" name="Shape 166"/>
                        <wps:cNvSpPr/>
                        <wps:spPr>
                          <a:xfrm>
                            <a:off x="2159000" y="1041400"/>
                            <a:ext cx="1219200" cy="406400"/>
                          </a:xfrm>
                          <a:prstGeom prst="ellipse">
                            <a:avLst/>
                          </a:prstGeom>
                          <a:noFill/>
                          <a:ln w="12700">
                            <a:solidFill>
                              <a:srgbClr val="404040"/>
                            </a:solidFill>
                          </a:ln>
                        </wps:spPr>
                        <wps:txbx>
                          <w:txbxContent>
                            <w:p>
                              <w:pPr>
                                <w:spacing w:before="0" w:after="0" w:line="254" w:lineRule="exact"/>
                                <w:jc w:val="center"/>
                              </w:pPr>
                              <w:r>
                                <w:rPr>
                                  <w:rFonts w:ascii="Times New Roman" w:hAnsi="Times New Roman" w:eastAsia="標楷體" w:cs="Times New Roman"/>
                                  <w:sz w:val="18"/>
                                  <w:szCs w:val="18"/>
                                </w:rPr>
                                <w:t xml:space="preserve">能力感</w:t>
                              </w:r>
                            </w:p>
                          </w:txbxContent>
                        </wps:txbx>
                        <wps:bodyPr rot="0" vert="horz" wrap="square" lIns="25400" tIns="12700" rIns="25400" bIns="12700" anchor="ctr" anchorCtr="0">
                          <a:noAutofit/>
                        </wps:bodyPr>
                      </wps:wsp>
                      <wps:wsp>
                        <wps:cNvPr id="167" name="Shape 167"/>
                        <wps:cNvSpPr/>
                        <wps:spPr>
                          <a:xfrm>
                            <a:off x="2159000" y="1905000"/>
                            <a:ext cx="1219200" cy="457200"/>
                          </a:xfrm>
                          <a:prstGeom prst="ellipse">
                            <a:avLst/>
                          </a:prstGeom>
                          <a:noFill/>
                          <a:ln w="12700">
                            <a:solidFill>
                              <a:srgbClr val="404040"/>
                            </a:solidFill>
                          </a:ln>
                        </wps:spPr>
                        <wps:txbx>
                          <w:txbxContent>
                            <w:p>
                              <w:pPr>
                                <w:spacing w:before="0" w:after="0" w:line="254" w:lineRule="exact"/>
                                <w:jc w:val="center"/>
                              </w:pPr>
                              <w:r>
                                <w:rPr>
                                  <w:rFonts w:ascii="Times New Roman" w:hAnsi="Times New Roman" w:eastAsia="標楷體" w:cs="Times New Roman"/>
                                  <w:sz w:val="18"/>
                                  <w:szCs w:val="18"/>
                                </w:rPr>
                                <w:t xml:space="preserve">說服意圖知覺</w:t>
                              </w:r>
                            </w:p>
                          </w:txbxContent>
                        </wps:txbx>
                        <wps:bodyPr rot="0" vert="horz" wrap="square" lIns="25400" tIns="12700" rIns="25400" bIns="12700" anchor="ctr" anchorCtr="0">
                          <a:noAutofit/>
                        </wps:bodyPr>
                      </wps:wsp>
                      <wps:wsp>
                        <wps:cNvPr id="168" name="Shape 168"/>
                        <wps:cNvSpPr/>
                        <wps:spPr>
                          <a:xfrm>
                            <a:off x="4038600" y="635000"/>
                            <a:ext cx="2006600" cy="558800"/>
                          </a:xfrm>
                          <a:prstGeom prst="rect">
                            <a:avLst/>
                          </a:prstGeom>
                          <a:noFill/>
                          <a:ln w="12700">
                            <a:solidFill>
                              <a:srgbClr val="404040"/>
                            </a:solidFill>
                          </a:ln>
                        </wps:spPr>
                        <wps:txbx>
                          <w:txbxContent>
                            <w:p>
                              <w:pPr>
                                <w:spacing w:before="0" w:after="0" w:line="240" w:lineRule="exact"/>
                                <w:jc w:val="center"/>
                              </w:pPr>
                              <w:r>
                                <w:rPr>
                                  <w:rFonts w:ascii="Times New Roman" w:hAnsi="Times New Roman" w:eastAsia="標楷體" w:cs="Times New Roman"/>
                                  <w:b/>
                                  <w:bCs/>
                                  <w:sz w:val="17"/>
                                  <w:szCs w:val="17"/>
                                </w:rPr>
                                <w:t xml:space="preserve">購買意圖</w:t>
                              </w:r>
                            </w:p>
                            <w:p>
                              <w:pPr>
                                <w:spacing w:before="0" w:after="0" w:line="240" w:lineRule="exact"/>
                                <w:jc w:val="center"/>
                              </w:pPr>
                              <w:r>
                                <w:rPr>
                                  <w:rFonts w:ascii="Times New Roman" w:hAnsi="Times New Roman" w:eastAsia="標楷體" w:cs="Times New Roman"/>
                                  <w:sz w:val="17"/>
                                  <w:szCs w:val="17"/>
                                </w:rPr>
                                <w:t xml:space="preserve">加入購物車（行為）</w:t>
                              </w:r>
                            </w:p>
                          </w:txbxContent>
                        </wps:txbx>
                        <wps:bodyPr rot="0" vert="horz" wrap="square" lIns="25400" tIns="12700" rIns="25400" bIns="12700" anchor="ctr" anchorCtr="0">
                          <a:noAutofit/>
                        </wps:bodyPr>
                      </wps:wsp>
                      <wps:wsp>
                        <wps:cNvPr id="169" name="Shape 169"/>
                        <wps:cNvSpPr/>
                        <wps:spPr>
                          <a:xfrm>
                            <a:off x="4038600" y="1828800"/>
                            <a:ext cx="2006600" cy="609600"/>
                          </a:xfrm>
                          <a:prstGeom prst="rect">
                            <a:avLst/>
                          </a:prstGeom>
                          <a:noFill/>
                          <a:ln w="12700">
                            <a:solidFill>
                              <a:srgbClr val="404040"/>
                            </a:solidFill>
                          </a:ln>
                        </wps:spPr>
                        <wps:txbx>
                          <w:txbxContent>
                            <w:p>
                              <w:pPr>
                                <w:spacing w:before="0" w:after="0" w:line="240" w:lineRule="exact"/>
                                <w:jc w:val="center"/>
                              </w:pPr>
                              <w:r>
                                <w:rPr>
                                  <w:rFonts w:ascii="Times New Roman" w:hAnsi="Times New Roman" w:eastAsia="標楷體" w:cs="Times New Roman"/>
                                  <w:b/>
                                  <w:bCs/>
                                  <w:sz w:val="17"/>
                                  <w:szCs w:val="17"/>
                                </w:rPr>
                                <w:t xml:space="preserve">一週後預期後悔</w:t>
                              </w:r>
                            </w:p>
                            <w:p>
                              <w:pPr>
                                <w:spacing w:before="0" w:after="0" w:line="240" w:lineRule="exact"/>
                                <w:jc w:val="center"/>
                              </w:pPr>
                              <w:r>
                                <w:rPr>
                                  <w:rFonts w:ascii="Times New Roman" w:hAnsi="Times New Roman" w:eastAsia="標楷體" w:cs="Times New Roman"/>
                                  <w:sz w:val="17"/>
                                  <w:szCs w:val="17"/>
                                </w:rPr>
                                <w:t xml:space="preserve">退貨意圖</w:t>
                              </w:r>
                            </w:p>
                          </w:txbxContent>
                        </wps:txbx>
                        <wps:bodyPr rot="0" vert="horz" wrap="square" lIns="25400" tIns="12700" rIns="25400" bIns="12700" anchor="ctr" anchorCtr="0">
                          <a:noAutofit/>
                        </wps:bodyPr>
                      </wps:wsp>
                      <wps:wsp>
                        <wps:cNvPr id="170" name="Line 170"/>
                        <wps:cNvCnPr/>
                        <wps:spPr>
                          <a:xfrm flipV="1">
                            <a:off x="1498600" y="660400"/>
                            <a:ext cx="673100" cy="127000"/>
                          </a:xfrm>
                          <a:prstGeom prst="line">
                            <a:avLst/>
                          </a:prstGeom>
                          <a:ln w="12700">
                            <a:solidFill>
                              <a:srgbClr val="404040"/>
                            </a:solidFill>
                            <a:tailEnd type="triangle" w="med" len="med"/>
                          </a:ln>
                        </wps:spPr>
                        <wps:bodyPr/>
                      </wps:wsp>
                      <wps:wsp>
                        <wps:cNvPr id="171" name="Line 171"/>
                        <wps:cNvCnPr/>
                        <wps:spPr>
                          <a:xfrm>
                            <a:off x="1498600" y="838200"/>
                            <a:ext cx="673100" cy="381000"/>
                          </a:xfrm>
                          <a:prstGeom prst="line">
                            <a:avLst/>
                          </a:prstGeom>
                          <a:ln w="12700">
                            <a:solidFill>
                              <a:srgbClr val="404040"/>
                            </a:solidFill>
                            <a:tailEnd type="triangle" w="med" len="med"/>
                          </a:ln>
                        </wps:spPr>
                        <wps:bodyPr/>
                      </wps:wsp>
                      <wps:wsp>
                        <wps:cNvPr id="172" name="Line 172"/>
                        <wps:cNvCnPr/>
                        <wps:spPr>
                          <a:xfrm>
                            <a:off x="1498600" y="889000"/>
                            <a:ext cx="685800" cy="1193800"/>
                          </a:xfrm>
                          <a:prstGeom prst="line">
                            <a:avLst/>
                          </a:prstGeom>
                          <a:ln w="12700">
                            <a:solidFill>
                              <a:srgbClr val="404040"/>
                            </a:solidFill>
                            <a:tailEnd type="triangle" w="med" len="med"/>
                          </a:ln>
                        </wps:spPr>
                        <wps:bodyPr/>
                      </wps:wsp>
                      <wps:wsp>
                        <wps:cNvPr id="173" name="Shape 173"/>
                        <wps:cNvSpPr/>
                        <wps:spPr>
                          <a:xfrm>
                            <a:off x="1778000" y="1524000"/>
                            <a:ext cx="304800" cy="177800"/>
                          </a:xfrm>
                          <a:prstGeom prst="rect">
                            <a:avLst/>
                          </a:prstGeom>
                          <a:noFill/>
                          <a:ln>
                            <a:noFill/>
                          </a:ln>
                        </wps:spPr>
                        <wps:txbx>
                          <w:txbxContent>
                            <w:p>
                              <w:pPr>
                                <w:spacing w:before="0" w:after="0" w:line="240" w:lineRule="exact"/>
                                <w:jc w:val="center"/>
                              </w:pPr>
                              <w:r>
                                <w:rPr>
                                  <w:rFonts w:ascii="Times New Roman" w:hAnsi="Times New Roman" w:eastAsia="標楷體" w:cs="Times New Roman"/>
                                  <w:b/>
                                  <w:bCs/>
                                  <w:sz w:val="17"/>
                                  <w:szCs w:val="17"/>
                                </w:rPr>
                                <w:t xml:space="preserve">H4</w:t>
                              </w:r>
                            </w:p>
                          </w:txbxContent>
                        </wps:txbx>
                        <wps:bodyPr rot="0" vert="horz" wrap="square" lIns="25400" tIns="12700" rIns="25400" bIns="12700" anchor="ctr" anchorCtr="0">
                          <a:noAutofit/>
                        </wps:bodyPr>
                      </wps:wsp>
                      <wps:wsp>
                        <wps:cNvPr id="174" name="Line 174"/>
                        <wps:cNvCnPr/>
                        <wps:spPr>
                          <a:xfrm>
                            <a:off x="3378200" y="635000"/>
                            <a:ext cx="660400" cy="203200"/>
                          </a:xfrm>
                          <a:prstGeom prst="line">
                            <a:avLst/>
                          </a:prstGeom>
                          <a:ln w="12700">
                            <a:solidFill>
                              <a:srgbClr val="404040"/>
                            </a:solidFill>
                            <a:tailEnd type="triangle" w="med" len="med"/>
                          </a:ln>
                        </wps:spPr>
                        <wps:bodyPr/>
                      </wps:wsp>
                      <wps:wsp>
                        <wps:cNvPr id="175" name="Line 175"/>
                        <wps:cNvCnPr/>
                        <wps:spPr>
                          <a:xfrm flipV="1">
                            <a:off x="3378200" y="965200"/>
                            <a:ext cx="660400" cy="279400"/>
                          </a:xfrm>
                          <a:prstGeom prst="line">
                            <a:avLst/>
                          </a:prstGeom>
                          <a:ln w="12700">
                            <a:solidFill>
                              <a:srgbClr val="404040"/>
                            </a:solidFill>
                            <a:tailEnd type="triangle" w="med" len="med"/>
                          </a:ln>
                        </wps:spPr>
                        <wps:bodyPr/>
                      </wps:wsp>
                      <wps:wsp>
                        <wps:cNvPr id="176" name="Shape 176"/>
                        <wps:cNvSpPr/>
                        <wps:spPr>
                          <a:xfrm>
                            <a:off x="3505200" y="508000"/>
                            <a:ext cx="304800" cy="177800"/>
                          </a:xfrm>
                          <a:prstGeom prst="rect">
                            <a:avLst/>
                          </a:prstGeom>
                          <a:noFill/>
                          <a:ln>
                            <a:noFill/>
                          </a:ln>
                        </wps:spPr>
                        <wps:txbx>
                          <w:txbxContent>
                            <w:p>
                              <w:pPr>
                                <w:spacing w:before="0" w:after="0" w:line="240" w:lineRule="exact"/>
                                <w:jc w:val="center"/>
                              </w:pPr>
                              <w:r>
                                <w:rPr>
                                  <w:rFonts w:ascii="Times New Roman" w:hAnsi="Times New Roman" w:eastAsia="標楷體" w:cs="Times New Roman"/>
                                  <w:b/>
                                  <w:bCs/>
                                  <w:sz w:val="17"/>
                                  <w:szCs w:val="17"/>
                                </w:rPr>
                                <w:t xml:space="preserve">H3</w:t>
                              </w:r>
                            </w:p>
                          </w:txbxContent>
                        </wps:txbx>
                        <wps:bodyPr rot="0" vert="horz" wrap="square" lIns="25400" tIns="12700" rIns="25400" bIns="12700" anchor="ctr" anchorCtr="0">
                          <a:noAutofit/>
                        </wps:bodyPr>
                      </wps:wsp>
                      <wps:wsp>
                        <wps:cNvPr id="177" name="Line 177"/>
                        <wps:cNvCnPr/>
                        <wps:spPr>
                          <a:xfrm>
                            <a:off x="3378200" y="2133600"/>
                            <a:ext cx="660400" cy="0"/>
                          </a:xfrm>
                          <a:prstGeom prst="line">
                            <a:avLst/>
                          </a:prstGeom>
                          <a:ln w="12700">
                            <a:solidFill>
                              <a:srgbClr val="404040"/>
                            </a:solidFill>
                            <a:tailEnd type="triangle" w="med" len="med"/>
                          </a:ln>
                        </wps:spPr>
                        <wps:bodyPr/>
                      </wps:wsp>
                      <wps:wsp>
                        <wps:cNvPr id="178" name="Shape 178"/>
                        <wps:cNvSpPr/>
                        <wps:spPr>
                          <a:xfrm>
                            <a:off x="3581400" y="2184400"/>
                            <a:ext cx="304800" cy="177800"/>
                          </a:xfrm>
                          <a:prstGeom prst="rect">
                            <a:avLst/>
                          </a:prstGeom>
                          <a:noFill/>
                          <a:ln>
                            <a:noFill/>
                          </a:ln>
                        </wps:spPr>
                        <wps:txbx>
                          <w:txbxContent>
                            <w:p>
                              <w:pPr>
                                <w:spacing w:before="0" w:after="0" w:line="240" w:lineRule="exact"/>
                                <w:jc w:val="center"/>
                              </w:pPr>
                              <w:r>
                                <w:rPr>
                                  <w:rFonts w:ascii="Times New Roman" w:hAnsi="Times New Roman" w:eastAsia="標楷體" w:cs="Times New Roman"/>
                                  <w:b/>
                                  <w:bCs/>
                                  <w:sz w:val="17"/>
                                  <w:szCs w:val="17"/>
                                </w:rPr>
                                <w:t xml:space="preserve">H4</w:t>
                              </w:r>
                            </w:p>
                          </w:txbxContent>
                        </wps:txbx>
                        <wps:bodyPr rot="0" vert="horz" wrap="square" lIns="25400" tIns="12700" rIns="25400" bIns="12700" anchor="ctr" anchorCtr="0">
                          <a:noAutofit/>
                        </wps:bodyPr>
                      </wps:wsp>
                      <wps:wsp>
                        <wps:cNvPr id="179" name="Line 179"/>
                        <wps:cNvCnPr/>
                        <wps:spPr>
                          <a:xfrm>
                            <a:off x="1498600" y="1574800"/>
                            <a:ext cx="406400" cy="0"/>
                          </a:xfrm>
                          <a:prstGeom prst="line">
                            <a:avLst/>
                          </a:prstGeom>
                          <a:ln w="12700">
                            <a:solidFill>
                              <a:srgbClr val="404040"/>
                            </a:solidFill>
                          </a:ln>
                        </wps:spPr>
                        <wps:bodyPr/>
                      </wps:wsp>
                      <wps:wsp>
                        <wps:cNvPr id="180" name="Line 180"/>
                        <wps:cNvCnPr/>
                        <wps:spPr>
                          <a:xfrm flipV="1">
                            <a:off x="1905000" y="254000"/>
                            <a:ext cx="0" cy="1320800"/>
                          </a:xfrm>
                          <a:prstGeom prst="line">
                            <a:avLst/>
                          </a:prstGeom>
                          <a:ln w="12700">
                            <a:solidFill>
                              <a:srgbClr val="404040"/>
                            </a:solidFill>
                          </a:ln>
                        </wps:spPr>
                        <wps:bodyPr/>
                      </wps:wsp>
                      <wps:wsp>
                        <wps:cNvPr id="181" name="Line 181"/>
                        <wps:cNvCnPr/>
                        <wps:spPr>
                          <a:xfrm>
                            <a:off x="1905000" y="254000"/>
                            <a:ext cx="3124200" cy="0"/>
                          </a:xfrm>
                          <a:prstGeom prst="line">
                            <a:avLst/>
                          </a:prstGeom>
                          <a:ln w="12700">
                            <a:solidFill>
                              <a:srgbClr val="404040"/>
                            </a:solidFill>
                          </a:ln>
                        </wps:spPr>
                        <wps:bodyPr/>
                      </wps:wsp>
                      <wps:wsp>
                        <wps:cNvPr id="182" name="Line 182"/>
                        <wps:cNvCnPr/>
                        <wps:spPr>
                          <a:xfrm>
                            <a:off x="5029200" y="254000"/>
                            <a:ext cx="0" cy="381000"/>
                          </a:xfrm>
                          <a:prstGeom prst="line">
                            <a:avLst/>
                          </a:prstGeom>
                          <a:ln w="12700">
                            <a:solidFill>
                              <a:srgbClr val="404040"/>
                            </a:solidFill>
                            <a:tailEnd type="triangle" w="med" len="med"/>
                          </a:ln>
                        </wps:spPr>
                        <wps:bodyPr/>
                      </wps:wsp>
                      <wps:wsp>
                        <wps:cNvPr id="183" name="Shape 183"/>
                        <wps:cNvSpPr/>
                        <wps:spPr>
                          <a:xfrm>
                            <a:off x="2921000" y="50800"/>
                            <a:ext cx="2032000" cy="177800"/>
                          </a:xfrm>
                          <a:prstGeom prst="rect">
                            <a:avLst/>
                          </a:prstGeom>
                          <a:noFill/>
                          <a:ln>
                            <a:noFill/>
                          </a:ln>
                        </wps:spPr>
                        <wps:txbx>
                          <w:txbxContent>
                            <w:p>
                              <w:pPr>
                                <w:spacing w:before="0" w:after="0" w:line="240" w:lineRule="exact"/>
                                <w:jc w:val="center"/>
                              </w:pPr>
                              <w:r>
                                <w:rPr>
                                  <w:rFonts w:ascii="Times New Roman" w:hAnsi="Times New Roman" w:eastAsia="標楷體" w:cs="Times New Roman"/>
                                  <w:b/>
                                  <w:bCs/>
                                  <w:sz w:val="17"/>
                                  <w:szCs w:val="17"/>
                                </w:rPr>
                                <w:t xml:space="preserve">H1：主播類型 × 話術交互作用</w:t>
                              </w:r>
                            </w:p>
                          </w:txbxContent>
                        </wps:txbx>
                        <wps:bodyPr rot="0" vert="horz" wrap="square" lIns="25400" tIns="12700" rIns="25400" bIns="12700" anchor="ctr" anchorCtr="0">
                          <a:noAutofit/>
                        </wps:bodyPr>
                      </wps:wsp>
                      <wps:wsp>
                        <wps:cNvPr id="184" name="Line 184"/>
                        <wps:cNvCnPr/>
                        <wps:spPr>
                          <a:xfrm flipV="1">
                            <a:off x="1498600" y="1524000"/>
                            <a:ext cx="2311400" cy="838200"/>
                          </a:xfrm>
                          <a:prstGeom prst="line">
                            <a:avLst/>
                          </a:prstGeom>
                          <a:ln w="12700">
                            <a:solidFill>
                              <a:srgbClr val="404040"/>
                            </a:solidFill>
                            <a:prstDash val="dash"/>
                            <a:tailEnd type="triangle" w="med" len="med"/>
                          </a:ln>
                        </wps:spPr>
                        <wps:bodyPr/>
                      </wps:wsp>
                      <wps:wsp>
                        <wps:cNvPr id="185" name="Line 185"/>
                        <wps:cNvCnPr/>
                        <wps:spPr>
                          <a:xfrm flipV="1">
                            <a:off x="3810000" y="1041400"/>
                            <a:ext cx="228600" cy="482600"/>
                          </a:xfrm>
                          <a:prstGeom prst="line">
                            <a:avLst/>
                          </a:prstGeom>
                          <a:ln w="12700">
                            <a:solidFill>
                              <a:srgbClr val="404040"/>
                            </a:solidFill>
                            <a:prstDash val="dash"/>
                            <a:tailEnd type="triangle" w="med" len="med"/>
                          </a:ln>
                        </wps:spPr>
                        <wps:bodyPr/>
                      </wps:wsp>
                      <wps:wsp>
                        <wps:cNvPr id="186" name="Shape 186"/>
                        <wps:cNvSpPr/>
                        <wps:spPr>
                          <a:xfrm>
                            <a:off x="3251200" y="1625600"/>
                            <a:ext cx="330200" cy="177800"/>
                          </a:xfrm>
                          <a:prstGeom prst="rect">
                            <a:avLst/>
                          </a:prstGeom>
                          <a:noFill/>
                          <a:ln>
                            <a:noFill/>
                          </a:ln>
                        </wps:spPr>
                        <wps:txbx>
                          <w:txbxContent>
                            <w:p>
                              <w:pPr>
                                <w:spacing w:before="0" w:after="0" w:line="240" w:lineRule="exact"/>
                                <w:jc w:val="center"/>
                              </w:pPr>
                              <w:r>
                                <w:rPr>
                                  <w:rFonts w:ascii="Times New Roman" w:hAnsi="Times New Roman" w:eastAsia="標楷體" w:cs="Times New Roman"/>
                                  <w:b/>
                                  <w:bCs/>
                                  <w:sz w:val="17"/>
                                  <w:szCs w:val="17"/>
                                </w:rPr>
                                <w:t xml:space="preserve">H2</w:t>
                              </w:r>
                            </w:p>
                          </w:txbxContent>
                        </wps:txbx>
                        <wps:bodyPr rot="0" vert="horz" wrap="square" lIns="25400" tIns="12700" rIns="25400" bIns="12700" anchor="ctr" anchorCtr="0">
                          <a:noAutofit/>
                        </wps:bodyPr>
                      </wps:wsp>
                      <wps:wsp>
                        <wps:cNvPr id="187" name="Shape 187"/>
                        <wps:cNvSpPr/>
                        <wps:spPr>
                          <a:xfrm>
                            <a:off x="1219200" y="2997200"/>
                            <a:ext cx="4191000" cy="711200"/>
                          </a:xfrm>
                          <a:prstGeom prst="rect">
                            <a:avLst/>
                          </a:prstGeom>
                          <a:noFill/>
                          <a:ln w="12700">
                            <a:solidFill>
                              <a:srgbClr val="C55A11"/>
                            </a:solidFill>
                            <a:prstDash val="dash"/>
                          </a:ln>
                        </wps:spPr>
                        <wps:txbx>
                          <w:txbxContent>
                            <w:p>
                              <w:pPr>
                                <w:spacing w:before="0" w:after="0" w:line="240" w:lineRule="exact"/>
                                <w:jc w:val="center"/>
                              </w:pPr>
                              <w:r>
                                <w:rPr>
                                  <w:rFonts w:ascii="Times New Roman" w:hAnsi="Times New Roman" w:eastAsia="標楷體" w:cs="Times New Roman"/>
                                  <w:b/>
                                  <w:bCs/>
                                  <w:sz w:val="17"/>
                                  <w:szCs w:val="17"/>
                                </w:rPr>
                                <w:t xml:space="preserve">研究 2c：AI 身分揭露（僅 AI 主播）</w:t>
                              </w:r>
                            </w:p>
                            <w:p>
                              <w:pPr>
                                <w:spacing w:before="0" w:after="0" w:line="240" w:lineRule="exact"/>
                                <w:jc w:val="center"/>
                              </w:pPr>
                              <w:r>
                                <w:rPr>
                                  <w:rFonts w:ascii="Times New Roman" w:hAnsi="Times New Roman" w:eastAsia="標楷體" w:cs="Times New Roman"/>
                                  <w:sz w:val="17"/>
                                  <w:szCs w:val="17"/>
                                </w:rPr>
                                <w:t xml:space="preserve">不標示／平台標示「AI 生成」／主播自述「我是 AI 主播」</w:t>
                              </w:r>
                            </w:p>
                            <w:p>
                              <w:pPr>
                                <w:spacing w:before="0" w:after="0" w:line="240" w:lineRule="exact"/>
                                <w:jc w:val="center"/>
                              </w:pPr>
                              <w:r>
                                <w:rPr>
                                  <w:rFonts w:ascii="Times New Roman" w:hAnsi="Times New Roman" w:eastAsia="標楷體" w:cs="Times New Roman"/>
                                  <w:sz w:val="17"/>
                                  <w:szCs w:val="17"/>
                                </w:rPr>
                                <w:t xml:space="preserve">→ 信任、購買意圖（H5、H6）</w:t>
                              </w:r>
                            </w:p>
                          </w:txbxContent>
                        </wps:txbx>
                        <wps:bodyPr rot="0" vert="horz" wrap="square" lIns="25400" tIns="12700" rIns="25400" bIns="12700" anchor="ctr" anchorCtr="0">
                          <a:noAutofit/>
                        </wps:bodyPr>
                      </wps:wsp>
                      <wps:wsp>
                        <wps:cNvPr id="188" name="Line 188"/>
                        <wps:cNvCnPr/>
                        <wps:spPr>
                          <a:xfrm flipV="1">
                            <a:off x="4191000" y="2438400"/>
                            <a:ext cx="381000" cy="558800"/>
                          </a:xfrm>
                          <a:prstGeom prst="line">
                            <a:avLst/>
                          </a:prstGeom>
                          <a:ln w="12700">
                            <a:solidFill>
                              <a:srgbClr val="C55A11"/>
                            </a:solidFill>
                            <a:prstDash val="dash"/>
                            <a:tailEnd type="triangle" w="med" len="med"/>
                          </a:ln>
                        </wps:spPr>
                        <wps:bodyPr/>
                      </wps:wsp>
                    </wpg:wgp>
                  </a:graphicData>
                </a:graphic>
              </wp:inline>
            </w:drawing>
          </mc:Choice>
        </mc:AlternateContent>
      </w:r>
    </w:p>
    <w:p>
      <w:pPr>
        <w:spacing w:before="120" w:after="80" w:line="360" w:lineRule="exact"/>
        <w:jc w:val="center"/>
      </w:pPr>
      <w:r>
        <w:rPr>
          <w:rFonts w:ascii="Times New Roman" w:hAnsi="Times New Roman" w:eastAsia="標楷體" w:cs="Times New Roman"/>
        </w:rPr>
        <w:t xml:space="preserve">圖 3　第二階段研究架構圖</w:t>
      </w:r>
    </w:p>
    <w:p>
      <w:pPr>
        <w:keepNext/>
        <w:spacing w:before="0" w:after="0" w:line="440" w:lineRule="exact"/>
      </w:pPr>
      <w:r>
        <w:rPr>
          <w:rFonts w:ascii="Times New Roman" w:hAnsi="Times New Roman" w:eastAsia="標楷體" w:cs="Times New Roman"/>
          <w:b/>
          <w:bCs/>
        </w:rPr>
        <w:t xml:space="preserve">【假說】</w:t>
      </w:r>
    </w:p>
    <w:p>
      <w:pPr>
        <w:spacing w:before="0" w:after="0" w:line="440" w:lineRule="exact"/>
        <w:ind w:left="960" w:hanging="480"/>
        <w:jc w:val="both"/>
      </w:pPr>
      <w:r>
        <w:rPr>
          <w:rFonts w:ascii="Times New Roman" w:hAnsi="Times New Roman" w:eastAsia="標楷體" w:cs="Times New Roman"/>
          <w:b/>
          <w:bCs/>
        </w:rPr>
        <w:t xml:space="preserve">H1：主播類型 × 價值訴求話術有交互作用：AI 主播配功能價值話術、真人主播配情感社會價值話術時，購買意圖較高</w:t>
      </w:r>
    </w:p>
    <w:p>
      <w:pPr>
        <w:spacing w:before="0" w:after="0" w:line="440" w:lineRule="exact"/>
        <w:ind w:left="960" w:hanging="480"/>
        <w:jc w:val="both"/>
      </w:pPr>
      <w:r>
        <w:rPr>
          <w:rFonts w:ascii="Times New Roman" w:hAnsi="Times New Roman" w:eastAsia="標楷體" w:cs="Times New Roman"/>
          <w:b/>
          <w:bCs/>
        </w:rPr>
        <w:t xml:space="preserve">H2：產品類型調節 H1：享樂型產品下 AI 主播的劣勢較大；此模式跨品類成立</w:t>
      </w:r>
    </w:p>
    <w:p>
      <w:pPr>
        <w:spacing w:before="0" w:after="0" w:line="440" w:lineRule="exact"/>
        <w:ind w:left="960" w:hanging="480"/>
        <w:jc w:val="both"/>
      </w:pPr>
      <w:r>
        <w:rPr>
          <w:rFonts w:ascii="Times New Roman" w:hAnsi="Times New Roman" w:eastAsia="標楷體" w:cs="Times New Roman"/>
          <w:b/>
          <w:bCs/>
        </w:rPr>
        <w:t xml:space="preserve">H3：溫暖感與能力感中介主播類型對購買意圖的影響</w:t>
      </w:r>
    </w:p>
    <w:p>
      <w:pPr>
        <w:spacing w:before="0" w:after="0" w:line="440" w:lineRule="exact"/>
        <w:ind w:left="960" w:hanging="480"/>
        <w:jc w:val="both"/>
      </w:pPr>
      <w:r>
        <w:rPr>
          <w:rFonts w:ascii="Times New Roman" w:hAnsi="Times New Roman" w:eastAsia="標楷體" w:cs="Times New Roman"/>
          <w:b/>
          <w:bCs/>
        </w:rPr>
        <w:t xml:space="preserve">H4：AI 主播的說服意圖知覺較低，進而降低一週後的預期後悔與退貨意圖</w:t>
      </w:r>
    </w:p>
    <w:p>
      <w:pPr>
        <w:spacing w:before="0" w:after="0" w:line="440" w:lineRule="exact"/>
        <w:ind w:left="960" w:hanging="480"/>
        <w:jc w:val="both"/>
      </w:pPr>
      <w:r>
        <w:rPr>
          <w:rFonts w:ascii="Times New Roman" w:hAnsi="Times New Roman" w:eastAsia="標楷體" w:cs="Times New Roman"/>
          <w:b/>
          <w:bCs/>
        </w:rPr>
        <w:t xml:space="preserve">H5：揭露 AI 身分會降低信任與購買意圖</w:t>
      </w:r>
    </w:p>
    <w:p>
      <w:pPr>
        <w:spacing w:before="0" w:after="0" w:line="440" w:lineRule="exact"/>
        <w:ind w:left="960" w:hanging="480"/>
        <w:jc w:val="both"/>
      </w:pPr>
      <w:r>
        <w:rPr>
          <w:rFonts w:ascii="Times New Roman" w:hAnsi="Times New Roman" w:eastAsia="標楷體" w:cs="Times New Roman"/>
          <w:b/>
          <w:bCs/>
        </w:rPr>
        <w:t xml:space="preserve">H6：主播自述的負面效果小於平台標示</w:t>
      </w:r>
    </w:p>
    <w:p>
      <w:pPr>
        <w:pStyle w:val="Heading3"/>
        <w:keepNext/>
        <w:spacing w:before="120" w:after="40" w:line="440" w:lineRule="exact"/>
        <w:ind w:left="480" w:hanging="480"/>
      </w:pPr>
      <w:r>
        <w:rPr>
          <w:rFonts w:ascii="Times New Roman" w:hAnsi="Times New Roman" w:eastAsia="標楷體" w:cs="Times New Roman"/>
          <w:b/>
          <w:bCs/>
        </w:rPr>
        <w:t xml:space="preserve">（四）第三階段研究架構圖：【推廣驗證】直播購物的購後路徑：結構方程模式</w:t>
      </w:r>
    </w:p>
    <w:p>
      <w:pPr>
        <w:spacing w:before="0" w:after="0" w:line="440" w:lineRule="exact"/>
        <w:ind w:firstLineChars="200" w:firstLine="480"/>
        <w:jc w:val="both"/>
      </w:pPr>
      <w:r>
        <w:rPr>
          <w:rFonts w:ascii="Times New Roman" w:hAnsi="Times New Roman" w:eastAsia="標楷體" w:cs="Times New Roman"/>
        </w:rPr>
        <w:t xml:space="preserve">第三階段以直播實際購買者的調查資料，建構「主播溫暖感與能力感 → 信任 → 期望確認 → 購後滿意 → 退貨與再購」的路徑模型，並納入感知互動強度與購前期望；再以多群組 SEM 比較主播類型與價值傾向，如圖 4。</w:t>
      </w:r>
    </w:p>
    <w:p>
      <w:pPr>
        <w:keepNext/>
        <w:spacing w:before="120" w:after="0"/>
        <w:jc w:val="center"/>
      </w:pPr>
      <w:r>
        <mc:AlternateContent>
          <mc:Choice Requires="wpg">
            <w:drawing>
              <wp:inline distT="0" distB="0" distL="0" distR="0">
                <wp:extent cx="6096000" cy="4191000"/>
                <wp:effectExtent l="0" t="0" r="0" b="0"/>
                <wp:docPr id="215" name="圖 4　第三階段研究架構圖"/>
                <wp:cNvGraphicFramePr/>
                <a:graphic>
                  <a:graphicData uri="http://schemas.microsoft.com/office/word/2010/wordprocessingGroup">
                    <wpg:wgp>
                      <wpg:cNvGrpSpPr/>
                      <wpg:grpSpPr>
                        <a:xfrm>
                          <a:off x="0" y="0"/>
                          <a:ext cx="6096000" cy="4191000"/>
                          <a:chOff x="0" y="0"/>
                          <a:chExt cx="6096000" cy="4191000"/>
                        </a:xfrm>
                      </wpg:grpSpPr>
                      <wps:wsp>
                        <wps:cNvPr id="190" name="Shape 190"/>
                        <wps:cNvSpPr/>
                        <wps:spPr>
                          <a:xfrm>
                            <a:off x="50800" y="508000"/>
                            <a:ext cx="1219200" cy="431800"/>
                          </a:xfrm>
                          <a:prstGeom prst="ellipse">
                            <a:avLst/>
                          </a:prstGeom>
                          <a:noFill/>
                          <a:ln w="12700">
                            <a:solidFill>
                              <a:srgbClr val="404040"/>
                            </a:solidFill>
                          </a:ln>
                        </wps:spPr>
                        <wps:txbx>
                          <w:txbxContent>
                            <w:p>
                              <w:pPr>
                                <w:spacing w:before="0" w:after="0" w:line="254" w:lineRule="exact"/>
                                <w:jc w:val="center"/>
                              </w:pPr>
                              <w:r>
                                <w:rPr>
                                  <w:rFonts w:ascii="Times New Roman" w:hAnsi="Times New Roman" w:eastAsia="標楷體" w:cs="Times New Roman"/>
                                  <w:sz w:val="18"/>
                                  <w:szCs w:val="18"/>
                                </w:rPr>
                                <w:t xml:space="preserve">主播溫暖感</w:t>
                              </w:r>
                            </w:p>
                          </w:txbxContent>
                        </wps:txbx>
                        <wps:bodyPr rot="0" vert="horz" wrap="square" lIns="25400" tIns="12700" rIns="25400" bIns="12700" anchor="ctr" anchorCtr="0">
                          <a:noAutofit/>
                        </wps:bodyPr>
                      </wps:wsp>
                      <wps:wsp>
                        <wps:cNvPr id="191" name="Shape 191"/>
                        <wps:cNvSpPr/>
                        <wps:spPr>
                          <a:xfrm>
                            <a:off x="50800" y="1219200"/>
                            <a:ext cx="1219200" cy="431800"/>
                          </a:xfrm>
                          <a:prstGeom prst="ellipse">
                            <a:avLst/>
                          </a:prstGeom>
                          <a:noFill/>
                          <a:ln w="12700">
                            <a:solidFill>
                              <a:srgbClr val="404040"/>
                            </a:solidFill>
                          </a:ln>
                        </wps:spPr>
                        <wps:txbx>
                          <w:txbxContent>
                            <w:p>
                              <w:pPr>
                                <w:spacing w:before="0" w:after="0" w:line="254" w:lineRule="exact"/>
                                <w:jc w:val="center"/>
                              </w:pPr>
                              <w:r>
                                <w:rPr>
                                  <w:rFonts w:ascii="Times New Roman" w:hAnsi="Times New Roman" w:eastAsia="標楷體" w:cs="Times New Roman"/>
                                  <w:sz w:val="18"/>
                                  <w:szCs w:val="18"/>
                                </w:rPr>
                                <w:t xml:space="preserve">主播能力感</w:t>
                              </w:r>
                            </w:p>
                          </w:txbxContent>
                        </wps:txbx>
                        <wps:bodyPr rot="0" vert="horz" wrap="square" lIns="25400" tIns="12700" rIns="25400" bIns="12700" anchor="ctr" anchorCtr="0">
                          <a:noAutofit/>
                        </wps:bodyPr>
                      </wps:wsp>
                      <wps:wsp>
                        <wps:cNvPr id="192" name="Shape 192"/>
                        <wps:cNvSpPr/>
                        <wps:spPr>
                          <a:xfrm>
                            <a:off x="50800" y="2235200"/>
                            <a:ext cx="1219200" cy="508000"/>
                          </a:xfrm>
                          <a:prstGeom prst="ellipse">
                            <a:avLst/>
                          </a:prstGeom>
                          <a:noFill/>
                          <a:ln w="12700">
                            <a:solidFill>
                              <a:srgbClr val="404040"/>
                            </a:solidFill>
                          </a:ln>
                        </wps:spPr>
                        <wps:txbx>
                          <w:txbxContent>
                            <w:p>
                              <w:pPr>
                                <w:spacing w:before="0" w:after="0" w:line="240" w:lineRule="exact"/>
                                <w:jc w:val="center"/>
                              </w:pPr>
                              <w:r>
                                <w:rPr>
                                  <w:rFonts w:ascii="Times New Roman" w:hAnsi="Times New Roman" w:eastAsia="標楷體" w:cs="Times New Roman"/>
                                  <w:sz w:val="17"/>
                                  <w:szCs w:val="17"/>
                                </w:rPr>
                                <w:t xml:space="preserve">感知互動強度</w:t>
                              </w:r>
                            </w:p>
                            <w:p>
                              <w:pPr>
                                <w:spacing w:before="0" w:after="0" w:line="240" w:lineRule="exact"/>
                                <w:jc w:val="center"/>
                              </w:pPr>
                              <w:r>
                                <w:rPr>
                                  <w:rFonts w:ascii="Times New Roman" w:hAnsi="Times New Roman" w:eastAsia="標楷體" w:cs="Times New Roman"/>
                                  <w:sz w:val="17"/>
                                  <w:szCs w:val="17"/>
                                </w:rPr>
                                <w:t xml:space="preserve">（熱烈氣氛）</w:t>
                              </w:r>
                            </w:p>
                          </w:txbxContent>
                        </wps:txbx>
                        <wps:bodyPr rot="0" vert="horz" wrap="square" lIns="25400" tIns="12700" rIns="25400" bIns="12700" anchor="ctr" anchorCtr="0">
                          <a:noAutofit/>
                        </wps:bodyPr>
                      </wps:wsp>
                      <wps:wsp>
                        <wps:cNvPr id="193" name="Shape 193"/>
                        <wps:cNvSpPr/>
                        <wps:spPr>
                          <a:xfrm>
                            <a:off x="1727200" y="838200"/>
                            <a:ext cx="1066800" cy="457200"/>
                          </a:xfrm>
                          <a:prstGeom prst="ellipse">
                            <a:avLst/>
                          </a:prstGeom>
                          <a:noFill/>
                          <a:ln w="12700">
                            <a:solidFill>
                              <a:srgbClr val="404040"/>
                            </a:solidFill>
                          </a:ln>
                        </wps:spPr>
                        <wps:txbx>
                          <w:txbxContent>
                            <w:p>
                              <w:pPr>
                                <w:spacing w:before="0" w:after="0" w:line="254" w:lineRule="exact"/>
                                <w:jc w:val="center"/>
                              </w:pPr>
                              <w:r>
                                <w:rPr>
                                  <w:rFonts w:ascii="Times New Roman" w:hAnsi="Times New Roman" w:eastAsia="標楷體" w:cs="Times New Roman"/>
                                  <w:sz w:val="18"/>
                                  <w:szCs w:val="18"/>
                                </w:rPr>
                                <w:t xml:space="preserve">信任</w:t>
                              </w:r>
                            </w:p>
                          </w:txbxContent>
                        </wps:txbx>
                        <wps:bodyPr rot="0" vert="horz" wrap="square" lIns="25400" tIns="12700" rIns="25400" bIns="12700" anchor="ctr" anchorCtr="0">
                          <a:noAutofit/>
                        </wps:bodyPr>
                      </wps:wsp>
                      <wps:wsp>
                        <wps:cNvPr id="194" name="Shape 194"/>
                        <wps:cNvSpPr/>
                        <wps:spPr>
                          <a:xfrm>
                            <a:off x="1727200" y="2235200"/>
                            <a:ext cx="1066800" cy="508000"/>
                          </a:xfrm>
                          <a:prstGeom prst="ellipse">
                            <a:avLst/>
                          </a:prstGeom>
                          <a:noFill/>
                          <a:ln w="12700">
                            <a:solidFill>
                              <a:srgbClr val="404040"/>
                            </a:solidFill>
                          </a:ln>
                        </wps:spPr>
                        <wps:txbx>
                          <w:txbxContent>
                            <w:p>
                              <w:pPr>
                                <w:spacing w:before="0" w:after="0" w:line="254" w:lineRule="exact"/>
                                <w:jc w:val="center"/>
                              </w:pPr>
                              <w:r>
                                <w:rPr>
                                  <w:rFonts w:ascii="Times New Roman" w:hAnsi="Times New Roman" w:eastAsia="標楷體" w:cs="Times New Roman"/>
                                  <w:sz w:val="18"/>
                                  <w:szCs w:val="18"/>
                                </w:rPr>
                                <w:t xml:space="preserve">購前期望</w:t>
                              </w:r>
                            </w:p>
                          </w:txbxContent>
                        </wps:txbx>
                        <wps:bodyPr rot="0" vert="horz" wrap="square" lIns="25400" tIns="12700" rIns="25400" bIns="12700" anchor="ctr" anchorCtr="0">
                          <a:noAutofit/>
                        </wps:bodyPr>
                      </wps:wsp>
                      <wps:wsp>
                        <wps:cNvPr id="195" name="Shape 195"/>
                        <wps:cNvSpPr/>
                        <wps:spPr>
                          <a:xfrm>
                            <a:off x="3225800" y="1498600"/>
                            <a:ext cx="1092200" cy="508000"/>
                          </a:xfrm>
                          <a:prstGeom prst="ellipse">
                            <a:avLst/>
                          </a:prstGeom>
                          <a:noFill/>
                          <a:ln w="12700">
                            <a:solidFill>
                              <a:srgbClr val="404040"/>
                            </a:solidFill>
                          </a:ln>
                        </wps:spPr>
                        <wps:txbx>
                          <w:txbxContent>
                            <w:p>
                              <w:pPr>
                                <w:spacing w:before="0" w:after="0" w:line="254" w:lineRule="exact"/>
                                <w:jc w:val="center"/>
                              </w:pPr>
                              <w:r>
                                <w:rPr>
                                  <w:rFonts w:ascii="Times New Roman" w:hAnsi="Times New Roman" w:eastAsia="標楷體" w:cs="Times New Roman"/>
                                  <w:sz w:val="18"/>
                                  <w:szCs w:val="18"/>
                                </w:rPr>
                                <w:t xml:space="preserve">期望確認</w:t>
                              </w:r>
                            </w:p>
                          </w:txbxContent>
                        </wps:txbx>
                        <wps:bodyPr rot="0" vert="horz" wrap="square" lIns="25400" tIns="12700" rIns="25400" bIns="12700" anchor="ctr" anchorCtr="0">
                          <a:noAutofit/>
                        </wps:bodyPr>
                      </wps:wsp>
                      <wps:wsp>
                        <wps:cNvPr id="196" name="Shape 196"/>
                        <wps:cNvSpPr/>
                        <wps:spPr>
                          <a:xfrm>
                            <a:off x="4724400" y="762000"/>
                            <a:ext cx="1320800" cy="457200"/>
                          </a:xfrm>
                          <a:prstGeom prst="ellipse">
                            <a:avLst/>
                          </a:prstGeom>
                          <a:noFill/>
                          <a:ln w="12700">
                            <a:solidFill>
                              <a:srgbClr val="404040"/>
                            </a:solidFill>
                          </a:ln>
                        </wps:spPr>
                        <wps:txbx>
                          <w:txbxContent>
                            <w:p>
                              <w:pPr>
                                <w:spacing w:before="0" w:after="0" w:line="254" w:lineRule="exact"/>
                                <w:jc w:val="center"/>
                              </w:pPr>
                              <w:r>
                                <w:rPr>
                                  <w:rFonts w:ascii="Times New Roman" w:hAnsi="Times New Roman" w:eastAsia="標楷體" w:cs="Times New Roman"/>
                                  <w:sz w:val="18"/>
                                  <w:szCs w:val="18"/>
                                </w:rPr>
                                <w:t xml:space="preserve">購後滿意</w:t>
                              </w:r>
                            </w:p>
                          </w:txbxContent>
                        </wps:txbx>
                        <wps:bodyPr rot="0" vert="horz" wrap="square" lIns="25400" tIns="12700" rIns="25400" bIns="12700" anchor="ctr" anchorCtr="0">
                          <a:noAutofit/>
                        </wps:bodyPr>
                      </wps:wsp>
                      <wps:wsp>
                        <wps:cNvPr id="197" name="Shape 197"/>
                        <wps:cNvSpPr/>
                        <wps:spPr>
                          <a:xfrm>
                            <a:off x="4978400" y="1625600"/>
                            <a:ext cx="1066800" cy="508000"/>
                          </a:xfrm>
                          <a:prstGeom prst="rect">
                            <a:avLst/>
                          </a:prstGeom>
                          <a:noFill/>
                          <a:ln w="12700">
                            <a:solidFill>
                              <a:srgbClr val="404040"/>
                            </a:solidFill>
                          </a:ln>
                        </wps:spPr>
                        <wps:txbx>
                          <w:txbxContent>
                            <w:p>
                              <w:pPr>
                                <w:spacing w:before="0" w:after="0" w:line="240" w:lineRule="exact"/>
                                <w:jc w:val="center"/>
                              </w:pPr>
                              <w:r>
                                <w:rPr>
                                  <w:rFonts w:ascii="Times New Roman" w:hAnsi="Times New Roman" w:eastAsia="標楷體" w:cs="Times New Roman"/>
                                  <w:b/>
                                  <w:bCs/>
                                  <w:sz w:val="17"/>
                                  <w:szCs w:val="17"/>
                                </w:rPr>
                                <w:t xml:space="preserve">退貨行為／</w:t>
                              </w:r>
                            </w:p>
                            <w:p>
                              <w:pPr>
                                <w:spacing w:before="0" w:after="0" w:line="240" w:lineRule="exact"/>
                                <w:jc w:val="center"/>
                              </w:pPr>
                              <w:r>
                                <w:rPr>
                                  <w:rFonts w:ascii="Times New Roman" w:hAnsi="Times New Roman" w:eastAsia="標楷體" w:cs="Times New Roman"/>
                                  <w:sz w:val="17"/>
                                  <w:szCs w:val="17"/>
                                </w:rPr>
                                <w:t xml:space="preserve">退貨意圖</w:t>
                              </w:r>
                            </w:p>
                          </w:txbxContent>
                        </wps:txbx>
                        <wps:bodyPr rot="0" vert="horz" wrap="square" lIns="25400" tIns="12700" rIns="25400" bIns="12700" anchor="ctr" anchorCtr="0">
                          <a:noAutofit/>
                        </wps:bodyPr>
                      </wps:wsp>
                      <wps:wsp>
                        <wps:cNvPr id="198" name="Shape 198"/>
                        <wps:cNvSpPr/>
                        <wps:spPr>
                          <a:xfrm>
                            <a:off x="4978400" y="2489200"/>
                            <a:ext cx="1066800" cy="431800"/>
                          </a:xfrm>
                          <a:prstGeom prst="rect">
                            <a:avLst/>
                          </a:prstGeom>
                          <a:noFill/>
                          <a:ln w="12700">
                            <a:solidFill>
                              <a:srgbClr val="404040"/>
                            </a:solidFill>
                          </a:ln>
                        </wps:spPr>
                        <wps:txbx>
                          <w:txbxContent>
                            <w:p>
                              <w:pPr>
                                <w:spacing w:before="0" w:after="0" w:line="240" w:lineRule="exact"/>
                                <w:jc w:val="center"/>
                              </w:pPr>
                              <w:r>
                                <w:rPr>
                                  <w:rFonts w:ascii="Times New Roman" w:hAnsi="Times New Roman" w:eastAsia="標楷體" w:cs="Times New Roman"/>
                                  <w:b/>
                                  <w:bCs/>
                                  <w:sz w:val="17"/>
                                  <w:szCs w:val="17"/>
                                </w:rPr>
                                <w:t xml:space="preserve">再購意圖</w:t>
                              </w:r>
                            </w:p>
                          </w:txbxContent>
                        </wps:txbx>
                        <wps:bodyPr rot="0" vert="horz" wrap="square" lIns="25400" tIns="12700" rIns="25400" bIns="12700" anchor="ctr" anchorCtr="0">
                          <a:noAutofit/>
                        </wps:bodyPr>
                      </wps:wsp>
                      <wps:wsp>
                        <wps:cNvPr id="199" name="Line 199"/>
                        <wps:cNvCnPr/>
                        <wps:spPr>
                          <a:xfrm>
                            <a:off x="1270000" y="723900"/>
                            <a:ext cx="469900" cy="266700"/>
                          </a:xfrm>
                          <a:prstGeom prst="line">
                            <a:avLst/>
                          </a:prstGeom>
                          <a:ln w="12700">
                            <a:solidFill>
                              <a:srgbClr val="404040"/>
                            </a:solidFill>
                            <a:tailEnd type="triangle" w="med" len="med"/>
                          </a:ln>
                        </wps:spPr>
                        <wps:bodyPr/>
                      </wps:wsp>
                      <wps:wsp>
                        <wps:cNvPr id="200" name="Line 200"/>
                        <wps:cNvCnPr/>
                        <wps:spPr>
                          <a:xfrm flipV="1">
                            <a:off x="1270000" y="1143000"/>
                            <a:ext cx="469900" cy="292100"/>
                          </a:xfrm>
                          <a:prstGeom prst="line">
                            <a:avLst/>
                          </a:prstGeom>
                          <a:ln w="12700">
                            <a:solidFill>
                              <a:srgbClr val="404040"/>
                            </a:solidFill>
                            <a:tailEnd type="triangle" w="med" len="med"/>
                          </a:ln>
                        </wps:spPr>
                        <wps:bodyPr/>
                      </wps:wsp>
                      <wps:wsp>
                        <wps:cNvPr id="201" name="Shape 201"/>
                        <wps:cNvSpPr/>
                        <wps:spPr>
                          <a:xfrm>
                            <a:off x="1371600" y="584200"/>
                            <a:ext cx="304800" cy="177800"/>
                          </a:xfrm>
                          <a:prstGeom prst="rect">
                            <a:avLst/>
                          </a:prstGeom>
                          <a:noFill/>
                          <a:ln>
                            <a:noFill/>
                          </a:ln>
                        </wps:spPr>
                        <wps:txbx>
                          <w:txbxContent>
                            <w:p>
                              <w:pPr>
                                <w:spacing w:before="0" w:after="0" w:line="240" w:lineRule="exact"/>
                                <w:jc w:val="center"/>
                              </w:pPr>
                              <w:r>
                                <w:rPr>
                                  <w:rFonts w:ascii="Times New Roman" w:hAnsi="Times New Roman" w:eastAsia="標楷體" w:cs="Times New Roman"/>
                                  <w:b/>
                                  <w:bCs/>
                                  <w:sz w:val="17"/>
                                  <w:szCs w:val="17"/>
                                </w:rPr>
                                <w:t xml:space="preserve">H1</w:t>
                              </w:r>
                            </w:p>
                          </w:txbxContent>
                        </wps:txbx>
                        <wps:bodyPr rot="0" vert="horz" wrap="square" lIns="25400" tIns="12700" rIns="25400" bIns="12700" anchor="ctr" anchorCtr="0">
                          <a:noAutofit/>
                        </wps:bodyPr>
                      </wps:wsp>
                      <wps:wsp>
                        <wps:cNvPr id="202" name="Line 202"/>
                        <wps:cNvCnPr/>
                        <wps:spPr>
                          <a:xfrm>
                            <a:off x="1270000" y="2489200"/>
                            <a:ext cx="457200" cy="0"/>
                          </a:xfrm>
                          <a:prstGeom prst="line">
                            <a:avLst/>
                          </a:prstGeom>
                          <a:ln w="12700">
                            <a:solidFill>
                              <a:srgbClr val="404040"/>
                            </a:solidFill>
                            <a:tailEnd type="triangle" w="med" len="med"/>
                          </a:ln>
                        </wps:spPr>
                        <wps:bodyPr/>
                      </wps:wsp>
                      <wps:wsp>
                        <wps:cNvPr id="203" name="Shape 203"/>
                        <wps:cNvSpPr/>
                        <wps:spPr>
                          <a:xfrm>
                            <a:off x="1371600" y="2540000"/>
                            <a:ext cx="304800" cy="177800"/>
                          </a:xfrm>
                          <a:prstGeom prst="rect">
                            <a:avLst/>
                          </a:prstGeom>
                          <a:noFill/>
                          <a:ln>
                            <a:noFill/>
                          </a:ln>
                        </wps:spPr>
                        <wps:txbx>
                          <w:txbxContent>
                            <w:p>
                              <w:pPr>
                                <w:spacing w:before="0" w:after="0" w:line="240" w:lineRule="exact"/>
                                <w:jc w:val="center"/>
                              </w:pPr>
                              <w:r>
                                <w:rPr>
                                  <w:rFonts w:ascii="Times New Roman" w:hAnsi="Times New Roman" w:eastAsia="標楷體" w:cs="Times New Roman"/>
                                  <w:b/>
                                  <w:bCs/>
                                  <w:sz w:val="17"/>
                                  <w:szCs w:val="17"/>
                                </w:rPr>
                                <w:t xml:space="preserve">H2</w:t>
                              </w:r>
                            </w:p>
                          </w:txbxContent>
                        </wps:txbx>
                        <wps:bodyPr rot="0" vert="horz" wrap="square" lIns="25400" tIns="12700" rIns="25400" bIns="12700" anchor="ctr" anchorCtr="0">
                          <a:noAutofit/>
                        </wps:bodyPr>
                      </wps:wsp>
                      <wps:wsp>
                        <wps:cNvPr id="204" name="Line 204"/>
                        <wps:cNvCnPr/>
                        <wps:spPr>
                          <a:xfrm>
                            <a:off x="2794000" y="1066800"/>
                            <a:ext cx="533400" cy="508000"/>
                          </a:xfrm>
                          <a:prstGeom prst="line">
                            <a:avLst/>
                          </a:prstGeom>
                          <a:ln w="12700">
                            <a:solidFill>
                              <a:srgbClr val="404040"/>
                            </a:solidFill>
                            <a:tailEnd type="triangle" w="med" len="med"/>
                          </a:ln>
                        </wps:spPr>
                        <wps:bodyPr/>
                      </wps:wsp>
                      <wps:wsp>
                        <wps:cNvPr id="205" name="Line 205"/>
                        <wps:cNvCnPr/>
                        <wps:spPr>
                          <a:xfrm flipV="1">
                            <a:off x="2794000" y="1930400"/>
                            <a:ext cx="533400" cy="558800"/>
                          </a:xfrm>
                          <a:prstGeom prst="line">
                            <a:avLst/>
                          </a:prstGeom>
                          <a:ln w="12700">
                            <a:solidFill>
                              <a:srgbClr val="404040"/>
                            </a:solidFill>
                            <a:tailEnd type="triangle" w="med" len="med"/>
                          </a:ln>
                        </wps:spPr>
                        <wps:bodyPr/>
                      </wps:wsp>
                      <wps:wsp>
                        <wps:cNvPr id="206" name="Shape 206"/>
                        <wps:cNvSpPr/>
                        <wps:spPr>
                          <a:xfrm>
                            <a:off x="2844800" y="2108200"/>
                            <a:ext cx="381000" cy="177800"/>
                          </a:xfrm>
                          <a:prstGeom prst="rect">
                            <a:avLst/>
                          </a:prstGeom>
                          <a:noFill/>
                          <a:ln>
                            <a:noFill/>
                          </a:ln>
                        </wps:spPr>
                        <wps:txbx>
                          <w:txbxContent>
                            <w:p>
                              <w:pPr>
                                <w:spacing w:before="0" w:after="0" w:line="240" w:lineRule="exact"/>
                                <w:jc w:val="center"/>
                              </w:pPr>
                              <w:r>
                                <w:rPr>
                                  <w:rFonts w:ascii="Times New Roman" w:hAnsi="Times New Roman" w:eastAsia="標楷體" w:cs="Times New Roman"/>
                                  <w:b/>
                                  <w:bCs/>
                                  <w:sz w:val="17"/>
                                  <w:szCs w:val="17"/>
                                </w:rPr>
                                <w:t xml:space="preserve">H2(−)</w:t>
                              </w:r>
                            </w:p>
                          </w:txbxContent>
                        </wps:txbx>
                        <wps:bodyPr rot="0" vert="horz" wrap="square" lIns="25400" tIns="12700" rIns="25400" bIns="12700" anchor="ctr" anchorCtr="0">
                          <a:noAutofit/>
                        </wps:bodyPr>
                      </wps:wsp>
                      <wps:wsp>
                        <wps:cNvPr id="207" name="Line 207"/>
                        <wps:cNvCnPr/>
                        <wps:spPr>
                          <a:xfrm flipV="1">
                            <a:off x="4318000" y="1117600"/>
                            <a:ext cx="482600" cy="558800"/>
                          </a:xfrm>
                          <a:prstGeom prst="line">
                            <a:avLst/>
                          </a:prstGeom>
                          <a:ln w="12700">
                            <a:solidFill>
                              <a:srgbClr val="404040"/>
                            </a:solidFill>
                            <a:tailEnd type="triangle" w="med" len="med"/>
                          </a:ln>
                        </wps:spPr>
                        <wps:bodyPr/>
                      </wps:wsp>
                      <wps:wsp>
                        <wps:cNvPr id="208" name="Shape 208"/>
                        <wps:cNvSpPr/>
                        <wps:spPr>
                          <a:xfrm>
                            <a:off x="4368800" y="1168400"/>
                            <a:ext cx="304800" cy="177800"/>
                          </a:xfrm>
                          <a:prstGeom prst="rect">
                            <a:avLst/>
                          </a:prstGeom>
                          <a:noFill/>
                          <a:ln>
                            <a:noFill/>
                          </a:ln>
                        </wps:spPr>
                        <wps:txbx>
                          <w:txbxContent>
                            <w:p>
                              <w:pPr>
                                <w:spacing w:before="0" w:after="0" w:line="240" w:lineRule="exact"/>
                                <w:jc w:val="center"/>
                              </w:pPr>
                              <w:r>
                                <w:rPr>
                                  <w:rFonts w:ascii="Times New Roman" w:hAnsi="Times New Roman" w:eastAsia="標楷體" w:cs="Times New Roman"/>
                                  <w:b/>
                                  <w:bCs/>
                                  <w:sz w:val="17"/>
                                  <w:szCs w:val="17"/>
                                </w:rPr>
                                <w:t xml:space="preserve">H3</w:t>
                              </w:r>
                            </w:p>
                          </w:txbxContent>
                        </wps:txbx>
                        <wps:bodyPr rot="0" vert="horz" wrap="square" lIns="25400" tIns="12700" rIns="25400" bIns="12700" anchor="ctr" anchorCtr="0">
                          <a:noAutofit/>
                        </wps:bodyPr>
                      </wps:wsp>
                      <wps:wsp>
                        <wps:cNvPr id="209" name="Line 209"/>
                        <wps:cNvCnPr/>
                        <wps:spPr>
                          <a:xfrm>
                            <a:off x="5511800" y="1219200"/>
                            <a:ext cx="0" cy="406400"/>
                          </a:xfrm>
                          <a:prstGeom prst="line">
                            <a:avLst/>
                          </a:prstGeom>
                          <a:ln w="12700">
                            <a:solidFill>
                              <a:srgbClr val="404040"/>
                            </a:solidFill>
                            <a:tailEnd type="triangle" w="med" len="med"/>
                          </a:ln>
                        </wps:spPr>
                        <wps:bodyPr/>
                      </wps:wsp>
                      <wps:wsp>
                        <wps:cNvPr id="210" name="Line 210"/>
                        <wps:cNvCnPr/>
                        <wps:spPr>
                          <a:xfrm>
                            <a:off x="4826000" y="1219200"/>
                            <a:ext cx="0" cy="1485900"/>
                          </a:xfrm>
                          <a:prstGeom prst="line">
                            <a:avLst/>
                          </a:prstGeom>
                          <a:ln w="12700">
                            <a:solidFill>
                              <a:srgbClr val="404040"/>
                            </a:solidFill>
                          </a:ln>
                        </wps:spPr>
                        <wps:bodyPr/>
                      </wps:wsp>
                      <wps:wsp>
                        <wps:cNvPr id="211" name="Line 211"/>
                        <wps:cNvCnPr/>
                        <wps:spPr>
                          <a:xfrm>
                            <a:off x="4826000" y="2705100"/>
                            <a:ext cx="152400" cy="0"/>
                          </a:xfrm>
                          <a:prstGeom prst="line">
                            <a:avLst/>
                          </a:prstGeom>
                          <a:ln w="12700">
                            <a:solidFill>
                              <a:srgbClr val="404040"/>
                            </a:solidFill>
                            <a:tailEnd type="triangle" w="med" len="med"/>
                          </a:ln>
                        </wps:spPr>
                        <wps:bodyPr/>
                      </wps:wsp>
                      <wps:wsp>
                        <wps:cNvPr id="212" name="Shape 212"/>
                        <wps:cNvSpPr/>
                        <wps:spPr>
                          <a:xfrm>
                            <a:off x="5562600" y="1320800"/>
                            <a:ext cx="381000" cy="177800"/>
                          </a:xfrm>
                          <a:prstGeom prst="rect">
                            <a:avLst/>
                          </a:prstGeom>
                          <a:noFill/>
                          <a:ln>
                            <a:noFill/>
                          </a:ln>
                        </wps:spPr>
                        <wps:txbx>
                          <w:txbxContent>
                            <w:p>
                              <w:pPr>
                                <w:spacing w:before="0" w:after="0" w:line="240" w:lineRule="exact"/>
                                <w:jc w:val="center"/>
                              </w:pPr>
                              <w:r>
                                <w:rPr>
                                  <w:rFonts w:ascii="Times New Roman" w:hAnsi="Times New Roman" w:eastAsia="標楷體" w:cs="Times New Roman"/>
                                  <w:b/>
                                  <w:bCs/>
                                  <w:sz w:val="17"/>
                                  <w:szCs w:val="17"/>
                                </w:rPr>
                                <w:t xml:space="preserve">H3</w:t>
                              </w:r>
                            </w:p>
                          </w:txbxContent>
                        </wps:txbx>
                        <wps:bodyPr rot="0" vert="horz" wrap="square" lIns="25400" tIns="12700" rIns="25400" bIns="12700" anchor="ctr" anchorCtr="0">
                          <a:noAutofit/>
                        </wps:bodyPr>
                      </wps:wsp>
                      <wps:wsp>
                        <wps:cNvPr id="213" name="Shape 213"/>
                        <wps:cNvSpPr/>
                        <wps:spPr>
                          <a:xfrm>
                            <a:off x="50800" y="3149600"/>
                            <a:ext cx="2921000" cy="889000"/>
                          </a:xfrm>
                          <a:prstGeom prst="rect">
                            <a:avLst/>
                          </a:prstGeom>
                          <a:noFill/>
                          <a:ln w="12700">
                            <a:solidFill>
                              <a:srgbClr val="C55A11"/>
                            </a:solidFill>
                            <a:prstDash val="dash"/>
                          </a:ln>
                        </wps:spPr>
                        <wps:txbx>
                          <w:txbxContent>
                            <w:p>
                              <w:pPr>
                                <w:spacing w:before="0" w:after="0" w:line="240" w:lineRule="exact"/>
                                <w:jc w:val="left"/>
                              </w:pPr>
                              <w:r>
                                <w:rPr>
                                  <w:rFonts w:ascii="Times New Roman" w:hAnsi="Times New Roman" w:eastAsia="標楷體" w:cs="Times New Roman"/>
                                  <w:b/>
                                  <w:bCs/>
                                  <w:sz w:val="17"/>
                                  <w:szCs w:val="17"/>
                                </w:rPr>
                                <w:t xml:space="preserve">多群組 SEM（H4、H5）</w:t>
                              </w:r>
                            </w:p>
                            <w:p>
                              <w:pPr>
                                <w:spacing w:before="0" w:after="0" w:line="240" w:lineRule="exact"/>
                                <w:jc w:val="left"/>
                              </w:pPr>
                              <w:r>
                                <w:rPr>
                                  <w:rFonts w:ascii="Times New Roman" w:hAnsi="Times New Roman" w:eastAsia="標楷體" w:cs="Times New Roman"/>
                                  <w:sz w:val="17"/>
                                  <w:szCs w:val="17"/>
                                </w:rPr>
                                <w:t xml:space="preserve">① 主播類型：AI 虛擬主播／真人主播</w:t>
                              </w:r>
                            </w:p>
                            <w:p>
                              <w:pPr>
                                <w:spacing w:before="0" w:after="0" w:line="240" w:lineRule="exact"/>
                                <w:jc w:val="left"/>
                              </w:pPr>
                              <w:r>
                                <w:rPr>
                                  <w:rFonts w:ascii="Times New Roman" w:hAnsi="Times New Roman" w:eastAsia="標楷體" w:cs="Times New Roman"/>
                                  <w:sz w:val="17"/>
                                  <w:szCs w:val="17"/>
                                </w:rPr>
                                <w:t xml:space="preserve">② 價值傾向：功能型／情感社會型（第一階段量表）</w:t>
                              </w:r>
                            </w:p>
                          </w:txbxContent>
                        </wps:txbx>
                        <wps:bodyPr rot="0" vert="horz" wrap="square" lIns="25400" tIns="12700" rIns="25400" bIns="12700" anchor="ctr" anchorCtr="0">
                          <a:noAutofit/>
                        </wps:bodyPr>
                      </wps:wsp>
                      <wps:wsp>
                        <wps:cNvPr id="214" name="Line 214"/>
                        <wps:cNvCnPr/>
                        <wps:spPr>
                          <a:xfrm flipV="1">
                            <a:off x="1498600" y="1244600"/>
                            <a:ext cx="0" cy="1905000"/>
                          </a:xfrm>
                          <a:prstGeom prst="line">
                            <a:avLst/>
                          </a:prstGeom>
                          <a:ln w="12700">
                            <a:solidFill>
                              <a:srgbClr val="C55A11"/>
                            </a:solidFill>
                            <a:prstDash val="dash"/>
                            <a:tailEnd type="triangle" w="med" len="med"/>
                          </a:ln>
                        </wps:spPr>
                        <wps:bodyPr/>
                      </wps:wsp>
                      <wps:wsp>
                        <wps:cNvPr id="215" name="Shape 215"/>
                        <wps:cNvSpPr/>
                        <wps:spPr>
                          <a:xfrm>
                            <a:off x="3175000" y="3225800"/>
                            <a:ext cx="2870200" cy="812800"/>
                          </a:xfrm>
                          <a:prstGeom prst="rect">
                            <a:avLst/>
                          </a:prstGeom>
                          <a:noFill/>
                          <a:ln w="12700">
                            <a:solidFill>
                              <a:srgbClr val="7F7F7F"/>
                            </a:solidFill>
                            <a:prstDash val="dash"/>
                          </a:ln>
                        </wps:spPr>
                        <wps:txbx>
                          <w:txbxContent>
                            <w:p>
                              <w:pPr>
                                <w:spacing w:before="0" w:after="0" w:line="226" w:lineRule="exact"/>
                                <w:jc w:val="left"/>
                              </w:pPr>
                              <w:r>
                                <w:rPr>
                                  <w:rFonts w:ascii="Times New Roman" w:hAnsi="Times New Roman" w:eastAsia="標楷體" w:cs="Times New Roman"/>
                                  <w:sz w:val="16"/>
                                  <w:szCs w:val="16"/>
                                </w:rPr>
                                <w:t xml:space="preserve">理論基礎</w:t>
                              </w:r>
                            </w:p>
                            <w:p>
                              <w:pPr>
                                <w:spacing w:before="0" w:after="0" w:line="226" w:lineRule="exact"/>
                                <w:jc w:val="left"/>
                              </w:pPr>
                              <w:r>
                                <w:rPr>
                                  <w:rFonts w:ascii="Times New Roman" w:hAnsi="Times New Roman" w:eastAsia="標楷體" w:cs="Times New Roman"/>
                                  <w:sz w:val="16"/>
                                  <w:szCs w:val="16"/>
                                </w:rPr>
                                <w:t xml:space="preserve">溫暖與能力：Fiske et al. (2007)</w:t>
                              </w:r>
                            </w:p>
                            <w:p>
                              <w:pPr>
                                <w:spacing w:before="0" w:after="0" w:line="226" w:lineRule="exact"/>
                                <w:jc w:val="left"/>
                              </w:pPr>
                              <w:r>
                                <w:rPr>
                                  <w:rFonts w:ascii="Times New Roman" w:hAnsi="Times New Roman" w:eastAsia="標楷體" w:cs="Times New Roman"/>
                                  <w:sz w:val="16"/>
                                  <w:szCs w:val="16"/>
                                </w:rPr>
                                <w:t xml:space="preserve">期望確認：Oliver (1980)</w:t>
                              </w:r>
                            </w:p>
                            <w:p>
                              <w:pPr>
                                <w:spacing w:before="0" w:after="0" w:line="226" w:lineRule="exact"/>
                                <w:jc w:val="left"/>
                              </w:pPr>
                              <w:r>
                                <w:rPr>
                                  <w:rFonts w:ascii="Times New Roman" w:hAnsi="Times New Roman" w:eastAsia="標楷體" w:cs="Times New Roman"/>
                                  <w:sz w:val="16"/>
                                  <w:szCs w:val="16"/>
                                </w:rPr>
                                <w:t xml:space="preserve">直播信任：Wongkitrungrueng &amp; Assarut (2020)</w:t>
                              </w:r>
                            </w:p>
                          </w:txbxContent>
                        </wps:txbx>
                        <wps:bodyPr rot="0" vert="horz" wrap="square" lIns="25400" tIns="12700" rIns="25400" bIns="12700" anchor="ctr" anchorCtr="0">
                          <a:noAutofit/>
                        </wps:bodyPr>
                      </wps:wsp>
                    </wpg:wgp>
                  </a:graphicData>
                </a:graphic>
              </wp:inline>
            </w:drawing>
          </mc:Choice>
        </mc:AlternateContent>
      </w:r>
    </w:p>
    <w:p>
      <w:pPr>
        <w:spacing w:before="120" w:after="80" w:line="360" w:lineRule="exact"/>
        <w:jc w:val="center"/>
      </w:pPr>
      <w:r>
        <w:rPr>
          <w:rFonts w:ascii="Times New Roman" w:hAnsi="Times New Roman" w:eastAsia="標楷體" w:cs="Times New Roman"/>
        </w:rPr>
        <w:t xml:space="preserve">圖 4　第三階段研究架構圖</w:t>
      </w:r>
    </w:p>
    <w:p>
      <w:pPr>
        <w:keepNext/>
        <w:spacing w:before="0" w:after="0" w:line="440" w:lineRule="exact"/>
      </w:pPr>
      <w:r>
        <w:rPr>
          <w:rFonts w:ascii="Times New Roman" w:hAnsi="Times New Roman" w:eastAsia="標楷體" w:cs="Times New Roman"/>
          <w:b/>
          <w:bCs/>
        </w:rPr>
        <w:t xml:space="preserve">【假說】</w:t>
      </w:r>
    </w:p>
    <w:p>
      <w:pPr>
        <w:spacing w:before="0" w:after="0" w:line="440" w:lineRule="exact"/>
        <w:ind w:left="960" w:hanging="480"/>
        <w:jc w:val="both"/>
      </w:pPr>
      <w:r>
        <w:rPr>
          <w:rFonts w:ascii="Times New Roman" w:hAnsi="Times New Roman" w:eastAsia="標楷體" w:cs="Times New Roman"/>
          <w:b/>
          <w:bCs/>
        </w:rPr>
        <w:t xml:space="preserve">H1：主播溫暖感與能力感正向影響信任</w:t>
      </w:r>
    </w:p>
    <w:p>
      <w:pPr>
        <w:spacing w:before="0" w:after="0" w:line="440" w:lineRule="exact"/>
        <w:ind w:left="960" w:hanging="480"/>
        <w:jc w:val="both"/>
      </w:pPr>
      <w:r>
        <w:rPr>
          <w:rFonts w:ascii="Times New Roman" w:hAnsi="Times New Roman" w:eastAsia="標楷體" w:cs="Times New Roman"/>
          <w:b/>
          <w:bCs/>
        </w:rPr>
        <w:t xml:space="preserve">H2：信任正向影響期望確認；感知互動強度提高購前期望，購前期望負向影響期望確認</w:t>
      </w:r>
    </w:p>
    <w:p>
      <w:pPr>
        <w:spacing w:before="0" w:after="0" w:line="440" w:lineRule="exact"/>
        <w:ind w:left="960" w:hanging="480"/>
        <w:jc w:val="both"/>
      </w:pPr>
      <w:r>
        <w:rPr>
          <w:rFonts w:ascii="Times New Roman" w:hAnsi="Times New Roman" w:eastAsia="標楷體" w:cs="Times New Roman"/>
          <w:b/>
          <w:bCs/>
        </w:rPr>
        <w:t xml:space="preserve">H3：期望確認提高購後滿意；購後滿意降低退貨、提高再購意圖</w:t>
      </w:r>
    </w:p>
    <w:p>
      <w:pPr>
        <w:spacing w:before="0" w:after="0" w:line="440" w:lineRule="exact"/>
        <w:ind w:left="960" w:hanging="480"/>
        <w:jc w:val="both"/>
      </w:pPr>
      <w:r>
        <w:rPr>
          <w:rFonts w:ascii="Times New Roman" w:hAnsi="Times New Roman" w:eastAsia="標楷體" w:cs="Times New Roman"/>
          <w:b/>
          <w:bCs/>
        </w:rPr>
        <w:t xml:space="preserve">H4：主播類型調節 H1：AI 主播群組中能力感的影響較強，真人主播群組中溫暖感的影響較強</w:t>
      </w:r>
    </w:p>
    <w:p>
      <w:pPr>
        <w:spacing w:before="0" w:after="0" w:line="440" w:lineRule="exact"/>
        <w:ind w:left="960" w:hanging="480"/>
        <w:jc w:val="both"/>
      </w:pPr>
      <w:r>
        <w:rPr>
          <w:rFonts w:ascii="Times New Roman" w:hAnsi="Times New Roman" w:eastAsia="標楷體" w:cs="Times New Roman"/>
          <w:b/>
          <w:bCs/>
        </w:rPr>
        <w:t xml:space="preserve">H5：價值傾向調節 H1：功能型消費者中能力感的影響較強，情感社會型消費者中溫暖感的影響較強</w:t>
      </w:r>
    </w:p>
    <w:p>
      <w:pPr>
        <w:pStyle w:val="Heading2"/>
        <w:keepNext/>
        <w:spacing w:before="160" w:after="80" w:line="440" w:lineRule="exact"/>
      </w:pPr>
      <w:r>
        <w:rPr>
          <w:rFonts w:ascii="Times New Roman" w:hAnsi="Times New Roman" w:eastAsia="標楷體" w:cs="Times New Roman"/>
          <w:b/>
          <w:bCs/>
          <w:bdr w:val="single" w:sz="4" w:space="0" w:color="000000"/>
          <w:shd w:val="clear" w:color="auto" w:fill="E7E6E6"/>
        </w:rPr>
        <w:t xml:space="preserve">二、研究方法、實驗設計、問卷設計與變數操作型定義</w:t>
      </w:r>
    </w:p>
    <w:p>
      <w:pPr>
        <w:pStyle w:val="Heading3"/>
        <w:keepNext/>
        <w:spacing w:before="120" w:after="40" w:line="440" w:lineRule="exact"/>
        <w:ind w:left="480" w:hanging="480"/>
      </w:pPr>
      <w:r>
        <w:rPr>
          <w:rFonts w:ascii="Times New Roman" w:hAnsi="Times New Roman" w:eastAsia="標楷體" w:cs="Times New Roman"/>
          <w:b/>
          <w:bCs/>
        </w:rPr>
        <w:t xml:space="preserve">（一）第一階段【AI 虛擬主播與真人主播之消費者價值鏈：方法目的鏈】：執行時間 2027.08–2028.01（量表發展至 2028.03）</w:t>
      </w:r>
    </w:p>
    <w:p>
      <w:pPr>
        <w:spacing w:before="0" w:after="0" w:line="440" w:lineRule="exact"/>
        <w:ind w:firstLineChars="200" w:firstLine="480"/>
        <w:jc w:val="both"/>
      </w:pPr>
      <w:r>
        <w:rPr>
          <w:rFonts w:ascii="Times New Roman" w:hAnsi="Times New Roman" w:eastAsia="標楷體" w:cs="Times New Roman"/>
        </w:rPr>
        <w:t xml:space="preserve">第一階段以方法目的鏈為基礎架構，以人工軟式階梯訪談蒐集資料，以內容分析法形成受訪者階梯，以涵意矩陣描繪要素間的關係，建構兩組主播購買者的階梯價值圖，再據以發展價值傾向量表。</w:t>
      </w:r>
    </w:p>
    <w:p>
      <w:pPr>
        <w:keepNext/>
        <w:spacing w:before="0" w:after="0" w:line="440" w:lineRule="exact"/>
      </w:pPr>
      <w:r>
        <w:rPr>
          <w:rFonts w:ascii="Times New Roman" w:hAnsi="Times New Roman" w:eastAsia="標楷體" w:cs="Times New Roman"/>
          <w:b/>
          <w:bCs/>
        </w:rPr>
        <w:t xml:space="preserve">1. 階梯訪談法與訪談對象</w:t>
      </w:r>
    </w:p>
    <w:p>
      <w:pPr>
        <w:spacing w:before="0" w:after="0" w:line="440" w:lineRule="exact"/>
        <w:ind w:firstLineChars="200" w:firstLine="480"/>
        <w:jc w:val="both"/>
      </w:pPr>
      <w:r>
        <w:rPr>
          <w:rFonts w:ascii="Times New Roman" w:hAnsi="Times New Roman" w:eastAsia="標楷體" w:cs="Times New Roman"/>
        </w:rPr>
        <w:t xml:space="preserve">階梯法可分為軟式與硬式兩種：硬式階梯法限制受訪者逐層回答，軟式階梯法則讓受訪者自由回答，能獲得較豐富的個人脈絡 (</w:t>
      </w:r>
      <w:hyperlink r:id="rIdL17" w:history="1">
        <w:r>
          <w:rPr>
            <w:rStyle w:val="Hyperlink"/>
            <w:rFonts w:ascii="Times New Roman" w:hAnsi="Times New Roman" w:eastAsia="標楷體" w:cs="Times New Roman"/>
          </w:rPr>
          <w:t xml:space="preserve">Grunert &amp; Grunert, 1995</w:t>
        </w:r>
      </w:hyperlink>
      <w:r>
        <w:rPr>
          <w:rFonts w:ascii="Times New Roman" w:hAnsi="Times New Roman" w:eastAsia="標楷體" w:cs="Times New Roman"/>
        </w:rPr>
        <w:t xml:space="preserve">)。本研究採軟式階梯訪談，分為三個研究：</w:t>
      </w:r>
    </w:p>
    <w:p>
      <w:pPr>
        <w:spacing w:before="0" w:after="0" w:line="440" w:lineRule="exact"/>
        <w:ind w:left="480" w:hanging="480"/>
        <w:jc w:val="both"/>
      </w:pPr>
      <w:r>
        <w:rPr>
          <w:rFonts w:ascii="Times New Roman" w:hAnsi="Times New Roman" w:eastAsia="標楷體" w:cs="Times New Roman"/>
        </w:rPr>
        <w:t xml:space="preserve">(1) 研究 1a：訪談大綱前導（2027.08–2027.09）。以 6 位直播購買者進行前導訪談，修訂表 5 與表 7 的用語與追問順序。</w:t>
      </w:r>
    </w:p>
    <w:p>
      <w:pPr>
        <w:spacing w:before="0" w:after="0" w:line="440" w:lineRule="exact"/>
        <w:ind w:left="480" w:hanging="480"/>
        <w:jc w:val="both"/>
      </w:pPr>
      <w:r>
        <w:rPr>
          <w:rFonts w:ascii="Times New Roman" w:hAnsi="Times New Roman" w:eastAsia="標楷體" w:cs="Times New Roman"/>
        </w:rPr>
        <w:t xml:space="preserve">(2) 研究 1b：軟式階梯訪談（2027.09–2027.12）。立意抽樣 48 位過去 6 個月內曾在直播中購買者：向 AI 虛擬主播購買 24 位、向真人主播購買 24 位；每組依品類分為運動鞋 12、美妝 6、家具 6，男女各半。由受過訓練的訪談員進行，每次約 50–60 分鐘。若某一組的新要素在最後 4 場訪談中不再出現，視為達到飽和；未達飽和則每組追加至多 6 位。</w:t>
      </w:r>
    </w:p>
    <w:p>
      <w:pPr>
        <w:spacing w:before="0" w:after="0" w:line="440" w:lineRule="exact"/>
        <w:ind w:left="480" w:hanging="480"/>
        <w:jc w:val="both"/>
      </w:pPr>
      <w:r>
        <w:rPr>
          <w:rFonts w:ascii="Times New Roman" w:hAnsi="Times New Roman" w:eastAsia="標楷體" w:cs="Times New Roman"/>
        </w:rPr>
        <w:t xml:space="preserve">(3) 研究 1e：價值傾向量表發展（2028.01–2028.03）。依階梯價值圖的核心價值鏈撰寫題項，以約 300 位直播購物者進行探索性與驗證性因素分析，產出功能型與情感社會型兩個構面（實際構面以資料為準）。</w:t>
      </w:r>
    </w:p>
    <w:p>
      <w:pPr>
        <w:keepNext/>
        <w:spacing w:before="0" w:after="0" w:line="440" w:lineRule="exact"/>
      </w:pPr>
      <w:r>
        <w:rPr>
          <w:rFonts w:ascii="Times New Roman" w:hAnsi="Times New Roman" w:eastAsia="標楷體" w:cs="Times New Roman"/>
          <w:b/>
          <w:bCs/>
        </w:rPr>
        <w:t xml:space="preserve">2. 訪談題目</w:t>
      </w:r>
    </w:p>
    <w:p>
      <w:pPr>
        <w:spacing w:before="0" w:after="0" w:line="440" w:lineRule="exact"/>
        <w:ind w:firstLineChars="200" w:firstLine="480"/>
        <w:jc w:val="both"/>
      </w:pPr>
      <w:r>
        <w:rPr>
          <w:rFonts w:ascii="Times New Roman" w:hAnsi="Times New Roman" w:eastAsia="標楷體" w:cs="Times New Roman"/>
        </w:rPr>
        <w:t xml:space="preserve">第一階段訪談題目的層級、目的與探問脈絡如表 7。訪談前向受訪者說明研究目的、資料保密方式與訪談時間；訪談中以不打斷受訪者為原則，接續其回答向上追問，直到受訪者無法再說明為止。</w:t>
      </w:r>
    </w:p>
    <w:p>
      <w:pPr>
        <w:keepNext/>
        <w:spacing w:before="120" w:after="80" w:line="360" w:lineRule="exact"/>
        <w:jc w:val="center"/>
      </w:pPr>
      <w:r>
        <w:rPr>
          <w:rFonts w:ascii="Times New Roman" w:hAnsi="Times New Roman" w:eastAsia="標楷體" w:cs="Times New Roman"/>
        </w:rPr>
        <w:t xml:space="preserve">表 7　方法目的鏈訪談題目：直播主播（含 AI／真人主播與跨品類探問）</w:t>
      </w:r>
    </w:p>
    <w:tbl>
      <w:tblPr>
        <w:tblW w:w="96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57" w:type="dxa"/>
          <w:right w:w="57" w:type="dxa"/>
        </w:tblCellMar>
      </w:tblPr>
      <w:tblGrid>
        <w:gridCol w:w="1250"/>
        <w:gridCol w:w="1500"/>
        <w:gridCol w:w="2550"/>
        <w:gridCol w:w="2238"/>
        <w:gridCol w:w="2100"/>
      </w:tblGrid>
      <w:tr>
        <w:trPr>
          <w:tblHeader/>
          <w:cantSplit/>
        </w:trPr>
        <w:tc>
          <w:tcPr>
            <w:tcW w:w="1250"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層級</w:t>
            </w:r>
          </w:p>
        </w:tc>
        <w:tc>
          <w:tcPr>
            <w:tcW w:w="1500"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訪談目的</w:t>
            </w:r>
          </w:p>
        </w:tc>
        <w:tc>
          <w:tcPr>
            <w:tcW w:w="2550"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核心訪談題目（主問題）</w:t>
            </w:r>
          </w:p>
        </w:tc>
        <w:tc>
          <w:tcPr>
            <w:tcW w:w="2238"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延伸探問（深入原因）</w:t>
            </w:r>
          </w:p>
        </w:tc>
        <w:tc>
          <w:tcPr>
            <w:tcW w:w="2100"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跨品類／主播比較探問</w:t>
            </w:r>
          </w:p>
        </w:tc>
      </w:tr>
      <w:tr>
        <w:trPr>
          <w:cantSplit/>
        </w:trPr>
        <w:tc>
          <w:tcPr>
            <w:tcW w:w="1250" w:type="dxa"/>
            <w:vAlign w:val="center"/>
          </w:tcPr>
          <w:p>
            <w:pPr>
              <w:spacing w:before="20" w:after="20" w:line="300" w:lineRule="exact"/>
              <w:jc w:val="center"/>
            </w:pPr>
            <w:r>
              <w:rPr>
                <w:rFonts w:ascii="Times New Roman" w:hAnsi="Times New Roman" w:eastAsia="標楷體" w:cs="Times New Roman"/>
                <w:b/>
                <w:bCs/>
                <w:sz w:val="21"/>
                <w:szCs w:val="21"/>
              </w:rPr>
              <w:t xml:space="preserve">A 層級</w:t>
            </w:r>
          </w:p>
          <w:p>
            <w:pPr>
              <w:spacing w:before="20" w:after="20" w:line="300" w:lineRule="exact"/>
              <w:jc w:val="center"/>
            </w:pPr>
            <w:r>
              <w:rPr>
                <w:rFonts w:ascii="Times New Roman" w:hAnsi="Times New Roman" w:eastAsia="標楷體" w:cs="Times New Roman"/>
                <w:b/>
                <w:bCs/>
                <w:sz w:val="21"/>
                <w:szCs w:val="21"/>
              </w:rPr>
              <w:t xml:space="preserve">屬性</w:t>
            </w:r>
          </w:p>
        </w:tc>
        <w:tc>
          <w:tcPr>
            <w:tcW w:w="1500" w:type="dxa"/>
            <w:vAlign w:val="center"/>
          </w:tcPr>
          <w:p>
            <w:pPr>
              <w:spacing w:before="20" w:after="20" w:line="300" w:lineRule="exact"/>
              <w:jc w:val="left"/>
            </w:pPr>
            <w:r>
              <w:rPr>
                <w:rFonts w:ascii="Times New Roman" w:hAnsi="Times New Roman" w:eastAsia="標楷體" w:cs="Times New Roman"/>
                <w:sz w:val="21"/>
                <w:szCs w:val="21"/>
              </w:rPr>
              <w:t xml:space="preserve">了解受訪者對主播與直播間可感知特徵的認知（外型、互動、資訊、話術）</w:t>
            </w:r>
          </w:p>
        </w:tc>
        <w:tc>
          <w:tcPr>
            <w:tcW w:w="2550" w:type="dxa"/>
            <w:vAlign w:val="center"/>
          </w:tcPr>
          <w:p>
            <w:pPr>
              <w:spacing w:before="20" w:after="20" w:line="300" w:lineRule="exact"/>
              <w:jc w:val="left"/>
            </w:pPr>
            <w:r>
              <w:rPr>
                <w:rFonts w:ascii="Times New Roman" w:hAnsi="Times New Roman" w:eastAsia="標楷體" w:cs="Times New Roman"/>
                <w:sz w:val="21"/>
                <w:szCs w:val="21"/>
              </w:rPr>
              <w:t xml:space="preserve">1.「那場直播中，主播哪些表現最讓您印象深刻？」</w:t>
            </w:r>
          </w:p>
          <w:p>
            <w:pPr>
              <w:spacing w:before="20" w:after="20" w:line="300" w:lineRule="exact"/>
              <w:jc w:val="left"/>
            </w:pPr>
            <w:r>
              <w:rPr>
                <w:rFonts w:ascii="Times New Roman" w:hAnsi="Times New Roman" w:eastAsia="標楷體" w:cs="Times New Roman"/>
                <w:sz w:val="21"/>
                <w:szCs w:val="21"/>
              </w:rPr>
              <w:t xml:space="preserve">2.「一位好的直播主播，應該具備哪些條件？」</w:t>
            </w:r>
          </w:p>
        </w:tc>
        <w:tc>
          <w:tcPr>
            <w:tcW w:w="2238" w:type="dxa"/>
            <w:vAlign w:val="center"/>
          </w:tcPr>
          <w:p>
            <w:pPr>
              <w:spacing w:before="20" w:after="20" w:line="300" w:lineRule="exact"/>
              <w:jc w:val="left"/>
            </w:pPr>
            <w:r>
              <w:rPr>
                <w:rFonts w:ascii="Times New Roman" w:hAnsi="Times New Roman" w:eastAsia="標楷體" w:cs="Times New Roman"/>
                <w:sz w:val="21"/>
                <w:szCs w:val="21"/>
              </w:rPr>
              <w:t xml:space="preserve">- 為什麼這個表現吸引您？</w:t>
            </w:r>
          </w:p>
          <w:p>
            <w:pPr>
              <w:spacing w:before="20" w:after="20" w:line="300" w:lineRule="exact"/>
              <w:jc w:val="left"/>
            </w:pPr>
            <w:r>
              <w:rPr>
                <w:rFonts w:ascii="Times New Roman" w:hAnsi="Times New Roman" w:eastAsia="標楷體" w:cs="Times New Roman"/>
                <w:sz w:val="21"/>
                <w:szCs w:val="21"/>
              </w:rPr>
              <w:t xml:space="preserve">- 哪些表現讓您開始懷疑主播說的話？</w:t>
            </w:r>
          </w:p>
        </w:tc>
        <w:tc>
          <w:tcPr>
            <w:tcW w:w="2100" w:type="dxa"/>
            <w:vAlign w:val="center"/>
          </w:tcPr>
          <w:p>
            <w:pPr>
              <w:spacing w:before="20" w:after="20" w:line="300" w:lineRule="exact"/>
              <w:jc w:val="left"/>
            </w:pPr>
            <w:r>
              <w:rPr>
                <w:rFonts w:ascii="Times New Roman" w:hAnsi="Times New Roman" w:eastAsia="標楷體" w:cs="Times New Roman"/>
                <w:sz w:val="21"/>
                <w:szCs w:val="21"/>
              </w:rPr>
              <w:t xml:space="preserve">- 換成其他品類（鞋、彩妝、家具），您最在意的主播表現會改變嗎？</w:t>
            </w:r>
          </w:p>
        </w:tc>
      </w:tr>
      <w:tr>
        <w:trPr>
          <w:cantSplit/>
        </w:trPr>
        <w:tc>
          <w:tcPr>
            <w:tcW w:w="1250" w:type="dxa"/>
            <w:vAlign w:val="center"/>
          </w:tcPr>
          <w:p>
            <w:pPr>
              <w:spacing w:before="20" w:after="20" w:line="300" w:lineRule="exact"/>
              <w:jc w:val="center"/>
            </w:pPr>
            <w:r>
              <w:rPr>
                <w:rFonts w:ascii="Times New Roman" w:hAnsi="Times New Roman" w:eastAsia="標楷體" w:cs="Times New Roman"/>
                <w:b/>
                <w:bCs/>
                <w:sz w:val="21"/>
                <w:szCs w:val="21"/>
              </w:rPr>
              <w:t xml:space="preserve">C 層級</w:t>
            </w:r>
          </w:p>
          <w:p>
            <w:pPr>
              <w:spacing w:before="20" w:after="20" w:line="300" w:lineRule="exact"/>
              <w:jc w:val="center"/>
            </w:pPr>
            <w:r>
              <w:rPr>
                <w:rFonts w:ascii="Times New Roman" w:hAnsi="Times New Roman" w:eastAsia="標楷體" w:cs="Times New Roman"/>
                <w:b/>
                <w:bCs/>
                <w:sz w:val="21"/>
                <w:szCs w:val="21"/>
              </w:rPr>
              <w:t xml:space="preserve">後果</w:t>
            </w:r>
          </w:p>
        </w:tc>
        <w:tc>
          <w:tcPr>
            <w:tcW w:w="1500" w:type="dxa"/>
            <w:vAlign w:val="center"/>
          </w:tcPr>
          <w:p>
            <w:pPr>
              <w:spacing w:before="20" w:after="20" w:line="300" w:lineRule="exact"/>
              <w:jc w:val="left"/>
            </w:pPr>
            <w:r>
              <w:rPr>
                <w:rFonts w:ascii="Times New Roman" w:hAnsi="Times New Roman" w:eastAsia="標楷體" w:cs="Times New Roman"/>
                <w:sz w:val="21"/>
                <w:szCs w:val="21"/>
              </w:rPr>
              <w:t xml:space="preserve">探索主播表現帶來的功能性或心理後果（信任、樂趣、被說服、購後感受）</w:t>
            </w:r>
          </w:p>
        </w:tc>
        <w:tc>
          <w:tcPr>
            <w:tcW w:w="2550" w:type="dxa"/>
            <w:vAlign w:val="center"/>
          </w:tcPr>
          <w:p>
            <w:pPr>
              <w:spacing w:before="20" w:after="20" w:line="300" w:lineRule="exact"/>
              <w:jc w:val="left"/>
            </w:pPr>
            <w:r>
              <w:rPr>
                <w:rFonts w:ascii="Times New Roman" w:hAnsi="Times New Roman" w:eastAsia="標楷體" w:cs="Times New Roman"/>
                <w:sz w:val="21"/>
                <w:szCs w:val="21"/>
              </w:rPr>
              <w:t xml:space="preserve">3.「這些表現帶給您哪些感受或結果？」</w:t>
            </w:r>
          </w:p>
          <w:p>
            <w:pPr>
              <w:spacing w:before="20" w:after="20" w:line="300" w:lineRule="exact"/>
              <w:jc w:val="left"/>
            </w:pPr>
            <w:r>
              <w:rPr>
                <w:rFonts w:ascii="Times New Roman" w:hAnsi="Times New Roman" w:eastAsia="標楷體" w:cs="Times New Roman"/>
                <w:sz w:val="21"/>
                <w:szCs w:val="21"/>
              </w:rPr>
              <w:t xml:space="preserve">4.「收到商品後，和您的期待相比如何？」</w:t>
            </w:r>
          </w:p>
          <w:p>
            <w:pPr>
              <w:spacing w:before="20" w:after="20" w:line="300" w:lineRule="exact"/>
              <w:jc w:val="left"/>
            </w:pPr>
            <w:r>
              <w:rPr>
                <w:rFonts w:ascii="Times New Roman" w:hAnsi="Times New Roman" w:eastAsia="標楷體" w:cs="Times New Roman"/>
                <w:sz w:val="21"/>
                <w:szCs w:val="21"/>
              </w:rPr>
              <w:t xml:space="preserve">5.「您有沒有退貨或後悔？為什麼？」</w:t>
            </w:r>
          </w:p>
        </w:tc>
        <w:tc>
          <w:tcPr>
            <w:tcW w:w="2238" w:type="dxa"/>
            <w:vAlign w:val="center"/>
          </w:tcPr>
          <w:p>
            <w:pPr>
              <w:spacing w:before="20" w:after="20" w:line="300" w:lineRule="exact"/>
              <w:jc w:val="left"/>
            </w:pPr>
            <w:r>
              <w:rPr>
                <w:rFonts w:ascii="Times New Roman" w:hAnsi="Times New Roman" w:eastAsia="標楷體" w:cs="Times New Roman"/>
                <w:sz w:val="21"/>
                <w:szCs w:val="21"/>
              </w:rPr>
              <w:t xml:space="preserve">- 它讓您更確定商品適合您嗎？</w:t>
            </w:r>
          </w:p>
          <w:p>
            <w:pPr>
              <w:spacing w:before="20" w:after="20" w:line="300" w:lineRule="exact"/>
              <w:jc w:val="left"/>
            </w:pPr>
            <w:r>
              <w:rPr>
                <w:rFonts w:ascii="Times New Roman" w:hAnsi="Times New Roman" w:eastAsia="標楷體" w:cs="Times New Roman"/>
                <w:sz w:val="21"/>
                <w:szCs w:val="21"/>
              </w:rPr>
              <w:t xml:space="preserve">- 您覺得自己是被說服的嗎？</w:t>
            </w:r>
          </w:p>
          <w:p>
            <w:pPr>
              <w:spacing w:before="20" w:after="20" w:line="300" w:lineRule="exact"/>
              <w:jc w:val="left"/>
            </w:pPr>
            <w:r>
              <w:rPr>
                <w:rFonts w:ascii="Times New Roman" w:hAnsi="Times New Roman" w:eastAsia="標楷體" w:cs="Times New Roman"/>
                <w:sz w:val="21"/>
                <w:szCs w:val="21"/>
              </w:rPr>
              <w:t xml:space="preserve">- 直播本身好玩嗎？</w:t>
            </w:r>
          </w:p>
        </w:tc>
        <w:tc>
          <w:tcPr>
            <w:tcW w:w="2100" w:type="dxa"/>
            <w:vAlign w:val="center"/>
          </w:tcPr>
          <w:p>
            <w:pPr>
              <w:spacing w:before="20" w:after="20" w:line="300" w:lineRule="exact"/>
              <w:jc w:val="left"/>
            </w:pPr>
            <w:r>
              <w:rPr>
                <w:rFonts w:ascii="Times New Roman" w:hAnsi="Times New Roman" w:eastAsia="標楷體" w:cs="Times New Roman"/>
                <w:sz w:val="21"/>
                <w:szCs w:val="21"/>
              </w:rPr>
              <w:t xml:space="preserve">- 在哪一個品類中，您最在意主播是不是真人？為什麼？</w:t>
            </w:r>
          </w:p>
        </w:tc>
      </w:tr>
      <w:tr>
        <w:trPr>
          <w:cantSplit/>
        </w:trPr>
        <w:tc>
          <w:tcPr>
            <w:tcW w:w="1250" w:type="dxa"/>
            <w:vAlign w:val="center"/>
          </w:tcPr>
          <w:p>
            <w:pPr>
              <w:spacing w:before="20" w:after="20" w:line="300" w:lineRule="exact"/>
              <w:jc w:val="center"/>
            </w:pPr>
            <w:r>
              <w:rPr>
                <w:rFonts w:ascii="Times New Roman" w:hAnsi="Times New Roman" w:eastAsia="標楷體" w:cs="Times New Roman"/>
                <w:b/>
                <w:bCs/>
                <w:sz w:val="21"/>
                <w:szCs w:val="21"/>
              </w:rPr>
              <w:t xml:space="preserve">V 層級</w:t>
            </w:r>
          </w:p>
          <w:p>
            <w:pPr>
              <w:spacing w:before="20" w:after="20" w:line="300" w:lineRule="exact"/>
              <w:jc w:val="center"/>
            </w:pPr>
            <w:r>
              <w:rPr>
                <w:rFonts w:ascii="Times New Roman" w:hAnsi="Times New Roman" w:eastAsia="標楷體" w:cs="Times New Roman"/>
                <w:b/>
                <w:bCs/>
                <w:sz w:val="21"/>
                <w:szCs w:val="21"/>
              </w:rPr>
              <w:t xml:space="preserve">價值</w:t>
            </w:r>
          </w:p>
        </w:tc>
        <w:tc>
          <w:tcPr>
            <w:tcW w:w="1500" w:type="dxa"/>
            <w:vAlign w:val="center"/>
          </w:tcPr>
          <w:p>
            <w:pPr>
              <w:spacing w:before="20" w:after="20" w:line="300" w:lineRule="exact"/>
              <w:jc w:val="left"/>
            </w:pPr>
            <w:r>
              <w:rPr>
                <w:rFonts w:ascii="Times New Roman" w:hAnsi="Times New Roman" w:eastAsia="標楷體" w:cs="Times New Roman"/>
                <w:sz w:val="21"/>
                <w:szCs w:val="21"/>
              </w:rPr>
              <w:t xml:space="preserve">探索主播觸及的深層個人價值（精明、安全、自主、歸屬、自我表現）</w:t>
            </w:r>
          </w:p>
        </w:tc>
        <w:tc>
          <w:tcPr>
            <w:tcW w:w="2550" w:type="dxa"/>
            <w:vAlign w:val="center"/>
          </w:tcPr>
          <w:p>
            <w:pPr>
              <w:spacing w:before="20" w:after="20" w:line="300" w:lineRule="exact"/>
              <w:jc w:val="left"/>
            </w:pPr>
            <w:r>
              <w:rPr>
                <w:rFonts w:ascii="Times New Roman" w:hAnsi="Times New Roman" w:eastAsia="標楷體" w:cs="Times New Roman"/>
                <w:sz w:val="21"/>
                <w:szCs w:val="21"/>
              </w:rPr>
              <w:t xml:space="preserve">6.「這些結果對您個人最重要的意義是什麼？」</w:t>
            </w:r>
          </w:p>
          <w:p>
            <w:pPr>
              <w:spacing w:before="20" w:after="20" w:line="300" w:lineRule="exact"/>
              <w:jc w:val="left"/>
            </w:pPr>
            <w:r>
              <w:rPr>
                <w:rFonts w:ascii="Times New Roman" w:hAnsi="Times New Roman" w:eastAsia="標楷體" w:cs="Times New Roman"/>
                <w:sz w:val="21"/>
                <w:szCs w:val="21"/>
              </w:rPr>
              <w:t xml:space="preserve">7.「回想一次滿意的直播購物，是哪些價值促使您這麼做？」</w:t>
            </w:r>
          </w:p>
        </w:tc>
        <w:tc>
          <w:tcPr>
            <w:tcW w:w="2238" w:type="dxa"/>
            <w:vAlign w:val="center"/>
          </w:tcPr>
          <w:p>
            <w:pPr>
              <w:spacing w:before="20" w:after="20" w:line="300" w:lineRule="exact"/>
              <w:jc w:val="left"/>
            </w:pPr>
            <w:r>
              <w:rPr>
                <w:rFonts w:ascii="Times New Roman" w:hAnsi="Times New Roman" w:eastAsia="標楷體" w:cs="Times New Roman"/>
                <w:sz w:val="21"/>
                <w:szCs w:val="21"/>
              </w:rPr>
              <w:t xml:space="preserve">- 這與您的生活信念有關嗎？</w:t>
            </w:r>
          </w:p>
          <w:p>
            <w:pPr>
              <w:spacing w:before="20" w:after="20" w:line="300" w:lineRule="exact"/>
              <w:jc w:val="left"/>
            </w:pPr>
            <w:r>
              <w:rPr>
                <w:rFonts w:ascii="Times New Roman" w:hAnsi="Times New Roman" w:eastAsia="標楷體" w:cs="Times New Roman"/>
                <w:sz w:val="21"/>
                <w:szCs w:val="21"/>
              </w:rPr>
              <w:t xml:space="preserve">- 這是為了自己，還是在意別人的眼光？</w:t>
            </w:r>
          </w:p>
        </w:tc>
        <w:tc>
          <w:tcPr>
            <w:tcW w:w="2100" w:type="dxa"/>
            <w:vAlign w:val="center"/>
          </w:tcPr>
          <w:p>
            <w:pPr>
              <w:spacing w:before="20" w:after="20" w:line="300" w:lineRule="exact"/>
              <w:jc w:val="left"/>
            </w:pPr>
            <w:r>
              <w:rPr>
                <w:rFonts w:ascii="Times New Roman" w:hAnsi="Times New Roman" w:eastAsia="標楷體" w:cs="Times New Roman"/>
                <w:sz w:val="21"/>
                <w:szCs w:val="21"/>
              </w:rPr>
              <w:t xml:space="preserve">- AI 主播與真人主播觸動的價值相同嗎？</w:t>
            </w:r>
          </w:p>
        </w:tc>
      </w:tr>
      <w:tr>
        <w:trPr>
          <w:cantSplit/>
        </w:trPr>
        <w:tc>
          <w:tcPr>
            <w:tcW w:w="1250" w:type="dxa"/>
            <w:vAlign w:val="center"/>
          </w:tcPr>
          <w:p>
            <w:pPr>
              <w:spacing w:before="20" w:after="20" w:line="300" w:lineRule="exact"/>
              <w:jc w:val="center"/>
            </w:pPr>
            <w:r>
              <w:rPr>
                <w:rFonts w:ascii="Times New Roman" w:hAnsi="Times New Roman" w:eastAsia="標楷體" w:cs="Times New Roman"/>
                <w:b/>
                <w:bCs/>
                <w:sz w:val="21"/>
                <w:szCs w:val="21"/>
              </w:rPr>
              <w:t xml:space="preserve">收尾題</w:t>
            </w:r>
          </w:p>
        </w:tc>
        <w:tc>
          <w:tcPr>
            <w:tcW w:w="1500" w:type="dxa"/>
            <w:vAlign w:val="center"/>
          </w:tcPr>
          <w:p>
            <w:pPr>
              <w:spacing w:before="20" w:after="20" w:line="300" w:lineRule="exact"/>
              <w:jc w:val="left"/>
            </w:pPr>
            <w:r>
              <w:rPr>
                <w:rFonts w:ascii="Times New Roman" w:hAnsi="Times New Roman" w:eastAsia="標楷體" w:cs="Times New Roman"/>
                <w:sz w:val="21"/>
                <w:szCs w:val="21"/>
              </w:rPr>
              <w:t xml:space="preserve">整合主播類型、購買與退貨連結</w:t>
            </w:r>
          </w:p>
        </w:tc>
        <w:tc>
          <w:tcPr>
            <w:tcW w:w="6888" w:type="dxa"/>
            <w:gridSpan w:val="3"/>
            <w:vAlign w:val="center"/>
          </w:tcPr>
          <w:p>
            <w:pPr>
              <w:spacing w:before="20" w:after="20" w:line="300" w:lineRule="exact"/>
              <w:jc w:val="left"/>
            </w:pPr>
            <w:r>
              <w:rPr>
                <w:rFonts w:ascii="Times New Roman" w:hAnsi="Times New Roman" w:eastAsia="標楷體" w:cs="Times New Roman"/>
                <w:sz w:val="21"/>
                <w:szCs w:val="21"/>
              </w:rPr>
              <w:t xml:space="preserve">8.「如果同一場直播改由 AI 主播（或真人主播）進行，您會怎麼做？」</w:t>
            </w:r>
          </w:p>
          <w:p>
            <w:pPr>
              <w:spacing w:before="20" w:after="20" w:line="300" w:lineRule="exact"/>
              <w:jc w:val="left"/>
            </w:pPr>
            <w:r>
              <w:rPr>
                <w:rFonts w:ascii="Times New Roman" w:hAnsi="Times New Roman" w:eastAsia="標楷體" w:cs="Times New Roman"/>
                <w:sz w:val="21"/>
                <w:szCs w:val="21"/>
              </w:rPr>
              <w:t xml:space="preserve">9.「以上談到的因素，哪些最可能影響您未來在直播中購買或退貨？」</w:t>
            </w:r>
          </w:p>
          <w:p>
            <w:pPr>
              <w:spacing w:before="20" w:after="20" w:line="300" w:lineRule="exact"/>
              <w:jc w:val="left"/>
            </w:pPr>
            <w:r>
              <w:rPr>
                <w:rFonts w:ascii="Times New Roman" w:hAnsi="Times New Roman" w:eastAsia="標楷體" w:cs="Times New Roman"/>
                <w:sz w:val="21"/>
                <w:szCs w:val="21"/>
              </w:rPr>
              <w:t xml:space="preserve">10.「如果用一句話說明您對直播主播的期望，您會怎麼說？」</w:t>
            </w:r>
          </w:p>
        </w:tc>
      </w:tr>
    </w:tbl>
    <w:p>
      <w:pPr>
        <w:spacing w:before="0" w:after="0" w:line="200" w:lineRule="exact"/>
      </w:pPr>
    </w:p>
    <w:p>
      <w:pPr>
        <w:keepNext/>
        <w:spacing w:before="0" w:after="0" w:line="440" w:lineRule="exact"/>
      </w:pPr>
      <w:r>
        <w:rPr>
          <w:rFonts w:ascii="Times New Roman" w:hAnsi="Times New Roman" w:eastAsia="標楷體" w:cs="Times New Roman"/>
          <w:b/>
          <w:bCs/>
        </w:rPr>
        <w:t xml:space="preserve">3. 訪談程序</w:t>
      </w:r>
    </w:p>
    <w:p>
      <w:pPr>
        <w:spacing w:before="0" w:after="0" w:line="440" w:lineRule="exact"/>
        <w:ind w:firstLineChars="200" w:firstLine="480"/>
        <w:jc w:val="both"/>
      </w:pPr>
      <w:r>
        <w:rPr>
          <w:rFonts w:ascii="Times New Roman" w:hAnsi="Times New Roman" w:eastAsia="標楷體" w:cs="Times New Roman"/>
        </w:rPr>
        <w:t xml:space="preserve">訪談程序分為四步：(1) 篩選：以篩選題確認受訪者過去 6 個月內曾在直播中購買，並請其提供購買紀錄截圖以確認主播類型（AI 或真人），以品類涉入量表 (</w:t>
      </w:r>
      <w:hyperlink r:id="rIdL64" w:history="1">
        <w:r>
          <w:rPr>
            <w:rStyle w:val="Hyperlink"/>
            <w:rFonts w:ascii="Times New Roman" w:hAnsi="Times New Roman" w:eastAsia="標楷體" w:cs="Times New Roman"/>
          </w:rPr>
          <w:t xml:space="preserve">Zaichkowsky, 1985</w:t>
        </w:r>
      </w:hyperlink>
      <w:r>
        <w:rPr>
          <w:rFonts w:ascii="Times New Roman" w:hAnsi="Times New Roman" w:eastAsia="標楷體" w:cs="Times New Roman"/>
        </w:rPr>
        <w:t xml:space="preserve">) 排除涉入極低者；(2) 情境喚起：請受訪者回想該次直播與收貨後的經驗，必要時重看直播回放；(3) 階梯追問：依表 7 由屬性層級開始，每個屬性以「這對您為什麼重要」向上追問，直到受訪者無法再說明為止；(4) 收尾：詢問主播比較題與基本資料。</w:t>
      </w:r>
    </w:p>
    <w:p>
      <w:pPr>
        <w:keepNext/>
        <w:spacing w:before="0" w:after="0" w:line="440" w:lineRule="exact"/>
      </w:pPr>
      <w:r>
        <w:rPr>
          <w:rFonts w:ascii="Times New Roman" w:hAnsi="Times New Roman" w:eastAsia="標楷體" w:cs="Times New Roman"/>
          <w:b/>
          <w:bCs/>
        </w:rPr>
        <w:t xml:space="preserve">4. 資料分析方法</w:t>
      </w:r>
    </w:p>
    <w:p>
      <w:pPr>
        <w:spacing w:before="0" w:after="0" w:line="440" w:lineRule="exact"/>
        <w:ind w:firstLineChars="200" w:firstLine="480"/>
        <w:jc w:val="both"/>
      </w:pPr>
      <w:r>
        <w:rPr>
          <w:rFonts w:ascii="Times New Roman" w:hAnsi="Times New Roman" w:eastAsia="標楷體" w:cs="Times New Roman"/>
          <w:b/>
          <w:bCs/>
        </w:rPr>
        <w:t xml:space="preserve">(1) 內容分析與編碼（研究 1c，2027.11–2028.01）。</w:t>
      </w:r>
      <w:r>
        <w:rPr>
          <w:rFonts w:ascii="Times New Roman" w:hAnsi="Times New Roman" w:eastAsia="標楷體" w:cs="Times New Roman"/>
        </w:rPr>
        <w:t xml:space="preserve">內容分析法可將訪談資料客觀、系統化地分類 (</w:t>
      </w:r>
      <w:hyperlink r:id="rIdL52" w:history="1">
        <w:r>
          <w:rPr>
            <w:rStyle w:val="Hyperlink"/>
            <w:rFonts w:ascii="Times New Roman" w:hAnsi="Times New Roman" w:eastAsia="標楷體" w:cs="Times New Roman"/>
          </w:rPr>
          <w:t xml:space="preserve">Kassarjian, 1977</w:t>
        </w:r>
      </w:hyperlink>
      <w:r>
        <w:rPr>
          <w:rFonts w:ascii="Times New Roman" w:hAnsi="Times New Roman" w:eastAsia="標楷體" w:cs="Times New Roman"/>
        </w:rPr>
        <w:t xml:space="preserve">)。由兩位編碼員依表 6 的初始編碼簿獨立編碼，依要素的「源引」與「延至」關係判定其屬於 A、C 或 V 層級，並以 Cohen 的 kappa (</w:t>
      </w:r>
      <w:hyperlink r:id="rIdL66" w:history="1">
        <w:r>
          <w:rPr>
            <w:rStyle w:val="Hyperlink"/>
            <w:rFonts w:ascii="Times New Roman" w:hAnsi="Times New Roman" w:eastAsia="標楷體" w:cs="Times New Roman"/>
          </w:rPr>
          <w:t xml:space="preserve">Cohen, 1960</w:t>
        </w:r>
      </w:hyperlink>
      <w:r>
        <w:rPr>
          <w:rFonts w:ascii="Times New Roman" w:hAnsi="Times New Roman" w:eastAsia="標楷體" w:cs="Times New Roman"/>
        </w:rPr>
        <w:t xml:space="preserve">) 與 </w:t>
      </w:r>
      <w:hyperlink r:id="rIdL53" w:history="1">
        <w:r>
          <w:rPr>
            <w:rStyle w:val="Hyperlink"/>
            <w:rFonts w:ascii="Times New Roman" w:hAnsi="Times New Roman" w:eastAsia="標楷體" w:cs="Times New Roman"/>
          </w:rPr>
          <w:t xml:space="preserve">Perreault &amp; Leigh (1989)</w:t>
        </w:r>
      </w:hyperlink>
      <w:r>
        <w:rPr>
          <w:rFonts w:ascii="Times New Roman" w:hAnsi="Times New Roman" w:eastAsia="標楷體" w:cs="Times New Roman"/>
        </w:rPr>
        <w:t xml:space="preserve"> 的信度指標檢驗一致性；kappa 低於 .70 的要素經討論後重新定義並重編。依 </w:t>
      </w:r>
      <w:hyperlink r:id="rIdL31" w:history="1">
        <w:r>
          <w:rPr>
            <w:rStyle w:val="Hyperlink"/>
            <w:rFonts w:ascii="Times New Roman" w:hAnsi="Times New Roman" w:eastAsia="標楷體" w:cs="Times New Roman"/>
          </w:rPr>
          <w:t xml:space="preserve">Kilwinger &amp; van Dam (2021)</w:t>
        </w:r>
      </w:hyperlink>
      <w:r>
        <w:rPr>
          <w:rFonts w:ascii="Times New Roman" w:hAnsi="Times New Roman" w:eastAsia="標楷體" w:cs="Times New Roman"/>
        </w:rPr>
        <w:t xml:space="preserve"> 的建議，事先註冊編碼層級（以基本層級為主、必要時合併至上位層級）與彙總規則。</w:t>
      </w:r>
    </w:p>
    <w:p>
      <w:pPr>
        <w:spacing w:before="0" w:after="0" w:line="440" w:lineRule="exact"/>
        <w:ind w:firstLineChars="200" w:firstLine="480"/>
        <w:jc w:val="both"/>
      </w:pPr>
      <w:r>
        <w:rPr>
          <w:rFonts w:ascii="Times New Roman" w:hAnsi="Times New Roman" w:eastAsia="標楷體" w:cs="Times New Roman"/>
          <w:b/>
          <w:bCs/>
        </w:rPr>
        <w:t xml:space="preserve">(2) 涵意矩陣與階梯價值圖（研究 1d，2027.12–2028.01）。</w:t>
      </w:r>
      <w:r>
        <w:rPr>
          <w:rFonts w:ascii="Times New Roman" w:hAnsi="Times New Roman" w:eastAsia="標楷體" w:cs="Times New Roman"/>
        </w:rPr>
        <w:t xml:space="preserve">以涵意矩陣計算要素之間的直接與間接連結次數，再以截斷值繪製階梯價值圖 (</w:t>
      </w:r>
      <w:hyperlink r:id="rIdL16" w:history="1">
        <w:r>
          <w:rPr>
            <w:rStyle w:val="Hyperlink"/>
            <w:rFonts w:ascii="Times New Roman" w:hAnsi="Times New Roman" w:eastAsia="標楷體" w:cs="Times New Roman"/>
          </w:rPr>
          <w:t xml:space="preserve">Reynolds &amp; Gutman, 1988</w:t>
        </w:r>
      </w:hyperlink>
      <w:r>
        <w:rPr>
          <w:rFonts w:ascii="Times New Roman" w:hAnsi="Times New Roman" w:eastAsia="標楷體" w:cs="Times New Roman"/>
        </w:rPr>
        <w:t xml:space="preserve">; </w:t>
      </w:r>
      <w:hyperlink r:id="rIdL51" w:history="1">
        <w:r>
          <w:rPr>
            <w:rStyle w:val="Hyperlink"/>
            <w:rFonts w:ascii="Times New Roman" w:hAnsi="Times New Roman" w:eastAsia="標楷體" w:cs="Times New Roman"/>
          </w:rPr>
          <w:t xml:space="preserve">Pieters et al., 1995</w:t>
        </w:r>
      </w:hyperlink>
      <w:r>
        <w:rPr>
          <w:rFonts w:ascii="Times New Roman" w:hAnsi="Times New Roman" w:eastAsia="標楷體" w:cs="Times New Roman"/>
        </w:rPr>
        <w:t xml:space="preserve">)。截斷值以「保留至少三分之二的有效連結」為原則事先訂定，並報告不同截斷值（3、4、5）下的階梯價值圖，以檢查結論的穩健性。AI 主播組與真人主播組分別繪製，再比較兩張圖的共通與特有價值鏈。</w:t>
      </w:r>
    </w:p>
    <w:p>
      <w:pPr>
        <w:spacing w:before="0" w:after="0" w:line="440" w:lineRule="exact"/>
        <w:ind w:firstLineChars="200" w:firstLine="480"/>
        <w:jc w:val="both"/>
      </w:pPr>
      <w:r>
        <w:rPr>
          <w:rFonts w:ascii="Times New Roman" w:hAnsi="Times New Roman" w:eastAsia="標楷體" w:cs="Times New Roman"/>
          <w:b/>
          <w:bCs/>
        </w:rPr>
        <w:t xml:space="preserve">(3) 價值傾向量表（研究 1e，2028.01–2028.03）。</w:t>
      </w:r>
      <w:r>
        <w:rPr>
          <w:rFonts w:ascii="Times New Roman" w:hAnsi="Times New Roman" w:eastAsia="標楷體" w:cs="Times New Roman"/>
        </w:rPr>
        <w:t xml:space="preserve">以核心價值鏈撰寫題項，經專家內容效度檢查後施測，以探索性因素分析確認構面，再以驗證性因素分析檢驗信效度 (</w:t>
      </w:r>
      <w:hyperlink r:id="rIdL67" w:history="1">
        <w:r>
          <w:rPr>
            <w:rStyle w:val="Hyperlink"/>
            <w:rFonts w:ascii="Times New Roman" w:hAnsi="Times New Roman" w:eastAsia="標楷體" w:cs="Times New Roman"/>
          </w:rPr>
          <w:t xml:space="preserve">Fornell &amp; Larcker, 1981</w:t>
        </w:r>
      </w:hyperlink>
      <w:r>
        <w:rPr>
          <w:rFonts w:ascii="Times New Roman" w:hAnsi="Times New Roman" w:eastAsia="標楷體" w:cs="Times New Roman"/>
        </w:rPr>
        <w:t xml:space="preserve">; </w:t>
      </w:r>
      <w:hyperlink r:id="rIdL68" w:history="1">
        <w:r>
          <w:rPr>
            <w:rStyle w:val="Hyperlink"/>
            <w:rFonts w:ascii="Times New Roman" w:hAnsi="Times New Roman" w:eastAsia="標楷體" w:cs="Times New Roman"/>
          </w:rPr>
          <w:t xml:space="preserve">Hu &amp; Bentler, 1999</w:t>
        </w:r>
      </w:hyperlink>
      <w:r>
        <w:rPr>
          <w:rFonts w:ascii="Times New Roman" w:hAnsi="Times New Roman" w:eastAsia="標楷體" w:cs="Times New Roman"/>
        </w:rPr>
        <w:t xml:space="preserve">)。</w:t>
      </w:r>
    </w:p>
    <w:p>
      <w:pPr>
        <w:keepNext/>
        <w:spacing w:before="0" w:after="0" w:line="440" w:lineRule="exact"/>
      </w:pPr>
      <w:r>
        <w:rPr>
          <w:rFonts w:ascii="Times New Roman" w:hAnsi="Times New Roman" w:eastAsia="標楷體" w:cs="Times New Roman"/>
          <w:b/>
          <w:bCs/>
        </w:rPr>
        <w:t xml:space="preserve">5. 預計分析脈絡</w:t>
      </w:r>
    </w:p>
    <w:p>
      <w:pPr>
        <w:spacing w:before="0" w:after="0" w:line="440" w:lineRule="exact"/>
        <w:ind w:firstLineChars="200" w:firstLine="480"/>
        <w:jc w:val="both"/>
      </w:pPr>
      <w:r>
        <w:rPr>
          <w:rFonts w:ascii="Times New Roman" w:hAnsi="Times New Roman" w:eastAsia="標楷體" w:cs="Times New Roman"/>
        </w:rPr>
        <w:t xml:space="preserve">分析脈絡由三個層次展開：首先，描繪兩組主播購買者的屬性、後果與價值要素及其分布（RQ1）；其次，比較兩張階梯價值圖的共通與特有價值鏈，並檢查品類差異（RQ2）；最後，定位購後滿意、後悔與退貨在價值鏈中的位置（RQ3），並將核心價值鏈轉為第二階段的話術與第三階段的價值傾向量表（RQ4）。</w:t>
      </w:r>
    </w:p>
    <w:p>
      <w:pPr>
        <w:pStyle w:val="Heading3"/>
        <w:keepNext/>
        <w:spacing w:before="120" w:after="40" w:line="440" w:lineRule="exact"/>
        <w:ind w:left="480" w:hanging="480"/>
      </w:pPr>
      <w:r>
        <w:rPr>
          <w:rFonts w:ascii="Times New Roman" w:hAnsi="Times New Roman" w:eastAsia="標楷體" w:cs="Times New Roman"/>
          <w:b/>
          <w:bCs/>
        </w:rPr>
        <w:t xml:space="preserve">（二）第二階段【主播類型 × 價值訴求話術 × 產品類型：實驗設計】：執行時間 2028.02–2028.10</w:t>
      </w:r>
    </w:p>
    <w:p>
      <w:pPr>
        <w:keepNext/>
        <w:spacing w:before="0" w:after="0" w:line="440" w:lineRule="exact"/>
      </w:pPr>
      <w:r>
        <w:rPr>
          <w:rFonts w:ascii="Times New Roman" w:hAnsi="Times New Roman" w:eastAsia="標楷體" w:cs="Times New Roman"/>
          <w:b/>
          <w:bCs/>
        </w:rPr>
        <w:t xml:space="preserve">1. 與前一階段之銜接與連貫性</w:t>
      </w:r>
    </w:p>
    <w:p>
      <w:pPr>
        <w:spacing w:before="0" w:after="0" w:line="440" w:lineRule="exact"/>
        <w:ind w:firstLineChars="200" w:firstLine="480"/>
        <w:jc w:val="both"/>
      </w:pPr>
      <w:r>
        <w:rPr>
          <w:rFonts w:ascii="Times New Roman" w:hAnsi="Times New Roman" w:eastAsia="標楷體" w:cs="Times New Roman"/>
        </w:rPr>
        <w:t xml:space="preserve">第一階段的階梯價值圖，在本階段被改寫為兩種價值訴求話術；第一階段的價值傾向量表，則作為話術操弄檢驗與共變數。第一階段回答「消費者為什麼向某類主播購買」，本階段則以控制實驗回答「什麼樣的主播配上什麼樣的話術，會造成什麼樣的購買與購後預期」，使研究由描述性的價值結構推進到因果推論。</w:t>
      </w:r>
    </w:p>
    <w:p>
      <w:pPr>
        <w:keepNext/>
        <w:spacing w:before="0" w:after="0" w:line="440" w:lineRule="exact"/>
      </w:pPr>
      <w:r>
        <w:rPr>
          <w:rFonts w:ascii="Times New Roman" w:hAnsi="Times New Roman" w:eastAsia="標楷體" w:cs="Times New Roman"/>
          <w:b/>
          <w:bCs/>
        </w:rPr>
        <w:t xml:space="preserve">2. 研究設計與實驗分組</w:t>
      </w:r>
    </w:p>
    <w:p>
      <w:pPr>
        <w:spacing w:before="0" w:after="0" w:line="440" w:lineRule="exact"/>
        <w:ind w:left="480" w:hanging="480"/>
        <w:jc w:val="both"/>
      </w:pPr>
      <w:r>
        <w:rPr>
          <w:rFonts w:ascii="Times New Roman" w:hAnsi="Times New Roman" w:eastAsia="標楷體" w:cs="Times New Roman"/>
        </w:rPr>
        <w:t xml:space="preserve">(1) 研究 2a：錨定實驗——運動鞋（2028.02–2028.04 刺激物製作與前測；2028.05–2028.06 正式）。2（主播類型：AI 虛擬主播 vs. 真人主播）× 2（話術：功能價值 vs. 情感社會價值）× 2（產品類型：潮流聯名鞋 vs. 機能跑鞋）受試者間設計，N = 480（每格 60 人）。</w:t>
      </w:r>
    </w:p>
    <w:p>
      <w:pPr>
        <w:spacing w:before="0" w:after="0" w:line="440" w:lineRule="exact"/>
        <w:ind w:left="480" w:hanging="480"/>
        <w:jc w:val="both"/>
      </w:pPr>
      <w:r>
        <w:rPr>
          <w:rFonts w:ascii="Times New Roman" w:hAnsi="Times New Roman" w:eastAsia="標楷體" w:cs="Times New Roman"/>
        </w:rPr>
        <w:t xml:space="preserve">(2) 研究 2b：跨品類複製——美妝與家具（2028.07–2028.09）。兩個品類各自套用相同設計，每種產品類型各使用 2 個產品例子以進行刺激抽樣 (</w:t>
      </w:r>
      <w:hyperlink r:id="rIdL12" w:history="1">
        <w:r>
          <w:rPr>
            <w:rStyle w:val="Hyperlink"/>
            <w:rFonts w:ascii="Times New Roman" w:hAnsi="Times New Roman" w:eastAsia="標楷體" w:cs="Times New Roman"/>
          </w:rPr>
          <w:t xml:space="preserve">Wells &amp; Windschitl, 1999</w:t>
        </w:r>
      </w:hyperlink>
      <w:r>
        <w:rPr>
          <w:rFonts w:ascii="Times New Roman" w:hAnsi="Times New Roman" w:eastAsia="標楷體" w:cs="Times New Roman"/>
        </w:rPr>
        <w:t xml:space="preserve">)；N = 960（每品類 480）。</w:t>
      </w:r>
    </w:p>
    <w:p>
      <w:pPr>
        <w:spacing w:before="0" w:after="0" w:line="440" w:lineRule="exact"/>
        <w:ind w:left="480" w:hanging="480"/>
        <w:jc w:val="both"/>
      </w:pPr>
      <w:r>
        <w:rPr>
          <w:rFonts w:ascii="Times New Roman" w:hAnsi="Times New Roman" w:eastAsia="標楷體" w:cs="Times New Roman"/>
        </w:rPr>
        <w:t xml:space="preserve">(3) 研究 2c：AI 身分揭露（2028.07–2028.09）。僅使用 AI 主播，3（揭露方式：不標示、平台加註「AI 生成」、主播開場自述「我是 AI 主播」）× 2（產品類型）受試者間設計，以運動鞋為品類，N = 360（每格 60 人）。</w:t>
      </w:r>
    </w:p>
    <w:p>
      <w:pPr>
        <w:spacing w:before="0" w:after="0" w:line="440" w:lineRule="exact"/>
        <w:ind w:firstLineChars="200" w:firstLine="480"/>
        <w:jc w:val="both"/>
      </w:pPr>
      <w:r>
        <w:rPr>
          <w:rFonts w:ascii="Times New Roman" w:hAnsi="Times New Roman" w:eastAsia="標楷體" w:cs="Times New Roman"/>
        </w:rPr>
        <w:t xml:space="preserve">樣本數方面，三因子交互作用以 f = 0.15、α = .05、檢定力 .80 估算 (</w:t>
      </w:r>
      <w:hyperlink r:id="rIdL69" w:history="1">
        <w:r>
          <w:rPr>
            <w:rStyle w:val="Hyperlink"/>
            <w:rFonts w:ascii="Times New Roman" w:hAnsi="Times New Roman" w:eastAsia="標楷體" w:cs="Times New Roman"/>
          </w:rPr>
          <w:t xml:space="preserve">Faul et al., 2007</w:t>
        </w:r>
      </w:hyperlink>
      <w:r>
        <w:rPr>
          <w:rFonts w:ascii="Times New Roman" w:hAnsi="Times New Roman" w:eastAsia="標楷體" w:cs="Times New Roman"/>
        </w:rPr>
        <w:t xml:space="preserve">)，每品類需約 350 人，預留 30% 淘汰後每品類 480 人；研究 2c 以中小效果量（f = 0.20）估算每格約 45 人，預留淘汰後每格 60 人。</w:t>
      </w:r>
    </w:p>
    <w:p>
      <w:pPr>
        <w:keepNext/>
        <w:spacing w:before="0" w:after="0" w:line="440" w:lineRule="exact"/>
      </w:pPr>
      <w:r>
        <w:rPr>
          <w:rFonts w:ascii="Times New Roman" w:hAnsi="Times New Roman" w:eastAsia="標楷體" w:cs="Times New Roman"/>
          <w:b/>
          <w:bCs/>
        </w:rPr>
        <w:t xml:space="preserve">3. 刺激物製作與實驗步驟</w:t>
      </w:r>
    </w:p>
    <w:p>
      <w:pPr>
        <w:spacing w:before="0" w:after="0" w:line="440" w:lineRule="exact"/>
        <w:ind w:firstLineChars="200" w:firstLine="480"/>
        <w:jc w:val="both"/>
      </w:pPr>
      <w:r>
        <w:rPr>
          <w:rFonts w:ascii="Times New Roman" w:hAnsi="Times New Roman" w:eastAsia="標楷體" w:cs="Times New Roman"/>
        </w:rPr>
        <w:t xml:space="preserve">刺激物為 90 秒的模擬直播片段。每個品類的享樂型與實用型產品，各以同一組商品畫面錄製四個版本：AI 主播與真人主播各配兩種話術。AI 主播以商用數位人技術生成，真人主播由專業主播錄製，兩者使用相同的服裝、背景、鏡位與腳本長度；話術僅在價值訴求上不同，資訊量與促銷條件相同。前測（每品類約 40 人）檢驗主播類型、話術與產品類型三個操弄是否成立，並確認兩類主播的外型吸引力與聲音清晰度無顯著差異。正式實驗依下列步驟進行：</w:t>
      </w:r>
    </w:p>
    <w:p>
      <w:pPr>
        <w:spacing w:before="0" w:after="0" w:line="440" w:lineRule="exact"/>
        <w:ind w:left="480" w:hanging="480"/>
        <w:jc w:val="both"/>
      </w:pPr>
      <w:r>
        <w:rPr>
          <w:rFonts w:ascii="Times New Roman" w:hAnsi="Times New Roman" w:eastAsia="標楷體" w:cs="Times New Roman"/>
        </w:rPr>
        <w:t xml:space="preserve">第一步驟：受試者由線上樣本供應商的連結進入實驗網站，閱讀知情同意說明後按下「開始」。</w:t>
      </w:r>
    </w:p>
    <w:p>
      <w:pPr>
        <w:spacing w:before="0" w:after="0" w:line="440" w:lineRule="exact"/>
        <w:ind w:left="480" w:hanging="480"/>
        <w:jc w:val="both"/>
      </w:pPr>
      <w:r>
        <w:rPr>
          <w:rFonts w:ascii="Times New Roman" w:hAnsi="Times New Roman" w:eastAsia="標楷體" w:cs="Times New Roman"/>
        </w:rPr>
        <w:t xml:space="preserve">第二步驟：篩選題詢問「過去三個月是否觀看過直播購物」與「是否有網路購物經驗」，兩者皆為「是」者進入下一步，否則結束實驗。</w:t>
      </w:r>
    </w:p>
    <w:p>
      <w:pPr>
        <w:spacing w:before="0" w:after="0" w:line="440" w:lineRule="exact"/>
        <w:ind w:left="480" w:hanging="480"/>
        <w:jc w:val="both"/>
      </w:pPr>
      <w:r>
        <w:rPr>
          <w:rFonts w:ascii="Times New Roman" w:hAnsi="Times New Roman" w:eastAsia="標楷體" w:cs="Times New Roman"/>
        </w:rPr>
        <w:t xml:space="preserve">第三步驟：填寫共同量表，包含第一階段產出的價值傾向量表。</w:t>
      </w:r>
    </w:p>
    <w:p>
      <w:pPr>
        <w:spacing w:before="0" w:after="0" w:line="440" w:lineRule="exact"/>
        <w:ind w:left="480" w:hanging="480"/>
        <w:jc w:val="both"/>
      </w:pPr>
      <w:r>
        <w:rPr>
          <w:rFonts w:ascii="Times New Roman" w:hAnsi="Times New Roman" w:eastAsia="標楷體" w:cs="Times New Roman"/>
        </w:rPr>
        <w:t xml:space="preserve">第四步驟：隨機分派至 8 格之一，在模擬手機直播間中觀看直播片段，可點擊「加入購物車」或「離開直播間」；系統記錄觀看秒數與是否加入購物車。</w:t>
      </w:r>
    </w:p>
    <w:p>
      <w:pPr>
        <w:spacing w:before="0" w:after="0" w:line="440" w:lineRule="exact"/>
        <w:ind w:left="480" w:hanging="480"/>
        <w:jc w:val="both"/>
      </w:pPr>
      <w:r>
        <w:rPr>
          <w:rFonts w:ascii="Times New Roman" w:hAnsi="Times New Roman" w:eastAsia="標楷體" w:cs="Times New Roman"/>
        </w:rPr>
        <w:t xml:space="preserve">第五步驟：填答溫暖感、能力感、說服意圖知覺、購買意圖與操弄檢驗題項；一週後以電子郵件邀請填答「想像收到商品」情境下的預期後悔與退貨意圖，最後說明實驗目的。</w:t>
      </w:r>
    </w:p>
    <w:p>
      <w:pPr>
        <w:keepNext/>
        <w:spacing w:before="0" w:after="0" w:line="440" w:lineRule="exact"/>
      </w:pPr>
      <w:r>
        <w:rPr>
          <w:rFonts w:ascii="Times New Roman" w:hAnsi="Times New Roman" w:eastAsia="標楷體" w:cs="Times New Roman"/>
          <w:b/>
          <w:bCs/>
        </w:rPr>
        <w:t xml:space="preserve">4. 變數操作型定義及衡量</w:t>
      </w:r>
    </w:p>
    <w:p>
      <w:pPr>
        <w:keepNext/>
        <w:spacing w:before="120" w:after="80" w:line="360" w:lineRule="exact"/>
        <w:jc w:val="center"/>
      </w:pPr>
      <w:r>
        <w:rPr>
          <w:rFonts w:ascii="Times New Roman" w:hAnsi="Times New Roman" w:eastAsia="標楷體" w:cs="Times New Roman"/>
        </w:rPr>
        <w:t xml:space="preserve">表 8　第二階段實驗變數操作型定義與衡量方式</w:t>
      </w:r>
    </w:p>
    <w:tbl>
      <w:tblPr>
        <w:tblW w:w="96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57" w:type="dxa"/>
          <w:right w:w="57" w:type="dxa"/>
        </w:tblCellMar>
      </w:tblPr>
      <w:tblGrid>
        <w:gridCol w:w="1500"/>
        <w:gridCol w:w="3300"/>
        <w:gridCol w:w="3238"/>
        <w:gridCol w:w="1600"/>
      </w:tblGrid>
      <w:tr>
        <w:trPr>
          <w:tblHeader/>
          <w:cantSplit/>
        </w:trPr>
        <w:tc>
          <w:tcPr>
            <w:tcW w:w="1500"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研究變數</w:t>
            </w:r>
          </w:p>
        </w:tc>
        <w:tc>
          <w:tcPr>
            <w:tcW w:w="3300"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操作型定義</w:t>
            </w:r>
          </w:p>
        </w:tc>
        <w:tc>
          <w:tcPr>
            <w:tcW w:w="3238"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操弄／衡量方式</w:t>
            </w:r>
          </w:p>
        </w:tc>
        <w:tc>
          <w:tcPr>
            <w:tcW w:w="1600"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參考出處</w:t>
            </w:r>
          </w:p>
        </w:tc>
      </w:tr>
      <w:tr>
        <w:trPr>
          <w:cantSplit/>
        </w:trPr>
        <w:tc>
          <w:tcPr>
            <w:tcW w:w="1500" w:type="dxa"/>
            <w:vAlign w:val="center"/>
          </w:tcPr>
          <w:p>
            <w:pPr>
              <w:spacing w:before="20" w:after="20" w:line="300" w:lineRule="exact"/>
              <w:jc w:val="left"/>
            </w:pPr>
            <w:r>
              <w:rPr>
                <w:rFonts w:ascii="Times New Roman" w:hAnsi="Times New Roman" w:eastAsia="標楷體" w:cs="Times New Roman"/>
                <w:b/>
                <w:bCs/>
                <w:sz w:val="21"/>
                <w:szCs w:val="21"/>
              </w:rPr>
              <w:t xml:space="preserve">主播類型</w:t>
            </w:r>
          </w:p>
        </w:tc>
        <w:tc>
          <w:tcPr>
            <w:tcW w:w="3300" w:type="dxa"/>
            <w:vAlign w:val="center"/>
          </w:tcPr>
          <w:p>
            <w:pPr>
              <w:spacing w:before="20" w:after="20" w:line="300" w:lineRule="exact"/>
              <w:jc w:val="left"/>
            </w:pPr>
            <w:r>
              <w:rPr>
                <w:rFonts w:ascii="Times New Roman" w:hAnsi="Times New Roman" w:eastAsia="標楷體" w:cs="Times New Roman"/>
                <w:sz w:val="21"/>
                <w:szCs w:val="21"/>
              </w:rPr>
              <w:t xml:space="preserve">直播主播為 AI 生成的數位人或真人</w:t>
            </w:r>
          </w:p>
        </w:tc>
        <w:tc>
          <w:tcPr>
            <w:tcW w:w="3238" w:type="dxa"/>
            <w:vAlign w:val="center"/>
          </w:tcPr>
          <w:p>
            <w:pPr>
              <w:spacing w:before="20" w:after="20" w:line="300" w:lineRule="exact"/>
              <w:jc w:val="left"/>
            </w:pPr>
            <w:r>
              <w:rPr>
                <w:rFonts w:ascii="Times New Roman" w:hAnsi="Times New Roman" w:eastAsia="標楷體" w:cs="Times New Roman"/>
                <w:sz w:val="21"/>
                <w:szCs w:val="21"/>
              </w:rPr>
              <w:t xml:space="preserve">AI 虛擬主播 vs. 真人主播；以「這位主播是真人」單題做操弄檢驗</w:t>
            </w:r>
          </w:p>
        </w:tc>
        <w:tc>
          <w:tcPr>
            <w:tcW w:w="1600" w:type="dxa"/>
            <w:vAlign w:val="center"/>
          </w:tcPr>
          <w:p>
            <w:pPr>
              <w:spacing w:before="20" w:after="20" w:line="300" w:lineRule="exact"/>
              <w:jc w:val="left"/>
            </w:pPr>
            <w:hyperlink r:id="rIdL5" w:history="1">
              <w:r>
                <w:rPr>
                  <w:rStyle w:val="Hyperlink"/>
                  <w:rFonts w:ascii="Times New Roman" w:hAnsi="Times New Roman" w:eastAsia="標楷體" w:cs="Times New Roman"/>
                  <w:sz w:val="21"/>
                  <w:szCs w:val="21"/>
                </w:rPr>
                <w:t xml:space="preserve">Y. Liu et al. (2025)</w:t>
              </w:r>
            </w:hyperlink>
          </w:p>
          <w:p>
            <w:pPr>
              <w:spacing w:before="20" w:after="20" w:line="300" w:lineRule="exact"/>
              <w:jc w:val="left"/>
            </w:pPr>
            <w:hyperlink r:id="rIdL22" w:history="1">
              <w:r>
                <w:rPr>
                  <w:rStyle w:val="Hyperlink"/>
                  <w:rFonts w:ascii="Times New Roman" w:hAnsi="Times New Roman" w:eastAsia="標楷體" w:cs="Times New Roman"/>
                  <w:sz w:val="21"/>
                  <w:szCs w:val="21"/>
                </w:rPr>
                <w:t xml:space="preserve">Gong et al. (2025)</w:t>
              </w:r>
            </w:hyperlink>
          </w:p>
        </w:tc>
      </w:tr>
      <w:tr>
        <w:trPr>
          <w:cantSplit/>
        </w:trPr>
        <w:tc>
          <w:tcPr>
            <w:tcW w:w="1500" w:type="dxa"/>
            <w:vAlign w:val="center"/>
          </w:tcPr>
          <w:p>
            <w:pPr>
              <w:spacing w:before="20" w:after="20" w:line="300" w:lineRule="exact"/>
              <w:jc w:val="left"/>
            </w:pPr>
            <w:r>
              <w:rPr>
                <w:rFonts w:ascii="Times New Roman" w:hAnsi="Times New Roman" w:eastAsia="標楷體" w:cs="Times New Roman"/>
                <w:b/>
                <w:bCs/>
                <w:sz w:val="21"/>
                <w:szCs w:val="21"/>
              </w:rPr>
              <w:t xml:space="preserve">價值訴求話術</w:t>
            </w:r>
          </w:p>
        </w:tc>
        <w:tc>
          <w:tcPr>
            <w:tcW w:w="3300" w:type="dxa"/>
            <w:vAlign w:val="center"/>
          </w:tcPr>
          <w:p>
            <w:pPr>
              <w:spacing w:before="20" w:after="20" w:line="300" w:lineRule="exact"/>
              <w:jc w:val="left"/>
            </w:pPr>
            <w:r>
              <w:rPr>
                <w:rFonts w:ascii="Times New Roman" w:hAnsi="Times New Roman" w:eastAsia="標楷體" w:cs="Times New Roman"/>
                <w:sz w:val="21"/>
                <w:szCs w:val="21"/>
              </w:rPr>
              <w:t xml:space="preserve">主播話術強調的價值類型</w:t>
            </w:r>
          </w:p>
        </w:tc>
        <w:tc>
          <w:tcPr>
            <w:tcW w:w="3238" w:type="dxa"/>
            <w:vAlign w:val="center"/>
          </w:tcPr>
          <w:p>
            <w:pPr>
              <w:spacing w:before="20" w:after="20" w:line="300" w:lineRule="exact"/>
              <w:jc w:val="left"/>
            </w:pPr>
            <w:r>
              <w:rPr>
                <w:rFonts w:ascii="Times New Roman" w:hAnsi="Times New Roman" w:eastAsia="標楷體" w:cs="Times New Roman"/>
                <w:sz w:val="21"/>
                <w:szCs w:val="21"/>
              </w:rPr>
              <w:t xml:space="preserve">功能價值話術 vs. 情感社會價值話術（依第一階段階梯價值圖撰寫）；以價值傾向題項做操弄檢驗</w:t>
            </w:r>
          </w:p>
        </w:tc>
        <w:tc>
          <w:tcPr>
            <w:tcW w:w="1600" w:type="dxa"/>
            <w:vAlign w:val="center"/>
          </w:tcPr>
          <w:p>
            <w:pPr>
              <w:spacing w:before="20" w:after="20" w:line="300" w:lineRule="exact"/>
              <w:jc w:val="left"/>
            </w:pPr>
            <w:hyperlink r:id="rIdL11" w:history="1">
              <w:r>
                <w:rPr>
                  <w:rStyle w:val="Hyperlink"/>
                  <w:rFonts w:ascii="Times New Roman" w:hAnsi="Times New Roman" w:eastAsia="標楷體" w:cs="Times New Roman"/>
                  <w:sz w:val="21"/>
                  <w:szCs w:val="21"/>
                </w:rPr>
                <w:t xml:space="preserve">Gutman (1982)</w:t>
              </w:r>
            </w:hyperlink>
          </w:p>
          <w:p>
            <w:pPr>
              <w:spacing w:before="20" w:after="20" w:line="300" w:lineRule="exact"/>
              <w:jc w:val="left"/>
            </w:pPr>
            <w:hyperlink r:id="rIdL18" w:history="1">
              <w:r>
                <w:rPr>
                  <w:rStyle w:val="Hyperlink"/>
                  <w:rFonts w:ascii="Times New Roman" w:hAnsi="Times New Roman" w:eastAsia="標楷體" w:cs="Times New Roman"/>
                  <w:sz w:val="21"/>
                  <w:szCs w:val="21"/>
                </w:rPr>
                <w:t xml:space="preserve">Sheth et al. (1991)</w:t>
              </w:r>
            </w:hyperlink>
          </w:p>
        </w:tc>
      </w:tr>
      <w:tr>
        <w:trPr>
          <w:cantSplit/>
        </w:trPr>
        <w:tc>
          <w:tcPr>
            <w:tcW w:w="1500" w:type="dxa"/>
            <w:vAlign w:val="center"/>
          </w:tcPr>
          <w:p>
            <w:pPr>
              <w:spacing w:before="20" w:after="20" w:line="300" w:lineRule="exact"/>
              <w:jc w:val="left"/>
            </w:pPr>
            <w:r>
              <w:rPr>
                <w:rFonts w:ascii="Times New Roman" w:hAnsi="Times New Roman" w:eastAsia="標楷體" w:cs="Times New Roman"/>
                <w:b/>
                <w:bCs/>
                <w:sz w:val="21"/>
                <w:szCs w:val="21"/>
              </w:rPr>
              <w:t xml:space="preserve">產品類型</w:t>
            </w:r>
          </w:p>
        </w:tc>
        <w:tc>
          <w:tcPr>
            <w:tcW w:w="3300" w:type="dxa"/>
            <w:vAlign w:val="center"/>
          </w:tcPr>
          <w:p>
            <w:pPr>
              <w:spacing w:before="20" w:after="20" w:line="300" w:lineRule="exact"/>
              <w:jc w:val="left"/>
            </w:pPr>
            <w:r>
              <w:rPr>
                <w:rFonts w:ascii="Times New Roman" w:hAnsi="Times New Roman" w:eastAsia="標楷體" w:cs="Times New Roman"/>
                <w:sz w:val="21"/>
                <w:szCs w:val="21"/>
              </w:rPr>
              <w:t xml:space="preserve">產品主要提供享樂或實用利益</w:t>
            </w:r>
          </w:p>
        </w:tc>
        <w:tc>
          <w:tcPr>
            <w:tcW w:w="3238" w:type="dxa"/>
            <w:vAlign w:val="center"/>
          </w:tcPr>
          <w:p>
            <w:pPr>
              <w:spacing w:before="20" w:after="20" w:line="300" w:lineRule="exact"/>
              <w:jc w:val="left"/>
            </w:pPr>
            <w:r>
              <w:rPr>
                <w:rFonts w:ascii="Times New Roman" w:hAnsi="Times New Roman" w:eastAsia="標楷體" w:cs="Times New Roman"/>
                <w:sz w:val="21"/>
                <w:szCs w:val="21"/>
              </w:rPr>
              <w:t xml:space="preserve">每品類各一組享樂型與實用型產品；以 HED/UT 量表做操弄檢驗</w:t>
            </w:r>
          </w:p>
        </w:tc>
        <w:tc>
          <w:tcPr>
            <w:tcW w:w="1600" w:type="dxa"/>
            <w:vAlign w:val="center"/>
          </w:tcPr>
          <w:p>
            <w:pPr>
              <w:spacing w:before="20" w:after="20" w:line="300" w:lineRule="exact"/>
              <w:jc w:val="left"/>
            </w:pPr>
            <w:hyperlink r:id="rIdL14" w:history="1">
              <w:r>
                <w:rPr>
                  <w:rStyle w:val="Hyperlink"/>
                  <w:rFonts w:ascii="Times New Roman" w:hAnsi="Times New Roman" w:eastAsia="標楷體" w:cs="Times New Roman"/>
                  <w:sz w:val="21"/>
                  <w:szCs w:val="21"/>
                </w:rPr>
                <w:t xml:space="preserve">Dhar &amp; Wertenbroch (2000)</w:t>
              </w:r>
            </w:hyperlink>
          </w:p>
          <w:p>
            <w:pPr>
              <w:spacing w:before="20" w:after="20" w:line="300" w:lineRule="exact"/>
              <w:jc w:val="left"/>
            </w:pPr>
            <w:hyperlink r:id="rIdL63" w:history="1">
              <w:r>
                <w:rPr>
                  <w:rStyle w:val="Hyperlink"/>
                  <w:rFonts w:ascii="Times New Roman" w:hAnsi="Times New Roman" w:eastAsia="標楷體" w:cs="Times New Roman"/>
                  <w:sz w:val="21"/>
                  <w:szCs w:val="21"/>
                </w:rPr>
                <w:t xml:space="preserve">Voss et al. (2003)</w:t>
              </w:r>
            </w:hyperlink>
          </w:p>
        </w:tc>
      </w:tr>
      <w:tr>
        <w:trPr>
          <w:cantSplit/>
        </w:trPr>
        <w:tc>
          <w:tcPr>
            <w:tcW w:w="1500" w:type="dxa"/>
            <w:vAlign w:val="center"/>
          </w:tcPr>
          <w:p>
            <w:pPr>
              <w:spacing w:before="20" w:after="20" w:line="300" w:lineRule="exact"/>
              <w:jc w:val="left"/>
            </w:pPr>
            <w:r>
              <w:rPr>
                <w:rFonts w:ascii="Times New Roman" w:hAnsi="Times New Roman" w:eastAsia="標楷體" w:cs="Times New Roman"/>
                <w:b/>
                <w:bCs/>
                <w:sz w:val="21"/>
                <w:szCs w:val="21"/>
              </w:rPr>
              <w:t xml:space="preserve">溫暖感與能力感</w:t>
            </w:r>
          </w:p>
        </w:tc>
        <w:tc>
          <w:tcPr>
            <w:tcW w:w="3300" w:type="dxa"/>
            <w:vAlign w:val="center"/>
          </w:tcPr>
          <w:p>
            <w:pPr>
              <w:spacing w:before="20" w:after="20" w:line="300" w:lineRule="exact"/>
              <w:jc w:val="left"/>
            </w:pPr>
            <w:r>
              <w:rPr>
                <w:rFonts w:ascii="Times New Roman" w:hAnsi="Times New Roman" w:eastAsia="標楷體" w:cs="Times New Roman"/>
                <w:sz w:val="21"/>
                <w:szCs w:val="21"/>
              </w:rPr>
              <w:t xml:space="preserve">受試者對主播溫暖與能力的知覺</w:t>
            </w:r>
          </w:p>
        </w:tc>
        <w:tc>
          <w:tcPr>
            <w:tcW w:w="3238" w:type="dxa"/>
            <w:vAlign w:val="center"/>
          </w:tcPr>
          <w:p>
            <w:pPr>
              <w:spacing w:before="20" w:after="20" w:line="300" w:lineRule="exact"/>
              <w:jc w:val="left"/>
            </w:pPr>
            <w:r>
              <w:rPr>
                <w:rFonts w:ascii="Times New Roman" w:hAnsi="Times New Roman" w:eastAsia="標楷體" w:cs="Times New Roman"/>
                <w:sz w:val="21"/>
                <w:szCs w:val="21"/>
              </w:rPr>
              <w:t xml:space="preserve">溫暖：親切、友善、真誠；能力：專業、熟練、有能力（語意差異七點）</w:t>
            </w:r>
          </w:p>
        </w:tc>
        <w:tc>
          <w:tcPr>
            <w:tcW w:w="1600" w:type="dxa"/>
            <w:vAlign w:val="center"/>
          </w:tcPr>
          <w:p>
            <w:pPr>
              <w:spacing w:before="20" w:after="20" w:line="300" w:lineRule="exact"/>
              <w:jc w:val="left"/>
            </w:pPr>
            <w:hyperlink r:id="rIdL23" w:history="1">
              <w:r>
                <w:rPr>
                  <w:rStyle w:val="Hyperlink"/>
                  <w:rFonts w:ascii="Times New Roman" w:hAnsi="Times New Roman" w:eastAsia="標楷體" w:cs="Times New Roman"/>
                  <w:sz w:val="21"/>
                  <w:szCs w:val="21"/>
                </w:rPr>
                <w:t xml:space="preserve">Fiske et al. (2007)</w:t>
              </w:r>
            </w:hyperlink>
          </w:p>
          <w:p>
            <w:pPr>
              <w:spacing w:before="20" w:after="20" w:line="300" w:lineRule="exact"/>
              <w:jc w:val="left"/>
            </w:pPr>
            <w:hyperlink r:id="rIdL24" w:history="1">
              <w:r>
                <w:rPr>
                  <w:rStyle w:val="Hyperlink"/>
                  <w:rFonts w:ascii="Times New Roman" w:hAnsi="Times New Roman" w:eastAsia="標楷體" w:cs="Times New Roman"/>
                  <w:sz w:val="21"/>
                  <w:szCs w:val="21"/>
                </w:rPr>
                <w:t xml:space="preserve">Lv et al. (2025)</w:t>
              </w:r>
            </w:hyperlink>
          </w:p>
        </w:tc>
      </w:tr>
      <w:tr>
        <w:trPr>
          <w:cantSplit/>
        </w:trPr>
        <w:tc>
          <w:tcPr>
            <w:tcW w:w="1500" w:type="dxa"/>
            <w:vAlign w:val="center"/>
          </w:tcPr>
          <w:p>
            <w:pPr>
              <w:spacing w:before="20" w:after="20" w:line="300" w:lineRule="exact"/>
              <w:jc w:val="left"/>
            </w:pPr>
            <w:r>
              <w:rPr>
                <w:rFonts w:ascii="Times New Roman" w:hAnsi="Times New Roman" w:eastAsia="標楷體" w:cs="Times New Roman"/>
                <w:b/>
                <w:bCs/>
                <w:sz w:val="21"/>
                <w:szCs w:val="21"/>
              </w:rPr>
              <w:t xml:space="preserve">說服意圖知覺</w:t>
            </w:r>
          </w:p>
        </w:tc>
        <w:tc>
          <w:tcPr>
            <w:tcW w:w="3300" w:type="dxa"/>
            <w:vAlign w:val="center"/>
          </w:tcPr>
          <w:p>
            <w:pPr>
              <w:spacing w:before="20" w:after="20" w:line="300" w:lineRule="exact"/>
              <w:jc w:val="left"/>
            </w:pPr>
            <w:r>
              <w:rPr>
                <w:rFonts w:ascii="Times New Roman" w:hAnsi="Times New Roman" w:eastAsia="標楷體" w:cs="Times New Roman"/>
                <w:sz w:val="21"/>
                <w:szCs w:val="21"/>
              </w:rPr>
              <w:t xml:space="preserve">受試者察覺主播試圖說服自己購買的程度</w:t>
            </w:r>
          </w:p>
        </w:tc>
        <w:tc>
          <w:tcPr>
            <w:tcW w:w="3238" w:type="dxa"/>
            <w:vAlign w:val="center"/>
          </w:tcPr>
          <w:p>
            <w:pPr>
              <w:spacing w:before="20" w:after="20" w:line="300" w:lineRule="exact"/>
              <w:jc w:val="left"/>
            </w:pPr>
            <w:r>
              <w:rPr>
                <w:rFonts w:ascii="Times New Roman" w:hAnsi="Times New Roman" w:eastAsia="標楷體" w:cs="Times New Roman"/>
                <w:sz w:val="21"/>
                <w:szCs w:val="21"/>
              </w:rPr>
              <w:t xml:space="preserve">「這位主播很想說服我購買」「這位主播的話帶有推銷目的」（Likert 七點）</w:t>
            </w:r>
          </w:p>
        </w:tc>
        <w:tc>
          <w:tcPr>
            <w:tcW w:w="1600" w:type="dxa"/>
            <w:vAlign w:val="center"/>
          </w:tcPr>
          <w:p>
            <w:pPr>
              <w:spacing w:before="20" w:after="20" w:line="300" w:lineRule="exact"/>
              <w:jc w:val="left"/>
            </w:pPr>
            <w:hyperlink r:id="rIdL25" w:history="1">
              <w:r>
                <w:rPr>
                  <w:rStyle w:val="Hyperlink"/>
                  <w:rFonts w:ascii="Times New Roman" w:hAnsi="Times New Roman" w:eastAsia="標楷體" w:cs="Times New Roman"/>
                  <w:sz w:val="21"/>
                  <w:szCs w:val="21"/>
                </w:rPr>
                <w:t xml:space="preserve">Friestad &amp; Wright (1994)</w:t>
              </w:r>
            </w:hyperlink>
          </w:p>
          <w:p>
            <w:pPr>
              <w:spacing w:before="20" w:after="20" w:line="300" w:lineRule="exact"/>
              <w:jc w:val="left"/>
            </w:pPr>
            <w:hyperlink r:id="rIdL26" w:history="1">
              <w:r>
                <w:rPr>
                  <w:rStyle w:val="Hyperlink"/>
                  <w:rFonts w:ascii="Times New Roman" w:hAnsi="Times New Roman" w:eastAsia="標楷體" w:cs="Times New Roman"/>
                  <w:sz w:val="21"/>
                  <w:szCs w:val="21"/>
                </w:rPr>
                <w:t xml:space="preserve">Garvey et al. (2023)</w:t>
              </w:r>
            </w:hyperlink>
          </w:p>
        </w:tc>
      </w:tr>
      <w:tr>
        <w:trPr>
          <w:cantSplit/>
        </w:trPr>
        <w:tc>
          <w:tcPr>
            <w:tcW w:w="1500" w:type="dxa"/>
            <w:vAlign w:val="center"/>
          </w:tcPr>
          <w:p>
            <w:pPr>
              <w:spacing w:before="20" w:after="20" w:line="300" w:lineRule="exact"/>
              <w:jc w:val="left"/>
            </w:pPr>
            <w:r>
              <w:rPr>
                <w:rFonts w:ascii="Times New Roman" w:hAnsi="Times New Roman" w:eastAsia="標楷體" w:cs="Times New Roman"/>
                <w:b/>
                <w:bCs/>
                <w:sz w:val="21"/>
                <w:szCs w:val="21"/>
              </w:rPr>
              <w:t xml:space="preserve">購買意圖與行為</w:t>
            </w:r>
          </w:p>
        </w:tc>
        <w:tc>
          <w:tcPr>
            <w:tcW w:w="3300" w:type="dxa"/>
            <w:vAlign w:val="center"/>
          </w:tcPr>
          <w:p>
            <w:pPr>
              <w:spacing w:before="20" w:after="20" w:line="300" w:lineRule="exact"/>
              <w:jc w:val="left"/>
            </w:pPr>
            <w:r>
              <w:rPr>
                <w:rFonts w:ascii="Times New Roman" w:hAnsi="Times New Roman" w:eastAsia="標楷體" w:cs="Times New Roman"/>
                <w:sz w:val="21"/>
                <w:szCs w:val="21"/>
              </w:rPr>
              <w:t xml:space="preserve">購買直播商品的傾向與行為</w:t>
            </w:r>
          </w:p>
        </w:tc>
        <w:tc>
          <w:tcPr>
            <w:tcW w:w="3238" w:type="dxa"/>
            <w:vAlign w:val="center"/>
          </w:tcPr>
          <w:p>
            <w:pPr>
              <w:spacing w:before="20" w:after="20" w:line="300" w:lineRule="exact"/>
              <w:jc w:val="left"/>
            </w:pPr>
            <w:r>
              <w:rPr>
                <w:rFonts w:ascii="Times New Roman" w:hAnsi="Times New Roman" w:eastAsia="標楷體" w:cs="Times New Roman"/>
                <w:sz w:val="21"/>
                <w:szCs w:val="21"/>
              </w:rPr>
              <w:t xml:space="preserve">購買意圖兩題（Likert 七點）；是否點擊「加入購物車」（行為資料）</w:t>
            </w:r>
          </w:p>
        </w:tc>
        <w:tc>
          <w:tcPr>
            <w:tcW w:w="1600" w:type="dxa"/>
            <w:vAlign w:val="center"/>
          </w:tcPr>
          <w:p>
            <w:pPr>
              <w:spacing w:before="20" w:after="20" w:line="300" w:lineRule="exact"/>
              <w:jc w:val="left"/>
            </w:pPr>
            <w:hyperlink r:id="rIdL70" w:history="1">
              <w:r>
                <w:rPr>
                  <w:rStyle w:val="Hyperlink"/>
                  <w:rFonts w:ascii="Times New Roman" w:hAnsi="Times New Roman" w:eastAsia="標楷體" w:cs="Times New Roman"/>
                  <w:sz w:val="21"/>
                  <w:szCs w:val="21"/>
                </w:rPr>
                <w:t xml:space="preserve">Dodds et al. (1991)</w:t>
              </w:r>
            </w:hyperlink>
          </w:p>
        </w:tc>
      </w:tr>
      <w:tr>
        <w:trPr>
          <w:cantSplit/>
        </w:trPr>
        <w:tc>
          <w:tcPr>
            <w:tcW w:w="1500" w:type="dxa"/>
            <w:vAlign w:val="center"/>
          </w:tcPr>
          <w:p>
            <w:pPr>
              <w:spacing w:before="20" w:after="20" w:line="300" w:lineRule="exact"/>
              <w:jc w:val="left"/>
            </w:pPr>
            <w:r>
              <w:rPr>
                <w:rFonts w:ascii="Times New Roman" w:hAnsi="Times New Roman" w:eastAsia="標楷體" w:cs="Times New Roman"/>
                <w:b/>
                <w:bCs/>
                <w:sz w:val="21"/>
                <w:szCs w:val="21"/>
              </w:rPr>
              <w:t xml:space="preserve">預期後悔與退貨意圖</w:t>
            </w:r>
          </w:p>
        </w:tc>
        <w:tc>
          <w:tcPr>
            <w:tcW w:w="3300" w:type="dxa"/>
            <w:vAlign w:val="center"/>
          </w:tcPr>
          <w:p>
            <w:pPr>
              <w:spacing w:before="20" w:after="20" w:line="300" w:lineRule="exact"/>
              <w:jc w:val="left"/>
            </w:pPr>
            <w:r>
              <w:rPr>
                <w:rFonts w:ascii="Times New Roman" w:hAnsi="Times New Roman" w:eastAsia="標楷體" w:cs="Times New Roman"/>
                <w:sz w:val="21"/>
                <w:szCs w:val="21"/>
              </w:rPr>
              <w:t xml:space="preserve">想像收到商品後，對購買決定的後悔與退貨的可能性</w:t>
            </w:r>
          </w:p>
        </w:tc>
        <w:tc>
          <w:tcPr>
            <w:tcW w:w="3238" w:type="dxa"/>
            <w:vAlign w:val="center"/>
          </w:tcPr>
          <w:p>
            <w:pPr>
              <w:spacing w:before="20" w:after="20" w:line="300" w:lineRule="exact"/>
              <w:jc w:val="left"/>
            </w:pPr>
            <w:r>
              <w:rPr>
                <w:rFonts w:ascii="Times New Roman" w:hAnsi="Times New Roman" w:eastAsia="標楷體" w:cs="Times New Roman"/>
                <w:sz w:val="21"/>
                <w:szCs w:val="21"/>
              </w:rPr>
              <w:t xml:space="preserve">一週後追蹤：後悔三題、退貨意圖兩題（Likert 七點）</w:t>
            </w:r>
          </w:p>
        </w:tc>
        <w:tc>
          <w:tcPr>
            <w:tcW w:w="1600" w:type="dxa"/>
            <w:vAlign w:val="center"/>
          </w:tcPr>
          <w:p>
            <w:pPr>
              <w:spacing w:before="20" w:after="20" w:line="300" w:lineRule="exact"/>
              <w:jc w:val="left"/>
            </w:pPr>
            <w:hyperlink r:id="rIdL27" w:history="1">
              <w:r>
                <w:rPr>
                  <w:rStyle w:val="Hyperlink"/>
                  <w:rFonts w:ascii="Times New Roman" w:hAnsi="Times New Roman" w:eastAsia="標楷體" w:cs="Times New Roman"/>
                  <w:sz w:val="21"/>
                  <w:szCs w:val="21"/>
                </w:rPr>
                <w:t xml:space="preserve">Tsiros &amp; Mittal (2000)</w:t>
              </w:r>
            </w:hyperlink>
          </w:p>
          <w:p>
            <w:pPr>
              <w:spacing w:before="20" w:after="20" w:line="300" w:lineRule="exact"/>
              <w:jc w:val="left"/>
            </w:pPr>
            <w:hyperlink r:id="rIdL8" w:history="1">
              <w:r>
                <w:rPr>
                  <w:rStyle w:val="Hyperlink"/>
                  <w:rFonts w:ascii="Times New Roman" w:hAnsi="Times New Roman" w:eastAsia="標楷體" w:cs="Times New Roman"/>
                  <w:sz w:val="21"/>
                  <w:szCs w:val="21"/>
                </w:rPr>
                <w:t xml:space="preserve">Feng et al. (2025)</w:t>
              </w:r>
            </w:hyperlink>
          </w:p>
        </w:tc>
      </w:tr>
      <w:tr>
        <w:trPr>
          <w:cantSplit/>
        </w:trPr>
        <w:tc>
          <w:tcPr>
            <w:tcW w:w="1500" w:type="dxa"/>
            <w:vAlign w:val="center"/>
          </w:tcPr>
          <w:p>
            <w:pPr>
              <w:spacing w:before="20" w:after="20" w:line="300" w:lineRule="exact"/>
              <w:jc w:val="left"/>
            </w:pPr>
            <w:r>
              <w:rPr>
                <w:rFonts w:ascii="Times New Roman" w:hAnsi="Times New Roman" w:eastAsia="標楷體" w:cs="Times New Roman"/>
                <w:b/>
                <w:bCs/>
                <w:sz w:val="21"/>
                <w:szCs w:val="21"/>
              </w:rPr>
              <w:t xml:space="preserve">信任（研究 2c）</w:t>
            </w:r>
          </w:p>
        </w:tc>
        <w:tc>
          <w:tcPr>
            <w:tcW w:w="3300" w:type="dxa"/>
            <w:vAlign w:val="center"/>
          </w:tcPr>
          <w:p>
            <w:pPr>
              <w:spacing w:before="20" w:after="20" w:line="300" w:lineRule="exact"/>
              <w:jc w:val="left"/>
            </w:pPr>
            <w:r>
              <w:rPr>
                <w:rFonts w:ascii="Times New Roman" w:hAnsi="Times New Roman" w:eastAsia="標楷體" w:cs="Times New Roman"/>
                <w:sz w:val="21"/>
                <w:szCs w:val="21"/>
              </w:rPr>
              <w:t xml:space="preserve">相信主播所說內容與賣家會履行承諾的程度</w:t>
            </w:r>
          </w:p>
        </w:tc>
        <w:tc>
          <w:tcPr>
            <w:tcW w:w="3238" w:type="dxa"/>
            <w:vAlign w:val="center"/>
          </w:tcPr>
          <w:p>
            <w:pPr>
              <w:spacing w:before="20" w:after="20" w:line="300" w:lineRule="exact"/>
              <w:jc w:val="left"/>
            </w:pPr>
            <w:r>
              <w:rPr>
                <w:rFonts w:ascii="Times New Roman" w:hAnsi="Times New Roman" w:eastAsia="標楷體" w:cs="Times New Roman"/>
                <w:sz w:val="21"/>
                <w:szCs w:val="21"/>
              </w:rPr>
              <w:t xml:space="preserve">三題（Likert 七點）</w:t>
            </w:r>
          </w:p>
        </w:tc>
        <w:tc>
          <w:tcPr>
            <w:tcW w:w="1600" w:type="dxa"/>
            <w:vAlign w:val="center"/>
          </w:tcPr>
          <w:p>
            <w:pPr>
              <w:spacing w:before="20" w:after="20" w:line="300" w:lineRule="exact"/>
              <w:jc w:val="left"/>
            </w:pPr>
            <w:hyperlink r:id="rIdL61" w:history="1">
              <w:r>
                <w:rPr>
                  <w:rStyle w:val="Hyperlink"/>
                  <w:rFonts w:ascii="Times New Roman" w:hAnsi="Times New Roman" w:eastAsia="標楷體" w:cs="Times New Roman"/>
                  <w:sz w:val="21"/>
                  <w:szCs w:val="21"/>
                </w:rPr>
                <w:t xml:space="preserve">Gefen et al. (2003)</w:t>
              </w:r>
            </w:hyperlink>
          </w:p>
        </w:tc>
      </w:tr>
    </w:tbl>
    <w:p>
      <w:pPr>
        <w:spacing w:before="0" w:after="0" w:line="200" w:lineRule="exact"/>
      </w:pPr>
    </w:p>
    <w:p>
      <w:pPr>
        <w:keepNext/>
        <w:spacing w:before="0" w:after="0" w:line="440" w:lineRule="exact"/>
      </w:pPr>
      <w:r>
        <w:rPr>
          <w:rFonts w:ascii="Times New Roman" w:hAnsi="Times New Roman" w:eastAsia="標楷體" w:cs="Times New Roman"/>
          <w:b/>
          <w:bCs/>
        </w:rPr>
        <w:t xml:space="preserve">5. 資料分析方法</w:t>
      </w:r>
    </w:p>
    <w:p>
      <w:pPr>
        <w:spacing w:before="0" w:after="0" w:line="440" w:lineRule="exact"/>
        <w:ind w:firstLineChars="200" w:firstLine="480"/>
        <w:jc w:val="both"/>
      </w:pPr>
      <w:r>
        <w:rPr>
          <w:rFonts w:ascii="Times New Roman" w:hAnsi="Times New Roman" w:eastAsia="標楷體" w:cs="Times New Roman"/>
        </w:rPr>
        <w:t xml:space="preserve">本階段的分析分為四步：(1) 操弄檢驗：以 t 檢定確認三個操弄成立，未通過注意力檢核者依預先註冊的排除規則剔除。(2) 主要效果與交互作用：以線性混合模型檢驗 H1 與 H2，固定效果為三個操弄變數及其交互作用，隨機效果為品類與產品例子，使結論可推廣到刺激之外 (</w:t>
      </w:r>
      <w:hyperlink r:id="rIdL12" w:history="1">
        <w:r>
          <w:rPr>
            <w:rStyle w:val="Hyperlink"/>
            <w:rFonts w:ascii="Times New Roman" w:hAnsi="Times New Roman" w:eastAsia="標楷體" w:cs="Times New Roman"/>
          </w:rPr>
          <w:t xml:space="preserve">Wells &amp; Windschitl, 1999</w:t>
        </w:r>
      </w:hyperlink>
      <w:r>
        <w:rPr>
          <w:rFonts w:ascii="Times New Roman" w:hAnsi="Times New Roman" w:eastAsia="標楷體" w:cs="Times New Roman"/>
        </w:rPr>
        <w:t xml:space="preserve">)；加入購物車以混合邏輯斯迴歸分析。(3) 中介效果：依 </w:t>
      </w:r>
      <w:hyperlink r:id="rIdL71" w:history="1">
        <w:r>
          <w:rPr>
            <w:rStyle w:val="Hyperlink"/>
            <w:rFonts w:ascii="Times New Roman" w:hAnsi="Times New Roman" w:eastAsia="標楷體" w:cs="Times New Roman"/>
          </w:rPr>
          <w:t xml:space="preserve">Zhao et al. (2010)</w:t>
        </w:r>
      </w:hyperlink>
      <w:r>
        <w:rPr>
          <w:rFonts w:ascii="Times New Roman" w:hAnsi="Times New Roman" w:eastAsia="標楷體" w:cs="Times New Roman"/>
        </w:rPr>
        <w:t xml:space="preserve"> 的建議，以拔靴法檢驗溫暖感、能力感（H3）與說服意圖知覺（H4）的間接效果。(4) 揭露實驗：以變異數分析與事先註冊的對比檢定 H5 與 H6；多重比較以 Benjamini–Hochberg 法校正 (</w:t>
      </w:r>
      <w:hyperlink r:id="rIdL72" w:history="1">
        <w:r>
          <w:rPr>
            <w:rStyle w:val="Hyperlink"/>
            <w:rFonts w:ascii="Times New Roman" w:hAnsi="Times New Roman" w:eastAsia="標楷體" w:cs="Times New Roman"/>
          </w:rPr>
          <w:t xml:space="preserve">Benjamini &amp; Hochberg, 1995</w:t>
        </w:r>
      </w:hyperlink>
      <w:r>
        <w:rPr>
          <w:rFonts w:ascii="Times New Roman" w:hAnsi="Times New Roman" w:eastAsia="標楷體" w:cs="Times New Roman"/>
        </w:rPr>
        <w:t xml:space="preserve">)。</w:t>
      </w:r>
    </w:p>
    <w:p>
      <w:pPr>
        <w:pStyle w:val="Heading3"/>
        <w:keepNext/>
        <w:spacing w:before="120" w:after="40" w:line="440" w:lineRule="exact"/>
        <w:ind w:left="480" w:hanging="480"/>
      </w:pPr>
      <w:r>
        <w:rPr>
          <w:rFonts w:ascii="Times New Roman" w:hAnsi="Times New Roman" w:eastAsia="標楷體" w:cs="Times New Roman"/>
          <w:b/>
          <w:bCs/>
        </w:rPr>
        <w:t xml:space="preserve">（三）第三階段【直播購物的購後路徑：結構方程模式】：執行時間 2028.06–2029.04</w:t>
      </w:r>
    </w:p>
    <w:p>
      <w:pPr>
        <w:keepNext/>
        <w:spacing w:before="0" w:after="0" w:line="440" w:lineRule="exact"/>
      </w:pPr>
      <w:r>
        <w:rPr>
          <w:rFonts w:ascii="Times New Roman" w:hAnsi="Times New Roman" w:eastAsia="標楷體" w:cs="Times New Roman"/>
          <w:b/>
          <w:bCs/>
        </w:rPr>
        <w:t xml:space="preserve">1. 與前一階段之銜接與連貫性</w:t>
      </w:r>
    </w:p>
    <w:p>
      <w:pPr>
        <w:spacing w:before="0" w:after="0" w:line="440" w:lineRule="exact"/>
        <w:ind w:firstLineChars="200" w:firstLine="480"/>
        <w:jc w:val="both"/>
      </w:pPr>
      <w:r>
        <w:rPr>
          <w:rFonts w:ascii="Times New Roman" w:hAnsi="Times New Roman" w:eastAsia="標楷體" w:cs="Times New Roman"/>
        </w:rPr>
        <w:t xml:space="preserve">第二階段以實驗確認主播類型與話術的因果效果，但實驗的購後結果是「預期」而非實際行為，情境也較人工。因此，第三階段以真實直播購買者的資料建構購後路徑模型，並以三個月後的實際退貨回報，檢驗第二階段的發現在真實購物中是否成立；第一階段的價值傾向量表，則在本階段作為多群組比較的分組依據。</w:t>
      </w:r>
    </w:p>
    <w:p>
      <w:pPr>
        <w:keepNext/>
        <w:spacing w:before="0" w:after="0" w:line="440" w:lineRule="exact"/>
      </w:pPr>
      <w:r>
        <w:rPr>
          <w:rFonts w:ascii="Times New Roman" w:hAnsi="Times New Roman" w:eastAsia="標楷體" w:cs="Times New Roman"/>
          <w:b/>
          <w:bCs/>
        </w:rPr>
        <w:t xml:space="preserve">2. 研究設計</w:t>
      </w:r>
    </w:p>
    <w:p>
      <w:pPr>
        <w:spacing w:before="0" w:after="0" w:line="440" w:lineRule="exact"/>
        <w:ind w:left="480" w:hanging="480"/>
        <w:jc w:val="both"/>
      </w:pPr>
      <w:r>
        <w:rPr>
          <w:rFonts w:ascii="Times New Roman" w:hAnsi="Times New Roman" w:eastAsia="標楷體" w:cs="Times New Roman"/>
        </w:rPr>
        <w:t xml:space="preserve">(1) 研究 3a：直播購買者調查（2028.10–2028.12）。招募約 800 位過去 3 個月內曾在直播中購買的台灣消費者，向 AI 虛擬主播與真人主播購買者各約 400 位，三個品類依 2:1:1 配額。受訪者回想最近一次直播購物，回答主播知覺、信任、購前期望、期望確認、購後滿意與再購意圖。</w:t>
      </w:r>
    </w:p>
    <w:p>
      <w:pPr>
        <w:spacing w:before="0" w:after="0" w:line="440" w:lineRule="exact"/>
        <w:ind w:left="480" w:hanging="480"/>
        <w:jc w:val="both"/>
      </w:pPr>
      <w:r>
        <w:rPr>
          <w:rFonts w:ascii="Times New Roman" w:hAnsi="Times New Roman" w:eastAsia="標楷體" w:cs="Times New Roman"/>
        </w:rPr>
        <w:t xml:space="preserve">(2) 研究 3b：三個月退貨追蹤（2029.01–2029.03）。三個月後請同一批受訪者回報是否退貨、退貨原因與後悔程度，以實際行為檢驗 H3。</w:t>
      </w:r>
    </w:p>
    <w:p>
      <w:pPr>
        <w:spacing w:before="0" w:after="0" w:line="440" w:lineRule="exact"/>
        <w:ind w:firstLineChars="200" w:firstLine="480"/>
        <w:jc w:val="both"/>
      </w:pPr>
      <w:r>
        <w:rPr>
          <w:rFonts w:ascii="Times New Roman" w:hAnsi="Times New Roman" w:eastAsia="標楷體" w:cs="Times New Roman"/>
        </w:rPr>
        <w:t xml:space="preserve">受訪者由台灣線上樣本供應商招募（2028.06–2028.08 向 2–3 家詢價），以 Qualtrics 施測，設注意力檢核題與最短作答時間。主播類型以受訪者提供的購買紀錄或直播截圖確認。前測於 2028.09 進行（約 80 人），確認量表的信效度。</w:t>
      </w:r>
    </w:p>
    <w:p>
      <w:pPr>
        <w:keepNext/>
        <w:spacing w:before="0" w:after="0" w:line="440" w:lineRule="exact"/>
      </w:pPr>
      <w:r>
        <w:rPr>
          <w:rFonts w:ascii="Times New Roman" w:hAnsi="Times New Roman" w:eastAsia="標楷體" w:cs="Times New Roman"/>
          <w:b/>
          <w:bCs/>
        </w:rPr>
        <w:t xml:space="preserve">3. 調查步驟</w:t>
      </w:r>
    </w:p>
    <w:p>
      <w:pPr>
        <w:spacing w:before="0" w:after="0" w:line="440" w:lineRule="exact"/>
        <w:ind w:firstLineChars="200" w:firstLine="480"/>
        <w:jc w:val="both"/>
      </w:pPr>
      <w:r>
        <w:rPr>
          <w:rFonts w:ascii="Times New Roman" w:hAnsi="Times New Roman" w:eastAsia="標楷體" w:cs="Times New Roman"/>
        </w:rPr>
        <w:t xml:space="preserve">研究 3a 的調查程序如下：(1) 受訪者閱讀知情同意說明並通過篩選題（過去 3 個月曾在直播中購買）；(2) 上傳或描述購買紀錄，確認主播類型與品類；(3) 以回憶引導語描述該次直播與收貨經驗；(4) 填答主播溫暖感、能力感、感知互動強度、信任、購前期望、期望確認、購後滿意、再購意圖與共同量表；(5) 填寫基本資料並同意三個月後的追蹤聯繫。購買紀錄截圖僅用於確認主播類型，確認後即刪除。</w:t>
      </w:r>
    </w:p>
    <w:p>
      <w:pPr>
        <w:keepNext/>
        <w:spacing w:before="0" w:after="0" w:line="440" w:lineRule="exact"/>
      </w:pPr>
      <w:r>
        <w:rPr>
          <w:rFonts w:ascii="Times New Roman" w:hAnsi="Times New Roman" w:eastAsia="標楷體" w:cs="Times New Roman"/>
          <w:b/>
          <w:bCs/>
        </w:rPr>
        <w:t xml:space="preserve">4. 問卷設計與衡量問項</w:t>
      </w:r>
    </w:p>
    <w:p>
      <w:pPr>
        <w:spacing w:before="0" w:after="0" w:line="440" w:lineRule="exact"/>
        <w:ind w:firstLineChars="200" w:firstLine="480"/>
        <w:jc w:val="both"/>
      </w:pPr>
      <w:r>
        <w:rPr>
          <w:rFonts w:ascii="Times New Roman" w:hAnsi="Times New Roman" w:eastAsia="標楷體" w:cs="Times New Roman"/>
        </w:rPr>
        <w:t xml:space="preserve">研究變數的操作型定義與預計衡量問項如表 9。問項依據過去文獻，再根據本研究情境調整，並經前測修訂；除另行說明者外，均使用 Likert 七點量表（1 = 非常不同意，7 = 非常同意）。</w:t>
      </w:r>
    </w:p>
    <w:p>
      <w:pPr>
        <w:keepNext/>
        <w:spacing w:before="120" w:after="80" w:line="360" w:lineRule="exact"/>
        <w:jc w:val="center"/>
      </w:pPr>
      <w:r>
        <w:rPr>
          <w:rFonts w:ascii="Times New Roman" w:hAnsi="Times New Roman" w:eastAsia="標楷體" w:cs="Times New Roman"/>
        </w:rPr>
        <w:t xml:space="preserve">表 9　第三階段研究變數操作型定義與預計衡量問項</w:t>
      </w:r>
    </w:p>
    <w:tbl>
      <w:tblPr>
        <w:tblW w:w="96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57" w:type="dxa"/>
          <w:right w:w="57" w:type="dxa"/>
        </w:tblCellMar>
      </w:tblPr>
      <w:tblGrid>
        <w:gridCol w:w="1350"/>
        <w:gridCol w:w="2250"/>
        <w:gridCol w:w="4238"/>
        <w:gridCol w:w="1800"/>
      </w:tblGrid>
      <w:tr>
        <w:trPr>
          <w:tblHeader/>
          <w:cantSplit/>
        </w:trPr>
        <w:tc>
          <w:tcPr>
            <w:tcW w:w="1350"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研究變數</w:t>
            </w:r>
          </w:p>
        </w:tc>
        <w:tc>
          <w:tcPr>
            <w:tcW w:w="2250"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操作型定義</w:t>
            </w:r>
          </w:p>
        </w:tc>
        <w:tc>
          <w:tcPr>
            <w:tcW w:w="4238"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問項</w:t>
            </w:r>
          </w:p>
        </w:tc>
        <w:tc>
          <w:tcPr>
            <w:tcW w:w="1800"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參考出處</w:t>
            </w:r>
          </w:p>
        </w:tc>
      </w:tr>
      <w:tr>
        <w:trPr>
          <w:cantSplit/>
        </w:trPr>
        <w:tc>
          <w:tcPr>
            <w:tcW w:w="1350" w:type="dxa"/>
            <w:vAlign w:val="center"/>
          </w:tcPr>
          <w:p>
            <w:pPr>
              <w:spacing w:before="20" w:after="20" w:line="300" w:lineRule="exact"/>
              <w:jc w:val="left"/>
            </w:pPr>
            <w:r>
              <w:rPr>
                <w:rFonts w:ascii="Times New Roman" w:hAnsi="Times New Roman" w:eastAsia="標楷體" w:cs="Times New Roman"/>
                <w:b/>
                <w:bCs/>
                <w:sz w:val="21"/>
                <w:szCs w:val="21"/>
              </w:rPr>
              <w:t xml:space="preserve">主播溫暖感</w:t>
            </w:r>
          </w:p>
        </w:tc>
        <w:tc>
          <w:tcPr>
            <w:tcW w:w="2250" w:type="dxa"/>
            <w:vAlign w:val="center"/>
          </w:tcPr>
          <w:p>
            <w:pPr>
              <w:spacing w:before="20" w:after="20" w:line="300" w:lineRule="exact"/>
              <w:jc w:val="left"/>
            </w:pPr>
            <w:r>
              <w:rPr>
                <w:rFonts w:ascii="Times New Roman" w:hAnsi="Times New Roman" w:eastAsia="標楷體" w:cs="Times New Roman"/>
                <w:sz w:val="21"/>
                <w:szCs w:val="21"/>
              </w:rPr>
              <w:t xml:space="preserve">受訪者知覺主播親切、友善與真誠的程度</w:t>
            </w:r>
          </w:p>
        </w:tc>
        <w:tc>
          <w:tcPr>
            <w:tcW w:w="4238" w:type="dxa"/>
            <w:vAlign w:val="center"/>
          </w:tcPr>
          <w:p>
            <w:pPr>
              <w:spacing w:before="20" w:after="20" w:line="300" w:lineRule="exact"/>
              <w:jc w:val="left"/>
            </w:pPr>
            <w:r>
              <w:rPr>
                <w:rFonts w:ascii="Times New Roman" w:hAnsi="Times New Roman" w:eastAsia="標楷體" w:cs="Times New Roman"/>
                <w:sz w:val="21"/>
                <w:szCs w:val="21"/>
              </w:rPr>
              <w:t xml:space="preserve">1. 這位主播讓人覺得親切。</w:t>
            </w:r>
          </w:p>
          <w:p>
            <w:pPr>
              <w:spacing w:before="20" w:after="20" w:line="300" w:lineRule="exact"/>
              <w:jc w:val="left"/>
            </w:pPr>
            <w:r>
              <w:rPr>
                <w:rFonts w:ascii="Times New Roman" w:hAnsi="Times New Roman" w:eastAsia="標楷體" w:cs="Times New Roman"/>
                <w:sz w:val="21"/>
                <w:szCs w:val="21"/>
              </w:rPr>
              <w:t xml:space="preserve">2. 這位主播是真誠的。</w:t>
            </w:r>
          </w:p>
          <w:p>
            <w:pPr>
              <w:spacing w:before="20" w:after="20" w:line="300" w:lineRule="exact"/>
              <w:jc w:val="left"/>
            </w:pPr>
            <w:r>
              <w:rPr>
                <w:rFonts w:ascii="Times New Roman" w:hAnsi="Times New Roman" w:eastAsia="標楷體" w:cs="Times New Roman"/>
                <w:sz w:val="21"/>
                <w:szCs w:val="21"/>
              </w:rPr>
              <w:t xml:space="preserve">3. 這位主播對觀眾很友善。</w:t>
            </w:r>
          </w:p>
        </w:tc>
        <w:tc>
          <w:tcPr>
            <w:tcW w:w="1800" w:type="dxa"/>
            <w:vAlign w:val="center"/>
          </w:tcPr>
          <w:p>
            <w:pPr>
              <w:spacing w:before="20" w:after="20" w:line="300" w:lineRule="exact"/>
              <w:jc w:val="left"/>
            </w:pPr>
            <w:hyperlink r:id="rIdL23" w:history="1">
              <w:r>
                <w:rPr>
                  <w:rStyle w:val="Hyperlink"/>
                  <w:rFonts w:ascii="Times New Roman" w:hAnsi="Times New Roman" w:eastAsia="標楷體" w:cs="Times New Roman"/>
                  <w:sz w:val="21"/>
                  <w:szCs w:val="21"/>
                </w:rPr>
                <w:t xml:space="preserve">Fiske et al. (2007)</w:t>
              </w:r>
            </w:hyperlink>
          </w:p>
          <w:p>
            <w:pPr>
              <w:spacing w:before="20" w:after="20" w:line="300" w:lineRule="exact"/>
              <w:jc w:val="left"/>
            </w:pPr>
            <w:hyperlink r:id="rIdL24" w:history="1">
              <w:r>
                <w:rPr>
                  <w:rStyle w:val="Hyperlink"/>
                  <w:rFonts w:ascii="Times New Roman" w:hAnsi="Times New Roman" w:eastAsia="標楷體" w:cs="Times New Roman"/>
                  <w:sz w:val="21"/>
                  <w:szCs w:val="21"/>
                </w:rPr>
                <w:t xml:space="preserve">Lv et al. (2025)</w:t>
              </w:r>
            </w:hyperlink>
          </w:p>
        </w:tc>
      </w:tr>
      <w:tr>
        <w:trPr>
          <w:cantSplit/>
        </w:trPr>
        <w:tc>
          <w:tcPr>
            <w:tcW w:w="1350" w:type="dxa"/>
            <w:vAlign w:val="center"/>
          </w:tcPr>
          <w:p>
            <w:pPr>
              <w:spacing w:before="20" w:after="20" w:line="300" w:lineRule="exact"/>
              <w:jc w:val="left"/>
            </w:pPr>
            <w:r>
              <w:rPr>
                <w:rFonts w:ascii="Times New Roman" w:hAnsi="Times New Roman" w:eastAsia="標楷體" w:cs="Times New Roman"/>
                <w:b/>
                <w:bCs/>
                <w:sz w:val="21"/>
                <w:szCs w:val="21"/>
              </w:rPr>
              <w:t xml:space="preserve">主播能力感</w:t>
            </w:r>
          </w:p>
        </w:tc>
        <w:tc>
          <w:tcPr>
            <w:tcW w:w="2250" w:type="dxa"/>
            <w:vAlign w:val="center"/>
          </w:tcPr>
          <w:p>
            <w:pPr>
              <w:spacing w:before="20" w:after="20" w:line="300" w:lineRule="exact"/>
              <w:jc w:val="left"/>
            </w:pPr>
            <w:r>
              <w:rPr>
                <w:rFonts w:ascii="Times New Roman" w:hAnsi="Times New Roman" w:eastAsia="標楷體" w:cs="Times New Roman"/>
                <w:sz w:val="21"/>
                <w:szCs w:val="21"/>
              </w:rPr>
              <w:t xml:space="preserve">受訪者知覺主播專業與熟練的程度</w:t>
            </w:r>
          </w:p>
        </w:tc>
        <w:tc>
          <w:tcPr>
            <w:tcW w:w="4238" w:type="dxa"/>
            <w:vAlign w:val="center"/>
          </w:tcPr>
          <w:p>
            <w:pPr>
              <w:spacing w:before="20" w:after="20" w:line="300" w:lineRule="exact"/>
              <w:jc w:val="left"/>
            </w:pPr>
            <w:r>
              <w:rPr>
                <w:rFonts w:ascii="Times New Roman" w:hAnsi="Times New Roman" w:eastAsia="標楷體" w:cs="Times New Roman"/>
                <w:sz w:val="21"/>
                <w:szCs w:val="21"/>
              </w:rPr>
              <w:t xml:space="preserve">1. 這位主播對商品很專業。</w:t>
            </w:r>
          </w:p>
          <w:p>
            <w:pPr>
              <w:spacing w:before="20" w:after="20" w:line="300" w:lineRule="exact"/>
              <w:jc w:val="left"/>
            </w:pPr>
            <w:r>
              <w:rPr>
                <w:rFonts w:ascii="Times New Roman" w:hAnsi="Times New Roman" w:eastAsia="標楷體" w:cs="Times New Roman"/>
                <w:sz w:val="21"/>
                <w:szCs w:val="21"/>
              </w:rPr>
              <w:t xml:space="preserve">2. 這位主播能清楚回答問題。</w:t>
            </w:r>
          </w:p>
          <w:p>
            <w:pPr>
              <w:spacing w:before="20" w:after="20" w:line="300" w:lineRule="exact"/>
              <w:jc w:val="left"/>
            </w:pPr>
            <w:r>
              <w:rPr>
                <w:rFonts w:ascii="Times New Roman" w:hAnsi="Times New Roman" w:eastAsia="標楷體" w:cs="Times New Roman"/>
                <w:sz w:val="21"/>
                <w:szCs w:val="21"/>
              </w:rPr>
              <w:t xml:space="preserve">3. 這位主播的介紹很有條理。</w:t>
            </w:r>
          </w:p>
        </w:tc>
        <w:tc>
          <w:tcPr>
            <w:tcW w:w="1800" w:type="dxa"/>
            <w:vAlign w:val="center"/>
          </w:tcPr>
          <w:p>
            <w:pPr>
              <w:spacing w:before="20" w:after="20" w:line="300" w:lineRule="exact"/>
              <w:jc w:val="left"/>
            </w:pPr>
            <w:hyperlink r:id="rIdL23" w:history="1">
              <w:r>
                <w:rPr>
                  <w:rStyle w:val="Hyperlink"/>
                  <w:rFonts w:ascii="Times New Roman" w:hAnsi="Times New Roman" w:eastAsia="標楷體" w:cs="Times New Roman"/>
                  <w:sz w:val="21"/>
                  <w:szCs w:val="21"/>
                </w:rPr>
                <w:t xml:space="preserve">Fiske et al. (2007)</w:t>
              </w:r>
            </w:hyperlink>
          </w:p>
          <w:p>
            <w:pPr>
              <w:spacing w:before="20" w:after="20" w:line="300" w:lineRule="exact"/>
              <w:jc w:val="left"/>
            </w:pPr>
            <w:hyperlink r:id="rIdL73" w:history="1">
              <w:r>
                <w:rPr>
                  <w:rStyle w:val="Hyperlink"/>
                  <w:rFonts w:ascii="Times New Roman" w:hAnsi="Times New Roman" w:eastAsia="標楷體" w:cs="Times New Roman"/>
                  <w:sz w:val="21"/>
                  <w:szCs w:val="21"/>
                </w:rPr>
                <w:t xml:space="preserve">Ohanian (1990)</w:t>
              </w:r>
            </w:hyperlink>
          </w:p>
        </w:tc>
      </w:tr>
      <w:tr>
        <w:trPr>
          <w:cantSplit/>
        </w:trPr>
        <w:tc>
          <w:tcPr>
            <w:tcW w:w="1350" w:type="dxa"/>
            <w:vAlign w:val="center"/>
          </w:tcPr>
          <w:p>
            <w:pPr>
              <w:spacing w:before="20" w:after="20" w:line="300" w:lineRule="exact"/>
              <w:jc w:val="left"/>
            </w:pPr>
            <w:r>
              <w:rPr>
                <w:rFonts w:ascii="Times New Roman" w:hAnsi="Times New Roman" w:eastAsia="標楷體" w:cs="Times New Roman"/>
                <w:b/>
                <w:bCs/>
                <w:sz w:val="21"/>
                <w:szCs w:val="21"/>
              </w:rPr>
              <w:t xml:space="preserve">感知互動強度</w:t>
            </w:r>
          </w:p>
        </w:tc>
        <w:tc>
          <w:tcPr>
            <w:tcW w:w="2250" w:type="dxa"/>
            <w:vAlign w:val="center"/>
          </w:tcPr>
          <w:p>
            <w:pPr>
              <w:spacing w:before="20" w:after="20" w:line="300" w:lineRule="exact"/>
              <w:jc w:val="left"/>
            </w:pPr>
            <w:r>
              <w:rPr>
                <w:rFonts w:ascii="Times New Roman" w:hAnsi="Times New Roman" w:eastAsia="標楷體" w:cs="Times New Roman"/>
                <w:sz w:val="21"/>
                <w:szCs w:val="21"/>
              </w:rPr>
              <w:t xml:space="preserve">受訪者知覺直播間互動與氣氛的熱烈程度</w:t>
            </w:r>
          </w:p>
        </w:tc>
        <w:tc>
          <w:tcPr>
            <w:tcW w:w="4238" w:type="dxa"/>
            <w:vAlign w:val="center"/>
          </w:tcPr>
          <w:p>
            <w:pPr>
              <w:spacing w:before="20" w:after="20" w:line="300" w:lineRule="exact"/>
              <w:jc w:val="left"/>
            </w:pPr>
            <w:r>
              <w:rPr>
                <w:rFonts w:ascii="Times New Roman" w:hAnsi="Times New Roman" w:eastAsia="標楷體" w:cs="Times New Roman"/>
                <w:sz w:val="21"/>
                <w:szCs w:val="21"/>
              </w:rPr>
              <w:t xml:space="preserve">1. 直播間的互動非常熱烈。</w:t>
            </w:r>
          </w:p>
          <w:p>
            <w:pPr>
              <w:spacing w:before="20" w:after="20" w:line="300" w:lineRule="exact"/>
              <w:jc w:val="left"/>
            </w:pPr>
            <w:r>
              <w:rPr>
                <w:rFonts w:ascii="Times New Roman" w:hAnsi="Times New Roman" w:eastAsia="標楷體" w:cs="Times New Roman"/>
                <w:sz w:val="21"/>
                <w:szCs w:val="21"/>
              </w:rPr>
              <w:t xml:space="preserve">2. 主播不斷回應觀眾留言。</w:t>
            </w:r>
          </w:p>
          <w:p>
            <w:pPr>
              <w:spacing w:before="20" w:after="20" w:line="300" w:lineRule="exact"/>
              <w:jc w:val="left"/>
            </w:pPr>
            <w:r>
              <w:rPr>
                <w:rFonts w:ascii="Times New Roman" w:hAnsi="Times New Roman" w:eastAsia="標楷體" w:cs="Times New Roman"/>
                <w:sz w:val="21"/>
                <w:szCs w:val="21"/>
              </w:rPr>
              <w:t xml:space="preserve">3. 直播間氣氛讓人很想跟著下單。</w:t>
            </w:r>
          </w:p>
        </w:tc>
        <w:tc>
          <w:tcPr>
            <w:tcW w:w="1800" w:type="dxa"/>
            <w:vAlign w:val="center"/>
          </w:tcPr>
          <w:p>
            <w:pPr>
              <w:spacing w:before="20" w:after="20" w:line="300" w:lineRule="exact"/>
              <w:jc w:val="left"/>
            </w:pPr>
            <w:hyperlink r:id="rIdL9" w:history="1">
              <w:r>
                <w:rPr>
                  <w:rStyle w:val="Hyperlink"/>
                  <w:rFonts w:ascii="Times New Roman" w:hAnsi="Times New Roman" w:eastAsia="標楷體" w:cs="Times New Roman"/>
                  <w:sz w:val="21"/>
                  <w:szCs w:val="21"/>
                </w:rPr>
                <w:t xml:space="preserve">Fan et al. (2025)</w:t>
              </w:r>
            </w:hyperlink>
          </w:p>
          <w:p>
            <w:pPr>
              <w:spacing w:before="20" w:after="20" w:line="300" w:lineRule="exact"/>
              <w:jc w:val="left"/>
            </w:pPr>
            <w:hyperlink r:id="rIdL8" w:history="1">
              <w:r>
                <w:rPr>
                  <w:rStyle w:val="Hyperlink"/>
                  <w:rFonts w:ascii="Times New Roman" w:hAnsi="Times New Roman" w:eastAsia="標楷體" w:cs="Times New Roman"/>
                  <w:sz w:val="21"/>
                  <w:szCs w:val="21"/>
                </w:rPr>
                <w:t xml:space="preserve">Feng et al. (2025)</w:t>
              </w:r>
            </w:hyperlink>
          </w:p>
        </w:tc>
      </w:tr>
      <w:tr>
        <w:trPr>
          <w:cantSplit/>
        </w:trPr>
        <w:tc>
          <w:tcPr>
            <w:tcW w:w="1350" w:type="dxa"/>
            <w:vAlign w:val="center"/>
          </w:tcPr>
          <w:p>
            <w:pPr>
              <w:spacing w:before="20" w:after="20" w:line="300" w:lineRule="exact"/>
              <w:jc w:val="left"/>
            </w:pPr>
            <w:r>
              <w:rPr>
                <w:rFonts w:ascii="Times New Roman" w:hAnsi="Times New Roman" w:eastAsia="標楷體" w:cs="Times New Roman"/>
                <w:b/>
                <w:bCs/>
                <w:sz w:val="21"/>
                <w:szCs w:val="21"/>
              </w:rPr>
              <w:t xml:space="preserve">信任</w:t>
            </w:r>
          </w:p>
        </w:tc>
        <w:tc>
          <w:tcPr>
            <w:tcW w:w="2250" w:type="dxa"/>
            <w:vAlign w:val="center"/>
          </w:tcPr>
          <w:p>
            <w:pPr>
              <w:spacing w:before="20" w:after="20" w:line="300" w:lineRule="exact"/>
              <w:jc w:val="left"/>
            </w:pPr>
            <w:r>
              <w:rPr>
                <w:rFonts w:ascii="Times New Roman" w:hAnsi="Times New Roman" w:eastAsia="標楷體" w:cs="Times New Roman"/>
                <w:sz w:val="21"/>
                <w:szCs w:val="21"/>
              </w:rPr>
              <w:t xml:space="preserve">相信主播所說內容與賣家會履行承諾的程度</w:t>
            </w:r>
          </w:p>
        </w:tc>
        <w:tc>
          <w:tcPr>
            <w:tcW w:w="4238" w:type="dxa"/>
            <w:vAlign w:val="center"/>
          </w:tcPr>
          <w:p>
            <w:pPr>
              <w:spacing w:before="20" w:after="20" w:line="300" w:lineRule="exact"/>
              <w:jc w:val="left"/>
            </w:pPr>
            <w:r>
              <w:rPr>
                <w:rFonts w:ascii="Times New Roman" w:hAnsi="Times New Roman" w:eastAsia="標楷體" w:cs="Times New Roman"/>
                <w:sz w:val="21"/>
                <w:szCs w:val="21"/>
              </w:rPr>
              <w:t xml:space="preserve">1. 我相信主播對商品的介紹。</w:t>
            </w:r>
          </w:p>
          <w:p>
            <w:pPr>
              <w:spacing w:before="20" w:after="20" w:line="300" w:lineRule="exact"/>
              <w:jc w:val="left"/>
            </w:pPr>
            <w:r>
              <w:rPr>
                <w:rFonts w:ascii="Times New Roman" w:hAnsi="Times New Roman" w:eastAsia="標楷體" w:cs="Times New Roman"/>
                <w:sz w:val="21"/>
                <w:szCs w:val="21"/>
              </w:rPr>
              <w:t xml:space="preserve">2. 我相信這個賣家會依說明出貨。</w:t>
            </w:r>
          </w:p>
          <w:p>
            <w:pPr>
              <w:spacing w:before="20" w:after="20" w:line="300" w:lineRule="exact"/>
              <w:jc w:val="left"/>
            </w:pPr>
            <w:r>
              <w:rPr>
                <w:rFonts w:ascii="Times New Roman" w:hAnsi="Times New Roman" w:eastAsia="標楷體" w:cs="Times New Roman"/>
                <w:sz w:val="21"/>
                <w:szCs w:val="21"/>
              </w:rPr>
              <w:t xml:space="preserve">3. 整體而言，我對這次購物感到放心。</w:t>
            </w:r>
          </w:p>
        </w:tc>
        <w:tc>
          <w:tcPr>
            <w:tcW w:w="1800" w:type="dxa"/>
            <w:vAlign w:val="center"/>
          </w:tcPr>
          <w:p>
            <w:pPr>
              <w:spacing w:before="20" w:after="20" w:line="300" w:lineRule="exact"/>
              <w:jc w:val="left"/>
            </w:pPr>
            <w:hyperlink r:id="rIdL61" w:history="1">
              <w:r>
                <w:rPr>
                  <w:rStyle w:val="Hyperlink"/>
                  <w:rFonts w:ascii="Times New Roman" w:hAnsi="Times New Roman" w:eastAsia="標楷體" w:cs="Times New Roman"/>
                  <w:sz w:val="21"/>
                  <w:szCs w:val="21"/>
                </w:rPr>
                <w:t xml:space="preserve">Gefen et al. (2003)</w:t>
              </w:r>
            </w:hyperlink>
          </w:p>
          <w:p>
            <w:pPr>
              <w:spacing w:before="20" w:after="20" w:line="300" w:lineRule="exact"/>
              <w:jc w:val="left"/>
            </w:pPr>
            <w:hyperlink r:id="rIdL1" w:history="1">
              <w:r>
                <w:rPr>
                  <w:rStyle w:val="Hyperlink"/>
                  <w:rFonts w:ascii="Times New Roman" w:hAnsi="Times New Roman" w:eastAsia="標楷體" w:cs="Times New Roman"/>
                  <w:sz w:val="21"/>
                  <w:szCs w:val="21"/>
                </w:rPr>
                <w:t xml:space="preserve">Wongkitrungrueng &amp; Assarut (2020)</w:t>
              </w:r>
            </w:hyperlink>
          </w:p>
        </w:tc>
      </w:tr>
      <w:tr>
        <w:trPr>
          <w:cantSplit/>
        </w:trPr>
        <w:tc>
          <w:tcPr>
            <w:tcW w:w="1350" w:type="dxa"/>
            <w:vAlign w:val="center"/>
          </w:tcPr>
          <w:p>
            <w:pPr>
              <w:spacing w:before="20" w:after="20" w:line="300" w:lineRule="exact"/>
              <w:jc w:val="left"/>
            </w:pPr>
            <w:r>
              <w:rPr>
                <w:rFonts w:ascii="Times New Roman" w:hAnsi="Times New Roman" w:eastAsia="標楷體" w:cs="Times New Roman"/>
                <w:b/>
                <w:bCs/>
                <w:sz w:val="21"/>
                <w:szCs w:val="21"/>
              </w:rPr>
              <w:t xml:space="preserve">購前期望與</w:t>
            </w:r>
          </w:p>
          <w:p>
            <w:pPr>
              <w:spacing w:before="20" w:after="20" w:line="300" w:lineRule="exact"/>
              <w:jc w:val="left"/>
            </w:pPr>
            <w:r>
              <w:rPr>
                <w:rFonts w:ascii="Times New Roman" w:hAnsi="Times New Roman" w:eastAsia="標楷體" w:cs="Times New Roman"/>
                <w:b/>
                <w:bCs/>
                <w:sz w:val="21"/>
                <w:szCs w:val="21"/>
              </w:rPr>
              <w:t xml:space="preserve">期望確認</w:t>
            </w:r>
          </w:p>
        </w:tc>
        <w:tc>
          <w:tcPr>
            <w:tcW w:w="2250" w:type="dxa"/>
            <w:vAlign w:val="center"/>
          </w:tcPr>
          <w:p>
            <w:pPr>
              <w:spacing w:before="20" w:after="20" w:line="300" w:lineRule="exact"/>
              <w:jc w:val="left"/>
            </w:pPr>
            <w:r>
              <w:rPr>
                <w:rFonts w:ascii="Times New Roman" w:hAnsi="Times New Roman" w:eastAsia="標楷體" w:cs="Times New Roman"/>
                <w:sz w:val="21"/>
                <w:szCs w:val="21"/>
              </w:rPr>
              <w:t xml:space="preserve">購買前對商品表現的期待，以及收貨後與期待相符的程度</w:t>
            </w:r>
          </w:p>
        </w:tc>
        <w:tc>
          <w:tcPr>
            <w:tcW w:w="4238" w:type="dxa"/>
            <w:vAlign w:val="center"/>
          </w:tcPr>
          <w:p>
            <w:pPr>
              <w:spacing w:before="20" w:after="20" w:line="300" w:lineRule="exact"/>
              <w:jc w:val="left"/>
            </w:pPr>
            <w:r>
              <w:rPr>
                <w:rFonts w:ascii="Times New Roman" w:hAnsi="Times New Roman" w:eastAsia="標楷體" w:cs="Times New Roman"/>
                <w:sz w:val="21"/>
                <w:szCs w:val="21"/>
              </w:rPr>
              <w:t xml:space="preserve">購前期望：「看完直播，我對這件商品的期待很高。」</w:t>
            </w:r>
          </w:p>
          <w:p>
            <w:pPr>
              <w:spacing w:before="20" w:after="20" w:line="300" w:lineRule="exact"/>
              <w:jc w:val="left"/>
            </w:pPr>
            <w:r>
              <w:rPr>
                <w:rFonts w:ascii="Times New Roman" w:hAnsi="Times New Roman" w:eastAsia="標楷體" w:cs="Times New Roman"/>
                <w:sz w:val="21"/>
                <w:szCs w:val="21"/>
              </w:rPr>
              <w:t xml:space="preserve">期望確認：「商品的實際表現和我的期待相符。」「商品比我預期的好。」</w:t>
            </w:r>
          </w:p>
        </w:tc>
        <w:tc>
          <w:tcPr>
            <w:tcW w:w="1800" w:type="dxa"/>
            <w:vAlign w:val="center"/>
          </w:tcPr>
          <w:p>
            <w:pPr>
              <w:spacing w:before="20" w:after="20" w:line="300" w:lineRule="exact"/>
              <w:jc w:val="left"/>
            </w:pPr>
            <w:hyperlink r:id="rIdL28" w:history="1">
              <w:r>
                <w:rPr>
                  <w:rStyle w:val="Hyperlink"/>
                  <w:rFonts w:ascii="Times New Roman" w:hAnsi="Times New Roman" w:eastAsia="標楷體" w:cs="Times New Roman"/>
                  <w:sz w:val="21"/>
                  <w:szCs w:val="21"/>
                </w:rPr>
                <w:t xml:space="preserve">Oliver (1980)</w:t>
              </w:r>
            </w:hyperlink>
          </w:p>
        </w:tc>
      </w:tr>
      <w:tr>
        <w:trPr>
          <w:cantSplit/>
        </w:trPr>
        <w:tc>
          <w:tcPr>
            <w:tcW w:w="1350" w:type="dxa"/>
            <w:vAlign w:val="center"/>
          </w:tcPr>
          <w:p>
            <w:pPr>
              <w:spacing w:before="20" w:after="20" w:line="300" w:lineRule="exact"/>
              <w:jc w:val="left"/>
            </w:pPr>
            <w:r>
              <w:rPr>
                <w:rFonts w:ascii="Times New Roman" w:hAnsi="Times New Roman" w:eastAsia="標楷體" w:cs="Times New Roman"/>
                <w:b/>
                <w:bCs/>
                <w:sz w:val="21"/>
                <w:szCs w:val="21"/>
              </w:rPr>
              <w:t xml:space="preserve">購後滿意與後悔</w:t>
            </w:r>
          </w:p>
        </w:tc>
        <w:tc>
          <w:tcPr>
            <w:tcW w:w="2250" w:type="dxa"/>
            <w:vAlign w:val="center"/>
          </w:tcPr>
          <w:p>
            <w:pPr>
              <w:spacing w:before="20" w:after="20" w:line="300" w:lineRule="exact"/>
              <w:jc w:val="left"/>
            </w:pPr>
            <w:r>
              <w:rPr>
                <w:rFonts w:ascii="Times New Roman" w:hAnsi="Times New Roman" w:eastAsia="標楷體" w:cs="Times New Roman"/>
                <w:sz w:val="21"/>
                <w:szCs w:val="21"/>
              </w:rPr>
              <w:t xml:space="preserve">收貨使用後的整體評價與對購買決定的後悔</w:t>
            </w:r>
          </w:p>
        </w:tc>
        <w:tc>
          <w:tcPr>
            <w:tcW w:w="4238" w:type="dxa"/>
            <w:vAlign w:val="center"/>
          </w:tcPr>
          <w:p>
            <w:pPr>
              <w:spacing w:before="20" w:after="20" w:line="300" w:lineRule="exact"/>
              <w:jc w:val="left"/>
            </w:pPr>
            <w:r>
              <w:rPr>
                <w:rFonts w:ascii="Times New Roman" w:hAnsi="Times New Roman" w:eastAsia="標楷體" w:cs="Times New Roman"/>
                <w:sz w:val="21"/>
                <w:szCs w:val="21"/>
              </w:rPr>
              <w:t xml:space="preserve">滿意三題；後悔：「我希望當初沒有買這件商品。」「如果重來，我會做不同的選擇。」</w:t>
            </w:r>
          </w:p>
        </w:tc>
        <w:tc>
          <w:tcPr>
            <w:tcW w:w="1800" w:type="dxa"/>
            <w:vAlign w:val="center"/>
          </w:tcPr>
          <w:p>
            <w:pPr>
              <w:spacing w:before="20" w:after="20" w:line="300" w:lineRule="exact"/>
              <w:jc w:val="left"/>
            </w:pPr>
            <w:hyperlink r:id="rIdL28" w:history="1">
              <w:r>
                <w:rPr>
                  <w:rStyle w:val="Hyperlink"/>
                  <w:rFonts w:ascii="Times New Roman" w:hAnsi="Times New Roman" w:eastAsia="標楷體" w:cs="Times New Roman"/>
                  <w:sz w:val="21"/>
                  <w:szCs w:val="21"/>
                </w:rPr>
                <w:t xml:space="preserve">Oliver (1980)</w:t>
              </w:r>
            </w:hyperlink>
          </w:p>
          <w:p>
            <w:pPr>
              <w:spacing w:before="20" w:after="20" w:line="300" w:lineRule="exact"/>
              <w:jc w:val="left"/>
            </w:pPr>
            <w:hyperlink r:id="rIdL27" w:history="1">
              <w:r>
                <w:rPr>
                  <w:rStyle w:val="Hyperlink"/>
                  <w:rFonts w:ascii="Times New Roman" w:hAnsi="Times New Roman" w:eastAsia="標楷體" w:cs="Times New Roman"/>
                  <w:sz w:val="21"/>
                  <w:szCs w:val="21"/>
                </w:rPr>
                <w:t xml:space="preserve">Tsiros &amp; Mittal (2000)</w:t>
              </w:r>
            </w:hyperlink>
          </w:p>
        </w:tc>
      </w:tr>
      <w:tr>
        <w:trPr>
          <w:cantSplit/>
        </w:trPr>
        <w:tc>
          <w:tcPr>
            <w:tcW w:w="1350" w:type="dxa"/>
            <w:vAlign w:val="center"/>
          </w:tcPr>
          <w:p>
            <w:pPr>
              <w:spacing w:before="20" w:after="20" w:line="300" w:lineRule="exact"/>
              <w:jc w:val="left"/>
            </w:pPr>
            <w:r>
              <w:rPr>
                <w:rFonts w:ascii="Times New Roman" w:hAnsi="Times New Roman" w:eastAsia="標楷體" w:cs="Times New Roman"/>
                <w:b/>
                <w:bCs/>
                <w:sz w:val="21"/>
                <w:szCs w:val="21"/>
              </w:rPr>
              <w:t xml:space="preserve">退貨與再購</w:t>
            </w:r>
          </w:p>
        </w:tc>
        <w:tc>
          <w:tcPr>
            <w:tcW w:w="2250" w:type="dxa"/>
            <w:vAlign w:val="center"/>
          </w:tcPr>
          <w:p>
            <w:pPr>
              <w:spacing w:before="20" w:after="20" w:line="300" w:lineRule="exact"/>
              <w:jc w:val="left"/>
            </w:pPr>
            <w:r>
              <w:rPr>
                <w:rFonts w:ascii="Times New Roman" w:hAnsi="Times New Roman" w:eastAsia="標楷體" w:cs="Times New Roman"/>
                <w:sz w:val="21"/>
                <w:szCs w:val="21"/>
              </w:rPr>
              <w:t xml:space="preserve">實際退貨行為與未來再向該主播購買的傾向</w:t>
            </w:r>
          </w:p>
        </w:tc>
        <w:tc>
          <w:tcPr>
            <w:tcW w:w="4238" w:type="dxa"/>
            <w:vAlign w:val="center"/>
          </w:tcPr>
          <w:p>
            <w:pPr>
              <w:spacing w:before="20" w:after="20" w:line="300" w:lineRule="exact"/>
              <w:jc w:val="left"/>
            </w:pPr>
            <w:r>
              <w:rPr>
                <w:rFonts w:ascii="Times New Roman" w:hAnsi="Times New Roman" w:eastAsia="標楷體" w:cs="Times New Roman"/>
                <w:sz w:val="21"/>
                <w:szCs w:val="21"/>
              </w:rPr>
              <w:t xml:space="preserve">退貨行為：三個月後回報是否退貨（是／否）；退貨意圖兩題；再購意圖兩題</w:t>
            </w:r>
          </w:p>
        </w:tc>
        <w:tc>
          <w:tcPr>
            <w:tcW w:w="1800" w:type="dxa"/>
            <w:vAlign w:val="center"/>
          </w:tcPr>
          <w:p>
            <w:pPr>
              <w:spacing w:before="20" w:after="20" w:line="300" w:lineRule="exact"/>
              <w:jc w:val="left"/>
            </w:pPr>
            <w:hyperlink r:id="rIdL55" w:history="1">
              <w:r>
                <w:rPr>
                  <w:rStyle w:val="Hyperlink"/>
                  <w:rFonts w:ascii="Times New Roman" w:hAnsi="Times New Roman" w:eastAsia="標楷體" w:cs="Times New Roman"/>
                  <w:sz w:val="21"/>
                  <w:szCs w:val="21"/>
                </w:rPr>
                <w:t xml:space="preserve">Janakiraman et al. (2016)</w:t>
              </w:r>
            </w:hyperlink>
          </w:p>
          <w:p>
            <w:pPr>
              <w:spacing w:before="20" w:after="20" w:line="300" w:lineRule="exact"/>
              <w:jc w:val="left"/>
            </w:pPr>
            <w:hyperlink r:id="rIdL56" w:history="1">
              <w:r>
                <w:rPr>
                  <w:rStyle w:val="Hyperlink"/>
                  <w:rFonts w:ascii="Times New Roman" w:hAnsi="Times New Roman" w:eastAsia="標楷體" w:cs="Times New Roman"/>
                  <w:sz w:val="21"/>
                  <w:szCs w:val="21"/>
                </w:rPr>
                <w:t xml:space="preserve">Duong et al. (2025)</w:t>
              </w:r>
            </w:hyperlink>
          </w:p>
        </w:tc>
      </w:tr>
      <w:tr>
        <w:trPr>
          <w:cantSplit/>
        </w:trPr>
        <w:tc>
          <w:tcPr>
            <w:tcW w:w="1350" w:type="dxa"/>
            <w:vAlign w:val="center"/>
          </w:tcPr>
          <w:p>
            <w:pPr>
              <w:spacing w:before="20" w:after="20" w:line="300" w:lineRule="exact"/>
              <w:jc w:val="left"/>
            </w:pPr>
            <w:r>
              <w:rPr>
                <w:rFonts w:ascii="Times New Roman" w:hAnsi="Times New Roman" w:eastAsia="標楷體" w:cs="Times New Roman"/>
                <w:b/>
                <w:bCs/>
                <w:sz w:val="21"/>
                <w:szCs w:val="21"/>
              </w:rPr>
              <w:t xml:space="preserve">價值傾向</w:t>
            </w:r>
          </w:p>
        </w:tc>
        <w:tc>
          <w:tcPr>
            <w:tcW w:w="2250" w:type="dxa"/>
            <w:vAlign w:val="center"/>
          </w:tcPr>
          <w:p>
            <w:pPr>
              <w:spacing w:before="20" w:after="20" w:line="300" w:lineRule="exact"/>
              <w:jc w:val="left"/>
            </w:pPr>
            <w:r>
              <w:rPr>
                <w:rFonts w:ascii="Times New Roman" w:hAnsi="Times New Roman" w:eastAsia="標楷體" w:cs="Times New Roman"/>
                <w:sz w:val="21"/>
                <w:szCs w:val="21"/>
              </w:rPr>
              <w:t xml:space="preserve">消費者在直播購物中重視功能價值或情感社會價值的程度</w:t>
            </w:r>
          </w:p>
        </w:tc>
        <w:tc>
          <w:tcPr>
            <w:tcW w:w="4238" w:type="dxa"/>
            <w:vAlign w:val="center"/>
          </w:tcPr>
          <w:p>
            <w:pPr>
              <w:spacing w:before="20" w:after="20" w:line="300" w:lineRule="exact"/>
              <w:jc w:val="left"/>
            </w:pPr>
            <w:r>
              <w:rPr>
                <w:rFonts w:ascii="Times New Roman" w:hAnsi="Times New Roman" w:eastAsia="標楷體" w:cs="Times New Roman"/>
                <w:sz w:val="21"/>
                <w:szCs w:val="21"/>
              </w:rPr>
              <w:t xml:space="preserve">第一階段研究 1e 發展之量表</w:t>
            </w:r>
          </w:p>
        </w:tc>
        <w:tc>
          <w:tcPr>
            <w:tcW w:w="1800" w:type="dxa"/>
            <w:vAlign w:val="center"/>
          </w:tcPr>
          <w:p>
            <w:pPr>
              <w:spacing w:before="20" w:after="20" w:line="300" w:lineRule="exact"/>
              <w:jc w:val="left"/>
            </w:pPr>
            <w:r>
              <w:rPr>
                <w:rFonts w:ascii="Times New Roman" w:hAnsi="Times New Roman" w:eastAsia="標楷體" w:cs="Times New Roman"/>
                <w:sz w:val="21"/>
                <w:szCs w:val="21"/>
              </w:rPr>
              <w:t xml:space="preserve">本計畫第一階段</w:t>
            </w:r>
          </w:p>
        </w:tc>
      </w:tr>
    </w:tbl>
    <w:p>
      <w:pPr>
        <w:spacing w:before="0" w:after="0" w:line="200" w:lineRule="exact"/>
      </w:pPr>
    </w:p>
    <w:p>
      <w:pPr>
        <w:keepNext/>
        <w:spacing w:before="0" w:after="0" w:line="440" w:lineRule="exact"/>
      </w:pPr>
      <w:r>
        <w:rPr>
          <w:rFonts w:ascii="Times New Roman" w:hAnsi="Times New Roman" w:eastAsia="標楷體" w:cs="Times New Roman"/>
          <w:b/>
          <w:bCs/>
        </w:rPr>
        <w:t xml:space="preserve">5. 資料分析方法</w:t>
      </w:r>
    </w:p>
    <w:p>
      <w:pPr>
        <w:spacing w:before="0" w:after="0" w:line="440" w:lineRule="exact"/>
        <w:ind w:firstLineChars="200" w:firstLine="480"/>
        <w:jc w:val="both"/>
      </w:pPr>
      <w:r>
        <w:rPr>
          <w:rFonts w:ascii="Times New Roman" w:hAnsi="Times New Roman" w:eastAsia="標楷體" w:cs="Times New Roman"/>
        </w:rPr>
        <w:t xml:space="preserve">研究 3c（2029.02–2029.04）的分析步驟如下：(1) 以敘述統計描述樣本結構，並以 Harman 單因子檢定與標記變數法檢查共同方法變異 (</w:t>
      </w:r>
      <w:hyperlink r:id="rIdL74" w:history="1">
        <w:r>
          <w:rPr>
            <w:rStyle w:val="Hyperlink"/>
            <w:rFonts w:ascii="Times New Roman" w:hAnsi="Times New Roman" w:eastAsia="標楷體" w:cs="Times New Roman"/>
          </w:rPr>
          <w:t xml:space="preserve">Podsakoff et al., 2003</w:t>
        </w:r>
      </w:hyperlink>
      <w:r>
        <w:rPr>
          <w:rFonts w:ascii="Times New Roman" w:hAnsi="Times New Roman" w:eastAsia="標楷體" w:cs="Times New Roman"/>
        </w:rPr>
        <w:t xml:space="preserve">)。(2) 依兩階段法先以驗證性因素分析檢驗測量模式 (</w:t>
      </w:r>
      <w:hyperlink r:id="rIdL13" w:history="1">
        <w:r>
          <w:rPr>
            <w:rStyle w:val="Hyperlink"/>
            <w:rFonts w:ascii="Times New Roman" w:hAnsi="Times New Roman" w:eastAsia="標楷體" w:cs="Times New Roman"/>
          </w:rPr>
          <w:t xml:space="preserve">Anderson &amp; Gerbing, 1988</w:t>
        </w:r>
      </w:hyperlink>
      <w:r>
        <w:rPr>
          <w:rFonts w:ascii="Times New Roman" w:hAnsi="Times New Roman" w:eastAsia="標楷體" w:cs="Times New Roman"/>
        </w:rPr>
        <w:t xml:space="preserve">)，以組合信度、平均變異萃取量與區別效度檢驗信效度 (</w:t>
      </w:r>
      <w:hyperlink r:id="rIdL67" w:history="1">
        <w:r>
          <w:rPr>
            <w:rStyle w:val="Hyperlink"/>
            <w:rFonts w:ascii="Times New Roman" w:hAnsi="Times New Roman" w:eastAsia="標楷體" w:cs="Times New Roman"/>
          </w:rPr>
          <w:t xml:space="preserve">Fornell &amp; Larcker, 1981</w:t>
        </w:r>
      </w:hyperlink>
      <w:r>
        <w:rPr>
          <w:rFonts w:ascii="Times New Roman" w:hAnsi="Times New Roman" w:eastAsia="標楷體" w:cs="Times New Roman"/>
        </w:rPr>
        <w:t xml:space="preserve">)，並以 CFI、TLI、RMSEA、SRMR 評估適配度 (</w:t>
      </w:r>
      <w:hyperlink r:id="rIdL68" w:history="1">
        <w:r>
          <w:rPr>
            <w:rStyle w:val="Hyperlink"/>
            <w:rFonts w:ascii="Times New Roman" w:hAnsi="Times New Roman" w:eastAsia="標楷體" w:cs="Times New Roman"/>
          </w:rPr>
          <w:t xml:space="preserve">Hu &amp; Bentler, 1999</w:t>
        </w:r>
      </w:hyperlink>
      <w:r>
        <w:rPr>
          <w:rFonts w:ascii="Times New Roman" w:hAnsi="Times New Roman" w:eastAsia="標楷體" w:cs="Times New Roman"/>
        </w:rPr>
        <w:t xml:space="preserve">)。(3) 估計結構模式，檢驗 H1–H3；退貨行為為二元變數，以 WLSMV 估計。(4) 多群組 SEM：先依序檢驗形貌、量尺與純量恆等性 (</w:t>
      </w:r>
      <w:hyperlink r:id="rIdL29" w:history="1">
        <w:r>
          <w:rPr>
            <w:rStyle w:val="Hyperlink"/>
            <w:rFonts w:ascii="Times New Roman" w:hAnsi="Times New Roman" w:eastAsia="標楷體" w:cs="Times New Roman"/>
          </w:rPr>
          <w:t xml:space="preserve">Cheung &amp; Rensvold, 2002</w:t>
        </w:r>
      </w:hyperlink>
      <w:r>
        <w:rPr>
          <w:rFonts w:ascii="Times New Roman" w:hAnsi="Times New Roman" w:eastAsia="標楷體" w:cs="Times New Roman"/>
        </w:rPr>
        <w:t xml:space="preserve">)，若以 PLS-SEM 估計則以 MICOM 程序檢驗 (</w:t>
      </w:r>
      <w:hyperlink r:id="rIdL62" w:history="1">
        <w:r>
          <w:rPr>
            <w:rStyle w:val="Hyperlink"/>
            <w:rFonts w:ascii="Times New Roman" w:hAnsi="Times New Roman" w:eastAsia="標楷體" w:cs="Times New Roman"/>
          </w:rPr>
          <w:t xml:space="preserve">Henseler et al., 2016</w:t>
        </w:r>
      </w:hyperlink>
      <w:r>
        <w:rPr>
          <w:rFonts w:ascii="Times New Roman" w:hAnsi="Times New Roman" w:eastAsia="標楷體" w:cs="Times New Roman"/>
        </w:rPr>
        <w:t xml:space="preserve">; </w:t>
      </w:r>
      <w:hyperlink r:id="rIdL75" w:history="1">
        <w:r>
          <w:rPr>
            <w:rStyle w:val="Hyperlink"/>
            <w:rFonts w:ascii="Times New Roman" w:hAnsi="Times New Roman" w:eastAsia="標楷體" w:cs="Times New Roman"/>
          </w:rPr>
          <w:t xml:space="preserve">Hair et al., 2019</w:t>
        </w:r>
      </w:hyperlink>
      <w:r>
        <w:rPr>
          <w:rFonts w:ascii="Times New Roman" w:hAnsi="Times New Roman" w:eastAsia="標楷體" w:cs="Times New Roman"/>
        </w:rPr>
        <w:t xml:space="preserve">)，再以路徑係數差異檢定 H4 與 H5。</w:t>
      </w:r>
    </w:p>
    <w:p>
      <w:pPr>
        <w:pStyle w:val="Heading3"/>
        <w:keepNext/>
        <w:spacing w:before="120" w:after="40" w:line="440" w:lineRule="exact"/>
        <w:ind w:left="480" w:hanging="480"/>
      </w:pPr>
      <w:r>
        <w:rPr>
          <w:rFonts w:ascii="Times New Roman" w:hAnsi="Times New Roman" w:eastAsia="標楷體" w:cs="Times New Roman"/>
          <w:b/>
          <w:bCs/>
        </w:rPr>
        <w:t xml:space="preserve">（四）三階段共同之研究效度與開放科學程序</w:t>
      </w:r>
    </w:p>
    <w:p>
      <w:pPr>
        <w:spacing w:before="0" w:after="0" w:line="440" w:lineRule="exact"/>
        <w:ind w:firstLineChars="200" w:firstLine="480"/>
        <w:jc w:val="both"/>
      </w:pPr>
      <w:r>
        <w:rPr>
          <w:rFonts w:ascii="Times New Roman" w:hAnsi="Times New Roman" w:eastAsia="標楷體" w:cs="Times New Roman"/>
        </w:rPr>
        <w:t xml:space="preserve">本計畫不使用資料探勘，但仍需防範「多重檢定與彈性分析」造成的偽陽性結果 (</w:t>
      </w:r>
      <w:hyperlink r:id="rIdL76" w:history="1">
        <w:r>
          <w:rPr>
            <w:rStyle w:val="Hyperlink"/>
            <w:rFonts w:ascii="Times New Roman" w:hAnsi="Times New Roman" w:eastAsia="標楷體" w:cs="Times New Roman"/>
          </w:rPr>
          <w:t xml:space="preserve">Simmons et al., 2011</w:t>
        </w:r>
      </w:hyperlink>
      <w:r>
        <w:rPr>
          <w:rFonts w:ascii="Times New Roman" w:hAnsi="Times New Roman" w:eastAsia="標楷體" w:cs="Times New Roman"/>
        </w:rPr>
        <w:t xml:space="preserve">)。三個階段共用表 10 的效度與開放科學程序；任何偏離預先註冊的分析，皆於論文中標示為探索性分析。</w:t>
      </w:r>
    </w:p>
    <w:p>
      <w:pPr>
        <w:keepNext/>
        <w:spacing w:before="120" w:after="80" w:line="360" w:lineRule="exact"/>
        <w:jc w:val="center"/>
      </w:pPr>
      <w:r>
        <w:rPr>
          <w:rFonts w:ascii="Times New Roman" w:hAnsi="Times New Roman" w:eastAsia="標楷體" w:cs="Times New Roman"/>
        </w:rPr>
        <w:t xml:space="preserve">表 10　三階段共同之研究效度與開放科學程序</w:t>
      </w:r>
    </w:p>
    <w:tbl>
      <w:tblPr>
        <w:tblW w:w="96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57" w:type="dxa"/>
          <w:right w:w="57" w:type="dxa"/>
        </w:tblCellMar>
      </w:tblPr>
      <w:tblGrid>
        <w:gridCol w:w="1900"/>
        <w:gridCol w:w="4000"/>
        <w:gridCol w:w="2300"/>
        <w:gridCol w:w="1438"/>
      </w:tblGrid>
      <w:tr>
        <w:trPr>
          <w:tblHeader/>
          <w:cantSplit/>
        </w:trPr>
        <w:tc>
          <w:tcPr>
            <w:tcW w:w="1900"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程序</w:t>
            </w:r>
          </w:p>
        </w:tc>
        <w:tc>
          <w:tcPr>
            <w:tcW w:w="4000"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主要做法</w:t>
            </w:r>
          </w:p>
        </w:tc>
        <w:tc>
          <w:tcPr>
            <w:tcW w:w="2300"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判定標準／產出</w:t>
            </w:r>
          </w:p>
        </w:tc>
        <w:tc>
          <w:tcPr>
            <w:tcW w:w="1438"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時點</w:t>
            </w:r>
          </w:p>
        </w:tc>
      </w:tr>
      <w:tr>
        <w:trPr>
          <w:cantSplit/>
        </w:trPr>
        <w:tc>
          <w:tcPr>
            <w:tcW w:w="1900" w:type="dxa"/>
            <w:vAlign w:val="center"/>
          </w:tcPr>
          <w:p>
            <w:pPr>
              <w:spacing w:before="20" w:after="20" w:line="300" w:lineRule="exact"/>
              <w:jc w:val="left"/>
            </w:pPr>
            <w:r>
              <w:rPr>
                <w:rFonts w:ascii="Times New Roman" w:hAnsi="Times New Roman" w:eastAsia="標楷體" w:cs="Times New Roman"/>
                <w:sz w:val="21"/>
                <w:szCs w:val="21"/>
              </w:rPr>
              <w:t xml:space="preserve">1 預先註冊</w:t>
            </w:r>
          </w:p>
        </w:tc>
        <w:tc>
          <w:tcPr>
            <w:tcW w:w="4000" w:type="dxa"/>
            <w:vAlign w:val="center"/>
          </w:tcPr>
          <w:p>
            <w:pPr>
              <w:spacing w:before="20" w:after="20" w:line="300" w:lineRule="exact"/>
              <w:jc w:val="left"/>
            </w:pPr>
            <w:r>
              <w:rPr>
                <w:rFonts w:ascii="Times New Roman" w:hAnsi="Times New Roman" w:eastAsia="標楷體" w:cs="Times New Roman"/>
                <w:sz w:val="21"/>
                <w:szCs w:val="21"/>
              </w:rPr>
              <w:t xml:space="preserve">在 OSF 公開研究問題、假說、樣本數、排除規則與分析計畫 (</w:t>
            </w:r>
            <w:hyperlink r:id="rIdL36" w:history="1">
              <w:r>
                <w:rPr>
                  <w:rStyle w:val="Hyperlink"/>
                  <w:rFonts w:ascii="Times New Roman" w:hAnsi="Times New Roman" w:eastAsia="標楷體" w:cs="Times New Roman"/>
                  <w:sz w:val="21"/>
                  <w:szCs w:val="21"/>
                </w:rPr>
                <w:t xml:space="preserve">Nosek et al., 2018</w:t>
              </w:r>
            </w:hyperlink>
            <w:r>
              <w:rPr>
                <w:rFonts w:ascii="Times New Roman" w:hAnsi="Times New Roman" w:eastAsia="標楷體" w:cs="Times New Roman"/>
                <w:sz w:val="21"/>
                <w:szCs w:val="21"/>
              </w:rPr>
              <w:t xml:space="preserve">)</w:t>
            </w:r>
          </w:p>
        </w:tc>
        <w:tc>
          <w:tcPr>
            <w:tcW w:w="2300" w:type="dxa"/>
            <w:vAlign w:val="center"/>
          </w:tcPr>
          <w:p>
            <w:pPr>
              <w:spacing w:before="20" w:after="20" w:line="300" w:lineRule="exact"/>
              <w:jc w:val="left"/>
            </w:pPr>
            <w:r>
              <w:rPr>
                <w:rFonts w:ascii="Times New Roman" w:hAnsi="Times New Roman" w:eastAsia="標楷體" w:cs="Times New Roman"/>
                <w:sz w:val="21"/>
                <w:szCs w:val="21"/>
              </w:rPr>
              <w:t xml:space="preserve">每階段 1 份註冊文件（含時間戳記）</w:t>
            </w:r>
          </w:p>
        </w:tc>
        <w:tc>
          <w:tcPr>
            <w:tcW w:w="1438" w:type="dxa"/>
            <w:vAlign w:val="center"/>
          </w:tcPr>
          <w:p>
            <w:pPr>
              <w:spacing w:before="20" w:after="20" w:line="300" w:lineRule="exact"/>
              <w:jc w:val="left"/>
            </w:pPr>
            <w:r>
              <w:rPr>
                <w:rFonts w:ascii="Times New Roman" w:hAnsi="Times New Roman" w:eastAsia="標楷體" w:cs="Times New Roman"/>
                <w:sz w:val="21"/>
                <w:szCs w:val="21"/>
              </w:rPr>
              <w:t xml:space="preserve">各階段資料蒐集前</w:t>
            </w:r>
          </w:p>
        </w:tc>
      </w:tr>
      <w:tr>
        <w:trPr>
          <w:cantSplit/>
        </w:trPr>
        <w:tc>
          <w:tcPr>
            <w:tcW w:w="1900" w:type="dxa"/>
            <w:vAlign w:val="center"/>
          </w:tcPr>
          <w:p>
            <w:pPr>
              <w:spacing w:before="20" w:after="20" w:line="300" w:lineRule="exact"/>
              <w:jc w:val="left"/>
            </w:pPr>
            <w:r>
              <w:rPr>
                <w:rFonts w:ascii="Times New Roman" w:hAnsi="Times New Roman" w:eastAsia="標楷體" w:cs="Times New Roman"/>
                <w:sz w:val="21"/>
                <w:szCs w:val="21"/>
              </w:rPr>
              <w:t xml:space="preserve">2 編碼信度</w:t>
            </w:r>
          </w:p>
        </w:tc>
        <w:tc>
          <w:tcPr>
            <w:tcW w:w="4000" w:type="dxa"/>
            <w:vAlign w:val="center"/>
          </w:tcPr>
          <w:p>
            <w:pPr>
              <w:spacing w:before="20" w:after="20" w:line="300" w:lineRule="exact"/>
              <w:jc w:val="left"/>
            </w:pPr>
            <w:r>
              <w:rPr>
                <w:rFonts w:ascii="Times New Roman" w:hAnsi="Times New Roman" w:eastAsia="標楷體" w:cs="Times New Roman"/>
                <w:sz w:val="21"/>
                <w:szCs w:val="21"/>
              </w:rPr>
              <w:t xml:space="preserve">兩位編碼員獨立編碼，事先註冊編碼層級與截斷值 (</w:t>
            </w:r>
            <w:hyperlink r:id="rIdL31" w:history="1">
              <w:r>
                <w:rPr>
                  <w:rStyle w:val="Hyperlink"/>
                  <w:rFonts w:ascii="Times New Roman" w:hAnsi="Times New Roman" w:eastAsia="標楷體" w:cs="Times New Roman"/>
                  <w:sz w:val="21"/>
                  <w:szCs w:val="21"/>
                </w:rPr>
                <w:t xml:space="preserve">Kilwinger &amp; van Dam, 2021</w:t>
              </w:r>
            </w:hyperlink>
            <w:r>
              <w:rPr>
                <w:rFonts w:ascii="Times New Roman" w:hAnsi="Times New Roman" w:eastAsia="標楷體" w:cs="Times New Roman"/>
                <w:sz w:val="21"/>
                <w:szCs w:val="21"/>
              </w:rPr>
              <w:t xml:space="preserve">)</w:t>
            </w:r>
          </w:p>
        </w:tc>
        <w:tc>
          <w:tcPr>
            <w:tcW w:w="2300" w:type="dxa"/>
            <w:vAlign w:val="center"/>
          </w:tcPr>
          <w:p>
            <w:pPr>
              <w:spacing w:before="20" w:after="20" w:line="300" w:lineRule="exact"/>
              <w:jc w:val="left"/>
            </w:pPr>
            <w:r>
              <w:rPr>
                <w:rFonts w:ascii="Times New Roman" w:hAnsi="Times New Roman" w:eastAsia="標楷體" w:cs="Times New Roman"/>
                <w:sz w:val="21"/>
                <w:szCs w:val="21"/>
              </w:rPr>
              <w:t xml:space="preserve">kappa ≥ .70；Perreault &amp; Leigh 信度 ≥ .80</w:t>
            </w:r>
          </w:p>
        </w:tc>
        <w:tc>
          <w:tcPr>
            <w:tcW w:w="1438" w:type="dxa"/>
            <w:vAlign w:val="center"/>
          </w:tcPr>
          <w:p>
            <w:pPr>
              <w:spacing w:before="20" w:after="20" w:line="300" w:lineRule="exact"/>
              <w:jc w:val="left"/>
            </w:pPr>
            <w:r>
              <w:rPr>
                <w:rFonts w:ascii="Times New Roman" w:hAnsi="Times New Roman" w:eastAsia="標楷體" w:cs="Times New Roman"/>
                <w:sz w:val="21"/>
                <w:szCs w:val="21"/>
              </w:rPr>
              <w:t xml:space="preserve">第一階段</w:t>
            </w:r>
          </w:p>
        </w:tc>
      </w:tr>
      <w:tr>
        <w:trPr>
          <w:cantSplit/>
        </w:trPr>
        <w:tc>
          <w:tcPr>
            <w:tcW w:w="1900" w:type="dxa"/>
            <w:vAlign w:val="center"/>
          </w:tcPr>
          <w:p>
            <w:pPr>
              <w:spacing w:before="20" w:after="20" w:line="300" w:lineRule="exact"/>
              <w:jc w:val="left"/>
            </w:pPr>
            <w:r>
              <w:rPr>
                <w:rFonts w:ascii="Times New Roman" w:hAnsi="Times New Roman" w:eastAsia="標楷體" w:cs="Times New Roman"/>
                <w:sz w:val="21"/>
                <w:szCs w:val="21"/>
              </w:rPr>
              <w:t xml:space="preserve">3 操弄檢驗與刺激抽樣</w:t>
            </w:r>
          </w:p>
        </w:tc>
        <w:tc>
          <w:tcPr>
            <w:tcW w:w="4000" w:type="dxa"/>
            <w:vAlign w:val="center"/>
          </w:tcPr>
          <w:p>
            <w:pPr>
              <w:spacing w:before="20" w:after="20" w:line="300" w:lineRule="exact"/>
              <w:jc w:val="left"/>
            </w:pPr>
            <w:r>
              <w:rPr>
                <w:rFonts w:ascii="Times New Roman" w:hAnsi="Times New Roman" w:eastAsia="標楷體" w:cs="Times New Roman"/>
                <w:sz w:val="21"/>
                <w:szCs w:val="21"/>
              </w:rPr>
              <w:t xml:space="preserve">前測確認操弄成立；每條件使用多個產品例子，分析時視為隨機效果 (</w:t>
            </w:r>
            <w:hyperlink r:id="rIdL12" w:history="1">
              <w:r>
                <w:rPr>
                  <w:rStyle w:val="Hyperlink"/>
                  <w:rFonts w:ascii="Times New Roman" w:hAnsi="Times New Roman" w:eastAsia="標楷體" w:cs="Times New Roman"/>
                  <w:sz w:val="21"/>
                  <w:szCs w:val="21"/>
                </w:rPr>
                <w:t xml:space="preserve">Wells &amp; Windschitl, 1999</w:t>
              </w:r>
            </w:hyperlink>
            <w:r>
              <w:rPr>
                <w:rFonts w:ascii="Times New Roman" w:hAnsi="Times New Roman" w:eastAsia="標楷體" w:cs="Times New Roman"/>
                <w:sz w:val="21"/>
                <w:szCs w:val="21"/>
              </w:rPr>
              <w:t xml:space="preserve">)</w:t>
            </w:r>
          </w:p>
        </w:tc>
        <w:tc>
          <w:tcPr>
            <w:tcW w:w="2300" w:type="dxa"/>
            <w:vAlign w:val="center"/>
          </w:tcPr>
          <w:p>
            <w:pPr>
              <w:spacing w:before="20" w:after="20" w:line="300" w:lineRule="exact"/>
              <w:jc w:val="left"/>
            </w:pPr>
            <w:r>
              <w:rPr>
                <w:rFonts w:ascii="Times New Roman" w:hAnsi="Times New Roman" w:eastAsia="標楷體" w:cs="Times New Roman"/>
                <w:sz w:val="21"/>
                <w:szCs w:val="21"/>
              </w:rPr>
              <w:t xml:space="preserve">操弄檢驗 p &lt; .05；隨機效果模型</w:t>
            </w:r>
          </w:p>
        </w:tc>
        <w:tc>
          <w:tcPr>
            <w:tcW w:w="1438" w:type="dxa"/>
            <w:vAlign w:val="center"/>
          </w:tcPr>
          <w:p>
            <w:pPr>
              <w:spacing w:before="20" w:after="20" w:line="300" w:lineRule="exact"/>
              <w:jc w:val="left"/>
            </w:pPr>
            <w:r>
              <w:rPr>
                <w:rFonts w:ascii="Times New Roman" w:hAnsi="Times New Roman" w:eastAsia="標楷體" w:cs="Times New Roman"/>
                <w:sz w:val="21"/>
                <w:szCs w:val="21"/>
              </w:rPr>
              <w:t xml:space="preserve">第二階段</w:t>
            </w:r>
          </w:p>
        </w:tc>
      </w:tr>
      <w:tr>
        <w:trPr>
          <w:cantSplit/>
        </w:trPr>
        <w:tc>
          <w:tcPr>
            <w:tcW w:w="1900" w:type="dxa"/>
            <w:vAlign w:val="center"/>
          </w:tcPr>
          <w:p>
            <w:pPr>
              <w:spacing w:before="20" w:after="20" w:line="300" w:lineRule="exact"/>
              <w:jc w:val="left"/>
            </w:pPr>
            <w:r>
              <w:rPr>
                <w:rFonts w:ascii="Times New Roman" w:hAnsi="Times New Roman" w:eastAsia="標楷體" w:cs="Times New Roman"/>
                <w:sz w:val="21"/>
                <w:szCs w:val="21"/>
              </w:rPr>
              <w:t xml:space="preserve">4 注意力與資料品質</w:t>
            </w:r>
          </w:p>
        </w:tc>
        <w:tc>
          <w:tcPr>
            <w:tcW w:w="4000" w:type="dxa"/>
            <w:vAlign w:val="center"/>
          </w:tcPr>
          <w:p>
            <w:pPr>
              <w:spacing w:before="20" w:after="20" w:line="300" w:lineRule="exact"/>
              <w:jc w:val="left"/>
            </w:pPr>
            <w:r>
              <w:rPr>
                <w:rFonts w:ascii="Times New Roman" w:hAnsi="Times New Roman" w:eastAsia="標楷體" w:cs="Times New Roman"/>
                <w:sz w:val="21"/>
                <w:szCs w:val="21"/>
              </w:rPr>
              <w:t xml:space="preserve">注意力檢核題、最短作答時間、重複填答檢查</w:t>
            </w:r>
          </w:p>
        </w:tc>
        <w:tc>
          <w:tcPr>
            <w:tcW w:w="2300" w:type="dxa"/>
            <w:vAlign w:val="center"/>
          </w:tcPr>
          <w:p>
            <w:pPr>
              <w:spacing w:before="20" w:after="20" w:line="300" w:lineRule="exact"/>
              <w:jc w:val="left"/>
            </w:pPr>
            <w:r>
              <w:rPr>
                <w:rFonts w:ascii="Times New Roman" w:hAnsi="Times New Roman" w:eastAsia="標楷體" w:cs="Times New Roman"/>
                <w:sz w:val="21"/>
                <w:szCs w:val="21"/>
              </w:rPr>
              <w:t xml:space="preserve">事先註冊之排除規則</w:t>
            </w:r>
          </w:p>
        </w:tc>
        <w:tc>
          <w:tcPr>
            <w:tcW w:w="1438" w:type="dxa"/>
            <w:vAlign w:val="center"/>
          </w:tcPr>
          <w:p>
            <w:pPr>
              <w:spacing w:before="20" w:after="20" w:line="300" w:lineRule="exact"/>
              <w:jc w:val="left"/>
            </w:pPr>
            <w:r>
              <w:rPr>
                <w:rFonts w:ascii="Times New Roman" w:hAnsi="Times New Roman" w:eastAsia="標楷體" w:cs="Times New Roman"/>
                <w:sz w:val="21"/>
                <w:szCs w:val="21"/>
              </w:rPr>
              <w:t xml:space="preserve">第二、三階段</w:t>
            </w:r>
          </w:p>
        </w:tc>
      </w:tr>
      <w:tr>
        <w:trPr>
          <w:cantSplit/>
        </w:trPr>
        <w:tc>
          <w:tcPr>
            <w:tcW w:w="1900" w:type="dxa"/>
            <w:vAlign w:val="center"/>
          </w:tcPr>
          <w:p>
            <w:pPr>
              <w:spacing w:before="20" w:after="20" w:line="300" w:lineRule="exact"/>
              <w:jc w:val="left"/>
            </w:pPr>
            <w:r>
              <w:rPr>
                <w:rFonts w:ascii="Times New Roman" w:hAnsi="Times New Roman" w:eastAsia="標楷體" w:cs="Times New Roman"/>
                <w:sz w:val="21"/>
                <w:szCs w:val="21"/>
              </w:rPr>
              <w:t xml:space="preserve">5 共同方法變異</w:t>
            </w:r>
          </w:p>
        </w:tc>
        <w:tc>
          <w:tcPr>
            <w:tcW w:w="4000" w:type="dxa"/>
            <w:vAlign w:val="center"/>
          </w:tcPr>
          <w:p>
            <w:pPr>
              <w:spacing w:before="20" w:after="20" w:line="300" w:lineRule="exact"/>
              <w:jc w:val="left"/>
            </w:pPr>
            <w:r>
              <w:rPr>
                <w:rFonts w:ascii="Times New Roman" w:hAnsi="Times New Roman" w:eastAsia="標楷體" w:cs="Times New Roman"/>
                <w:sz w:val="21"/>
                <w:szCs w:val="21"/>
              </w:rPr>
              <w:t xml:space="preserve">程序面：分離量測、匿名作答；統計面：Harman 單因子與標記變數法 (</w:t>
            </w:r>
            <w:hyperlink r:id="rIdL74" w:history="1">
              <w:r>
                <w:rPr>
                  <w:rStyle w:val="Hyperlink"/>
                  <w:rFonts w:ascii="Times New Roman" w:hAnsi="Times New Roman" w:eastAsia="標楷體" w:cs="Times New Roman"/>
                  <w:sz w:val="21"/>
                  <w:szCs w:val="21"/>
                </w:rPr>
                <w:t xml:space="preserve">Podsakoff et al., 2003</w:t>
              </w:r>
            </w:hyperlink>
            <w:r>
              <w:rPr>
                <w:rFonts w:ascii="Times New Roman" w:hAnsi="Times New Roman" w:eastAsia="標楷體" w:cs="Times New Roman"/>
                <w:sz w:val="21"/>
                <w:szCs w:val="21"/>
              </w:rPr>
              <w:t xml:space="preserve">)</w:t>
            </w:r>
          </w:p>
        </w:tc>
        <w:tc>
          <w:tcPr>
            <w:tcW w:w="2300" w:type="dxa"/>
            <w:vAlign w:val="center"/>
          </w:tcPr>
          <w:p>
            <w:pPr>
              <w:spacing w:before="20" w:after="20" w:line="300" w:lineRule="exact"/>
              <w:jc w:val="left"/>
            </w:pPr>
            <w:r>
              <w:rPr>
                <w:rFonts w:ascii="Times New Roman" w:hAnsi="Times New Roman" w:eastAsia="標楷體" w:cs="Times New Roman"/>
                <w:sz w:val="21"/>
                <w:szCs w:val="21"/>
              </w:rPr>
              <w:t xml:space="preserve">單一因子解釋變異 &lt; 50%</w:t>
            </w:r>
          </w:p>
        </w:tc>
        <w:tc>
          <w:tcPr>
            <w:tcW w:w="1438" w:type="dxa"/>
            <w:vAlign w:val="center"/>
          </w:tcPr>
          <w:p>
            <w:pPr>
              <w:spacing w:before="20" w:after="20" w:line="300" w:lineRule="exact"/>
              <w:jc w:val="left"/>
            </w:pPr>
            <w:r>
              <w:rPr>
                <w:rFonts w:ascii="Times New Roman" w:hAnsi="Times New Roman" w:eastAsia="標楷體" w:cs="Times New Roman"/>
                <w:sz w:val="21"/>
                <w:szCs w:val="21"/>
              </w:rPr>
              <w:t xml:space="preserve">第三階段</w:t>
            </w:r>
          </w:p>
        </w:tc>
      </w:tr>
      <w:tr>
        <w:trPr>
          <w:cantSplit/>
        </w:trPr>
        <w:tc>
          <w:tcPr>
            <w:tcW w:w="1900" w:type="dxa"/>
            <w:vAlign w:val="center"/>
          </w:tcPr>
          <w:p>
            <w:pPr>
              <w:spacing w:before="20" w:after="20" w:line="300" w:lineRule="exact"/>
              <w:jc w:val="left"/>
            </w:pPr>
            <w:r>
              <w:rPr>
                <w:rFonts w:ascii="Times New Roman" w:hAnsi="Times New Roman" w:eastAsia="標楷體" w:cs="Times New Roman"/>
                <w:sz w:val="21"/>
                <w:szCs w:val="21"/>
              </w:rPr>
              <w:t xml:space="preserve">6 測量恆等性</w:t>
            </w:r>
          </w:p>
        </w:tc>
        <w:tc>
          <w:tcPr>
            <w:tcW w:w="4000" w:type="dxa"/>
            <w:vAlign w:val="center"/>
          </w:tcPr>
          <w:p>
            <w:pPr>
              <w:spacing w:before="20" w:after="20" w:line="300" w:lineRule="exact"/>
              <w:jc w:val="left"/>
            </w:pPr>
            <w:r>
              <w:rPr>
                <w:rFonts w:ascii="Times New Roman" w:hAnsi="Times New Roman" w:eastAsia="標楷體" w:cs="Times New Roman"/>
                <w:sz w:val="21"/>
                <w:szCs w:val="21"/>
              </w:rPr>
              <w:t xml:space="preserve">群組比較前檢驗形貌、量尺與純量恆等性 (</w:t>
            </w:r>
            <w:hyperlink r:id="rIdL29" w:history="1">
              <w:r>
                <w:rPr>
                  <w:rStyle w:val="Hyperlink"/>
                  <w:rFonts w:ascii="Times New Roman" w:hAnsi="Times New Roman" w:eastAsia="標楷體" w:cs="Times New Roman"/>
                  <w:sz w:val="21"/>
                  <w:szCs w:val="21"/>
                </w:rPr>
                <w:t xml:space="preserve">Cheung &amp; Rensvold, 2002</w:t>
              </w:r>
            </w:hyperlink>
            <w:r>
              <w:rPr>
                <w:rFonts w:ascii="Times New Roman" w:hAnsi="Times New Roman" w:eastAsia="標楷體" w:cs="Times New Roman"/>
                <w:sz w:val="21"/>
                <w:szCs w:val="21"/>
              </w:rPr>
              <w:t xml:space="preserve">)</w:t>
            </w:r>
          </w:p>
        </w:tc>
        <w:tc>
          <w:tcPr>
            <w:tcW w:w="2300" w:type="dxa"/>
            <w:vAlign w:val="center"/>
          </w:tcPr>
          <w:p>
            <w:pPr>
              <w:spacing w:before="20" w:after="20" w:line="300" w:lineRule="exact"/>
              <w:jc w:val="left"/>
            </w:pPr>
            <w:r>
              <w:rPr>
                <w:rFonts w:ascii="Times New Roman" w:hAnsi="Times New Roman" w:eastAsia="標楷體" w:cs="Times New Roman"/>
                <w:sz w:val="21"/>
                <w:szCs w:val="21"/>
              </w:rPr>
              <w:t xml:space="preserve">ΔCFI ≤ .01</w:t>
            </w:r>
          </w:p>
        </w:tc>
        <w:tc>
          <w:tcPr>
            <w:tcW w:w="1438" w:type="dxa"/>
            <w:vAlign w:val="center"/>
          </w:tcPr>
          <w:p>
            <w:pPr>
              <w:spacing w:before="20" w:after="20" w:line="300" w:lineRule="exact"/>
              <w:jc w:val="left"/>
            </w:pPr>
            <w:r>
              <w:rPr>
                <w:rFonts w:ascii="Times New Roman" w:hAnsi="Times New Roman" w:eastAsia="標楷體" w:cs="Times New Roman"/>
                <w:sz w:val="21"/>
                <w:szCs w:val="21"/>
              </w:rPr>
              <w:t xml:space="preserve">第三階段</w:t>
            </w:r>
          </w:p>
        </w:tc>
      </w:tr>
      <w:tr>
        <w:trPr>
          <w:cantSplit/>
        </w:trPr>
        <w:tc>
          <w:tcPr>
            <w:tcW w:w="1900" w:type="dxa"/>
            <w:vAlign w:val="center"/>
          </w:tcPr>
          <w:p>
            <w:pPr>
              <w:spacing w:before="20" w:after="20" w:line="300" w:lineRule="exact"/>
              <w:jc w:val="left"/>
            </w:pPr>
            <w:r>
              <w:rPr>
                <w:rFonts w:ascii="Times New Roman" w:hAnsi="Times New Roman" w:eastAsia="標楷體" w:cs="Times New Roman"/>
                <w:sz w:val="21"/>
                <w:szCs w:val="21"/>
              </w:rPr>
              <w:t xml:space="preserve">7 多重比較與透明報告</w:t>
            </w:r>
          </w:p>
        </w:tc>
        <w:tc>
          <w:tcPr>
            <w:tcW w:w="4000" w:type="dxa"/>
            <w:vAlign w:val="center"/>
          </w:tcPr>
          <w:p>
            <w:pPr>
              <w:spacing w:before="20" w:after="20" w:line="300" w:lineRule="exact"/>
              <w:jc w:val="left"/>
            </w:pPr>
            <w:r>
              <w:rPr>
                <w:rFonts w:ascii="Times New Roman" w:hAnsi="Times New Roman" w:eastAsia="標楷體" w:cs="Times New Roman"/>
                <w:sz w:val="21"/>
                <w:szCs w:val="21"/>
              </w:rPr>
              <w:t xml:space="preserve">Benjamini–Hochberg 校正 (</w:t>
            </w:r>
            <w:hyperlink r:id="rIdL72" w:history="1">
              <w:r>
                <w:rPr>
                  <w:rStyle w:val="Hyperlink"/>
                  <w:rFonts w:ascii="Times New Roman" w:hAnsi="Times New Roman" w:eastAsia="標楷體" w:cs="Times New Roman"/>
                  <w:sz w:val="21"/>
                  <w:szCs w:val="21"/>
                </w:rPr>
                <w:t xml:space="preserve">Benjamini &amp; Hochberg, 1995</w:t>
              </w:r>
            </w:hyperlink>
            <w:r>
              <w:rPr>
                <w:rFonts w:ascii="Times New Roman" w:hAnsi="Times New Roman" w:eastAsia="標楷體" w:cs="Times New Roman"/>
                <w:sz w:val="21"/>
                <w:szCs w:val="21"/>
              </w:rPr>
              <w:t xml:space="preserve">)；公開去識別化資料與分析程式</w:t>
            </w:r>
          </w:p>
        </w:tc>
        <w:tc>
          <w:tcPr>
            <w:tcW w:w="2300" w:type="dxa"/>
            <w:vAlign w:val="center"/>
          </w:tcPr>
          <w:p>
            <w:pPr>
              <w:spacing w:before="20" w:after="20" w:line="300" w:lineRule="exact"/>
              <w:jc w:val="left"/>
            </w:pPr>
            <w:r>
              <w:rPr>
                <w:rFonts w:ascii="Times New Roman" w:hAnsi="Times New Roman" w:eastAsia="標楷體" w:cs="Times New Roman"/>
                <w:sz w:val="21"/>
                <w:szCs w:val="21"/>
              </w:rPr>
              <w:t xml:space="preserve">區分驗證性與探索性結果</w:t>
            </w:r>
          </w:p>
        </w:tc>
        <w:tc>
          <w:tcPr>
            <w:tcW w:w="1438" w:type="dxa"/>
            <w:vAlign w:val="center"/>
          </w:tcPr>
          <w:p>
            <w:pPr>
              <w:spacing w:before="20" w:after="20" w:line="300" w:lineRule="exact"/>
              <w:jc w:val="left"/>
            </w:pPr>
            <w:r>
              <w:rPr>
                <w:rFonts w:ascii="Times New Roman" w:hAnsi="Times New Roman" w:eastAsia="標楷體" w:cs="Times New Roman"/>
                <w:sz w:val="21"/>
                <w:szCs w:val="21"/>
              </w:rPr>
              <w:t xml:space="preserve">論文撰寫期</w:t>
            </w:r>
          </w:p>
        </w:tc>
      </w:tr>
    </w:tbl>
    <w:p>
      <w:pPr>
        <w:spacing w:before="0" w:after="0" w:line="200" w:lineRule="exact"/>
      </w:pPr>
    </w:p>
    <w:p>
      <w:pPr>
        <w:pStyle w:val="Heading2"/>
        <w:keepNext/>
        <w:spacing w:before="160" w:after="80" w:line="440" w:lineRule="exact"/>
      </w:pPr>
      <w:r>
        <w:rPr>
          <w:rFonts w:ascii="Times New Roman" w:hAnsi="Times New Roman" w:eastAsia="標楷體" w:cs="Times New Roman"/>
          <w:b/>
          <w:bCs/>
          <w:bdr w:val="single" w:sz="4" w:space="0" w:color="000000"/>
          <w:shd w:val="clear" w:color="auto" w:fill="E7E6E6"/>
        </w:rPr>
        <w:t xml:space="preserve">三、研究進行步驟，以及二年時程之必要性、貢獻性</w:t>
      </w:r>
    </w:p>
    <w:p>
      <w:pPr>
        <w:spacing w:before="0" w:after="0" w:line="440" w:lineRule="exact"/>
        <w:ind w:firstLineChars="200" w:firstLine="480"/>
        <w:jc w:val="both"/>
      </w:pPr>
      <w:r>
        <w:rPr>
          <w:rFonts w:ascii="Times New Roman" w:hAnsi="Times New Roman" w:eastAsia="標楷體" w:cs="Times New Roman"/>
        </w:rPr>
        <w:t xml:space="preserve">本研究計畫規劃為二年期，是基於研究問題本身的層次性，以及方法設計由發現、檢驗到推廣之必要性所做的安排。首先，第一階段以軟式階梯訪談萃取兩類主播購買者的價值鏈，並發展價值傾向量表。由於價值涉及高度抽象的內在信念，訪談、編碼與量表發展不宜壓縮；其產出的價值鏈與量表，是後兩階段的必要內容。</w:t>
      </w:r>
    </w:p>
    <w:p>
      <w:pPr>
        <w:spacing w:before="0" w:after="0" w:line="440" w:lineRule="exact"/>
        <w:ind w:firstLineChars="200" w:firstLine="480"/>
        <w:jc w:val="both"/>
      </w:pPr>
      <w:r>
        <w:rPr>
          <w:rFonts w:ascii="Times New Roman" w:hAnsi="Times New Roman" w:eastAsia="標楷體" w:cs="Times New Roman"/>
        </w:rPr>
        <w:t xml:space="preserve">其次，第二階段的實驗需要以第一階段的價值鏈撰寫話術，再製作三品類共 24 支以上的直播刺激片段並完成前測，才能進行正式實驗與一週後追蹤。最後，第三階段需要第一階段的價值傾向量表作為分組依據，並需三個月的退貨追蹤期，才能以實際行為檢驗購後路徑。三個階段環環相扣，每一階段皆具獨立且不可替代的功能，又為下一階段提供必要的理論與實證基礎。</w:t>
      </w:r>
    </w:p>
    <w:p>
      <w:pPr>
        <w:spacing w:before="0" w:after="0" w:line="440" w:lineRule="exact"/>
        <w:ind w:firstLineChars="200" w:firstLine="480"/>
        <w:jc w:val="both"/>
      </w:pPr>
      <w:r>
        <w:rPr>
          <w:rFonts w:ascii="Times New Roman" w:hAnsi="Times New Roman" w:eastAsia="標楷體" w:cs="Times New Roman"/>
        </w:rPr>
        <w:t xml:space="preserve">綜上所述，本計畫遵循「發現 → 檢驗 → 推廣」的研究邏輯，採二年期規劃實屬研究問題本質與學術貢獻所必須。最後，將三階段結果作逐次及統合的比較、分析、整合及詮釋，並轉譯為中小企業決策表與揭露指引。本研究計畫之進行步驟見圖 5，各工作項目的執行進度見表 11。</w:t>
      </w:r>
    </w:p>
    <w:p>
      <w:pPr>
        <w:keepNext/>
        <w:spacing w:before="120" w:after="0"/>
        <w:jc w:val="center"/>
      </w:pPr>
      <w:r>
        <mc:AlternateContent>
          <mc:Choice Requires="wpg">
            <w:drawing>
              <wp:inline distT="0" distB="0" distL="0" distR="0">
                <wp:extent cx="6096000" cy="5969000"/>
                <wp:effectExtent l="0" t="0" r="0" b="0"/>
                <wp:docPr id="255" name="圖 5　二年三階段研究之進行步驟圖"/>
                <wp:cNvGraphicFramePr/>
                <a:graphic>
                  <a:graphicData uri="http://schemas.microsoft.com/office/word/2010/wordprocessingGroup">
                    <wpg:wgp>
                      <wpg:cNvGrpSpPr/>
                      <wpg:grpSpPr>
                        <a:xfrm>
                          <a:off x="0" y="0"/>
                          <a:ext cx="6096000" cy="5969000"/>
                          <a:chOff x="0" y="0"/>
                          <a:chExt cx="6096000" cy="5969000"/>
                        </a:xfrm>
                      </wpg:grpSpPr>
                      <wps:wsp>
                        <wps:cNvPr id="217" name="Shape 217"/>
                        <wps:cNvSpPr/>
                        <wps:spPr>
                          <a:xfrm>
                            <a:off x="457200" y="50800"/>
                            <a:ext cx="5588000" cy="508000"/>
                          </a:xfrm>
                          <a:prstGeom prst="roundRect">
                            <a:avLst>
                              <a:gd name="adj" fmla="val 12000"/>
                            </a:avLst>
                          </a:prstGeom>
                          <a:solidFill>
                            <a:srgbClr val="EDEDED"/>
                          </a:solidFill>
                          <a:ln w="12700">
                            <a:solidFill>
                              <a:srgbClr val="404040"/>
                            </a:solidFill>
                          </a:ln>
                        </wps:spPr>
                        <wps:txbx>
                          <w:txbxContent>
                            <w:p>
                              <w:pPr>
                                <w:spacing w:before="0" w:after="0" w:line="240" w:lineRule="exact"/>
                                <w:jc w:val="center"/>
                              </w:pPr>
                              <w:r>
                                <w:rPr>
                                  <w:rFonts w:ascii="Times New Roman" w:hAnsi="Times New Roman" w:eastAsia="標楷體" w:cs="Times New Roman"/>
                                  <w:b/>
                                  <w:bCs/>
                                  <w:sz w:val="17"/>
                                  <w:szCs w:val="17"/>
                                </w:rPr>
                                <w:t xml:space="preserve">系統性文獻回顧與研究共同基礎</w:t>
                              </w:r>
                            </w:p>
                            <w:p>
                              <w:pPr>
                                <w:spacing w:before="0" w:after="0" w:line="240" w:lineRule="exact"/>
                                <w:jc w:val="center"/>
                              </w:pPr>
                              <w:r>
                                <w:rPr>
                                  <w:rFonts w:ascii="Times New Roman" w:hAnsi="Times New Roman" w:eastAsia="標楷體" w:cs="Times New Roman"/>
                                  <w:sz w:val="17"/>
                                  <w:szCs w:val="17"/>
                                </w:rPr>
                                <w:t xml:space="preserve">正式資料庫檢索・倫理審查（IRB）・品類庫・共同量表・預先註冊（2027.08–2027.10）</w:t>
                              </w:r>
                            </w:p>
                          </w:txbxContent>
                        </wps:txbx>
                        <wps:bodyPr rot="0" vert="horz" wrap="square" lIns="25400" tIns="12700" rIns="25400" bIns="12700" anchor="ctr" anchorCtr="0">
                          <a:noAutofit/>
                        </wps:bodyPr>
                      </wps:wsp>
                      <wps:wsp>
                        <wps:cNvPr id="218" name="Shape 218"/>
                        <wps:cNvSpPr/>
                        <wps:spPr>
                          <a:xfrm>
                            <a:off x="50800" y="660400"/>
                            <a:ext cx="330200" cy="4064000"/>
                          </a:xfrm>
                          <a:prstGeom prst="rect">
                            <a:avLst/>
                          </a:prstGeom>
                          <a:solidFill>
                            <a:srgbClr val="F2F2F2"/>
                          </a:solidFill>
                          <a:ln w="12700">
                            <a:solidFill>
                              <a:srgbClr val="404040"/>
                            </a:solidFill>
                          </a:ln>
                        </wps:spPr>
                        <wps:txbx>
                          <w:txbxContent>
                            <w:p>
                              <w:pPr>
                                <w:spacing w:before="0" w:after="0" w:line="240" w:lineRule="exact"/>
                                <w:jc w:val="center"/>
                              </w:pPr>
                              <w:r>
                                <w:rPr>
                                  <w:rFonts w:ascii="Times New Roman" w:hAnsi="Times New Roman" w:eastAsia="標楷體" w:cs="Times New Roman"/>
                                  <w:b/>
                                  <w:bCs/>
                                  <w:sz w:val="17"/>
                                  <w:szCs w:val="17"/>
                                </w:rPr>
                                <w:t xml:space="preserve">預</w:t>
                              </w:r>
                            </w:p>
                            <w:p>
                              <w:pPr>
                                <w:spacing w:before="0" w:after="0" w:line="240" w:lineRule="exact"/>
                                <w:jc w:val="center"/>
                              </w:pPr>
                              <w:r>
                                <w:rPr>
                                  <w:rFonts w:ascii="Times New Roman" w:hAnsi="Times New Roman" w:eastAsia="標楷體" w:cs="Times New Roman"/>
                                  <w:b/>
                                  <w:bCs/>
                                  <w:sz w:val="17"/>
                                  <w:szCs w:val="17"/>
                                </w:rPr>
                                <w:t xml:space="preserve">先</w:t>
                              </w:r>
                            </w:p>
                            <w:p>
                              <w:pPr>
                                <w:spacing w:before="0" w:after="0" w:line="240" w:lineRule="exact"/>
                                <w:jc w:val="center"/>
                              </w:pPr>
                              <w:r>
                                <w:rPr>
                                  <w:rFonts w:ascii="Times New Roman" w:hAnsi="Times New Roman" w:eastAsia="標楷體" w:cs="Times New Roman"/>
                                  <w:b/>
                                  <w:bCs/>
                                  <w:sz w:val="17"/>
                                  <w:szCs w:val="17"/>
                                </w:rPr>
                                <w:t xml:space="preserve">註</w:t>
                              </w:r>
                            </w:p>
                            <w:p>
                              <w:pPr>
                                <w:spacing w:before="0" w:after="0" w:line="240" w:lineRule="exact"/>
                                <w:jc w:val="center"/>
                              </w:pPr>
                              <w:r>
                                <w:rPr>
                                  <w:rFonts w:ascii="Times New Roman" w:hAnsi="Times New Roman" w:eastAsia="標楷體" w:cs="Times New Roman"/>
                                  <w:b/>
                                  <w:bCs/>
                                  <w:sz w:val="17"/>
                                  <w:szCs w:val="17"/>
                                </w:rPr>
                                <w:t xml:space="preserve">冊</w:t>
                              </w:r>
                            </w:p>
                            <w:p>
                              <w:pPr>
                                <w:spacing w:before="0" w:after="0" w:line="240" w:lineRule="exact"/>
                                <w:jc w:val="center"/>
                              </w:pPr>
                              <w:r>
                                <w:rPr>
                                  <w:rFonts w:ascii="Times New Roman" w:hAnsi="Times New Roman" w:eastAsia="標楷體" w:cs="Times New Roman"/>
                                  <w:b/>
                                  <w:bCs/>
                                  <w:sz w:val="17"/>
                                  <w:szCs w:val="17"/>
                                </w:rPr>
                                <w:t xml:space="preserve">｜</w:t>
                              </w:r>
                            </w:p>
                            <w:p>
                              <w:pPr>
                                <w:spacing w:before="0" w:after="0" w:line="240" w:lineRule="exact"/>
                                <w:jc w:val="center"/>
                              </w:pPr>
                              <w:r>
                                <w:rPr>
                                  <w:rFonts w:ascii="Times New Roman" w:hAnsi="Times New Roman" w:eastAsia="標楷體" w:cs="Times New Roman"/>
                                  <w:b/>
                                  <w:bCs/>
                                  <w:sz w:val="17"/>
                                  <w:szCs w:val="17"/>
                                </w:rPr>
                                <w:t xml:space="preserve">操</w:t>
                              </w:r>
                            </w:p>
                            <w:p>
                              <w:pPr>
                                <w:spacing w:before="0" w:after="0" w:line="240" w:lineRule="exact"/>
                                <w:jc w:val="center"/>
                              </w:pPr>
                              <w:r>
                                <w:rPr>
                                  <w:rFonts w:ascii="Times New Roman" w:hAnsi="Times New Roman" w:eastAsia="標楷體" w:cs="Times New Roman"/>
                                  <w:b/>
                                  <w:bCs/>
                                  <w:sz w:val="17"/>
                                  <w:szCs w:val="17"/>
                                </w:rPr>
                                <w:t xml:space="preserve">弄</w:t>
                              </w:r>
                            </w:p>
                            <w:p>
                              <w:pPr>
                                <w:spacing w:before="0" w:after="0" w:line="240" w:lineRule="exact"/>
                                <w:jc w:val="center"/>
                              </w:pPr>
                              <w:r>
                                <w:rPr>
                                  <w:rFonts w:ascii="Times New Roman" w:hAnsi="Times New Roman" w:eastAsia="標楷體" w:cs="Times New Roman"/>
                                  <w:b/>
                                  <w:bCs/>
                                  <w:sz w:val="17"/>
                                  <w:szCs w:val="17"/>
                                </w:rPr>
                                <w:t xml:space="preserve">檢</w:t>
                              </w:r>
                            </w:p>
                            <w:p>
                              <w:pPr>
                                <w:spacing w:before="0" w:after="0" w:line="240" w:lineRule="exact"/>
                                <w:jc w:val="center"/>
                              </w:pPr>
                              <w:r>
                                <w:rPr>
                                  <w:rFonts w:ascii="Times New Roman" w:hAnsi="Times New Roman" w:eastAsia="標楷體" w:cs="Times New Roman"/>
                                  <w:b/>
                                  <w:bCs/>
                                  <w:sz w:val="17"/>
                                  <w:szCs w:val="17"/>
                                </w:rPr>
                                <w:t xml:space="preserve">驗</w:t>
                              </w:r>
                            </w:p>
                            <w:p>
                              <w:pPr>
                                <w:spacing w:before="0" w:after="0" w:line="240" w:lineRule="exact"/>
                                <w:jc w:val="center"/>
                              </w:pPr>
                              <w:r>
                                <w:rPr>
                                  <w:rFonts w:ascii="Times New Roman" w:hAnsi="Times New Roman" w:eastAsia="標楷體" w:cs="Times New Roman"/>
                                  <w:b/>
                                  <w:bCs/>
                                  <w:sz w:val="17"/>
                                  <w:szCs w:val="17"/>
                                </w:rPr>
                                <w:t xml:space="preserve">｜</w:t>
                              </w:r>
                            </w:p>
                            <w:p>
                              <w:pPr>
                                <w:spacing w:before="0" w:after="0" w:line="240" w:lineRule="exact"/>
                                <w:jc w:val="center"/>
                              </w:pPr>
                              <w:r>
                                <w:rPr>
                                  <w:rFonts w:ascii="Times New Roman" w:hAnsi="Times New Roman" w:eastAsia="標楷體" w:cs="Times New Roman"/>
                                  <w:b/>
                                  <w:bCs/>
                                  <w:sz w:val="17"/>
                                  <w:szCs w:val="17"/>
                                </w:rPr>
                                <w:t xml:space="preserve">測</w:t>
                              </w:r>
                            </w:p>
                            <w:p>
                              <w:pPr>
                                <w:spacing w:before="0" w:after="0" w:line="240" w:lineRule="exact"/>
                                <w:jc w:val="center"/>
                              </w:pPr>
                              <w:r>
                                <w:rPr>
                                  <w:rFonts w:ascii="Times New Roman" w:hAnsi="Times New Roman" w:eastAsia="標楷體" w:cs="Times New Roman"/>
                                  <w:b/>
                                  <w:bCs/>
                                  <w:sz w:val="17"/>
                                  <w:szCs w:val="17"/>
                                </w:rPr>
                                <w:t xml:space="preserve">量</w:t>
                              </w:r>
                            </w:p>
                            <w:p>
                              <w:pPr>
                                <w:spacing w:before="0" w:after="0" w:line="240" w:lineRule="exact"/>
                                <w:jc w:val="center"/>
                              </w:pPr>
                              <w:r>
                                <w:rPr>
                                  <w:rFonts w:ascii="Times New Roman" w:hAnsi="Times New Roman" w:eastAsia="標楷體" w:cs="Times New Roman"/>
                                  <w:b/>
                                  <w:bCs/>
                                  <w:sz w:val="17"/>
                                  <w:szCs w:val="17"/>
                                </w:rPr>
                                <w:t xml:space="preserve">恆</w:t>
                              </w:r>
                            </w:p>
                            <w:p>
                              <w:pPr>
                                <w:spacing w:before="0" w:after="0" w:line="240" w:lineRule="exact"/>
                                <w:jc w:val="center"/>
                              </w:pPr>
                              <w:r>
                                <w:rPr>
                                  <w:rFonts w:ascii="Times New Roman" w:hAnsi="Times New Roman" w:eastAsia="標楷體" w:cs="Times New Roman"/>
                                  <w:b/>
                                  <w:bCs/>
                                  <w:sz w:val="17"/>
                                  <w:szCs w:val="17"/>
                                </w:rPr>
                                <w:t xml:space="preserve">等</w:t>
                              </w:r>
                            </w:p>
                            <w:p>
                              <w:pPr>
                                <w:spacing w:before="0" w:after="0" w:line="240" w:lineRule="exact"/>
                                <w:jc w:val="center"/>
                              </w:pPr>
                              <w:r>
                                <w:rPr>
                                  <w:rFonts w:ascii="Times New Roman" w:hAnsi="Times New Roman" w:eastAsia="標楷體" w:cs="Times New Roman"/>
                                  <w:b/>
                                  <w:bCs/>
                                  <w:sz w:val="17"/>
                                  <w:szCs w:val="17"/>
                                </w:rPr>
                                <w:t xml:space="preserve">性</w:t>
                              </w:r>
                            </w:p>
                            <w:p>
                              <w:pPr>
                                <w:spacing w:before="0" w:after="0" w:line="240" w:lineRule="exact"/>
                                <w:jc w:val="center"/>
                              </w:pPr>
                              <w:r>
                                <w:rPr>
                                  <w:rFonts w:ascii="Times New Roman" w:hAnsi="Times New Roman" w:eastAsia="標楷體" w:cs="Times New Roman"/>
                                  <w:b/>
                                  <w:bCs/>
                                  <w:sz w:val="17"/>
                                  <w:szCs w:val="17"/>
                                </w:rPr>
                                <w:t xml:space="preserve">｜</w:t>
                              </w:r>
                            </w:p>
                            <w:p>
                              <w:pPr>
                                <w:spacing w:before="0" w:after="0" w:line="240" w:lineRule="exact"/>
                                <w:jc w:val="center"/>
                              </w:pPr>
                              <w:r>
                                <w:rPr>
                                  <w:rFonts w:ascii="Times New Roman" w:hAnsi="Times New Roman" w:eastAsia="標楷體" w:cs="Times New Roman"/>
                                  <w:b/>
                                  <w:bCs/>
                                  <w:sz w:val="17"/>
                                  <w:szCs w:val="17"/>
                                </w:rPr>
                                <w:t xml:space="preserve">開</w:t>
                              </w:r>
                            </w:p>
                            <w:p>
                              <w:pPr>
                                <w:spacing w:before="0" w:after="0" w:line="240" w:lineRule="exact"/>
                                <w:jc w:val="center"/>
                              </w:pPr>
                              <w:r>
                                <w:rPr>
                                  <w:rFonts w:ascii="Times New Roman" w:hAnsi="Times New Roman" w:eastAsia="標楷體" w:cs="Times New Roman"/>
                                  <w:b/>
                                  <w:bCs/>
                                  <w:sz w:val="17"/>
                                  <w:szCs w:val="17"/>
                                </w:rPr>
                                <w:t xml:space="preserve">放</w:t>
                              </w:r>
                            </w:p>
                            <w:p>
                              <w:pPr>
                                <w:spacing w:before="0" w:after="0" w:line="240" w:lineRule="exact"/>
                                <w:jc w:val="center"/>
                              </w:pPr>
                              <w:r>
                                <w:rPr>
                                  <w:rFonts w:ascii="Times New Roman" w:hAnsi="Times New Roman" w:eastAsia="標楷體" w:cs="Times New Roman"/>
                                  <w:b/>
                                  <w:bCs/>
                                  <w:sz w:val="17"/>
                                  <w:szCs w:val="17"/>
                                </w:rPr>
                                <w:t xml:space="preserve">資</w:t>
                              </w:r>
                            </w:p>
                            <w:p>
                              <w:pPr>
                                <w:spacing w:before="0" w:after="0" w:line="240" w:lineRule="exact"/>
                                <w:jc w:val="center"/>
                              </w:pPr>
                              <w:r>
                                <w:rPr>
                                  <w:rFonts w:ascii="Times New Roman" w:hAnsi="Times New Roman" w:eastAsia="標楷體" w:cs="Times New Roman"/>
                                  <w:b/>
                                  <w:bCs/>
                                  <w:sz w:val="17"/>
                                  <w:szCs w:val="17"/>
                                </w:rPr>
                                <w:t xml:space="preserve">料</w:t>
                              </w:r>
                            </w:p>
                          </w:txbxContent>
                        </wps:txbx>
                        <wps:bodyPr rot="0" vert="horz" wrap="square" lIns="25400" tIns="12700" rIns="25400" bIns="12700" anchor="ctr" anchorCtr="0">
                          <a:noAutofit/>
                        </wps:bodyPr>
                      </wps:wsp>
                      <wps:wsp>
                        <wps:cNvPr id="219" name="Shape 219"/>
                        <wps:cNvSpPr/>
                        <wps:spPr>
                          <a:xfrm>
                            <a:off x="457200" y="660400"/>
                            <a:ext cx="1778000" cy="279400"/>
                          </a:xfrm>
                          <a:prstGeom prst="rect">
                            <a:avLst/>
                          </a:prstGeom>
                          <a:solidFill>
                            <a:srgbClr val="FBE5D6"/>
                          </a:solidFill>
                          <a:ln w="12700">
                            <a:solidFill>
                              <a:srgbClr val="404040"/>
                            </a:solidFill>
                          </a:ln>
                        </wps:spPr>
                        <wps:txbx>
                          <w:txbxContent>
                            <w:p>
                              <w:pPr>
                                <w:spacing w:before="0" w:after="0" w:line="254" w:lineRule="exact"/>
                                <w:jc w:val="center"/>
                              </w:pPr>
                              <w:r>
                                <w:rPr>
                                  <w:rFonts w:ascii="Times New Roman" w:hAnsi="Times New Roman" w:eastAsia="標楷體" w:cs="Times New Roman"/>
                                  <w:b/>
                                  <w:bCs/>
                                  <w:sz w:val="18"/>
                                  <w:szCs w:val="18"/>
                                </w:rPr>
                                <w:t xml:space="preserve">第一階段【發現】</w:t>
                              </w:r>
                            </w:p>
                          </w:txbxContent>
                        </wps:txbx>
                        <wps:bodyPr rot="0" vert="horz" wrap="square" lIns="25400" tIns="12700" rIns="25400" bIns="12700" anchor="ctr" anchorCtr="0">
                          <a:noAutofit/>
                        </wps:bodyPr>
                      </wps:wsp>
                      <wps:wsp>
                        <wps:cNvPr id="220" name="Shape 220"/>
                        <wps:cNvSpPr/>
                        <wps:spPr>
                          <a:xfrm>
                            <a:off x="457200" y="1066800"/>
                            <a:ext cx="1778000" cy="482600"/>
                          </a:xfrm>
                          <a:prstGeom prst="roundRect">
                            <a:avLst>
                              <a:gd name="adj" fmla="val 12000"/>
                            </a:avLst>
                          </a:prstGeom>
                          <a:solidFill>
                            <a:srgbClr val="FFFFFF"/>
                          </a:solidFill>
                          <a:ln w="12700">
                            <a:solidFill>
                              <a:srgbClr val="7F7F7F"/>
                            </a:solidFill>
                          </a:ln>
                        </wps:spPr>
                        <wps:txbx>
                          <w:txbxContent>
                            <w:p>
                              <w:pPr>
                                <w:spacing w:before="0" w:after="0" w:line="240" w:lineRule="exact"/>
                                <w:jc w:val="center"/>
                              </w:pPr>
                              <w:r>
                                <w:rPr>
                                  <w:rFonts w:ascii="Times New Roman" w:hAnsi="Times New Roman" w:eastAsia="標楷體" w:cs="Times New Roman"/>
                                  <w:b/>
                                  <w:bCs/>
                                  <w:sz w:val="17"/>
                                  <w:szCs w:val="17"/>
                                </w:rPr>
                                <w:t xml:space="preserve">1a 訪談大綱與前導訪談</w:t>
                              </w:r>
                            </w:p>
                            <w:p>
                              <w:pPr>
                                <w:spacing w:before="0" w:after="0" w:line="240" w:lineRule="exact"/>
                                <w:jc w:val="center"/>
                              </w:pPr>
                              <w:r>
                                <w:rPr>
                                  <w:rFonts w:ascii="Times New Roman" w:hAnsi="Times New Roman" w:eastAsia="標楷體" w:cs="Times New Roman"/>
                                  <w:sz w:val="17"/>
                                  <w:szCs w:val="17"/>
                                </w:rPr>
                                <w:t xml:space="preserve">N = 6｜2027.08–2027.09</w:t>
                              </w:r>
                            </w:p>
                          </w:txbxContent>
                        </wps:txbx>
                        <wps:bodyPr rot="0" vert="horz" wrap="square" lIns="25400" tIns="12700" rIns="25400" bIns="12700" anchor="ctr" anchorCtr="0">
                          <a:noAutofit/>
                        </wps:bodyPr>
                      </wps:wsp>
                      <wps:wsp>
                        <wps:cNvPr id="221" name="Line 221"/>
                        <wps:cNvCnPr/>
                        <wps:spPr>
                          <a:xfrm>
                            <a:off x="1346200" y="1549400"/>
                            <a:ext cx="0" cy="228600"/>
                          </a:xfrm>
                          <a:prstGeom prst="line">
                            <a:avLst/>
                          </a:prstGeom>
                          <a:ln w="12700">
                            <a:solidFill>
                              <a:srgbClr val="404040"/>
                            </a:solidFill>
                            <a:tailEnd type="triangle" w="med" len="med"/>
                          </a:ln>
                        </wps:spPr>
                        <wps:bodyPr/>
                      </wps:wsp>
                      <wps:wsp>
                        <wps:cNvPr id="222" name="Shape 222"/>
                        <wps:cNvSpPr/>
                        <wps:spPr>
                          <a:xfrm>
                            <a:off x="457200" y="1778000"/>
                            <a:ext cx="1778000" cy="482600"/>
                          </a:xfrm>
                          <a:prstGeom prst="roundRect">
                            <a:avLst>
                              <a:gd name="adj" fmla="val 12000"/>
                            </a:avLst>
                          </a:prstGeom>
                          <a:solidFill>
                            <a:srgbClr val="FFFFFF"/>
                          </a:solidFill>
                          <a:ln w="12700">
                            <a:solidFill>
                              <a:srgbClr val="7F7F7F"/>
                            </a:solidFill>
                          </a:ln>
                        </wps:spPr>
                        <wps:txbx>
                          <w:txbxContent>
                            <w:p>
                              <w:pPr>
                                <w:spacing w:before="0" w:after="0" w:line="240" w:lineRule="exact"/>
                                <w:jc w:val="center"/>
                              </w:pPr>
                              <w:r>
                                <w:rPr>
                                  <w:rFonts w:ascii="Times New Roman" w:hAnsi="Times New Roman" w:eastAsia="標楷體" w:cs="Times New Roman"/>
                                  <w:b/>
                                  <w:bCs/>
                                  <w:sz w:val="17"/>
                                  <w:szCs w:val="17"/>
                                </w:rPr>
                                <w:t xml:space="preserve">1b 軟式階梯訪談</w:t>
                              </w:r>
                            </w:p>
                            <w:p>
                              <w:pPr>
                                <w:spacing w:before="0" w:after="0" w:line="240" w:lineRule="exact"/>
                                <w:jc w:val="center"/>
                              </w:pPr>
                              <w:r>
                                <w:rPr>
                                  <w:rFonts w:ascii="Times New Roman" w:hAnsi="Times New Roman" w:eastAsia="標楷體" w:cs="Times New Roman"/>
                                  <w:sz w:val="17"/>
                                  <w:szCs w:val="17"/>
                                </w:rPr>
                                <w:t xml:space="preserve">N = 48｜2027.09–2027.12</w:t>
                              </w:r>
                            </w:p>
                          </w:txbxContent>
                        </wps:txbx>
                        <wps:bodyPr rot="0" vert="horz" wrap="square" lIns="25400" tIns="12700" rIns="25400" bIns="12700" anchor="ctr" anchorCtr="0">
                          <a:noAutofit/>
                        </wps:bodyPr>
                      </wps:wsp>
                      <wps:wsp>
                        <wps:cNvPr id="223" name="Line 223"/>
                        <wps:cNvCnPr/>
                        <wps:spPr>
                          <a:xfrm>
                            <a:off x="1346200" y="2260600"/>
                            <a:ext cx="0" cy="228600"/>
                          </a:xfrm>
                          <a:prstGeom prst="line">
                            <a:avLst/>
                          </a:prstGeom>
                          <a:ln w="12700">
                            <a:solidFill>
                              <a:srgbClr val="404040"/>
                            </a:solidFill>
                            <a:tailEnd type="triangle" w="med" len="med"/>
                          </a:ln>
                        </wps:spPr>
                        <wps:bodyPr/>
                      </wps:wsp>
                      <wps:wsp>
                        <wps:cNvPr id="224" name="Shape 224"/>
                        <wps:cNvSpPr/>
                        <wps:spPr>
                          <a:xfrm>
                            <a:off x="457200" y="2489200"/>
                            <a:ext cx="1778000" cy="482600"/>
                          </a:xfrm>
                          <a:prstGeom prst="roundRect">
                            <a:avLst>
                              <a:gd name="adj" fmla="val 12000"/>
                            </a:avLst>
                          </a:prstGeom>
                          <a:solidFill>
                            <a:srgbClr val="FFFFFF"/>
                          </a:solidFill>
                          <a:ln w="12700">
                            <a:solidFill>
                              <a:srgbClr val="7F7F7F"/>
                            </a:solidFill>
                          </a:ln>
                        </wps:spPr>
                        <wps:txbx>
                          <w:txbxContent>
                            <w:p>
                              <w:pPr>
                                <w:spacing w:before="0" w:after="0" w:line="240" w:lineRule="exact"/>
                                <w:jc w:val="center"/>
                              </w:pPr>
                              <w:r>
                                <w:rPr>
                                  <w:rFonts w:ascii="Times New Roman" w:hAnsi="Times New Roman" w:eastAsia="標楷體" w:cs="Times New Roman"/>
                                  <w:b/>
                                  <w:bCs/>
                                  <w:sz w:val="17"/>
                                  <w:szCs w:val="17"/>
                                </w:rPr>
                                <w:t xml:space="preserve">1c 人工編碼與信度</w:t>
                              </w:r>
                            </w:p>
                            <w:p>
                              <w:pPr>
                                <w:spacing w:before="0" w:after="0" w:line="240" w:lineRule="exact"/>
                                <w:jc w:val="center"/>
                              </w:pPr>
                              <w:r>
                                <w:rPr>
                                  <w:rFonts w:ascii="Times New Roman" w:hAnsi="Times New Roman" w:eastAsia="標楷體" w:cs="Times New Roman"/>
                                  <w:sz w:val="17"/>
                                  <w:szCs w:val="17"/>
                                </w:rPr>
                                <w:t xml:space="preserve">2027.11–2028.01</w:t>
                              </w:r>
                            </w:p>
                          </w:txbxContent>
                        </wps:txbx>
                        <wps:bodyPr rot="0" vert="horz" wrap="square" lIns="25400" tIns="12700" rIns="25400" bIns="12700" anchor="ctr" anchorCtr="0">
                          <a:noAutofit/>
                        </wps:bodyPr>
                      </wps:wsp>
                      <wps:wsp>
                        <wps:cNvPr id="225" name="Line 225"/>
                        <wps:cNvCnPr/>
                        <wps:spPr>
                          <a:xfrm>
                            <a:off x="1346200" y="2971800"/>
                            <a:ext cx="0" cy="228600"/>
                          </a:xfrm>
                          <a:prstGeom prst="line">
                            <a:avLst/>
                          </a:prstGeom>
                          <a:ln w="12700">
                            <a:solidFill>
                              <a:srgbClr val="404040"/>
                            </a:solidFill>
                            <a:tailEnd type="triangle" w="med" len="med"/>
                          </a:ln>
                        </wps:spPr>
                        <wps:bodyPr/>
                      </wps:wsp>
                      <wps:wsp>
                        <wps:cNvPr id="226" name="Shape 226"/>
                        <wps:cNvSpPr/>
                        <wps:spPr>
                          <a:xfrm>
                            <a:off x="457200" y="3200400"/>
                            <a:ext cx="1778000" cy="482600"/>
                          </a:xfrm>
                          <a:prstGeom prst="roundRect">
                            <a:avLst>
                              <a:gd name="adj" fmla="val 12000"/>
                            </a:avLst>
                          </a:prstGeom>
                          <a:solidFill>
                            <a:srgbClr val="FFFFFF"/>
                          </a:solidFill>
                          <a:ln w="12700">
                            <a:solidFill>
                              <a:srgbClr val="7F7F7F"/>
                            </a:solidFill>
                          </a:ln>
                        </wps:spPr>
                        <wps:txbx>
                          <w:txbxContent>
                            <w:p>
                              <w:pPr>
                                <w:spacing w:before="0" w:after="0" w:line="240" w:lineRule="exact"/>
                                <w:jc w:val="center"/>
                              </w:pPr>
                              <w:r>
                                <w:rPr>
                                  <w:rFonts w:ascii="Times New Roman" w:hAnsi="Times New Roman" w:eastAsia="標楷體" w:cs="Times New Roman"/>
                                  <w:b/>
                                  <w:bCs/>
                                  <w:sz w:val="17"/>
                                  <w:szCs w:val="17"/>
                                </w:rPr>
                                <w:t xml:space="preserve">1d 涵意矩陣與 HVM</w:t>
                              </w:r>
                            </w:p>
                            <w:p>
                              <w:pPr>
                                <w:spacing w:before="0" w:after="0" w:line="240" w:lineRule="exact"/>
                                <w:jc w:val="center"/>
                              </w:pPr>
                              <w:r>
                                <w:rPr>
                                  <w:rFonts w:ascii="Times New Roman" w:hAnsi="Times New Roman" w:eastAsia="標楷體" w:cs="Times New Roman"/>
                                  <w:sz w:val="17"/>
                                  <w:szCs w:val="17"/>
                                </w:rPr>
                                <w:t xml:space="preserve">2027.12–2028.01</w:t>
                              </w:r>
                            </w:p>
                          </w:txbxContent>
                        </wps:txbx>
                        <wps:bodyPr rot="0" vert="horz" wrap="square" lIns="25400" tIns="12700" rIns="25400" bIns="12700" anchor="ctr" anchorCtr="0">
                          <a:noAutofit/>
                        </wps:bodyPr>
                      </wps:wsp>
                      <wps:wsp>
                        <wps:cNvPr id="227" name="Line 227"/>
                        <wps:cNvCnPr/>
                        <wps:spPr>
                          <a:xfrm>
                            <a:off x="1346200" y="3683000"/>
                            <a:ext cx="0" cy="228600"/>
                          </a:xfrm>
                          <a:prstGeom prst="line">
                            <a:avLst/>
                          </a:prstGeom>
                          <a:ln w="12700">
                            <a:solidFill>
                              <a:srgbClr val="404040"/>
                            </a:solidFill>
                            <a:tailEnd type="triangle" w="med" len="med"/>
                          </a:ln>
                        </wps:spPr>
                        <wps:bodyPr/>
                      </wps:wsp>
                      <wps:wsp>
                        <wps:cNvPr id="228" name="Shape 228"/>
                        <wps:cNvSpPr/>
                        <wps:spPr>
                          <a:xfrm>
                            <a:off x="457200" y="3911600"/>
                            <a:ext cx="1778000" cy="482600"/>
                          </a:xfrm>
                          <a:prstGeom prst="roundRect">
                            <a:avLst>
                              <a:gd name="adj" fmla="val 12000"/>
                            </a:avLst>
                          </a:prstGeom>
                          <a:solidFill>
                            <a:srgbClr val="FFFFFF"/>
                          </a:solidFill>
                          <a:ln w="12700">
                            <a:solidFill>
                              <a:srgbClr val="7F7F7F"/>
                            </a:solidFill>
                          </a:ln>
                        </wps:spPr>
                        <wps:txbx>
                          <w:txbxContent>
                            <w:p>
                              <w:pPr>
                                <w:spacing w:before="0" w:after="0" w:line="240" w:lineRule="exact"/>
                                <w:jc w:val="center"/>
                              </w:pPr>
                              <w:r>
                                <w:rPr>
                                  <w:rFonts w:ascii="Times New Roman" w:hAnsi="Times New Roman" w:eastAsia="標楷體" w:cs="Times New Roman"/>
                                  <w:b/>
                                  <w:bCs/>
                                  <w:sz w:val="17"/>
                                  <w:szCs w:val="17"/>
                                </w:rPr>
                                <w:t xml:space="preserve">1e 價值傾向量表發展</w:t>
                              </w:r>
                            </w:p>
                            <w:p>
                              <w:pPr>
                                <w:spacing w:before="0" w:after="0" w:line="240" w:lineRule="exact"/>
                                <w:jc w:val="center"/>
                              </w:pPr>
                              <w:r>
                                <w:rPr>
                                  <w:rFonts w:ascii="Times New Roman" w:hAnsi="Times New Roman" w:eastAsia="標楷體" w:cs="Times New Roman"/>
                                  <w:sz w:val="17"/>
                                  <w:szCs w:val="17"/>
                                </w:rPr>
                                <w:t xml:space="preserve">N ≈ 300｜2028.01–2028.03</w:t>
                              </w:r>
                            </w:p>
                          </w:txbxContent>
                        </wps:txbx>
                        <wps:bodyPr rot="0" vert="horz" wrap="square" lIns="25400" tIns="12700" rIns="25400" bIns="12700" anchor="ctr" anchorCtr="0">
                          <a:noAutofit/>
                        </wps:bodyPr>
                      </wps:wsp>
                      <wps:wsp>
                        <wps:cNvPr id="229" name="Line 229"/>
                        <wps:cNvCnPr/>
                        <wps:spPr>
                          <a:xfrm>
                            <a:off x="1346200" y="4394200"/>
                            <a:ext cx="0" cy="330200"/>
                          </a:xfrm>
                          <a:prstGeom prst="line">
                            <a:avLst/>
                          </a:prstGeom>
                          <a:ln w="12700">
                            <a:solidFill>
                              <a:srgbClr val="404040"/>
                            </a:solidFill>
                            <a:tailEnd type="triangle" w="med" len="med"/>
                          </a:ln>
                        </wps:spPr>
                        <wps:bodyPr/>
                      </wps:wsp>
                      <wps:wsp>
                        <wps:cNvPr id="230" name="Shape 230"/>
                        <wps:cNvSpPr/>
                        <wps:spPr>
                          <a:xfrm>
                            <a:off x="2362200" y="660400"/>
                            <a:ext cx="1778000" cy="279400"/>
                          </a:xfrm>
                          <a:prstGeom prst="rect">
                            <a:avLst/>
                          </a:prstGeom>
                          <a:solidFill>
                            <a:srgbClr val="E2F0D9"/>
                          </a:solidFill>
                          <a:ln w="12700">
                            <a:solidFill>
                              <a:srgbClr val="404040"/>
                            </a:solidFill>
                          </a:ln>
                        </wps:spPr>
                        <wps:txbx>
                          <w:txbxContent>
                            <w:p>
                              <w:pPr>
                                <w:spacing w:before="0" w:after="0" w:line="254" w:lineRule="exact"/>
                                <w:jc w:val="center"/>
                              </w:pPr>
                              <w:r>
                                <w:rPr>
                                  <w:rFonts w:ascii="Times New Roman" w:hAnsi="Times New Roman" w:eastAsia="標楷體" w:cs="Times New Roman"/>
                                  <w:b/>
                                  <w:bCs/>
                                  <w:sz w:val="18"/>
                                  <w:szCs w:val="18"/>
                                </w:rPr>
                                <w:t xml:space="preserve">第二階段【檢驗】</w:t>
                              </w:r>
                            </w:p>
                          </w:txbxContent>
                        </wps:txbx>
                        <wps:bodyPr rot="0" vert="horz" wrap="square" lIns="25400" tIns="12700" rIns="25400" bIns="12700" anchor="ctr" anchorCtr="0">
                          <a:noAutofit/>
                        </wps:bodyPr>
                      </wps:wsp>
                      <wps:wsp>
                        <wps:cNvPr id="231" name="Shape 231"/>
                        <wps:cNvSpPr/>
                        <wps:spPr>
                          <a:xfrm>
                            <a:off x="2362200" y="1066800"/>
                            <a:ext cx="1778000" cy="482600"/>
                          </a:xfrm>
                          <a:prstGeom prst="roundRect">
                            <a:avLst>
                              <a:gd name="adj" fmla="val 12000"/>
                            </a:avLst>
                          </a:prstGeom>
                          <a:solidFill>
                            <a:srgbClr val="FFFFFF"/>
                          </a:solidFill>
                          <a:ln w="12700">
                            <a:solidFill>
                              <a:srgbClr val="7F7F7F"/>
                            </a:solidFill>
                          </a:ln>
                        </wps:spPr>
                        <wps:txbx>
                          <w:txbxContent>
                            <w:p>
                              <w:pPr>
                                <w:spacing w:before="0" w:after="0" w:line="240" w:lineRule="exact"/>
                                <w:jc w:val="center"/>
                              </w:pPr>
                              <w:r>
                                <w:rPr>
                                  <w:rFonts w:ascii="Times New Roman" w:hAnsi="Times New Roman" w:eastAsia="標楷體" w:cs="Times New Roman"/>
                                  <w:b/>
                                  <w:bCs/>
                                  <w:sz w:val="17"/>
                                  <w:szCs w:val="17"/>
                                </w:rPr>
                                <w:t xml:space="preserve">刺激物製作與前測</w:t>
                              </w:r>
                            </w:p>
                            <w:p>
                              <w:pPr>
                                <w:spacing w:before="0" w:after="0" w:line="240" w:lineRule="exact"/>
                                <w:jc w:val="center"/>
                              </w:pPr>
                              <w:r>
                                <w:rPr>
                                  <w:rFonts w:ascii="Times New Roman" w:hAnsi="Times New Roman" w:eastAsia="標楷體" w:cs="Times New Roman"/>
                                  <w:sz w:val="17"/>
                                  <w:szCs w:val="17"/>
                                </w:rPr>
                                <w:t xml:space="preserve">三品類｜2028.02–2028.04</w:t>
                              </w:r>
                            </w:p>
                          </w:txbxContent>
                        </wps:txbx>
                        <wps:bodyPr rot="0" vert="horz" wrap="square" lIns="25400" tIns="12700" rIns="25400" bIns="12700" anchor="ctr" anchorCtr="0">
                          <a:noAutofit/>
                        </wps:bodyPr>
                      </wps:wsp>
                      <wps:wsp>
                        <wps:cNvPr id="232" name="Line 232"/>
                        <wps:cNvCnPr/>
                        <wps:spPr>
                          <a:xfrm>
                            <a:off x="3251200" y="1549400"/>
                            <a:ext cx="0" cy="228600"/>
                          </a:xfrm>
                          <a:prstGeom prst="line">
                            <a:avLst/>
                          </a:prstGeom>
                          <a:ln w="12700">
                            <a:solidFill>
                              <a:srgbClr val="404040"/>
                            </a:solidFill>
                            <a:tailEnd type="triangle" w="med" len="med"/>
                          </a:ln>
                        </wps:spPr>
                        <wps:bodyPr/>
                      </wps:wsp>
                      <wps:wsp>
                        <wps:cNvPr id="233" name="Shape 233"/>
                        <wps:cNvSpPr/>
                        <wps:spPr>
                          <a:xfrm>
                            <a:off x="2362200" y="1778000"/>
                            <a:ext cx="1778000" cy="482600"/>
                          </a:xfrm>
                          <a:prstGeom prst="roundRect">
                            <a:avLst>
                              <a:gd name="adj" fmla="val 12000"/>
                            </a:avLst>
                          </a:prstGeom>
                          <a:solidFill>
                            <a:srgbClr val="FFFFFF"/>
                          </a:solidFill>
                          <a:ln w="12700">
                            <a:solidFill>
                              <a:srgbClr val="7F7F7F"/>
                            </a:solidFill>
                          </a:ln>
                        </wps:spPr>
                        <wps:txbx>
                          <w:txbxContent>
                            <w:p>
                              <w:pPr>
                                <w:spacing w:before="0" w:after="0" w:line="240" w:lineRule="exact"/>
                                <w:jc w:val="center"/>
                              </w:pPr>
                              <w:r>
                                <w:rPr>
                                  <w:rFonts w:ascii="Times New Roman" w:hAnsi="Times New Roman" w:eastAsia="標楷體" w:cs="Times New Roman"/>
                                  <w:b/>
                                  <w:bCs/>
                                  <w:sz w:val="17"/>
                                  <w:szCs w:val="17"/>
                                </w:rPr>
                                <w:t xml:space="preserve">2a 錨定實驗：運動鞋</w:t>
                              </w:r>
                            </w:p>
                            <w:p>
                              <w:pPr>
                                <w:spacing w:before="0" w:after="0" w:line="240" w:lineRule="exact"/>
                                <w:jc w:val="center"/>
                              </w:pPr>
                              <w:r>
                                <w:rPr>
                                  <w:rFonts w:ascii="Times New Roman" w:hAnsi="Times New Roman" w:eastAsia="標楷體" w:cs="Times New Roman"/>
                                  <w:sz w:val="17"/>
                                  <w:szCs w:val="17"/>
                                </w:rPr>
                                <w:t xml:space="preserve">N = 480｜2028.05–2028.06</w:t>
                              </w:r>
                            </w:p>
                          </w:txbxContent>
                        </wps:txbx>
                        <wps:bodyPr rot="0" vert="horz" wrap="square" lIns="25400" tIns="12700" rIns="25400" bIns="12700" anchor="ctr" anchorCtr="0">
                          <a:noAutofit/>
                        </wps:bodyPr>
                      </wps:wsp>
                      <wps:wsp>
                        <wps:cNvPr id="234" name="Line 234"/>
                        <wps:cNvCnPr/>
                        <wps:spPr>
                          <a:xfrm>
                            <a:off x="3251200" y="2260600"/>
                            <a:ext cx="0" cy="228600"/>
                          </a:xfrm>
                          <a:prstGeom prst="line">
                            <a:avLst/>
                          </a:prstGeom>
                          <a:ln w="12700">
                            <a:solidFill>
                              <a:srgbClr val="404040"/>
                            </a:solidFill>
                            <a:tailEnd type="triangle" w="med" len="med"/>
                          </a:ln>
                        </wps:spPr>
                        <wps:bodyPr/>
                      </wps:wsp>
                      <wps:wsp>
                        <wps:cNvPr id="235" name="Shape 235"/>
                        <wps:cNvSpPr/>
                        <wps:spPr>
                          <a:xfrm>
                            <a:off x="2362200" y="2489200"/>
                            <a:ext cx="1778000" cy="482600"/>
                          </a:xfrm>
                          <a:prstGeom prst="roundRect">
                            <a:avLst>
                              <a:gd name="adj" fmla="val 12000"/>
                            </a:avLst>
                          </a:prstGeom>
                          <a:solidFill>
                            <a:srgbClr val="FFFFFF"/>
                          </a:solidFill>
                          <a:ln w="12700">
                            <a:solidFill>
                              <a:srgbClr val="7F7F7F"/>
                            </a:solidFill>
                          </a:ln>
                        </wps:spPr>
                        <wps:txbx>
                          <w:txbxContent>
                            <w:p>
                              <w:pPr>
                                <w:spacing w:before="0" w:after="0" w:line="240" w:lineRule="exact"/>
                                <w:jc w:val="center"/>
                              </w:pPr>
                              <w:r>
                                <w:rPr>
                                  <w:rFonts w:ascii="Times New Roman" w:hAnsi="Times New Roman" w:eastAsia="標楷體" w:cs="Times New Roman"/>
                                  <w:b/>
                                  <w:bCs/>
                                  <w:sz w:val="17"/>
                                  <w:szCs w:val="17"/>
                                </w:rPr>
                                <w:t xml:space="preserve">2b 跨品類複製</w:t>
                              </w:r>
                            </w:p>
                            <w:p>
                              <w:pPr>
                                <w:spacing w:before="0" w:after="0" w:line="240" w:lineRule="exact"/>
                                <w:jc w:val="center"/>
                              </w:pPr>
                              <w:r>
                                <w:rPr>
                                  <w:rFonts w:ascii="Times New Roman" w:hAnsi="Times New Roman" w:eastAsia="標楷體" w:cs="Times New Roman"/>
                                  <w:sz w:val="17"/>
                                  <w:szCs w:val="17"/>
                                </w:rPr>
                                <w:t xml:space="preserve">N = 960｜2028.07–2028.09</w:t>
                              </w:r>
                            </w:p>
                          </w:txbxContent>
                        </wps:txbx>
                        <wps:bodyPr rot="0" vert="horz" wrap="square" lIns="25400" tIns="12700" rIns="25400" bIns="12700" anchor="ctr" anchorCtr="0">
                          <a:noAutofit/>
                        </wps:bodyPr>
                      </wps:wsp>
                      <wps:wsp>
                        <wps:cNvPr id="236" name="Line 236"/>
                        <wps:cNvCnPr/>
                        <wps:spPr>
                          <a:xfrm>
                            <a:off x="3251200" y="2971800"/>
                            <a:ext cx="0" cy="228600"/>
                          </a:xfrm>
                          <a:prstGeom prst="line">
                            <a:avLst/>
                          </a:prstGeom>
                          <a:ln w="12700">
                            <a:solidFill>
                              <a:srgbClr val="404040"/>
                            </a:solidFill>
                            <a:tailEnd type="triangle" w="med" len="med"/>
                          </a:ln>
                        </wps:spPr>
                        <wps:bodyPr/>
                      </wps:wsp>
                      <wps:wsp>
                        <wps:cNvPr id="237" name="Shape 237"/>
                        <wps:cNvSpPr/>
                        <wps:spPr>
                          <a:xfrm>
                            <a:off x="2362200" y="3200400"/>
                            <a:ext cx="1778000" cy="482600"/>
                          </a:xfrm>
                          <a:prstGeom prst="roundRect">
                            <a:avLst>
                              <a:gd name="adj" fmla="val 12000"/>
                            </a:avLst>
                          </a:prstGeom>
                          <a:solidFill>
                            <a:srgbClr val="FFFFFF"/>
                          </a:solidFill>
                          <a:ln w="12700">
                            <a:solidFill>
                              <a:srgbClr val="7F7F7F"/>
                            </a:solidFill>
                          </a:ln>
                        </wps:spPr>
                        <wps:txbx>
                          <w:txbxContent>
                            <w:p>
                              <w:pPr>
                                <w:spacing w:before="0" w:after="0" w:line="240" w:lineRule="exact"/>
                                <w:jc w:val="center"/>
                              </w:pPr>
                              <w:r>
                                <w:rPr>
                                  <w:rFonts w:ascii="Times New Roman" w:hAnsi="Times New Roman" w:eastAsia="標楷體" w:cs="Times New Roman"/>
                                  <w:b/>
                                  <w:bCs/>
                                  <w:sz w:val="17"/>
                                  <w:szCs w:val="17"/>
                                </w:rPr>
                                <w:t xml:space="preserve">2c AI 身分揭露實驗</w:t>
                              </w:r>
                            </w:p>
                            <w:p>
                              <w:pPr>
                                <w:spacing w:before="0" w:after="0" w:line="240" w:lineRule="exact"/>
                                <w:jc w:val="center"/>
                              </w:pPr>
                              <w:r>
                                <w:rPr>
                                  <w:rFonts w:ascii="Times New Roman" w:hAnsi="Times New Roman" w:eastAsia="標楷體" w:cs="Times New Roman"/>
                                  <w:sz w:val="17"/>
                                  <w:szCs w:val="17"/>
                                </w:rPr>
                                <w:t xml:space="preserve">N = 360｜2028.07–2028.09</w:t>
                              </w:r>
                            </w:p>
                          </w:txbxContent>
                        </wps:txbx>
                        <wps:bodyPr rot="0" vert="horz" wrap="square" lIns="25400" tIns="12700" rIns="25400" bIns="12700" anchor="ctr" anchorCtr="0">
                          <a:noAutofit/>
                        </wps:bodyPr>
                      </wps:wsp>
                      <wps:wsp>
                        <wps:cNvPr id="238" name="Line 238"/>
                        <wps:cNvCnPr/>
                        <wps:spPr>
                          <a:xfrm>
                            <a:off x="3251200" y="3683000"/>
                            <a:ext cx="0" cy="228600"/>
                          </a:xfrm>
                          <a:prstGeom prst="line">
                            <a:avLst/>
                          </a:prstGeom>
                          <a:ln w="12700">
                            <a:solidFill>
                              <a:srgbClr val="404040"/>
                            </a:solidFill>
                            <a:tailEnd type="triangle" w="med" len="med"/>
                          </a:ln>
                        </wps:spPr>
                        <wps:bodyPr/>
                      </wps:wsp>
                      <wps:wsp>
                        <wps:cNvPr id="239" name="Shape 239"/>
                        <wps:cNvSpPr/>
                        <wps:spPr>
                          <a:xfrm>
                            <a:off x="2362200" y="3911600"/>
                            <a:ext cx="1778000" cy="482600"/>
                          </a:xfrm>
                          <a:prstGeom prst="roundRect">
                            <a:avLst>
                              <a:gd name="adj" fmla="val 12000"/>
                            </a:avLst>
                          </a:prstGeom>
                          <a:solidFill>
                            <a:srgbClr val="FFFFFF"/>
                          </a:solidFill>
                          <a:ln w="12700">
                            <a:solidFill>
                              <a:srgbClr val="7F7F7F"/>
                            </a:solidFill>
                          </a:ln>
                        </wps:spPr>
                        <wps:txbx>
                          <w:txbxContent>
                            <w:p>
                              <w:pPr>
                                <w:spacing w:before="0" w:after="0" w:line="240" w:lineRule="exact"/>
                                <w:jc w:val="center"/>
                              </w:pPr>
                              <w:r>
                                <w:rPr>
                                  <w:rFonts w:ascii="Times New Roman" w:hAnsi="Times New Roman" w:eastAsia="標楷體" w:cs="Times New Roman"/>
                                  <w:b/>
                                  <w:bCs/>
                                  <w:sz w:val="17"/>
                                  <w:szCs w:val="17"/>
                                </w:rPr>
                                <w:t xml:space="preserve">一週後追蹤與分析</w:t>
                              </w:r>
                            </w:p>
                            <w:p>
                              <w:pPr>
                                <w:spacing w:before="0" w:after="0" w:line="240" w:lineRule="exact"/>
                                <w:jc w:val="center"/>
                              </w:pPr>
                              <w:r>
                                <w:rPr>
                                  <w:rFonts w:ascii="Times New Roman" w:hAnsi="Times New Roman" w:eastAsia="標楷體" w:cs="Times New Roman"/>
                                  <w:sz w:val="17"/>
                                  <w:szCs w:val="17"/>
                                </w:rPr>
                                <w:t xml:space="preserve">2028.06–2028.10</w:t>
                              </w:r>
                            </w:p>
                          </w:txbxContent>
                        </wps:txbx>
                        <wps:bodyPr rot="0" vert="horz" wrap="square" lIns="25400" tIns="12700" rIns="25400" bIns="12700" anchor="ctr" anchorCtr="0">
                          <a:noAutofit/>
                        </wps:bodyPr>
                      </wps:wsp>
                      <wps:wsp>
                        <wps:cNvPr id="240" name="Line 240"/>
                        <wps:cNvCnPr/>
                        <wps:spPr>
                          <a:xfrm>
                            <a:off x="3251200" y="4394200"/>
                            <a:ext cx="0" cy="330200"/>
                          </a:xfrm>
                          <a:prstGeom prst="line">
                            <a:avLst/>
                          </a:prstGeom>
                          <a:ln w="12700">
                            <a:solidFill>
                              <a:srgbClr val="404040"/>
                            </a:solidFill>
                            <a:tailEnd type="triangle" w="med" len="med"/>
                          </a:ln>
                        </wps:spPr>
                        <wps:bodyPr/>
                      </wps:wsp>
                      <wps:wsp>
                        <wps:cNvPr id="241" name="Shape 241"/>
                        <wps:cNvSpPr/>
                        <wps:spPr>
                          <a:xfrm>
                            <a:off x="4267200" y="660400"/>
                            <a:ext cx="1778000" cy="279400"/>
                          </a:xfrm>
                          <a:prstGeom prst="rect">
                            <a:avLst/>
                          </a:prstGeom>
                          <a:solidFill>
                            <a:srgbClr val="DEEBF7"/>
                          </a:solidFill>
                          <a:ln w="12700">
                            <a:solidFill>
                              <a:srgbClr val="404040"/>
                            </a:solidFill>
                          </a:ln>
                        </wps:spPr>
                        <wps:txbx>
                          <w:txbxContent>
                            <w:p>
                              <w:pPr>
                                <w:spacing w:before="0" w:after="0" w:line="254" w:lineRule="exact"/>
                                <w:jc w:val="center"/>
                              </w:pPr>
                              <w:r>
                                <w:rPr>
                                  <w:rFonts w:ascii="Times New Roman" w:hAnsi="Times New Roman" w:eastAsia="標楷體" w:cs="Times New Roman"/>
                                  <w:b/>
                                  <w:bCs/>
                                  <w:sz w:val="18"/>
                                  <w:szCs w:val="18"/>
                                </w:rPr>
                                <w:t xml:space="preserve">第三階段【推廣】</w:t>
                              </w:r>
                            </w:p>
                          </w:txbxContent>
                        </wps:txbx>
                        <wps:bodyPr rot="0" vert="horz" wrap="square" lIns="25400" tIns="12700" rIns="25400" bIns="12700" anchor="ctr" anchorCtr="0">
                          <a:noAutofit/>
                        </wps:bodyPr>
                      </wps:wsp>
                      <wps:wsp>
                        <wps:cNvPr id="242" name="Shape 242"/>
                        <wps:cNvSpPr/>
                        <wps:spPr>
                          <a:xfrm>
                            <a:off x="4267200" y="1066800"/>
                            <a:ext cx="1778000" cy="482600"/>
                          </a:xfrm>
                          <a:prstGeom prst="roundRect">
                            <a:avLst>
                              <a:gd name="adj" fmla="val 12000"/>
                            </a:avLst>
                          </a:prstGeom>
                          <a:solidFill>
                            <a:srgbClr val="FFFFFF"/>
                          </a:solidFill>
                          <a:ln w="12700">
                            <a:solidFill>
                              <a:srgbClr val="7F7F7F"/>
                            </a:solidFill>
                          </a:ln>
                        </wps:spPr>
                        <wps:txbx>
                          <w:txbxContent>
                            <w:p>
                              <w:pPr>
                                <w:spacing w:before="0" w:after="0" w:line="240" w:lineRule="exact"/>
                                <w:jc w:val="center"/>
                              </w:pPr>
                              <w:r>
                                <w:rPr>
                                  <w:rFonts w:ascii="Times New Roman" w:hAnsi="Times New Roman" w:eastAsia="標楷體" w:cs="Times New Roman"/>
                                  <w:b/>
                                  <w:bCs/>
                                  <w:sz w:val="17"/>
                                  <w:szCs w:val="17"/>
                                </w:rPr>
                                <w:t xml:space="preserve">量表與問卷設計</w:t>
                              </w:r>
                            </w:p>
                            <w:p>
                              <w:pPr>
                                <w:spacing w:before="0" w:after="0" w:line="240" w:lineRule="exact"/>
                                <w:jc w:val="center"/>
                              </w:pPr>
                              <w:r>
                                <w:rPr>
                                  <w:rFonts w:ascii="Times New Roman" w:hAnsi="Times New Roman" w:eastAsia="標楷體" w:cs="Times New Roman"/>
                                  <w:sz w:val="17"/>
                                  <w:szCs w:val="17"/>
                                </w:rPr>
                                <w:t xml:space="preserve">2028.06–2028.08</w:t>
                              </w:r>
                            </w:p>
                          </w:txbxContent>
                        </wps:txbx>
                        <wps:bodyPr rot="0" vert="horz" wrap="square" lIns="25400" tIns="12700" rIns="25400" bIns="12700" anchor="ctr" anchorCtr="0">
                          <a:noAutofit/>
                        </wps:bodyPr>
                      </wps:wsp>
                      <wps:wsp>
                        <wps:cNvPr id="243" name="Line 243"/>
                        <wps:cNvCnPr/>
                        <wps:spPr>
                          <a:xfrm>
                            <a:off x="5156200" y="1549400"/>
                            <a:ext cx="0" cy="228600"/>
                          </a:xfrm>
                          <a:prstGeom prst="line">
                            <a:avLst/>
                          </a:prstGeom>
                          <a:ln w="12700">
                            <a:solidFill>
                              <a:srgbClr val="404040"/>
                            </a:solidFill>
                            <a:tailEnd type="triangle" w="med" len="med"/>
                          </a:ln>
                        </wps:spPr>
                        <wps:bodyPr/>
                      </wps:wsp>
                      <wps:wsp>
                        <wps:cNvPr id="244" name="Shape 244"/>
                        <wps:cNvSpPr/>
                        <wps:spPr>
                          <a:xfrm>
                            <a:off x="4267200" y="1778000"/>
                            <a:ext cx="1778000" cy="482600"/>
                          </a:xfrm>
                          <a:prstGeom prst="roundRect">
                            <a:avLst>
                              <a:gd name="adj" fmla="val 12000"/>
                            </a:avLst>
                          </a:prstGeom>
                          <a:solidFill>
                            <a:srgbClr val="FFFFFF"/>
                          </a:solidFill>
                          <a:ln w="12700">
                            <a:solidFill>
                              <a:srgbClr val="7F7F7F"/>
                            </a:solidFill>
                          </a:ln>
                        </wps:spPr>
                        <wps:txbx>
                          <w:txbxContent>
                            <w:p>
                              <w:pPr>
                                <w:spacing w:before="0" w:after="0" w:line="240" w:lineRule="exact"/>
                                <w:jc w:val="center"/>
                              </w:pPr>
                              <w:r>
                                <w:rPr>
                                  <w:rFonts w:ascii="Times New Roman" w:hAnsi="Times New Roman" w:eastAsia="標楷體" w:cs="Times New Roman"/>
                                  <w:b/>
                                  <w:bCs/>
                                  <w:sz w:val="17"/>
                                  <w:szCs w:val="17"/>
                                </w:rPr>
                                <w:t xml:space="preserve">前測與修訂</w:t>
                              </w:r>
                            </w:p>
                            <w:p>
                              <w:pPr>
                                <w:spacing w:before="0" w:after="0" w:line="240" w:lineRule="exact"/>
                                <w:jc w:val="center"/>
                              </w:pPr>
                              <w:r>
                                <w:rPr>
                                  <w:rFonts w:ascii="Times New Roman" w:hAnsi="Times New Roman" w:eastAsia="標楷體" w:cs="Times New Roman"/>
                                  <w:sz w:val="17"/>
                                  <w:szCs w:val="17"/>
                                </w:rPr>
                                <w:t xml:space="preserve">N ≈ 80｜2028.09</w:t>
                              </w:r>
                            </w:p>
                          </w:txbxContent>
                        </wps:txbx>
                        <wps:bodyPr rot="0" vert="horz" wrap="square" lIns="25400" tIns="12700" rIns="25400" bIns="12700" anchor="ctr" anchorCtr="0">
                          <a:noAutofit/>
                        </wps:bodyPr>
                      </wps:wsp>
                      <wps:wsp>
                        <wps:cNvPr id="245" name="Line 245"/>
                        <wps:cNvCnPr/>
                        <wps:spPr>
                          <a:xfrm>
                            <a:off x="5156200" y="2260600"/>
                            <a:ext cx="0" cy="228600"/>
                          </a:xfrm>
                          <a:prstGeom prst="line">
                            <a:avLst/>
                          </a:prstGeom>
                          <a:ln w="12700">
                            <a:solidFill>
                              <a:srgbClr val="404040"/>
                            </a:solidFill>
                            <a:tailEnd type="triangle" w="med" len="med"/>
                          </a:ln>
                        </wps:spPr>
                        <wps:bodyPr/>
                      </wps:wsp>
                      <wps:wsp>
                        <wps:cNvPr id="246" name="Shape 246"/>
                        <wps:cNvSpPr/>
                        <wps:spPr>
                          <a:xfrm>
                            <a:off x="4267200" y="2489200"/>
                            <a:ext cx="1778000" cy="482600"/>
                          </a:xfrm>
                          <a:prstGeom prst="roundRect">
                            <a:avLst>
                              <a:gd name="adj" fmla="val 12000"/>
                            </a:avLst>
                          </a:prstGeom>
                          <a:solidFill>
                            <a:srgbClr val="FFFFFF"/>
                          </a:solidFill>
                          <a:ln w="12700">
                            <a:solidFill>
                              <a:srgbClr val="7F7F7F"/>
                            </a:solidFill>
                          </a:ln>
                        </wps:spPr>
                        <wps:txbx>
                          <w:txbxContent>
                            <w:p>
                              <w:pPr>
                                <w:spacing w:before="0" w:after="0" w:line="240" w:lineRule="exact"/>
                                <w:jc w:val="center"/>
                              </w:pPr>
                              <w:r>
                                <w:rPr>
                                  <w:rFonts w:ascii="Times New Roman" w:hAnsi="Times New Roman" w:eastAsia="標楷體" w:cs="Times New Roman"/>
                                  <w:b/>
                                  <w:bCs/>
                                  <w:sz w:val="17"/>
                                  <w:szCs w:val="17"/>
                                </w:rPr>
                                <w:t xml:space="preserve">3a 直播購買者調查</w:t>
                              </w:r>
                            </w:p>
                            <w:p>
                              <w:pPr>
                                <w:spacing w:before="0" w:after="0" w:line="240" w:lineRule="exact"/>
                                <w:jc w:val="center"/>
                              </w:pPr>
                              <w:r>
                                <w:rPr>
                                  <w:rFonts w:ascii="Times New Roman" w:hAnsi="Times New Roman" w:eastAsia="標楷體" w:cs="Times New Roman"/>
                                  <w:sz w:val="17"/>
                                  <w:szCs w:val="17"/>
                                </w:rPr>
                                <w:t xml:space="preserve">N ≈ 800｜2028.10–2028.12</w:t>
                              </w:r>
                            </w:p>
                          </w:txbxContent>
                        </wps:txbx>
                        <wps:bodyPr rot="0" vert="horz" wrap="square" lIns="25400" tIns="12700" rIns="25400" bIns="12700" anchor="ctr" anchorCtr="0">
                          <a:noAutofit/>
                        </wps:bodyPr>
                      </wps:wsp>
                      <wps:wsp>
                        <wps:cNvPr id="247" name="Line 247"/>
                        <wps:cNvCnPr/>
                        <wps:spPr>
                          <a:xfrm>
                            <a:off x="5156200" y="2971800"/>
                            <a:ext cx="0" cy="228600"/>
                          </a:xfrm>
                          <a:prstGeom prst="line">
                            <a:avLst/>
                          </a:prstGeom>
                          <a:ln w="12700">
                            <a:solidFill>
                              <a:srgbClr val="404040"/>
                            </a:solidFill>
                            <a:tailEnd type="triangle" w="med" len="med"/>
                          </a:ln>
                        </wps:spPr>
                        <wps:bodyPr/>
                      </wps:wsp>
                      <wps:wsp>
                        <wps:cNvPr id="248" name="Shape 248"/>
                        <wps:cNvSpPr/>
                        <wps:spPr>
                          <a:xfrm>
                            <a:off x="4267200" y="3200400"/>
                            <a:ext cx="1778000" cy="482600"/>
                          </a:xfrm>
                          <a:prstGeom prst="roundRect">
                            <a:avLst>
                              <a:gd name="adj" fmla="val 12000"/>
                            </a:avLst>
                          </a:prstGeom>
                          <a:solidFill>
                            <a:srgbClr val="FFFFFF"/>
                          </a:solidFill>
                          <a:ln w="12700">
                            <a:solidFill>
                              <a:srgbClr val="7F7F7F"/>
                            </a:solidFill>
                          </a:ln>
                        </wps:spPr>
                        <wps:txbx>
                          <w:txbxContent>
                            <w:p>
                              <w:pPr>
                                <w:spacing w:before="0" w:after="0" w:line="240" w:lineRule="exact"/>
                                <w:jc w:val="center"/>
                              </w:pPr>
                              <w:r>
                                <w:rPr>
                                  <w:rFonts w:ascii="Times New Roman" w:hAnsi="Times New Roman" w:eastAsia="標楷體" w:cs="Times New Roman"/>
                                  <w:b/>
                                  <w:bCs/>
                                  <w:sz w:val="17"/>
                                  <w:szCs w:val="17"/>
                                </w:rPr>
                                <w:t xml:space="preserve">3b 三個月退貨追蹤</w:t>
                              </w:r>
                            </w:p>
                            <w:p>
                              <w:pPr>
                                <w:spacing w:before="0" w:after="0" w:line="240" w:lineRule="exact"/>
                                <w:jc w:val="center"/>
                              </w:pPr>
                              <w:r>
                                <w:rPr>
                                  <w:rFonts w:ascii="Times New Roman" w:hAnsi="Times New Roman" w:eastAsia="標楷體" w:cs="Times New Roman"/>
                                  <w:sz w:val="17"/>
                                  <w:szCs w:val="17"/>
                                </w:rPr>
                                <w:t xml:space="preserve">2029.01–2029.03</w:t>
                              </w:r>
                            </w:p>
                          </w:txbxContent>
                        </wps:txbx>
                        <wps:bodyPr rot="0" vert="horz" wrap="square" lIns="25400" tIns="12700" rIns="25400" bIns="12700" anchor="ctr" anchorCtr="0">
                          <a:noAutofit/>
                        </wps:bodyPr>
                      </wps:wsp>
                      <wps:wsp>
                        <wps:cNvPr id="249" name="Line 249"/>
                        <wps:cNvCnPr/>
                        <wps:spPr>
                          <a:xfrm>
                            <a:off x="5156200" y="3683000"/>
                            <a:ext cx="0" cy="228600"/>
                          </a:xfrm>
                          <a:prstGeom prst="line">
                            <a:avLst/>
                          </a:prstGeom>
                          <a:ln w="12700">
                            <a:solidFill>
                              <a:srgbClr val="404040"/>
                            </a:solidFill>
                            <a:tailEnd type="triangle" w="med" len="med"/>
                          </a:ln>
                        </wps:spPr>
                        <wps:bodyPr/>
                      </wps:wsp>
                      <wps:wsp>
                        <wps:cNvPr id="250" name="Shape 250"/>
                        <wps:cNvSpPr/>
                        <wps:spPr>
                          <a:xfrm>
                            <a:off x="4267200" y="3911600"/>
                            <a:ext cx="1778000" cy="482600"/>
                          </a:xfrm>
                          <a:prstGeom prst="roundRect">
                            <a:avLst>
                              <a:gd name="adj" fmla="val 12000"/>
                            </a:avLst>
                          </a:prstGeom>
                          <a:solidFill>
                            <a:srgbClr val="FFFFFF"/>
                          </a:solidFill>
                          <a:ln w="12700">
                            <a:solidFill>
                              <a:srgbClr val="7F7F7F"/>
                            </a:solidFill>
                          </a:ln>
                        </wps:spPr>
                        <wps:txbx>
                          <w:txbxContent>
                            <w:p>
                              <w:pPr>
                                <w:spacing w:before="0" w:after="0" w:line="240" w:lineRule="exact"/>
                                <w:jc w:val="center"/>
                              </w:pPr>
                              <w:r>
                                <w:rPr>
                                  <w:rFonts w:ascii="Times New Roman" w:hAnsi="Times New Roman" w:eastAsia="標楷體" w:cs="Times New Roman"/>
                                  <w:b/>
                                  <w:bCs/>
                                  <w:sz w:val="17"/>
                                  <w:szCs w:val="17"/>
                                </w:rPr>
                                <w:t xml:space="preserve">3c 多群組 SEM</w:t>
                              </w:r>
                            </w:p>
                            <w:p>
                              <w:pPr>
                                <w:spacing w:before="0" w:after="0" w:line="240" w:lineRule="exact"/>
                                <w:jc w:val="center"/>
                              </w:pPr>
                              <w:r>
                                <w:rPr>
                                  <w:rFonts w:ascii="Times New Roman" w:hAnsi="Times New Roman" w:eastAsia="標楷體" w:cs="Times New Roman"/>
                                  <w:sz w:val="17"/>
                                  <w:szCs w:val="17"/>
                                </w:rPr>
                                <w:t xml:space="preserve">2029.02–2029.04</w:t>
                              </w:r>
                            </w:p>
                          </w:txbxContent>
                        </wps:txbx>
                        <wps:bodyPr rot="0" vert="horz" wrap="square" lIns="25400" tIns="12700" rIns="25400" bIns="12700" anchor="ctr" anchorCtr="0">
                          <a:noAutofit/>
                        </wps:bodyPr>
                      </wps:wsp>
                      <wps:wsp>
                        <wps:cNvPr id="251" name="Line 251"/>
                        <wps:cNvCnPr/>
                        <wps:spPr>
                          <a:xfrm>
                            <a:off x="5156200" y="4394200"/>
                            <a:ext cx="0" cy="330200"/>
                          </a:xfrm>
                          <a:prstGeom prst="line">
                            <a:avLst/>
                          </a:prstGeom>
                          <a:ln w="12700">
                            <a:solidFill>
                              <a:srgbClr val="404040"/>
                            </a:solidFill>
                            <a:tailEnd type="triangle" w="med" len="med"/>
                          </a:ln>
                        </wps:spPr>
                        <wps:bodyPr/>
                      </wps:wsp>
                      <wps:wsp>
                        <wps:cNvPr id="252" name="Line 252"/>
                        <wps:cNvCnPr/>
                        <wps:spPr>
                          <a:xfrm flipV="1">
                            <a:off x="2235200" y="1447800"/>
                            <a:ext cx="127000" cy="2705100"/>
                          </a:xfrm>
                          <a:prstGeom prst="line">
                            <a:avLst/>
                          </a:prstGeom>
                          <a:ln w="12700">
                            <a:solidFill>
                              <a:srgbClr val="C55A11"/>
                            </a:solidFill>
                            <a:prstDash val="dash"/>
                            <a:tailEnd type="triangle" w="med" len="med"/>
                          </a:ln>
                        </wps:spPr>
                        <wps:bodyPr/>
                      </wps:wsp>
                      <wps:wsp>
                        <wps:cNvPr id="253" name="Shape 253"/>
                        <wps:cNvSpPr/>
                        <wps:spPr>
                          <a:xfrm>
                            <a:off x="457200" y="4724400"/>
                            <a:ext cx="5588000" cy="533400"/>
                          </a:xfrm>
                          <a:prstGeom prst="roundRect">
                            <a:avLst>
                              <a:gd name="adj" fmla="val 12000"/>
                            </a:avLst>
                          </a:prstGeom>
                          <a:solidFill>
                            <a:srgbClr val="FFF2CC"/>
                          </a:solidFill>
                          <a:ln w="16510">
                            <a:solidFill>
                              <a:srgbClr val="1F4E79"/>
                            </a:solidFill>
                          </a:ln>
                        </wps:spPr>
                        <wps:txbx>
                          <w:txbxContent>
                            <w:p>
                              <w:pPr>
                                <w:spacing w:before="0" w:after="0" w:line="240" w:lineRule="exact"/>
                                <w:jc w:val="center"/>
                              </w:pPr>
                              <w:r>
                                <w:rPr>
                                  <w:rFonts w:ascii="Times New Roman" w:hAnsi="Times New Roman" w:eastAsia="標楷體" w:cs="Times New Roman"/>
                                  <w:b/>
                                  <w:bCs/>
                                  <w:sz w:val="17"/>
                                  <w:szCs w:val="17"/>
                                </w:rPr>
                                <w:t xml:space="preserve">研究總結（2029.04–2029.07）：三階段結果的比較、整合及詮釋</w:t>
                              </w:r>
                            </w:p>
                            <w:p>
                              <w:pPr>
                                <w:spacing w:before="0" w:after="0" w:line="240" w:lineRule="exact"/>
                                <w:jc w:val="center"/>
                              </w:pPr>
                              <w:r>
                                <w:rPr>
                                  <w:rFonts w:ascii="Times New Roman" w:hAnsi="Times New Roman" w:eastAsia="標楷體" w:cs="Times New Roman"/>
                                  <w:sz w:val="17"/>
                                  <w:szCs w:val="17"/>
                                </w:rPr>
                                <w:t xml:space="preserve">中小企業決策表・AI 主播揭露與退貨溝通指引・三篇期刊投稿</w:t>
                              </w:r>
                            </w:p>
                          </w:txbxContent>
                        </wps:txbx>
                        <wps:bodyPr rot="0" vert="horz" wrap="square" lIns="25400" tIns="12700" rIns="25400" bIns="12700" anchor="ctr" anchorCtr="0">
                          <a:noAutofit/>
                        </wps:bodyPr>
                      </wps:wsp>
                      <wps:wsp>
                        <wps:cNvPr id="254" name="Shape 254"/>
                        <wps:cNvSpPr/>
                        <wps:spPr>
                          <a:xfrm>
                            <a:off x="457200" y="5359400"/>
                            <a:ext cx="5588000" cy="508000"/>
                          </a:xfrm>
                          <a:prstGeom prst="rect">
                            <a:avLst/>
                          </a:prstGeom>
                          <a:noFill/>
                          <a:ln w="12700">
                            <a:solidFill>
                              <a:srgbClr val="7F7F7F"/>
                            </a:solidFill>
                            <a:prstDash val="dash"/>
                          </a:ln>
                        </wps:spPr>
                        <wps:txbx>
                          <w:txbxContent>
                            <w:p>
                              <w:pPr>
                                <w:spacing w:before="0" w:after="0" w:line="240" w:lineRule="exact"/>
                                <w:jc w:val="center"/>
                              </w:pPr>
                              <w:r>
                                <w:rPr>
                                  <w:rFonts w:ascii="Times New Roman" w:hAnsi="Times New Roman" w:eastAsia="標楷體" w:cs="Times New Roman"/>
                                  <w:sz w:val="17"/>
                                  <w:szCs w:val="17"/>
                                </w:rPr>
                                <w:t xml:space="preserve">虛線箭頭：第一階段價值鏈改寫為第二階段話術；價值傾向量表用於第二階段操弄檢驗與第三階段分組</w:t>
                              </w:r>
                            </w:p>
                            <w:p>
                              <w:pPr>
                                <w:spacing w:before="0" w:after="0" w:line="240" w:lineRule="exact"/>
                                <w:jc w:val="center"/>
                              </w:pPr>
                              <w:r>
                                <w:rPr>
                                  <w:rFonts w:ascii="Times New Roman" w:hAnsi="Times New Roman" w:eastAsia="標楷體" w:cs="Times New Roman"/>
                                  <w:sz w:val="17"/>
                                  <w:szCs w:val="17"/>
                                </w:rPr>
                                <w:t xml:space="preserve">滾動式檢討：期中報告（2028.07）更新文獻回顧與市場資料；各階段結果討論後，修正下一階段設計</w:t>
                              </w:r>
                            </w:p>
                          </w:txbxContent>
                        </wps:txbx>
                        <wps:bodyPr rot="0" vert="horz" wrap="square" lIns="25400" tIns="12700" rIns="25400" bIns="12700" anchor="ctr" anchorCtr="0">
                          <a:noAutofit/>
                        </wps:bodyPr>
                      </wps:wsp>
                      <wps:wsp>
                        <wps:cNvPr id="255" name="Line 255"/>
                        <wps:cNvCnPr/>
                        <wps:spPr>
                          <a:xfrm>
                            <a:off x="3251200" y="5257800"/>
                            <a:ext cx="0" cy="101600"/>
                          </a:xfrm>
                          <a:prstGeom prst="line">
                            <a:avLst/>
                          </a:prstGeom>
                          <a:ln w="12700">
                            <a:solidFill>
                              <a:srgbClr val="404040"/>
                            </a:solidFill>
                          </a:ln>
                        </wps:spPr>
                        <wps:bodyPr/>
                      </wps:wsp>
                    </wpg:wgp>
                  </a:graphicData>
                </a:graphic>
              </wp:inline>
            </w:drawing>
          </mc:Choice>
        </mc:AlternateContent>
      </w:r>
    </w:p>
    <w:p>
      <w:pPr>
        <w:spacing w:before="120" w:after="80" w:line="360" w:lineRule="exact"/>
        <w:jc w:val="center"/>
      </w:pPr>
      <w:r>
        <w:rPr>
          <w:rFonts w:ascii="Times New Roman" w:hAnsi="Times New Roman" w:eastAsia="標楷體" w:cs="Times New Roman"/>
        </w:rPr>
        <w:t xml:space="preserve">圖 5　二年三階段研究之進行步驟圖</w:t>
      </w:r>
    </w:p>
    <w:p>
      <w:pPr>
        <w:keepNext/>
        <w:spacing w:before="120" w:after="80" w:line="360" w:lineRule="exact"/>
        <w:jc w:val="center"/>
      </w:pPr>
      <w:r>
        <w:rPr>
          <w:rFonts w:ascii="Times New Roman" w:hAnsi="Times New Roman" w:eastAsia="標楷體" w:cs="Times New Roman"/>
        </w:rPr>
        <w:t xml:space="preserve">表 11　二年期工作項目與執行進度</w:t>
      </w:r>
    </w:p>
    <w:tbl>
      <w:tblPr>
        <w:tblW w:w="96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57" w:type="dxa"/>
          <w:right w:w="57" w:type="dxa"/>
        </w:tblCellMar>
      </w:tblPr>
      <w:tblGrid>
        <w:gridCol w:w="3638"/>
        <w:gridCol w:w="750"/>
        <w:gridCol w:w="750"/>
        <w:gridCol w:w="750"/>
        <w:gridCol w:w="750"/>
        <w:gridCol w:w="750"/>
        <w:gridCol w:w="750"/>
        <w:gridCol w:w="750"/>
        <w:gridCol w:w="750"/>
      </w:tblGrid>
      <w:tr>
        <w:trPr>
          <w:tblHeader/>
          <w:cantSplit/>
        </w:trPr>
        <w:tc>
          <w:tcPr>
            <w:tcW w:w="3638" w:type="dxa"/>
            <w:vMerge w:val="restart"/>
            <w:shd w:val="clear" w:color="auto" w:fill="DDEBF7"/>
            <w:vAlign w:val="center"/>
          </w:tcPr>
          <w:p>
            <w:pPr>
              <w:keepNext/>
              <w:spacing w:before="20" w:after="20" w:line="300" w:lineRule="exact"/>
              <w:jc w:val="center"/>
            </w:pPr>
            <w:r>
              <w:rPr>
                <w:rFonts w:ascii="Times New Roman" w:hAnsi="Times New Roman" w:eastAsia="標楷體" w:cs="Times New Roman"/>
                <w:b/>
                <w:bCs/>
                <w:sz w:val="19"/>
                <w:szCs w:val="19"/>
              </w:rPr>
              <w:t xml:space="preserve">工作項目</w:t>
            </w:r>
          </w:p>
        </w:tc>
        <w:tc>
          <w:tcPr>
            <w:tcW w:w="3000" w:type="dxa"/>
            <w:gridSpan w:val="4"/>
            <w:shd w:val="clear" w:color="auto" w:fill="DDEBF7"/>
            <w:vAlign w:val="center"/>
          </w:tcPr>
          <w:p>
            <w:pPr>
              <w:keepNext/>
              <w:spacing w:before="20" w:after="20" w:line="300" w:lineRule="exact"/>
              <w:jc w:val="center"/>
            </w:pPr>
            <w:r>
              <w:rPr>
                <w:rFonts w:ascii="Times New Roman" w:hAnsi="Times New Roman" w:eastAsia="標楷體" w:cs="Times New Roman"/>
                <w:b/>
                <w:bCs/>
                <w:sz w:val="19"/>
                <w:szCs w:val="19"/>
              </w:rPr>
              <w:t xml:space="preserve">第一年（2027.08–2028.07）</w:t>
            </w:r>
          </w:p>
        </w:tc>
        <w:tc>
          <w:tcPr>
            <w:tcW w:w="3000" w:type="dxa"/>
            <w:gridSpan w:val="4"/>
            <w:shd w:val="clear" w:color="auto" w:fill="DDEBF7"/>
            <w:vAlign w:val="center"/>
          </w:tcPr>
          <w:p>
            <w:pPr>
              <w:keepNext/>
              <w:spacing w:before="20" w:after="20" w:line="300" w:lineRule="exact"/>
              <w:jc w:val="center"/>
            </w:pPr>
            <w:r>
              <w:rPr>
                <w:rFonts w:ascii="Times New Roman" w:hAnsi="Times New Roman" w:eastAsia="標楷體" w:cs="Times New Roman"/>
                <w:b/>
                <w:bCs/>
                <w:sz w:val="19"/>
                <w:szCs w:val="19"/>
              </w:rPr>
              <w:t xml:space="preserve">第二年（2028.08–2029.07）</w:t>
            </w:r>
          </w:p>
        </w:tc>
      </w:tr>
      <w:tr>
        <w:trPr>
          <w:tblHeader/>
          <w:cantSplit/>
        </w:trPr>
        <w:tc>
          <w:tcPr>
            <w:tcW w:w="3638" w:type="dxa"/>
            <w:vMerge/>
            <w:shd w:val="clear" w:color="auto" w:fill="DDEBF7"/>
            <w:vAlign w:val="center"/>
          </w:tcPr>
          <w:p>
            <w:pPr>
              <w:keepNext/>
              <w:spacing w:before="20" w:after="20" w:line="300" w:lineRule="exact"/>
              <w:jc w:val="center"/>
            </w:pPr>
          </w:p>
        </w:tc>
        <w:tc>
          <w:tcPr>
            <w:tcW w:w="750" w:type="dxa"/>
            <w:shd w:val="clear" w:color="auto" w:fill="DDEBF7"/>
            <w:vAlign w:val="center"/>
          </w:tcPr>
          <w:p>
            <w:pPr>
              <w:keepNext/>
              <w:spacing w:before="20" w:after="20" w:line="300" w:lineRule="exact"/>
              <w:jc w:val="center"/>
            </w:pPr>
            <w:r>
              <w:rPr>
                <w:rFonts w:ascii="Times New Roman" w:hAnsi="Times New Roman" w:eastAsia="標楷體" w:cs="Times New Roman"/>
                <w:b/>
                <w:bCs/>
                <w:sz w:val="19"/>
                <w:szCs w:val="19"/>
              </w:rPr>
              <w:t xml:space="preserve">Q1</w:t>
            </w:r>
          </w:p>
        </w:tc>
        <w:tc>
          <w:tcPr>
            <w:tcW w:w="750" w:type="dxa"/>
            <w:shd w:val="clear" w:color="auto" w:fill="DDEBF7"/>
            <w:vAlign w:val="center"/>
          </w:tcPr>
          <w:p>
            <w:pPr>
              <w:keepNext/>
              <w:spacing w:before="20" w:after="20" w:line="300" w:lineRule="exact"/>
              <w:jc w:val="center"/>
            </w:pPr>
            <w:r>
              <w:rPr>
                <w:rFonts w:ascii="Times New Roman" w:hAnsi="Times New Roman" w:eastAsia="標楷體" w:cs="Times New Roman"/>
                <w:b/>
                <w:bCs/>
                <w:sz w:val="19"/>
                <w:szCs w:val="19"/>
              </w:rPr>
              <w:t xml:space="preserve">Q2</w:t>
            </w:r>
          </w:p>
        </w:tc>
        <w:tc>
          <w:tcPr>
            <w:tcW w:w="750" w:type="dxa"/>
            <w:shd w:val="clear" w:color="auto" w:fill="DDEBF7"/>
            <w:vAlign w:val="center"/>
          </w:tcPr>
          <w:p>
            <w:pPr>
              <w:keepNext/>
              <w:spacing w:before="20" w:after="20" w:line="300" w:lineRule="exact"/>
              <w:jc w:val="center"/>
            </w:pPr>
            <w:r>
              <w:rPr>
                <w:rFonts w:ascii="Times New Roman" w:hAnsi="Times New Roman" w:eastAsia="標楷體" w:cs="Times New Roman"/>
                <w:b/>
                <w:bCs/>
                <w:sz w:val="19"/>
                <w:szCs w:val="19"/>
              </w:rPr>
              <w:t xml:space="preserve">Q3</w:t>
            </w:r>
          </w:p>
        </w:tc>
        <w:tc>
          <w:tcPr>
            <w:tcW w:w="750" w:type="dxa"/>
            <w:shd w:val="clear" w:color="auto" w:fill="DDEBF7"/>
            <w:vAlign w:val="center"/>
          </w:tcPr>
          <w:p>
            <w:pPr>
              <w:keepNext/>
              <w:spacing w:before="20" w:after="20" w:line="300" w:lineRule="exact"/>
              <w:jc w:val="center"/>
            </w:pPr>
            <w:r>
              <w:rPr>
                <w:rFonts w:ascii="Times New Roman" w:hAnsi="Times New Roman" w:eastAsia="標楷體" w:cs="Times New Roman"/>
                <w:b/>
                <w:bCs/>
                <w:sz w:val="19"/>
                <w:szCs w:val="19"/>
              </w:rPr>
              <w:t xml:space="preserve">Q4</w:t>
            </w:r>
          </w:p>
        </w:tc>
        <w:tc>
          <w:tcPr>
            <w:tcW w:w="750" w:type="dxa"/>
            <w:shd w:val="clear" w:color="auto" w:fill="DDEBF7"/>
            <w:vAlign w:val="center"/>
          </w:tcPr>
          <w:p>
            <w:pPr>
              <w:keepNext/>
              <w:spacing w:before="20" w:after="20" w:line="300" w:lineRule="exact"/>
              <w:jc w:val="center"/>
            </w:pPr>
            <w:r>
              <w:rPr>
                <w:rFonts w:ascii="Times New Roman" w:hAnsi="Times New Roman" w:eastAsia="標楷體" w:cs="Times New Roman"/>
                <w:b/>
                <w:bCs/>
                <w:sz w:val="19"/>
                <w:szCs w:val="19"/>
              </w:rPr>
              <w:t xml:space="preserve">Q1</w:t>
            </w:r>
          </w:p>
        </w:tc>
        <w:tc>
          <w:tcPr>
            <w:tcW w:w="750" w:type="dxa"/>
            <w:shd w:val="clear" w:color="auto" w:fill="DDEBF7"/>
            <w:vAlign w:val="center"/>
          </w:tcPr>
          <w:p>
            <w:pPr>
              <w:keepNext/>
              <w:spacing w:before="20" w:after="20" w:line="300" w:lineRule="exact"/>
              <w:jc w:val="center"/>
            </w:pPr>
            <w:r>
              <w:rPr>
                <w:rFonts w:ascii="Times New Roman" w:hAnsi="Times New Roman" w:eastAsia="標楷體" w:cs="Times New Roman"/>
                <w:b/>
                <w:bCs/>
                <w:sz w:val="19"/>
                <w:szCs w:val="19"/>
              </w:rPr>
              <w:t xml:space="preserve">Q2</w:t>
            </w:r>
          </w:p>
        </w:tc>
        <w:tc>
          <w:tcPr>
            <w:tcW w:w="750" w:type="dxa"/>
            <w:shd w:val="clear" w:color="auto" w:fill="DDEBF7"/>
            <w:vAlign w:val="center"/>
          </w:tcPr>
          <w:p>
            <w:pPr>
              <w:keepNext/>
              <w:spacing w:before="20" w:after="20" w:line="300" w:lineRule="exact"/>
              <w:jc w:val="center"/>
            </w:pPr>
            <w:r>
              <w:rPr>
                <w:rFonts w:ascii="Times New Roman" w:hAnsi="Times New Roman" w:eastAsia="標楷體" w:cs="Times New Roman"/>
                <w:b/>
                <w:bCs/>
                <w:sz w:val="19"/>
                <w:szCs w:val="19"/>
              </w:rPr>
              <w:t xml:space="preserve">Q3</w:t>
            </w:r>
          </w:p>
        </w:tc>
        <w:tc>
          <w:tcPr>
            <w:tcW w:w="750" w:type="dxa"/>
            <w:shd w:val="clear" w:color="auto" w:fill="DDEBF7"/>
            <w:vAlign w:val="center"/>
          </w:tcPr>
          <w:p>
            <w:pPr>
              <w:keepNext/>
              <w:spacing w:before="20" w:after="20" w:line="300" w:lineRule="exact"/>
              <w:jc w:val="center"/>
            </w:pPr>
            <w:r>
              <w:rPr>
                <w:rFonts w:ascii="Times New Roman" w:hAnsi="Times New Roman" w:eastAsia="標楷體" w:cs="Times New Roman"/>
                <w:b/>
                <w:bCs/>
                <w:sz w:val="19"/>
                <w:szCs w:val="19"/>
              </w:rPr>
              <w:t xml:space="preserve">Q4</w:t>
            </w:r>
          </w:p>
        </w:tc>
      </w:tr>
      <w:tr>
        <w:trPr>
          <w:cantSplit/>
        </w:trPr>
        <w:tc>
          <w:tcPr>
            <w:tcW w:w="3638" w:type="dxa"/>
            <w:vAlign w:val="center"/>
          </w:tcPr>
          <w:p>
            <w:pPr>
              <w:keepNext/>
              <w:spacing w:before="20" w:after="20" w:line="300" w:lineRule="exact"/>
              <w:jc w:val="left"/>
            </w:pPr>
            <w:r>
              <w:rPr>
                <w:rFonts w:ascii="Times New Roman" w:hAnsi="Times New Roman" w:eastAsia="標楷體" w:cs="Times New Roman"/>
                <w:sz w:val="19"/>
                <w:szCs w:val="19"/>
              </w:rPr>
              <w:t xml:space="preserve">共同：正式文獻回顧、倫理審查、預先註冊</w:t>
            </w:r>
          </w:p>
        </w:tc>
        <w:tc>
          <w:tcPr>
            <w:tcW w:w="750" w:type="dxa"/>
            <w:shd w:val="clear" w:color="auto" w:fill="EDEDED"/>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r>
      <w:tr>
        <w:trPr>
          <w:cantSplit/>
        </w:trPr>
        <w:tc>
          <w:tcPr>
            <w:tcW w:w="3638" w:type="dxa"/>
            <w:vAlign w:val="center"/>
          </w:tcPr>
          <w:p>
            <w:pPr>
              <w:keepNext/>
              <w:spacing w:before="20" w:after="20" w:line="300" w:lineRule="exact"/>
              <w:jc w:val="left"/>
            </w:pPr>
            <w:r>
              <w:rPr>
                <w:rFonts w:ascii="Times New Roman" w:hAnsi="Times New Roman" w:eastAsia="標楷體" w:cs="Times New Roman"/>
                <w:sz w:val="19"/>
                <w:szCs w:val="19"/>
              </w:rPr>
              <w:t xml:space="preserve">一 1a：訪談大綱前導（N = 6）</w:t>
            </w:r>
          </w:p>
        </w:tc>
        <w:tc>
          <w:tcPr>
            <w:tcW w:w="750" w:type="dxa"/>
            <w:shd w:val="clear" w:color="auto" w:fill="FBE5D6"/>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r>
      <w:tr>
        <w:trPr>
          <w:cantSplit/>
        </w:trPr>
        <w:tc>
          <w:tcPr>
            <w:tcW w:w="3638" w:type="dxa"/>
            <w:vAlign w:val="center"/>
          </w:tcPr>
          <w:p>
            <w:pPr>
              <w:keepNext/>
              <w:spacing w:before="20" w:after="20" w:line="300" w:lineRule="exact"/>
              <w:jc w:val="left"/>
            </w:pPr>
            <w:r>
              <w:rPr>
                <w:rFonts w:ascii="Times New Roman" w:hAnsi="Times New Roman" w:eastAsia="標楷體" w:cs="Times New Roman"/>
                <w:sz w:val="19"/>
                <w:szCs w:val="19"/>
              </w:rPr>
              <w:t xml:space="preserve">一 1b：軟式階梯訪談（N = 48）</w:t>
            </w:r>
          </w:p>
        </w:tc>
        <w:tc>
          <w:tcPr>
            <w:tcW w:w="750" w:type="dxa"/>
            <w:shd w:val="clear" w:color="auto" w:fill="FBE5D6"/>
            <w:vAlign w:val="center"/>
          </w:tcPr>
          <w:p>
            <w:pPr>
              <w:keepNext/>
              <w:spacing w:before="20" w:after="20" w:line="300" w:lineRule="exact"/>
              <w:jc w:val="left"/>
            </w:pPr>
          </w:p>
        </w:tc>
        <w:tc>
          <w:tcPr>
            <w:tcW w:w="750" w:type="dxa"/>
            <w:shd w:val="clear" w:color="auto" w:fill="FBE5D6"/>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r>
      <w:tr>
        <w:trPr>
          <w:cantSplit/>
        </w:trPr>
        <w:tc>
          <w:tcPr>
            <w:tcW w:w="3638" w:type="dxa"/>
            <w:vAlign w:val="center"/>
          </w:tcPr>
          <w:p>
            <w:pPr>
              <w:keepNext/>
              <w:spacing w:before="20" w:after="20" w:line="300" w:lineRule="exact"/>
              <w:jc w:val="left"/>
            </w:pPr>
            <w:r>
              <w:rPr>
                <w:rFonts w:ascii="Times New Roman" w:hAnsi="Times New Roman" w:eastAsia="標楷體" w:cs="Times New Roman"/>
                <w:sz w:val="19"/>
                <w:szCs w:val="19"/>
              </w:rPr>
              <w:t xml:space="preserve">一 1c、1d：編碼、涵意矩陣與 HVM</w:t>
            </w:r>
          </w:p>
        </w:tc>
        <w:tc>
          <w:tcPr>
            <w:tcW w:w="750" w:type="dxa"/>
            <w:vAlign w:val="center"/>
          </w:tcPr>
          <w:p>
            <w:pPr>
              <w:keepNext/>
              <w:spacing w:before="20" w:after="20" w:line="300" w:lineRule="exact"/>
              <w:jc w:val="left"/>
            </w:pPr>
          </w:p>
        </w:tc>
        <w:tc>
          <w:tcPr>
            <w:tcW w:w="750" w:type="dxa"/>
            <w:shd w:val="clear" w:color="auto" w:fill="FBE5D6"/>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r>
      <w:tr>
        <w:trPr>
          <w:cantSplit/>
        </w:trPr>
        <w:tc>
          <w:tcPr>
            <w:tcW w:w="3638" w:type="dxa"/>
            <w:vAlign w:val="center"/>
          </w:tcPr>
          <w:p>
            <w:pPr>
              <w:keepNext/>
              <w:spacing w:before="20" w:after="20" w:line="300" w:lineRule="exact"/>
              <w:jc w:val="left"/>
            </w:pPr>
            <w:r>
              <w:rPr>
                <w:rFonts w:ascii="Times New Roman" w:hAnsi="Times New Roman" w:eastAsia="標楷體" w:cs="Times New Roman"/>
                <w:sz w:val="19"/>
                <w:szCs w:val="19"/>
              </w:rPr>
              <w:t xml:space="preserve">一 1e：價值傾向量表（N ≈ 300）</w:t>
            </w:r>
          </w:p>
        </w:tc>
        <w:tc>
          <w:tcPr>
            <w:tcW w:w="750" w:type="dxa"/>
            <w:vAlign w:val="center"/>
          </w:tcPr>
          <w:p>
            <w:pPr>
              <w:keepNext/>
              <w:spacing w:before="20" w:after="20" w:line="300" w:lineRule="exact"/>
              <w:jc w:val="left"/>
            </w:pPr>
          </w:p>
        </w:tc>
        <w:tc>
          <w:tcPr>
            <w:tcW w:w="750" w:type="dxa"/>
            <w:shd w:val="clear" w:color="auto" w:fill="FBE5D6"/>
            <w:vAlign w:val="center"/>
          </w:tcPr>
          <w:p>
            <w:pPr>
              <w:keepNext/>
              <w:spacing w:before="20" w:after="20" w:line="300" w:lineRule="exact"/>
              <w:jc w:val="left"/>
            </w:pPr>
          </w:p>
        </w:tc>
        <w:tc>
          <w:tcPr>
            <w:tcW w:w="750" w:type="dxa"/>
            <w:shd w:val="clear" w:color="auto" w:fill="FBE5D6"/>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r>
      <w:tr>
        <w:trPr>
          <w:cantSplit/>
        </w:trPr>
        <w:tc>
          <w:tcPr>
            <w:tcW w:w="3638" w:type="dxa"/>
            <w:vAlign w:val="center"/>
          </w:tcPr>
          <w:p>
            <w:pPr>
              <w:keepNext/>
              <w:spacing w:before="20" w:after="20" w:line="300" w:lineRule="exact"/>
              <w:jc w:val="left"/>
            </w:pPr>
            <w:r>
              <w:rPr>
                <w:rFonts w:ascii="Times New Roman" w:hAnsi="Times New Roman" w:eastAsia="標楷體" w:cs="Times New Roman"/>
                <w:sz w:val="19"/>
                <w:szCs w:val="19"/>
              </w:rPr>
              <w:t xml:space="preserve">二：三品類刺激物與前測</w:t>
            </w: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shd w:val="clear" w:color="auto" w:fill="E2F0D9"/>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r>
      <w:tr>
        <w:trPr>
          <w:cantSplit/>
        </w:trPr>
        <w:tc>
          <w:tcPr>
            <w:tcW w:w="3638" w:type="dxa"/>
            <w:vAlign w:val="center"/>
          </w:tcPr>
          <w:p>
            <w:pPr>
              <w:keepNext/>
              <w:spacing w:before="20" w:after="20" w:line="300" w:lineRule="exact"/>
              <w:jc w:val="left"/>
            </w:pPr>
            <w:r>
              <w:rPr>
                <w:rFonts w:ascii="Times New Roman" w:hAnsi="Times New Roman" w:eastAsia="標楷體" w:cs="Times New Roman"/>
                <w:sz w:val="19"/>
                <w:szCs w:val="19"/>
              </w:rPr>
              <w:t xml:space="preserve">二 2a：運動鞋實驗（N = 480）</w:t>
            </w: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shd w:val="clear" w:color="auto" w:fill="E2F0D9"/>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r>
      <w:tr>
        <w:trPr>
          <w:cantSplit/>
        </w:trPr>
        <w:tc>
          <w:tcPr>
            <w:tcW w:w="3638" w:type="dxa"/>
            <w:vAlign w:val="center"/>
          </w:tcPr>
          <w:p>
            <w:pPr>
              <w:keepNext/>
              <w:spacing w:before="20" w:after="20" w:line="300" w:lineRule="exact"/>
              <w:jc w:val="left"/>
            </w:pPr>
            <w:r>
              <w:rPr>
                <w:rFonts w:ascii="Times New Roman" w:hAnsi="Times New Roman" w:eastAsia="標楷體" w:cs="Times New Roman"/>
                <w:sz w:val="19"/>
                <w:szCs w:val="19"/>
              </w:rPr>
              <w:t xml:space="preserve">二 2b、2c：跨品類複製與揭露實驗</w:t>
            </w: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shd w:val="clear" w:color="auto" w:fill="E2F0D9"/>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r>
      <w:tr>
        <w:trPr>
          <w:cantSplit/>
        </w:trPr>
        <w:tc>
          <w:tcPr>
            <w:tcW w:w="3638" w:type="dxa"/>
            <w:vAlign w:val="center"/>
          </w:tcPr>
          <w:p>
            <w:pPr>
              <w:keepNext/>
              <w:spacing w:before="20" w:after="20" w:line="300" w:lineRule="exact"/>
              <w:jc w:val="left"/>
            </w:pPr>
            <w:r>
              <w:rPr>
                <w:rFonts w:ascii="Times New Roman" w:hAnsi="Times New Roman" w:eastAsia="標楷體" w:cs="Times New Roman"/>
                <w:sz w:val="19"/>
                <w:szCs w:val="19"/>
              </w:rPr>
              <w:t xml:space="preserve">二：一週後追蹤與分析</w:t>
            </w: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shd w:val="clear" w:color="auto" w:fill="E2F0D9"/>
            <w:vAlign w:val="center"/>
          </w:tcPr>
          <w:p>
            <w:pPr>
              <w:keepNext/>
              <w:spacing w:before="20" w:after="20" w:line="300" w:lineRule="exact"/>
              <w:jc w:val="left"/>
            </w:pPr>
          </w:p>
        </w:tc>
        <w:tc>
          <w:tcPr>
            <w:tcW w:w="750" w:type="dxa"/>
            <w:shd w:val="clear" w:color="auto" w:fill="E2F0D9"/>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r>
      <w:tr>
        <w:trPr>
          <w:cantSplit/>
        </w:trPr>
        <w:tc>
          <w:tcPr>
            <w:tcW w:w="3638" w:type="dxa"/>
            <w:vAlign w:val="center"/>
          </w:tcPr>
          <w:p>
            <w:pPr>
              <w:keepNext/>
              <w:spacing w:before="20" w:after="20" w:line="300" w:lineRule="exact"/>
              <w:jc w:val="left"/>
            </w:pPr>
            <w:r>
              <w:rPr>
                <w:rFonts w:ascii="Times New Roman" w:hAnsi="Times New Roman" w:eastAsia="標楷體" w:cs="Times New Roman"/>
                <w:sz w:val="19"/>
                <w:szCs w:val="19"/>
              </w:rPr>
              <w:t xml:space="preserve">三：量表、問卷設計與前測</w:t>
            </w: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shd w:val="clear" w:color="auto" w:fill="DEEBF7"/>
            <w:vAlign w:val="center"/>
          </w:tcPr>
          <w:p>
            <w:pPr>
              <w:keepNext/>
              <w:spacing w:before="20" w:after="20" w:line="300" w:lineRule="exact"/>
              <w:jc w:val="left"/>
            </w:pPr>
          </w:p>
        </w:tc>
        <w:tc>
          <w:tcPr>
            <w:tcW w:w="750" w:type="dxa"/>
            <w:shd w:val="clear" w:color="auto" w:fill="DEEBF7"/>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r>
      <w:tr>
        <w:trPr>
          <w:cantSplit/>
        </w:trPr>
        <w:tc>
          <w:tcPr>
            <w:tcW w:w="3638" w:type="dxa"/>
            <w:vAlign w:val="center"/>
          </w:tcPr>
          <w:p>
            <w:pPr>
              <w:keepNext/>
              <w:spacing w:before="20" w:after="20" w:line="300" w:lineRule="exact"/>
              <w:jc w:val="left"/>
            </w:pPr>
            <w:r>
              <w:rPr>
                <w:rFonts w:ascii="Times New Roman" w:hAnsi="Times New Roman" w:eastAsia="標楷體" w:cs="Times New Roman"/>
                <w:sz w:val="19"/>
                <w:szCs w:val="19"/>
              </w:rPr>
              <w:t xml:space="preserve">三 3a：直播購買者調查（N ≈ 800）</w:t>
            </w: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shd w:val="clear" w:color="auto" w:fill="DEEBF7"/>
            <w:vAlign w:val="center"/>
          </w:tcPr>
          <w:p>
            <w:pPr>
              <w:keepNext/>
              <w:spacing w:before="20" w:after="20" w:line="300" w:lineRule="exact"/>
              <w:jc w:val="left"/>
            </w:pPr>
          </w:p>
        </w:tc>
        <w:tc>
          <w:tcPr>
            <w:tcW w:w="750" w:type="dxa"/>
            <w:shd w:val="clear" w:color="auto" w:fill="DEEBF7"/>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r>
      <w:tr>
        <w:trPr>
          <w:cantSplit/>
        </w:trPr>
        <w:tc>
          <w:tcPr>
            <w:tcW w:w="3638" w:type="dxa"/>
            <w:vAlign w:val="center"/>
          </w:tcPr>
          <w:p>
            <w:pPr>
              <w:keepNext/>
              <w:spacing w:before="20" w:after="20" w:line="300" w:lineRule="exact"/>
              <w:jc w:val="left"/>
            </w:pPr>
            <w:r>
              <w:rPr>
                <w:rFonts w:ascii="Times New Roman" w:hAnsi="Times New Roman" w:eastAsia="標楷體" w:cs="Times New Roman"/>
                <w:sz w:val="19"/>
                <w:szCs w:val="19"/>
              </w:rPr>
              <w:t xml:space="preserve">三 3b：三個月退貨追蹤</w:t>
            </w: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shd w:val="clear" w:color="auto" w:fill="DEEBF7"/>
            <w:vAlign w:val="center"/>
          </w:tcPr>
          <w:p>
            <w:pPr>
              <w:keepNext/>
              <w:spacing w:before="20" w:after="20" w:line="300" w:lineRule="exact"/>
              <w:jc w:val="left"/>
            </w:pPr>
          </w:p>
        </w:tc>
        <w:tc>
          <w:tcPr>
            <w:tcW w:w="750" w:type="dxa"/>
            <w:vAlign w:val="center"/>
          </w:tcPr>
          <w:p>
            <w:pPr>
              <w:keepNext/>
              <w:spacing w:before="20" w:after="20" w:line="300" w:lineRule="exact"/>
              <w:jc w:val="left"/>
            </w:pPr>
          </w:p>
        </w:tc>
      </w:tr>
      <w:tr>
        <w:trPr>
          <w:cantSplit/>
        </w:trPr>
        <w:tc>
          <w:tcPr>
            <w:tcW w:w="3638" w:type="dxa"/>
            <w:vAlign w:val="center"/>
          </w:tcPr>
          <w:p>
            <w:pPr>
              <w:keepNext/>
              <w:spacing w:before="20" w:after="20" w:line="300" w:lineRule="exact"/>
              <w:jc w:val="left"/>
            </w:pPr>
            <w:r>
              <w:rPr>
                <w:rFonts w:ascii="Times New Roman" w:hAnsi="Times New Roman" w:eastAsia="標楷體" w:cs="Times New Roman"/>
                <w:sz w:val="19"/>
                <w:szCs w:val="19"/>
              </w:rPr>
              <w:t xml:space="preserve">三 3c：SEM 與多群組 SEM</w:t>
            </w: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shd w:val="clear" w:color="auto" w:fill="DEEBF7"/>
            <w:vAlign w:val="center"/>
          </w:tcPr>
          <w:p>
            <w:pPr>
              <w:keepNext/>
              <w:spacing w:before="20" w:after="20" w:line="300" w:lineRule="exact"/>
              <w:jc w:val="left"/>
            </w:pPr>
          </w:p>
        </w:tc>
        <w:tc>
          <w:tcPr>
            <w:tcW w:w="750" w:type="dxa"/>
            <w:vAlign w:val="center"/>
          </w:tcPr>
          <w:p>
            <w:pPr>
              <w:keepNext/>
              <w:spacing w:before="20" w:after="20" w:line="300" w:lineRule="exact"/>
              <w:jc w:val="left"/>
            </w:pPr>
          </w:p>
        </w:tc>
      </w:tr>
      <w:tr>
        <w:trPr>
          <w:cantSplit/>
        </w:trPr>
        <w:tc>
          <w:tcPr>
            <w:tcW w:w="3638" w:type="dxa"/>
            <w:vAlign w:val="center"/>
          </w:tcPr>
          <w:p>
            <w:pPr>
              <w:keepNext/>
              <w:spacing w:before="20" w:after="20" w:line="300" w:lineRule="exact"/>
              <w:jc w:val="left"/>
            </w:pPr>
            <w:r>
              <w:rPr>
                <w:rFonts w:ascii="Times New Roman" w:hAnsi="Times New Roman" w:eastAsia="標楷體" w:cs="Times New Roman"/>
                <w:sz w:val="19"/>
                <w:szCs w:val="19"/>
              </w:rPr>
              <w:t xml:space="preserve">整合：中小企業決策表與揭露指引</w:t>
            </w: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shd w:val="clear" w:color="auto" w:fill="EDEDED"/>
            <w:vAlign w:val="center"/>
          </w:tcPr>
          <w:p>
            <w:pPr>
              <w:keepNext/>
              <w:spacing w:before="20" w:after="20" w:line="300" w:lineRule="exact"/>
              <w:jc w:val="left"/>
            </w:pPr>
          </w:p>
        </w:tc>
        <w:tc>
          <w:tcPr>
            <w:tcW w:w="750" w:type="dxa"/>
            <w:shd w:val="clear" w:color="auto" w:fill="EDEDED"/>
            <w:vAlign w:val="center"/>
          </w:tcPr>
          <w:p>
            <w:pPr>
              <w:keepNext/>
              <w:spacing w:before="20" w:after="20" w:line="300" w:lineRule="exact"/>
              <w:jc w:val="left"/>
            </w:pPr>
          </w:p>
        </w:tc>
      </w:tr>
      <w:tr>
        <w:trPr>
          <w:cantSplit/>
        </w:trPr>
        <w:tc>
          <w:tcPr>
            <w:tcW w:w="3638" w:type="dxa"/>
            <w:vAlign w:val="center"/>
          </w:tcPr>
          <w:p>
            <w:pPr>
              <w:keepNext/>
              <w:spacing w:before="20" w:after="20" w:line="300" w:lineRule="exact"/>
              <w:jc w:val="left"/>
            </w:pPr>
            <w:r>
              <w:rPr>
                <w:rFonts w:ascii="Times New Roman" w:hAnsi="Times New Roman" w:eastAsia="標楷體" w:cs="Times New Roman"/>
                <w:sz w:val="19"/>
                <w:szCs w:val="19"/>
              </w:rPr>
              <w:t xml:space="preserve">整合：論文撰寫與投稿</w:t>
            </w: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shd w:val="clear" w:color="auto" w:fill="EDEDED"/>
            <w:vAlign w:val="center"/>
          </w:tcPr>
          <w:p>
            <w:pPr>
              <w:keepNext/>
              <w:spacing w:before="20" w:after="20" w:line="300" w:lineRule="exact"/>
              <w:jc w:val="left"/>
            </w:pPr>
          </w:p>
        </w:tc>
        <w:tc>
          <w:tcPr>
            <w:tcW w:w="750" w:type="dxa"/>
            <w:shd w:val="clear" w:color="auto" w:fill="EDEDED"/>
            <w:vAlign w:val="center"/>
          </w:tcPr>
          <w:p>
            <w:pPr>
              <w:keepNext/>
              <w:spacing w:before="20" w:after="20" w:line="300" w:lineRule="exact"/>
              <w:jc w:val="left"/>
            </w:pPr>
          </w:p>
        </w:tc>
        <w:tc>
          <w:tcPr>
            <w:tcW w:w="750" w:type="dxa"/>
            <w:shd w:val="clear" w:color="auto" w:fill="EDEDED"/>
            <w:vAlign w:val="center"/>
          </w:tcPr>
          <w:p>
            <w:pPr>
              <w:keepNext/>
              <w:spacing w:before="20" w:after="20" w:line="300" w:lineRule="exact"/>
              <w:jc w:val="left"/>
            </w:pPr>
          </w:p>
        </w:tc>
      </w:tr>
      <w:tr>
        <w:trPr>
          <w:cantSplit/>
        </w:trPr>
        <w:tc>
          <w:tcPr>
            <w:tcW w:w="3638" w:type="dxa"/>
            <w:vAlign w:val="center"/>
          </w:tcPr>
          <w:p>
            <w:pPr>
              <w:keepNext/>
              <w:spacing w:before="20" w:after="20" w:line="300" w:lineRule="exact"/>
              <w:jc w:val="left"/>
            </w:pPr>
            <w:r>
              <w:rPr>
                <w:rFonts w:ascii="Times New Roman" w:hAnsi="Times New Roman" w:eastAsia="標楷體" w:cs="Times New Roman"/>
                <w:b/>
                <w:bCs/>
                <w:sz w:val="19"/>
                <w:szCs w:val="19"/>
              </w:rPr>
              <w:t xml:space="preserve">里程碑：第一階段價值鏈與量表完成（2028.03.31）</w:t>
            </w:r>
          </w:p>
        </w:tc>
        <w:tc>
          <w:tcPr>
            <w:tcW w:w="750" w:type="dxa"/>
            <w:vAlign w:val="center"/>
          </w:tcPr>
          <w:p>
            <w:pPr>
              <w:keepNext/>
              <w:spacing w:before="20" w:after="20" w:line="300" w:lineRule="exact"/>
              <w:jc w:val="center"/>
            </w:pPr>
          </w:p>
        </w:tc>
        <w:tc>
          <w:tcPr>
            <w:tcW w:w="750" w:type="dxa"/>
            <w:vAlign w:val="center"/>
          </w:tcPr>
          <w:p>
            <w:pPr>
              <w:keepNext/>
              <w:spacing w:before="20" w:after="20" w:line="300" w:lineRule="exact"/>
              <w:jc w:val="center"/>
            </w:pPr>
          </w:p>
        </w:tc>
        <w:tc>
          <w:tcPr>
            <w:tcW w:w="750" w:type="dxa"/>
            <w:vAlign w:val="center"/>
          </w:tcPr>
          <w:p>
            <w:pPr>
              <w:keepNext/>
              <w:spacing w:before="20" w:after="20" w:line="300" w:lineRule="exact"/>
              <w:jc w:val="center"/>
            </w:pPr>
            <w:r>
              <w:rPr>
                <w:rFonts w:ascii="Times New Roman" w:hAnsi="Times New Roman" w:eastAsia="標楷體" w:cs="Times New Roman"/>
                <w:sz w:val="19"/>
                <w:szCs w:val="19"/>
              </w:rPr>
              <w:t xml:space="preserve">◆</w:t>
            </w:r>
          </w:p>
        </w:tc>
        <w:tc>
          <w:tcPr>
            <w:tcW w:w="750" w:type="dxa"/>
            <w:vAlign w:val="center"/>
          </w:tcPr>
          <w:p>
            <w:pPr>
              <w:keepNext/>
              <w:spacing w:before="20" w:after="20" w:line="300" w:lineRule="exact"/>
              <w:jc w:val="center"/>
            </w:pPr>
          </w:p>
        </w:tc>
        <w:tc>
          <w:tcPr>
            <w:tcW w:w="750" w:type="dxa"/>
            <w:vAlign w:val="center"/>
          </w:tcPr>
          <w:p>
            <w:pPr>
              <w:keepNext/>
              <w:spacing w:before="20" w:after="20" w:line="300" w:lineRule="exact"/>
              <w:jc w:val="center"/>
            </w:pPr>
          </w:p>
        </w:tc>
        <w:tc>
          <w:tcPr>
            <w:tcW w:w="750" w:type="dxa"/>
            <w:vAlign w:val="center"/>
          </w:tcPr>
          <w:p>
            <w:pPr>
              <w:keepNext/>
              <w:spacing w:before="20" w:after="20" w:line="300" w:lineRule="exact"/>
              <w:jc w:val="center"/>
            </w:pPr>
          </w:p>
        </w:tc>
        <w:tc>
          <w:tcPr>
            <w:tcW w:w="750" w:type="dxa"/>
            <w:vAlign w:val="center"/>
          </w:tcPr>
          <w:p>
            <w:pPr>
              <w:keepNext/>
              <w:spacing w:before="20" w:after="20" w:line="300" w:lineRule="exact"/>
              <w:jc w:val="center"/>
            </w:pPr>
          </w:p>
        </w:tc>
        <w:tc>
          <w:tcPr>
            <w:tcW w:w="750" w:type="dxa"/>
            <w:vAlign w:val="center"/>
          </w:tcPr>
          <w:p>
            <w:pPr>
              <w:keepNext/>
              <w:spacing w:before="20" w:after="20" w:line="300" w:lineRule="exact"/>
              <w:jc w:val="center"/>
            </w:pPr>
          </w:p>
        </w:tc>
      </w:tr>
      <w:tr>
        <w:trPr>
          <w:cantSplit/>
        </w:trPr>
        <w:tc>
          <w:tcPr>
            <w:tcW w:w="3638" w:type="dxa"/>
            <w:vAlign w:val="center"/>
          </w:tcPr>
          <w:p>
            <w:pPr>
              <w:keepNext/>
              <w:spacing w:before="20" w:after="20" w:line="300" w:lineRule="exact"/>
              <w:jc w:val="left"/>
            </w:pPr>
            <w:r>
              <w:rPr>
                <w:rFonts w:ascii="Times New Roman" w:hAnsi="Times New Roman" w:eastAsia="標楷體" w:cs="Times New Roman"/>
                <w:b/>
                <w:bCs/>
                <w:sz w:val="19"/>
                <w:szCs w:val="19"/>
              </w:rPr>
              <w:t xml:space="preserve">里程碑：期中報告（2028.07.31）</w:t>
            </w:r>
          </w:p>
        </w:tc>
        <w:tc>
          <w:tcPr>
            <w:tcW w:w="750" w:type="dxa"/>
            <w:vAlign w:val="center"/>
          </w:tcPr>
          <w:p>
            <w:pPr>
              <w:keepNext/>
              <w:spacing w:before="20" w:after="20" w:line="300" w:lineRule="exact"/>
              <w:jc w:val="center"/>
            </w:pPr>
          </w:p>
        </w:tc>
        <w:tc>
          <w:tcPr>
            <w:tcW w:w="750" w:type="dxa"/>
            <w:vAlign w:val="center"/>
          </w:tcPr>
          <w:p>
            <w:pPr>
              <w:keepNext/>
              <w:spacing w:before="20" w:after="20" w:line="300" w:lineRule="exact"/>
              <w:jc w:val="center"/>
            </w:pPr>
          </w:p>
        </w:tc>
        <w:tc>
          <w:tcPr>
            <w:tcW w:w="750" w:type="dxa"/>
            <w:vAlign w:val="center"/>
          </w:tcPr>
          <w:p>
            <w:pPr>
              <w:keepNext/>
              <w:spacing w:before="20" w:after="20" w:line="300" w:lineRule="exact"/>
              <w:jc w:val="center"/>
            </w:pPr>
          </w:p>
        </w:tc>
        <w:tc>
          <w:tcPr>
            <w:tcW w:w="750" w:type="dxa"/>
            <w:vAlign w:val="center"/>
          </w:tcPr>
          <w:p>
            <w:pPr>
              <w:keepNext/>
              <w:spacing w:before="20" w:after="20" w:line="300" w:lineRule="exact"/>
              <w:jc w:val="center"/>
            </w:pPr>
            <w:r>
              <w:rPr>
                <w:rFonts w:ascii="Times New Roman" w:hAnsi="Times New Roman" w:eastAsia="標楷體" w:cs="Times New Roman"/>
                <w:sz w:val="19"/>
                <w:szCs w:val="19"/>
              </w:rPr>
              <w:t xml:space="preserve">◆</w:t>
            </w:r>
          </w:p>
        </w:tc>
        <w:tc>
          <w:tcPr>
            <w:tcW w:w="750" w:type="dxa"/>
            <w:vAlign w:val="center"/>
          </w:tcPr>
          <w:p>
            <w:pPr>
              <w:keepNext/>
              <w:spacing w:before="20" w:after="20" w:line="300" w:lineRule="exact"/>
              <w:jc w:val="center"/>
            </w:pPr>
          </w:p>
        </w:tc>
        <w:tc>
          <w:tcPr>
            <w:tcW w:w="750" w:type="dxa"/>
            <w:vAlign w:val="center"/>
          </w:tcPr>
          <w:p>
            <w:pPr>
              <w:keepNext/>
              <w:spacing w:before="20" w:after="20" w:line="300" w:lineRule="exact"/>
              <w:jc w:val="center"/>
            </w:pPr>
          </w:p>
        </w:tc>
        <w:tc>
          <w:tcPr>
            <w:tcW w:w="750" w:type="dxa"/>
            <w:vAlign w:val="center"/>
          </w:tcPr>
          <w:p>
            <w:pPr>
              <w:keepNext/>
              <w:spacing w:before="20" w:after="20" w:line="300" w:lineRule="exact"/>
              <w:jc w:val="center"/>
            </w:pPr>
          </w:p>
        </w:tc>
        <w:tc>
          <w:tcPr>
            <w:tcW w:w="750" w:type="dxa"/>
            <w:vAlign w:val="center"/>
          </w:tcPr>
          <w:p>
            <w:pPr>
              <w:keepNext/>
              <w:spacing w:before="20" w:after="20" w:line="300" w:lineRule="exact"/>
              <w:jc w:val="center"/>
            </w:pPr>
          </w:p>
        </w:tc>
      </w:tr>
      <w:tr>
        <w:trPr>
          <w:cantSplit/>
        </w:trPr>
        <w:tc>
          <w:tcPr>
            <w:tcW w:w="3638" w:type="dxa"/>
            <w:vAlign w:val="center"/>
          </w:tcPr>
          <w:p>
            <w:pPr>
              <w:keepNext/>
              <w:spacing w:before="20" w:after="20" w:line="300" w:lineRule="exact"/>
              <w:jc w:val="left"/>
            </w:pPr>
            <w:r>
              <w:rPr>
                <w:rFonts w:ascii="Times New Roman" w:hAnsi="Times New Roman" w:eastAsia="標楷體" w:cs="Times New Roman"/>
                <w:b/>
                <w:bCs/>
                <w:sz w:val="19"/>
                <w:szCs w:val="19"/>
              </w:rPr>
              <w:t xml:space="preserve">里程碑：結案報告（2029.07.31）</w:t>
            </w:r>
          </w:p>
        </w:tc>
        <w:tc>
          <w:tcPr>
            <w:tcW w:w="750" w:type="dxa"/>
            <w:vAlign w:val="center"/>
          </w:tcPr>
          <w:p>
            <w:pPr>
              <w:keepNext/>
              <w:spacing w:before="20" w:after="20" w:line="300" w:lineRule="exact"/>
              <w:jc w:val="center"/>
            </w:pPr>
          </w:p>
        </w:tc>
        <w:tc>
          <w:tcPr>
            <w:tcW w:w="750" w:type="dxa"/>
            <w:vAlign w:val="center"/>
          </w:tcPr>
          <w:p>
            <w:pPr>
              <w:keepNext/>
              <w:spacing w:before="20" w:after="20" w:line="300" w:lineRule="exact"/>
              <w:jc w:val="center"/>
            </w:pPr>
          </w:p>
        </w:tc>
        <w:tc>
          <w:tcPr>
            <w:tcW w:w="750" w:type="dxa"/>
            <w:vAlign w:val="center"/>
          </w:tcPr>
          <w:p>
            <w:pPr>
              <w:keepNext/>
              <w:spacing w:before="20" w:after="20" w:line="300" w:lineRule="exact"/>
              <w:jc w:val="center"/>
            </w:pPr>
          </w:p>
        </w:tc>
        <w:tc>
          <w:tcPr>
            <w:tcW w:w="750" w:type="dxa"/>
            <w:vAlign w:val="center"/>
          </w:tcPr>
          <w:p>
            <w:pPr>
              <w:keepNext/>
              <w:spacing w:before="20" w:after="20" w:line="300" w:lineRule="exact"/>
              <w:jc w:val="center"/>
            </w:pPr>
          </w:p>
        </w:tc>
        <w:tc>
          <w:tcPr>
            <w:tcW w:w="750" w:type="dxa"/>
            <w:vAlign w:val="center"/>
          </w:tcPr>
          <w:p>
            <w:pPr>
              <w:keepNext/>
              <w:spacing w:before="20" w:after="20" w:line="300" w:lineRule="exact"/>
              <w:jc w:val="center"/>
            </w:pPr>
          </w:p>
        </w:tc>
        <w:tc>
          <w:tcPr>
            <w:tcW w:w="750" w:type="dxa"/>
            <w:vAlign w:val="center"/>
          </w:tcPr>
          <w:p>
            <w:pPr>
              <w:keepNext/>
              <w:spacing w:before="20" w:after="20" w:line="300" w:lineRule="exact"/>
              <w:jc w:val="center"/>
            </w:pPr>
          </w:p>
        </w:tc>
        <w:tc>
          <w:tcPr>
            <w:tcW w:w="750" w:type="dxa"/>
            <w:vAlign w:val="center"/>
          </w:tcPr>
          <w:p>
            <w:pPr>
              <w:keepNext/>
              <w:spacing w:before="20" w:after="20" w:line="300" w:lineRule="exact"/>
              <w:jc w:val="center"/>
            </w:pPr>
          </w:p>
        </w:tc>
        <w:tc>
          <w:tcPr>
            <w:tcW w:w="750" w:type="dxa"/>
            <w:vAlign w:val="center"/>
          </w:tcPr>
          <w:p>
            <w:pPr>
              <w:keepNext/>
              <w:spacing w:before="20" w:after="20" w:line="300" w:lineRule="exact"/>
              <w:jc w:val="center"/>
            </w:pPr>
            <w:r>
              <w:rPr>
                <w:rFonts w:ascii="Times New Roman" w:hAnsi="Times New Roman" w:eastAsia="標楷體" w:cs="Times New Roman"/>
                <w:sz w:val="19"/>
                <w:szCs w:val="19"/>
              </w:rPr>
              <w:t xml:space="preserve">◆</w:t>
            </w:r>
          </w:p>
        </w:tc>
      </w:tr>
      <w:tr>
        <w:trPr>
          <w:cantSplit/>
        </w:trPr>
        <w:tc>
          <w:tcPr>
            <w:tcW w:w="9638" w:type="dxa"/>
            <w:gridSpan w:val="9"/>
            <w:vAlign w:val="center"/>
          </w:tcPr>
          <w:p>
            <w:pPr>
              <w:spacing w:before="20" w:after="20" w:line="300" w:lineRule="exact"/>
              <w:jc w:val="left"/>
            </w:pPr>
            <w:r>
              <w:rPr>
                <w:rFonts w:ascii="Times New Roman" w:hAnsi="Times New Roman" w:eastAsia="標楷體" w:cs="Times New Roman"/>
                <w:sz w:val="19"/>
                <w:szCs w:val="19"/>
              </w:rPr>
              <w:t xml:space="preserve">註：Q1 為 8–10 月，Q2 為 11–1 月，Q3 為 2–4 月，Q4 為 5–7 月；色塊依階段區分，灰色為共同與整合工作。</w:t>
            </w:r>
          </w:p>
        </w:tc>
      </w:tr>
    </w:tbl>
    <w:p>
      <w:pPr>
        <w:spacing w:before="0" w:after="0" w:line="200" w:lineRule="exact"/>
      </w:pPr>
    </w:p>
    <w:p>
      <w:pPr>
        <w:pStyle w:val="Heading2"/>
        <w:keepNext/>
        <w:spacing w:before="160" w:after="80" w:line="440" w:lineRule="exact"/>
      </w:pPr>
      <w:r>
        <w:rPr>
          <w:rFonts w:ascii="Times New Roman" w:hAnsi="Times New Roman" w:eastAsia="標楷體" w:cs="Times New Roman"/>
          <w:b/>
          <w:bCs/>
          <w:bdr w:val="single" w:sz="4" w:space="0" w:color="000000"/>
          <w:shd w:val="clear" w:color="auto" w:fill="E7E6E6"/>
        </w:rPr>
        <w:t xml:space="preserve">四、研究可能遭遇困難及解決途徑</w:t>
      </w:r>
    </w:p>
    <w:p>
      <w:pPr>
        <w:spacing w:before="0" w:after="0" w:line="440" w:lineRule="exact"/>
        <w:ind w:firstLineChars="200" w:firstLine="480"/>
        <w:jc w:val="both"/>
      </w:pPr>
      <w:r>
        <w:rPr>
          <w:rFonts w:ascii="Times New Roman" w:hAnsi="Times New Roman" w:eastAsia="標楷體" w:cs="Times New Roman"/>
        </w:rPr>
        <w:t xml:space="preserve">在計畫提案階段即考量可能遭遇的困難及解決途徑，有助於降低執行風險，提高達成預期成果的機率。本計畫預劃之困難與解決途徑如下：</w:t>
      </w:r>
    </w:p>
    <w:p>
      <w:pPr>
        <w:keepNext/>
        <w:spacing w:before="0" w:after="0" w:line="440" w:lineRule="exact"/>
      </w:pPr>
      <w:r>
        <w:rPr>
          <w:rFonts w:ascii="Times New Roman" w:hAnsi="Times New Roman" w:eastAsia="標楷體" w:cs="Times New Roman"/>
          <w:b/>
          <w:bCs/>
        </w:rPr>
        <w:t xml:space="preserve">1. 向 AI 主播購買的受訪者不易招募或難以確認主播類型</w:t>
      </w:r>
    </w:p>
    <w:p>
      <w:pPr>
        <w:spacing w:before="0" w:after="0" w:line="440" w:lineRule="exact"/>
        <w:ind w:firstLineChars="200" w:firstLine="480"/>
        <w:jc w:val="both"/>
      </w:pPr>
      <w:r>
        <w:rPr>
          <w:rFonts w:ascii="Times New Roman" w:hAnsi="Times New Roman" w:eastAsia="標楷體" w:cs="Times New Roman"/>
        </w:rPr>
        <w:t xml:space="preserve">解決途徑：(1) 以購買紀錄或直播截圖確認主播類型，並透過線上樣本供應商與直播社群同步招募。(2) 若 AI 主播購買者不足，第一階段放寬為「觀看 AI 主播直播並曾考慮購買」者，並於分析時區分。(3) 第三階段若 AI 主播購買者不足 400 人，改以「AI 主播 vs. 真人主播」的情境實驗補足群組比較。</w:t>
      </w:r>
    </w:p>
    <w:p>
      <w:pPr>
        <w:keepNext/>
        <w:spacing w:before="0" w:after="0" w:line="440" w:lineRule="exact"/>
      </w:pPr>
      <w:r>
        <w:rPr>
          <w:rFonts w:ascii="Times New Roman" w:hAnsi="Times New Roman" w:eastAsia="標楷體" w:cs="Times New Roman"/>
          <w:b/>
          <w:bCs/>
        </w:rPr>
        <w:t xml:space="preserve">2. AI 主播與真人主播的刺激物難以只在「主播類型」上不同</w:t>
      </w:r>
    </w:p>
    <w:p>
      <w:pPr>
        <w:spacing w:before="0" w:after="0" w:line="440" w:lineRule="exact"/>
        <w:ind w:firstLineChars="200" w:firstLine="480"/>
        <w:jc w:val="both"/>
      </w:pPr>
      <w:r>
        <w:rPr>
          <w:rFonts w:ascii="Times New Roman" w:hAnsi="Times New Roman" w:eastAsia="標楷體" w:cs="Times New Roman"/>
        </w:rPr>
        <w:t xml:space="preserve">解決途徑：(1) 兩類主播使用相同的服裝、背景、鏡位、腳本長度與促銷條件。(2) 前測檢驗外型吸引力、聲音清晰度與擬真程度，差異過大時調整數位人設定 (</w:t>
      </w:r>
      <w:hyperlink r:id="rIdL5" w:history="1">
        <w:r>
          <w:rPr>
            <w:rStyle w:val="Hyperlink"/>
            <w:rFonts w:ascii="Times New Roman" w:hAnsi="Times New Roman" w:eastAsia="標楷體" w:cs="Times New Roman"/>
          </w:rPr>
          <w:t xml:space="preserve">Y. Liu et al., 2025</w:t>
        </w:r>
      </w:hyperlink>
      <w:r>
        <w:rPr>
          <w:rFonts w:ascii="Times New Roman" w:hAnsi="Times New Roman" w:eastAsia="標楷體" w:cs="Times New Roman"/>
        </w:rPr>
        <w:t xml:space="preserve">; </w:t>
      </w:r>
      <w:hyperlink r:id="rIdL50" w:history="1">
        <w:r>
          <w:rPr>
            <w:rStyle w:val="Hyperlink"/>
            <w:rFonts w:ascii="Times New Roman" w:hAnsi="Times New Roman" w:eastAsia="標楷體" w:cs="Times New Roman"/>
          </w:rPr>
          <w:t xml:space="preserve">Mori et al., 2012</w:t>
        </w:r>
      </w:hyperlink>
      <w:r>
        <w:rPr>
          <w:rFonts w:ascii="Times New Roman" w:hAnsi="Times New Roman" w:eastAsia="標楷體" w:cs="Times New Roman"/>
        </w:rPr>
        <w:t xml:space="preserve">)。(3) 每個條件使用多個產品例子，避免結論只反映單一刺激物的特性 (</w:t>
      </w:r>
      <w:hyperlink r:id="rIdL12" w:history="1">
        <w:r>
          <w:rPr>
            <w:rStyle w:val="Hyperlink"/>
            <w:rFonts w:ascii="Times New Roman" w:hAnsi="Times New Roman" w:eastAsia="標楷體" w:cs="Times New Roman"/>
          </w:rPr>
          <w:t xml:space="preserve">Wells &amp; Windschitl, 1999</w:t>
        </w:r>
      </w:hyperlink>
      <w:r>
        <w:rPr>
          <w:rFonts w:ascii="Times New Roman" w:hAnsi="Times New Roman" w:eastAsia="標楷體" w:cs="Times New Roman"/>
        </w:rPr>
        <w:t xml:space="preserve">)。</w:t>
      </w:r>
    </w:p>
    <w:p>
      <w:pPr>
        <w:keepNext/>
        <w:spacing w:before="0" w:after="0" w:line="440" w:lineRule="exact"/>
      </w:pPr>
      <w:r>
        <w:rPr>
          <w:rFonts w:ascii="Times New Roman" w:hAnsi="Times New Roman" w:eastAsia="標楷體" w:cs="Times New Roman"/>
          <w:b/>
          <w:bCs/>
        </w:rPr>
        <w:t xml:space="preserve">3. 實驗的購後結果僅為預期，與實際退貨可能不一致</w:t>
      </w:r>
    </w:p>
    <w:p>
      <w:pPr>
        <w:spacing w:before="0" w:after="0" w:line="440" w:lineRule="exact"/>
        <w:ind w:firstLineChars="200" w:firstLine="480"/>
        <w:jc w:val="both"/>
      </w:pPr>
      <w:r>
        <w:rPr>
          <w:rFonts w:ascii="Times New Roman" w:hAnsi="Times New Roman" w:eastAsia="標楷體" w:cs="Times New Roman"/>
        </w:rPr>
        <w:t xml:space="preserve">解決途徑：第二階段的預期後悔與退貨意圖僅用於檢驗因果機制；第三階段以三個月後的實際退貨回報加以驗證，並於報告中說明兩者的差異。</w:t>
      </w:r>
    </w:p>
    <w:p>
      <w:pPr>
        <w:keepNext/>
        <w:spacing w:before="0" w:after="0" w:line="440" w:lineRule="exact"/>
      </w:pPr>
      <w:r>
        <w:rPr>
          <w:rFonts w:ascii="Times New Roman" w:hAnsi="Times New Roman" w:eastAsia="標楷體" w:cs="Times New Roman"/>
          <w:b/>
          <w:bCs/>
        </w:rPr>
        <w:t xml:space="preserve">4. 樣本規模、回收品質與成本不足</w:t>
      </w:r>
    </w:p>
    <w:p>
      <w:pPr>
        <w:spacing w:before="0" w:after="0" w:line="440" w:lineRule="exact"/>
        <w:ind w:firstLineChars="200" w:firstLine="480"/>
        <w:jc w:val="both"/>
      </w:pPr>
      <w:r>
        <w:rPr>
          <w:rFonts w:ascii="Times New Roman" w:hAnsi="Times New Roman" w:eastAsia="標楷體" w:cs="Times New Roman"/>
        </w:rPr>
        <w:t xml:space="preserve">解決途徑：(1) 向 2–3 家樣本供應商詢價，設注意力檢核題與最短作答時間。(2) 經費不足時先縮減研究 2b 的複製品類，保留研究 2a、2c 與第三階段。(3) 各品類前測 3–4 個候選產品，選出享樂／實用知覺差異最大、喜好度相近者，避免操弄失敗。</w:t>
      </w:r>
    </w:p>
    <w:p>
      <w:pPr>
        <w:keepNext/>
        <w:spacing w:before="0" w:after="0" w:line="440" w:lineRule="exact"/>
      </w:pPr>
      <w:r>
        <w:rPr>
          <w:rFonts w:ascii="Times New Roman" w:hAnsi="Times New Roman" w:eastAsia="標楷體" w:cs="Times New Roman"/>
          <w:b/>
          <w:bCs/>
        </w:rPr>
        <w:t xml:space="preserve">5. 計畫執行進度延誤與市場變化</w:t>
      </w:r>
    </w:p>
    <w:p>
      <w:pPr>
        <w:spacing w:before="0" w:after="0" w:line="440" w:lineRule="exact"/>
        <w:ind w:firstLineChars="200" w:firstLine="480"/>
        <w:jc w:val="both"/>
      </w:pPr>
      <w:r>
        <w:rPr>
          <w:rFonts w:ascii="Times New Roman" w:hAnsi="Times New Roman" w:eastAsia="標楷體" w:cs="Times New Roman"/>
        </w:rPr>
        <w:t xml:space="preserve">解決途徑：(1) 先完成核心研究（1b–1e、2a、2c、3a–3c），2b 為延伸研究，必要時可移至後續計畫。(2) 制定彈性時間表並預留緩衝；每月檢視進度，採滾動式規劃。(3) 計畫開始（2027.08）與期中報告（2028.07）各更新一次系統性文獻回顧與 AI 主播的法規與平台規範，揭露方式的操弄內容於前測時依當時的平台規範校準。</w:t>
      </w:r>
    </w:p>
    <w:p>
      <w:pPr>
        <w:keepNext/>
        <w:spacing w:before="0" w:after="0" w:line="440" w:lineRule="exact"/>
      </w:pPr>
      <w:r>
        <w:rPr>
          <w:rFonts w:ascii="Times New Roman" w:hAnsi="Times New Roman" w:eastAsia="標楷體" w:cs="Times New Roman"/>
          <w:b/>
          <w:bCs/>
        </w:rPr>
        <w:t xml:space="preserve">6. 研究倫理與個資</w:t>
      </w:r>
    </w:p>
    <w:p>
      <w:pPr>
        <w:spacing w:before="0" w:after="0" w:line="440" w:lineRule="exact"/>
        <w:ind w:firstLineChars="200" w:firstLine="480"/>
        <w:jc w:val="both"/>
      </w:pPr>
      <w:r>
        <w:rPr>
          <w:rFonts w:ascii="Times New Roman" w:hAnsi="Times New Roman" w:eastAsia="標楷體" w:cs="Times New Roman"/>
        </w:rPr>
        <w:t xml:space="preserve">三個階段皆涉及人類受試者，將於計畫開始前取得人類研究倫理審查委員會（IRB）核准。受訪者經告知同意後參與，可隨時退出；逐字稿與調查資料去識別化保存，購買紀錄截圖於確認主播類型後即刪除。實驗使用虛構品牌，AI 主播的數位人形象取得授權，真人主播簽署肖像使用同意書；實驗結束後告知受試者影片中主播的實際身分與實驗目的。</w:t>
      </w:r>
    </w:p>
    <w:p>
      <w:pPr>
        <w:pStyle w:val="Heading1"/>
        <w:keepNext/>
        <w:spacing w:before="240" w:after="120" w:line="440" w:lineRule="exact"/>
      </w:pPr>
      <w:r>
        <w:rPr>
          <w:rFonts w:ascii="Times New Roman" w:hAnsi="Times New Roman" w:eastAsia="標楷體" w:cs="Times New Roman"/>
          <w:b/>
          <w:bCs/>
          <w:sz w:val="28"/>
          <w:szCs w:val="28"/>
        </w:rPr>
        <w:t xml:space="preserve">參、預期完成之工作項目及成果</w:t>
      </w:r>
    </w:p>
    <w:p>
      <w:pPr>
        <w:pStyle w:val="Heading2"/>
        <w:keepNext/>
        <w:spacing w:before="160" w:after="80" w:line="440" w:lineRule="exact"/>
      </w:pPr>
      <w:r>
        <w:rPr>
          <w:rFonts w:ascii="Times New Roman" w:hAnsi="Times New Roman" w:eastAsia="標楷體" w:cs="Times New Roman"/>
          <w:b/>
          <w:bCs/>
          <w:bdr w:val="single" w:sz="4" w:space="0" w:color="000000"/>
          <w:shd w:val="clear" w:color="auto" w:fill="E7E6E6"/>
        </w:rPr>
        <w:t xml:space="preserve">一、預期完成之工作項目及研究成果</w:t>
      </w:r>
    </w:p>
    <w:p>
      <w:pPr>
        <w:spacing w:before="0" w:after="0" w:line="440" w:lineRule="exact"/>
        <w:ind w:firstLineChars="200" w:firstLine="480"/>
        <w:jc w:val="both"/>
      </w:pPr>
      <w:r>
        <w:rPr>
          <w:rFonts w:ascii="Times New Roman" w:hAnsi="Times New Roman" w:eastAsia="標楷體" w:cs="Times New Roman"/>
        </w:rPr>
        <w:t xml:space="preserve">本研究計畫「誰來賣、怎麼說、買了會不會退——AI 虛擬主播與真人主播的價值說服與購後後果：方法目的鏈、實驗設計與結構方程模式之二年期研究」，分二年三階段進行：</w:t>
      </w:r>
    </w:p>
    <w:p>
      <w:pPr>
        <w:spacing w:before="0" w:after="0" w:line="440" w:lineRule="exact"/>
        <w:ind w:left="960" w:hanging="480"/>
        <w:jc w:val="both"/>
      </w:pPr>
      <w:r>
        <w:rPr>
          <w:rFonts w:ascii="Times New Roman" w:hAnsi="Times New Roman" w:eastAsia="標楷體" w:cs="Times New Roman"/>
        </w:rPr>
        <w:t xml:space="preserve">（一）第一階段預期完成之工作項目：以軟式階梯訪談探索 AI 虛擬主播與真人主播購買者的價值鏈，完成兩組階梯價值圖與比較、購後後果在價值鏈中的定位，以及價值傾向量表。此階段聚焦於認知與價值層面。</w:t>
      </w:r>
    </w:p>
    <w:p>
      <w:pPr>
        <w:spacing w:before="0" w:after="0" w:line="440" w:lineRule="exact"/>
        <w:ind w:left="960" w:hanging="480"/>
        <w:jc w:val="both"/>
      </w:pPr>
      <w:r>
        <w:rPr>
          <w:rFonts w:ascii="Times New Roman" w:hAnsi="Times New Roman" w:eastAsia="標楷體" w:cs="Times New Roman"/>
        </w:rPr>
        <w:t xml:space="preserve">（二）第二階段預期完成之工作項目：以跨品類實驗檢驗主播類型、價值訴求話術與產品類型的交互作用，說服意圖知覺對預期後悔與退貨意圖的中介效果，以及 AI 身分揭露方式的影響，提出「主播類型 × 話術 × 品類」決策表。此階段聚焦於心理機制與購買行為。</w:t>
      </w:r>
    </w:p>
    <w:p>
      <w:pPr>
        <w:spacing w:before="0" w:after="0" w:line="440" w:lineRule="exact"/>
        <w:ind w:left="960" w:hanging="480"/>
        <w:jc w:val="both"/>
      </w:pPr>
      <w:r>
        <w:rPr>
          <w:rFonts w:ascii="Times New Roman" w:hAnsi="Times New Roman" w:eastAsia="標楷體" w:cs="Times New Roman"/>
        </w:rPr>
        <w:t xml:space="preserve">（三）第三階段預期完成之工作項目：以直播購買者調查與三個月退貨追蹤建構購後路徑模型，並以多群組 SEM 比較主播類型與價值傾向，提出退貨溝通建議。此階段聚焦於真實情境中的購後結果。</w:t>
      </w:r>
    </w:p>
    <w:p>
      <w:pPr>
        <w:spacing w:before="0" w:after="0" w:line="440" w:lineRule="exact"/>
        <w:ind w:firstLineChars="200" w:firstLine="480"/>
        <w:jc w:val="both"/>
      </w:pPr>
      <w:r>
        <w:rPr>
          <w:rFonts w:ascii="Times New Roman" w:hAnsi="Times New Roman" w:eastAsia="標楷體" w:cs="Times New Roman"/>
        </w:rPr>
        <w:t xml:space="preserve">本計畫將於第二年綜整三階段的結果，以不同的方法與觀點比較、整合和詮釋 AI 主播的說服機制與購後後果。預期成果與完成時間如表 12。</w:t>
      </w:r>
    </w:p>
    <w:p>
      <w:pPr>
        <w:keepNext/>
        <w:spacing w:before="120" w:after="80" w:line="360" w:lineRule="exact"/>
        <w:jc w:val="center"/>
      </w:pPr>
      <w:r>
        <w:rPr>
          <w:rFonts w:ascii="Times New Roman" w:hAnsi="Times New Roman" w:eastAsia="標楷體" w:cs="Times New Roman"/>
        </w:rPr>
        <w:t xml:space="preserve">表 12　預期成果與績效指標</w:t>
      </w:r>
    </w:p>
    <w:tbl>
      <w:tblPr>
        <w:tblW w:w="96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57" w:type="dxa"/>
          <w:right w:w="57" w:type="dxa"/>
        </w:tblCellMar>
      </w:tblPr>
      <w:tblGrid>
        <w:gridCol w:w="6238"/>
        <w:gridCol w:w="1500"/>
        <w:gridCol w:w="1900"/>
      </w:tblGrid>
      <w:tr>
        <w:trPr>
          <w:tblHeader/>
          <w:cantSplit/>
        </w:trPr>
        <w:tc>
          <w:tcPr>
            <w:tcW w:w="6238"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成果</w:t>
            </w:r>
          </w:p>
        </w:tc>
        <w:tc>
          <w:tcPr>
            <w:tcW w:w="1500"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數量</w:t>
            </w:r>
          </w:p>
        </w:tc>
        <w:tc>
          <w:tcPr>
            <w:tcW w:w="1900"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完成時間</w:t>
            </w:r>
          </w:p>
        </w:tc>
      </w:tr>
      <w:tr>
        <w:trPr>
          <w:cantSplit/>
        </w:trPr>
        <w:tc>
          <w:tcPr>
            <w:tcW w:w="6238" w:type="dxa"/>
            <w:vAlign w:val="center"/>
          </w:tcPr>
          <w:p>
            <w:pPr>
              <w:spacing w:before="20" w:after="20" w:line="300" w:lineRule="exact"/>
              <w:jc w:val="left"/>
            </w:pPr>
            <w:r>
              <w:rPr>
                <w:rFonts w:ascii="Times New Roman" w:hAnsi="Times New Roman" w:eastAsia="標楷體" w:cs="Times New Roman"/>
                <w:sz w:val="21"/>
                <w:szCs w:val="21"/>
              </w:rPr>
              <w:t xml:space="preserve">系統性文獻回顧（正式版）與預先註冊文件（每階段 1 份）</w:t>
            </w:r>
          </w:p>
        </w:tc>
        <w:tc>
          <w:tcPr>
            <w:tcW w:w="1500" w:type="dxa"/>
            <w:vAlign w:val="center"/>
          </w:tcPr>
          <w:p>
            <w:pPr>
              <w:spacing w:before="20" w:after="20" w:line="300" w:lineRule="exact"/>
              <w:jc w:val="center"/>
            </w:pPr>
            <w:r>
              <w:rPr>
                <w:rFonts w:ascii="Times New Roman" w:hAnsi="Times New Roman" w:eastAsia="標楷體" w:cs="Times New Roman"/>
                <w:sz w:val="21"/>
                <w:szCs w:val="21"/>
              </w:rPr>
              <w:t xml:space="preserve">1＋3 份</w:t>
            </w:r>
          </w:p>
        </w:tc>
        <w:tc>
          <w:tcPr>
            <w:tcW w:w="1900" w:type="dxa"/>
            <w:vAlign w:val="center"/>
          </w:tcPr>
          <w:p>
            <w:pPr>
              <w:spacing w:before="20" w:after="20" w:line="300" w:lineRule="exact"/>
              <w:jc w:val="center"/>
            </w:pPr>
            <w:r>
              <w:rPr>
                <w:rFonts w:ascii="Times New Roman" w:hAnsi="Times New Roman" w:eastAsia="標楷體" w:cs="Times New Roman"/>
                <w:sz w:val="21"/>
                <w:szCs w:val="21"/>
              </w:rPr>
              <w:t xml:space="preserve">2027.10</w:t>
            </w:r>
          </w:p>
        </w:tc>
      </w:tr>
      <w:tr>
        <w:trPr>
          <w:cantSplit/>
        </w:trPr>
        <w:tc>
          <w:tcPr>
            <w:tcW w:w="6238" w:type="dxa"/>
            <w:vAlign w:val="center"/>
          </w:tcPr>
          <w:p>
            <w:pPr>
              <w:spacing w:before="20" w:after="20" w:line="300" w:lineRule="exact"/>
              <w:jc w:val="left"/>
            </w:pPr>
            <w:r>
              <w:rPr>
                <w:rFonts w:ascii="Times New Roman" w:hAnsi="Times New Roman" w:eastAsia="標楷體" w:cs="Times New Roman"/>
                <w:sz w:val="21"/>
                <w:szCs w:val="21"/>
              </w:rPr>
              <w:t xml:space="preserve">AI 與真人主播購買者之階梯價值圖與比較報告</w:t>
            </w:r>
          </w:p>
        </w:tc>
        <w:tc>
          <w:tcPr>
            <w:tcW w:w="1500" w:type="dxa"/>
            <w:vAlign w:val="center"/>
          </w:tcPr>
          <w:p>
            <w:pPr>
              <w:spacing w:before="20" w:after="20" w:line="300" w:lineRule="exact"/>
              <w:jc w:val="center"/>
            </w:pPr>
            <w:r>
              <w:rPr>
                <w:rFonts w:ascii="Times New Roman" w:hAnsi="Times New Roman" w:eastAsia="標楷體" w:cs="Times New Roman"/>
                <w:sz w:val="21"/>
                <w:szCs w:val="21"/>
              </w:rPr>
              <w:t xml:space="preserve">1 份</w:t>
            </w:r>
          </w:p>
        </w:tc>
        <w:tc>
          <w:tcPr>
            <w:tcW w:w="1900" w:type="dxa"/>
            <w:vAlign w:val="center"/>
          </w:tcPr>
          <w:p>
            <w:pPr>
              <w:spacing w:before="20" w:after="20" w:line="300" w:lineRule="exact"/>
              <w:jc w:val="center"/>
            </w:pPr>
            <w:r>
              <w:rPr>
                <w:rFonts w:ascii="Times New Roman" w:hAnsi="Times New Roman" w:eastAsia="標楷體" w:cs="Times New Roman"/>
                <w:sz w:val="21"/>
                <w:szCs w:val="21"/>
              </w:rPr>
              <w:t xml:space="preserve">2028.01</w:t>
            </w:r>
          </w:p>
        </w:tc>
      </w:tr>
      <w:tr>
        <w:trPr>
          <w:cantSplit/>
        </w:trPr>
        <w:tc>
          <w:tcPr>
            <w:tcW w:w="6238" w:type="dxa"/>
            <w:vAlign w:val="center"/>
          </w:tcPr>
          <w:p>
            <w:pPr>
              <w:spacing w:before="20" w:after="20" w:line="300" w:lineRule="exact"/>
              <w:jc w:val="left"/>
            </w:pPr>
            <w:r>
              <w:rPr>
                <w:rFonts w:ascii="Times New Roman" w:hAnsi="Times New Roman" w:eastAsia="標楷體" w:cs="Times New Roman"/>
                <w:sz w:val="21"/>
                <w:szCs w:val="21"/>
              </w:rPr>
              <w:t xml:space="preserve">直播購物價值傾向量表（含信效度報告）</w:t>
            </w:r>
          </w:p>
        </w:tc>
        <w:tc>
          <w:tcPr>
            <w:tcW w:w="1500" w:type="dxa"/>
            <w:vAlign w:val="center"/>
          </w:tcPr>
          <w:p>
            <w:pPr>
              <w:spacing w:before="20" w:after="20" w:line="300" w:lineRule="exact"/>
              <w:jc w:val="center"/>
            </w:pPr>
            <w:r>
              <w:rPr>
                <w:rFonts w:ascii="Times New Roman" w:hAnsi="Times New Roman" w:eastAsia="標楷體" w:cs="Times New Roman"/>
                <w:sz w:val="21"/>
                <w:szCs w:val="21"/>
              </w:rPr>
              <w:t xml:space="preserve">1 套</w:t>
            </w:r>
          </w:p>
        </w:tc>
        <w:tc>
          <w:tcPr>
            <w:tcW w:w="1900" w:type="dxa"/>
            <w:vAlign w:val="center"/>
          </w:tcPr>
          <w:p>
            <w:pPr>
              <w:spacing w:before="20" w:after="20" w:line="300" w:lineRule="exact"/>
              <w:jc w:val="center"/>
            </w:pPr>
            <w:r>
              <w:rPr>
                <w:rFonts w:ascii="Times New Roman" w:hAnsi="Times New Roman" w:eastAsia="標楷體" w:cs="Times New Roman"/>
                <w:sz w:val="21"/>
                <w:szCs w:val="21"/>
              </w:rPr>
              <w:t xml:space="preserve">2028.03</w:t>
            </w:r>
          </w:p>
        </w:tc>
      </w:tr>
      <w:tr>
        <w:trPr>
          <w:cantSplit/>
        </w:trPr>
        <w:tc>
          <w:tcPr>
            <w:tcW w:w="6238" w:type="dxa"/>
            <w:vAlign w:val="center"/>
          </w:tcPr>
          <w:p>
            <w:pPr>
              <w:spacing w:before="20" w:after="20" w:line="300" w:lineRule="exact"/>
              <w:jc w:val="left"/>
            </w:pPr>
            <w:r>
              <w:rPr>
                <w:rFonts w:ascii="Times New Roman" w:hAnsi="Times New Roman" w:eastAsia="標楷體" w:cs="Times New Roman"/>
                <w:sz w:val="21"/>
                <w:szCs w:val="21"/>
              </w:rPr>
              <w:t xml:space="preserve">直播刺激物資料庫（三品類、AI 與真人主播、兩種話術）</w:t>
            </w:r>
          </w:p>
        </w:tc>
        <w:tc>
          <w:tcPr>
            <w:tcW w:w="1500" w:type="dxa"/>
            <w:vAlign w:val="center"/>
          </w:tcPr>
          <w:p>
            <w:pPr>
              <w:spacing w:before="20" w:after="20" w:line="300" w:lineRule="exact"/>
              <w:jc w:val="center"/>
            </w:pPr>
            <w:r>
              <w:rPr>
                <w:rFonts w:ascii="Times New Roman" w:hAnsi="Times New Roman" w:eastAsia="標楷體" w:cs="Times New Roman"/>
                <w:sz w:val="21"/>
                <w:szCs w:val="21"/>
              </w:rPr>
              <w:t xml:space="preserve">1 套</w:t>
            </w:r>
          </w:p>
        </w:tc>
        <w:tc>
          <w:tcPr>
            <w:tcW w:w="1900" w:type="dxa"/>
            <w:vAlign w:val="center"/>
          </w:tcPr>
          <w:p>
            <w:pPr>
              <w:spacing w:before="20" w:after="20" w:line="300" w:lineRule="exact"/>
              <w:jc w:val="center"/>
            </w:pPr>
            <w:r>
              <w:rPr>
                <w:rFonts w:ascii="Times New Roman" w:hAnsi="Times New Roman" w:eastAsia="標楷體" w:cs="Times New Roman"/>
                <w:sz w:val="21"/>
                <w:szCs w:val="21"/>
              </w:rPr>
              <w:t xml:space="preserve">2028.04</w:t>
            </w:r>
          </w:p>
        </w:tc>
      </w:tr>
      <w:tr>
        <w:trPr>
          <w:cantSplit/>
        </w:trPr>
        <w:tc>
          <w:tcPr>
            <w:tcW w:w="6238" w:type="dxa"/>
            <w:vAlign w:val="center"/>
          </w:tcPr>
          <w:p>
            <w:pPr>
              <w:spacing w:before="20" w:after="20" w:line="300" w:lineRule="exact"/>
              <w:jc w:val="left"/>
            </w:pPr>
            <w:r>
              <w:rPr>
                <w:rFonts w:ascii="Times New Roman" w:hAnsi="Times New Roman" w:eastAsia="標楷體" w:cs="Times New Roman"/>
                <w:sz w:val="21"/>
                <w:szCs w:val="21"/>
              </w:rPr>
              <w:t xml:space="preserve">「主播類型 × 話術 × 品類」決策表</w:t>
            </w:r>
          </w:p>
        </w:tc>
        <w:tc>
          <w:tcPr>
            <w:tcW w:w="1500" w:type="dxa"/>
            <w:vAlign w:val="center"/>
          </w:tcPr>
          <w:p>
            <w:pPr>
              <w:spacing w:before="20" w:after="20" w:line="300" w:lineRule="exact"/>
              <w:jc w:val="center"/>
            </w:pPr>
            <w:r>
              <w:rPr>
                <w:rFonts w:ascii="Times New Roman" w:hAnsi="Times New Roman" w:eastAsia="標楷體" w:cs="Times New Roman"/>
                <w:sz w:val="21"/>
                <w:szCs w:val="21"/>
              </w:rPr>
              <w:t xml:space="preserve">1 份</w:t>
            </w:r>
          </w:p>
        </w:tc>
        <w:tc>
          <w:tcPr>
            <w:tcW w:w="1900" w:type="dxa"/>
            <w:vAlign w:val="center"/>
          </w:tcPr>
          <w:p>
            <w:pPr>
              <w:spacing w:before="20" w:after="20" w:line="300" w:lineRule="exact"/>
              <w:jc w:val="center"/>
            </w:pPr>
            <w:r>
              <w:rPr>
                <w:rFonts w:ascii="Times New Roman" w:hAnsi="Times New Roman" w:eastAsia="標楷體" w:cs="Times New Roman"/>
                <w:sz w:val="21"/>
                <w:szCs w:val="21"/>
              </w:rPr>
              <w:t xml:space="preserve">2028.10</w:t>
            </w:r>
          </w:p>
        </w:tc>
      </w:tr>
      <w:tr>
        <w:trPr>
          <w:cantSplit/>
        </w:trPr>
        <w:tc>
          <w:tcPr>
            <w:tcW w:w="6238" w:type="dxa"/>
            <w:vAlign w:val="center"/>
          </w:tcPr>
          <w:p>
            <w:pPr>
              <w:spacing w:before="20" w:after="20" w:line="300" w:lineRule="exact"/>
              <w:jc w:val="left"/>
            </w:pPr>
            <w:r>
              <w:rPr>
                <w:rFonts w:ascii="Times New Roman" w:hAnsi="Times New Roman" w:eastAsia="標楷體" w:cs="Times New Roman"/>
                <w:sz w:val="21"/>
                <w:szCs w:val="21"/>
              </w:rPr>
              <w:t xml:space="preserve">直播購物購後路徑模型與退貨溝通建議</w:t>
            </w:r>
          </w:p>
        </w:tc>
        <w:tc>
          <w:tcPr>
            <w:tcW w:w="1500" w:type="dxa"/>
            <w:vAlign w:val="center"/>
          </w:tcPr>
          <w:p>
            <w:pPr>
              <w:spacing w:before="20" w:after="20" w:line="300" w:lineRule="exact"/>
              <w:jc w:val="center"/>
            </w:pPr>
            <w:r>
              <w:rPr>
                <w:rFonts w:ascii="Times New Roman" w:hAnsi="Times New Roman" w:eastAsia="標楷體" w:cs="Times New Roman"/>
                <w:sz w:val="21"/>
                <w:szCs w:val="21"/>
              </w:rPr>
              <w:t xml:space="preserve">1 份</w:t>
            </w:r>
          </w:p>
        </w:tc>
        <w:tc>
          <w:tcPr>
            <w:tcW w:w="1900" w:type="dxa"/>
            <w:vAlign w:val="center"/>
          </w:tcPr>
          <w:p>
            <w:pPr>
              <w:spacing w:before="20" w:after="20" w:line="300" w:lineRule="exact"/>
              <w:jc w:val="center"/>
            </w:pPr>
            <w:r>
              <w:rPr>
                <w:rFonts w:ascii="Times New Roman" w:hAnsi="Times New Roman" w:eastAsia="標楷體" w:cs="Times New Roman"/>
                <w:sz w:val="21"/>
                <w:szCs w:val="21"/>
              </w:rPr>
              <w:t xml:space="preserve">2029.04</w:t>
            </w:r>
          </w:p>
        </w:tc>
      </w:tr>
      <w:tr>
        <w:trPr>
          <w:cantSplit/>
        </w:trPr>
        <w:tc>
          <w:tcPr>
            <w:tcW w:w="6238" w:type="dxa"/>
            <w:vAlign w:val="center"/>
          </w:tcPr>
          <w:p>
            <w:pPr>
              <w:spacing w:before="20" w:after="20" w:line="300" w:lineRule="exact"/>
              <w:jc w:val="left"/>
            </w:pPr>
            <w:r>
              <w:rPr>
                <w:rFonts w:ascii="Times New Roman" w:hAnsi="Times New Roman" w:eastAsia="標楷體" w:cs="Times New Roman"/>
                <w:sz w:val="21"/>
                <w:szCs w:val="21"/>
              </w:rPr>
              <w:t xml:space="preserve">中小企業 AI 主播導入指南；AI 主播揭露指引</w:t>
            </w:r>
          </w:p>
        </w:tc>
        <w:tc>
          <w:tcPr>
            <w:tcW w:w="1500" w:type="dxa"/>
            <w:vAlign w:val="center"/>
          </w:tcPr>
          <w:p>
            <w:pPr>
              <w:spacing w:before="20" w:after="20" w:line="300" w:lineRule="exact"/>
              <w:jc w:val="center"/>
            </w:pPr>
            <w:r>
              <w:rPr>
                <w:rFonts w:ascii="Times New Roman" w:hAnsi="Times New Roman" w:eastAsia="標楷體" w:cs="Times New Roman"/>
                <w:sz w:val="21"/>
                <w:szCs w:val="21"/>
              </w:rPr>
              <w:t xml:space="preserve">各 1</w:t>
            </w:r>
          </w:p>
        </w:tc>
        <w:tc>
          <w:tcPr>
            <w:tcW w:w="1900" w:type="dxa"/>
            <w:vAlign w:val="center"/>
          </w:tcPr>
          <w:p>
            <w:pPr>
              <w:spacing w:before="20" w:after="20" w:line="300" w:lineRule="exact"/>
              <w:jc w:val="center"/>
            </w:pPr>
            <w:r>
              <w:rPr>
                <w:rFonts w:ascii="Times New Roman" w:hAnsi="Times New Roman" w:eastAsia="標楷體" w:cs="Times New Roman"/>
                <w:sz w:val="21"/>
                <w:szCs w:val="21"/>
              </w:rPr>
              <w:t xml:space="preserve">2029.07</w:t>
            </w:r>
          </w:p>
        </w:tc>
      </w:tr>
      <w:tr>
        <w:trPr>
          <w:cantSplit/>
        </w:trPr>
        <w:tc>
          <w:tcPr>
            <w:tcW w:w="6238" w:type="dxa"/>
            <w:vAlign w:val="center"/>
          </w:tcPr>
          <w:p>
            <w:pPr>
              <w:spacing w:before="20" w:after="20" w:line="300" w:lineRule="exact"/>
              <w:jc w:val="left"/>
            </w:pPr>
            <w:r>
              <w:rPr>
                <w:rFonts w:ascii="Times New Roman" w:hAnsi="Times New Roman" w:eastAsia="標楷體" w:cs="Times New Roman"/>
                <w:sz w:val="21"/>
                <w:szCs w:val="21"/>
              </w:rPr>
              <w:t xml:space="preserve">公開資料集（去識別化）</w:t>
            </w:r>
          </w:p>
        </w:tc>
        <w:tc>
          <w:tcPr>
            <w:tcW w:w="1500" w:type="dxa"/>
            <w:vAlign w:val="center"/>
          </w:tcPr>
          <w:p>
            <w:pPr>
              <w:spacing w:before="20" w:after="20" w:line="300" w:lineRule="exact"/>
              <w:jc w:val="center"/>
            </w:pPr>
            <w:r>
              <w:rPr>
                <w:rFonts w:ascii="Times New Roman" w:hAnsi="Times New Roman" w:eastAsia="標楷體" w:cs="Times New Roman"/>
                <w:sz w:val="21"/>
                <w:szCs w:val="21"/>
              </w:rPr>
              <w:t xml:space="preserve">3 份</w:t>
            </w:r>
          </w:p>
        </w:tc>
        <w:tc>
          <w:tcPr>
            <w:tcW w:w="1900" w:type="dxa"/>
            <w:vAlign w:val="center"/>
          </w:tcPr>
          <w:p>
            <w:pPr>
              <w:spacing w:before="20" w:after="20" w:line="300" w:lineRule="exact"/>
              <w:jc w:val="center"/>
            </w:pPr>
            <w:r>
              <w:rPr>
                <w:rFonts w:ascii="Times New Roman" w:hAnsi="Times New Roman" w:eastAsia="標楷體" w:cs="Times New Roman"/>
                <w:sz w:val="21"/>
                <w:szCs w:val="21"/>
              </w:rPr>
              <w:t xml:space="preserve">2029.07</w:t>
            </w:r>
          </w:p>
        </w:tc>
      </w:tr>
      <w:tr>
        <w:trPr>
          <w:cantSplit/>
        </w:trPr>
        <w:tc>
          <w:tcPr>
            <w:tcW w:w="6238" w:type="dxa"/>
            <w:vAlign w:val="center"/>
          </w:tcPr>
          <w:p>
            <w:pPr>
              <w:spacing w:before="20" w:after="20" w:line="300" w:lineRule="exact"/>
              <w:jc w:val="left"/>
            </w:pPr>
            <w:r>
              <w:rPr>
                <w:rFonts w:ascii="Times New Roman" w:hAnsi="Times New Roman" w:eastAsia="標楷體" w:cs="Times New Roman"/>
                <w:sz w:val="21"/>
                <w:szCs w:val="21"/>
              </w:rPr>
              <w:t xml:space="preserve">國際研討會論文</w:t>
            </w:r>
          </w:p>
        </w:tc>
        <w:tc>
          <w:tcPr>
            <w:tcW w:w="1500" w:type="dxa"/>
            <w:vAlign w:val="center"/>
          </w:tcPr>
          <w:p>
            <w:pPr>
              <w:spacing w:before="20" w:after="20" w:line="300" w:lineRule="exact"/>
              <w:jc w:val="center"/>
            </w:pPr>
            <w:r>
              <w:rPr>
                <w:rFonts w:ascii="Times New Roman" w:hAnsi="Times New Roman" w:eastAsia="標楷體" w:cs="Times New Roman"/>
                <w:sz w:val="21"/>
                <w:szCs w:val="21"/>
              </w:rPr>
              <w:t xml:space="preserve">3 篇</w:t>
            </w:r>
          </w:p>
        </w:tc>
        <w:tc>
          <w:tcPr>
            <w:tcW w:w="1900" w:type="dxa"/>
            <w:vAlign w:val="center"/>
          </w:tcPr>
          <w:p>
            <w:pPr>
              <w:spacing w:before="20" w:after="20" w:line="300" w:lineRule="exact"/>
              <w:jc w:val="center"/>
            </w:pPr>
            <w:r>
              <w:rPr>
                <w:rFonts w:ascii="Times New Roman" w:hAnsi="Times New Roman" w:eastAsia="標楷體" w:cs="Times New Roman"/>
                <w:sz w:val="21"/>
                <w:szCs w:val="21"/>
              </w:rPr>
              <w:t xml:space="preserve">2028.08–2029.07</w:t>
            </w:r>
          </w:p>
        </w:tc>
      </w:tr>
      <w:tr>
        <w:trPr>
          <w:cantSplit/>
        </w:trPr>
        <w:tc>
          <w:tcPr>
            <w:tcW w:w="6238" w:type="dxa"/>
            <w:vAlign w:val="center"/>
          </w:tcPr>
          <w:p>
            <w:pPr>
              <w:spacing w:before="20" w:after="20" w:line="300" w:lineRule="exact"/>
              <w:jc w:val="left"/>
            </w:pPr>
            <w:r>
              <w:rPr>
                <w:rFonts w:ascii="Times New Roman" w:hAnsi="Times New Roman" w:eastAsia="標楷體" w:cs="Times New Roman"/>
                <w:sz w:val="21"/>
                <w:szCs w:val="21"/>
              </w:rPr>
              <w:t xml:space="preserve">期刊投稿（JAMS／IJRM；JM／JMR／JCR；ISR／JRCS）</w:t>
            </w:r>
          </w:p>
        </w:tc>
        <w:tc>
          <w:tcPr>
            <w:tcW w:w="1500" w:type="dxa"/>
            <w:vAlign w:val="center"/>
          </w:tcPr>
          <w:p>
            <w:pPr>
              <w:spacing w:before="20" w:after="20" w:line="300" w:lineRule="exact"/>
              <w:jc w:val="center"/>
            </w:pPr>
            <w:r>
              <w:rPr>
                <w:rFonts w:ascii="Times New Roman" w:hAnsi="Times New Roman" w:eastAsia="標楷體" w:cs="Times New Roman"/>
                <w:sz w:val="21"/>
                <w:szCs w:val="21"/>
              </w:rPr>
              <w:t xml:space="preserve">3 篇</w:t>
            </w:r>
          </w:p>
        </w:tc>
        <w:tc>
          <w:tcPr>
            <w:tcW w:w="1900" w:type="dxa"/>
            <w:vAlign w:val="center"/>
          </w:tcPr>
          <w:p>
            <w:pPr>
              <w:spacing w:before="20" w:after="20" w:line="300" w:lineRule="exact"/>
              <w:jc w:val="center"/>
            </w:pPr>
            <w:r>
              <w:rPr>
                <w:rFonts w:ascii="Times New Roman" w:hAnsi="Times New Roman" w:eastAsia="標楷體" w:cs="Times New Roman"/>
                <w:sz w:val="21"/>
                <w:szCs w:val="21"/>
              </w:rPr>
              <w:t xml:space="preserve">2029.07</w:t>
            </w:r>
          </w:p>
        </w:tc>
      </w:tr>
      <w:tr>
        <w:trPr>
          <w:cantSplit/>
        </w:trPr>
        <w:tc>
          <w:tcPr>
            <w:tcW w:w="6238" w:type="dxa"/>
            <w:vAlign w:val="center"/>
          </w:tcPr>
          <w:p>
            <w:pPr>
              <w:spacing w:before="20" w:after="20" w:line="300" w:lineRule="exact"/>
              <w:jc w:val="left"/>
            </w:pPr>
            <w:r>
              <w:rPr>
                <w:rFonts w:ascii="Times New Roman" w:hAnsi="Times New Roman" w:eastAsia="標楷體" w:cs="Times New Roman"/>
                <w:sz w:val="21"/>
                <w:szCs w:val="21"/>
              </w:rPr>
              <w:t xml:space="preserve">培育碩博士研究助理</w:t>
            </w:r>
          </w:p>
        </w:tc>
        <w:tc>
          <w:tcPr>
            <w:tcW w:w="1500" w:type="dxa"/>
            <w:vAlign w:val="center"/>
          </w:tcPr>
          <w:p>
            <w:pPr>
              <w:spacing w:before="20" w:after="20" w:line="300" w:lineRule="exact"/>
              <w:jc w:val="center"/>
            </w:pPr>
            <w:r>
              <w:rPr>
                <w:rFonts w:ascii="Times New Roman" w:hAnsi="Times New Roman" w:eastAsia="標楷體" w:cs="Times New Roman"/>
                <w:sz w:val="21"/>
                <w:szCs w:val="21"/>
              </w:rPr>
              <w:t xml:space="preserve">3–4 名</w:t>
            </w:r>
          </w:p>
        </w:tc>
        <w:tc>
          <w:tcPr>
            <w:tcW w:w="1900" w:type="dxa"/>
            <w:vAlign w:val="center"/>
          </w:tcPr>
          <w:p>
            <w:pPr>
              <w:spacing w:before="20" w:after="20" w:line="300" w:lineRule="exact"/>
              <w:jc w:val="center"/>
            </w:pPr>
            <w:r>
              <w:rPr>
                <w:rFonts w:ascii="Times New Roman" w:hAnsi="Times New Roman" w:eastAsia="標楷體" w:cs="Times New Roman"/>
                <w:sz w:val="21"/>
                <w:szCs w:val="21"/>
              </w:rPr>
              <w:t xml:space="preserve">計畫全期</w:t>
            </w:r>
          </w:p>
        </w:tc>
      </w:tr>
    </w:tbl>
    <w:p>
      <w:pPr>
        <w:spacing w:before="0" w:after="0" w:line="200" w:lineRule="exact"/>
      </w:pPr>
    </w:p>
    <w:p>
      <w:pPr>
        <w:spacing w:before="0" w:after="0" w:line="440" w:lineRule="exact"/>
        <w:ind w:firstLineChars="200" w:firstLine="480"/>
        <w:jc w:val="both"/>
      </w:pPr>
      <w:r>
        <w:rPr>
          <w:rFonts w:ascii="Times New Roman" w:hAnsi="Times New Roman" w:eastAsia="標楷體" w:cs="Times New Roman"/>
        </w:rPr>
        <w:t xml:space="preserve">本研究計畫透過多階段研究設計，系統性比較 AI 虛擬主播與真人主播的說服機制與購後後果，提出一套兼具理論深度與實務意涵的分析架構。研究結果不僅為 AI 銷售代理的研究提供跨方法的實證基礎，也為平台、品牌與中小企業在導入 AI 主播時，提供兼顧銷售、退貨與消費者信任的具體方向。</w:t>
      </w:r>
    </w:p>
    <w:p>
      <w:pPr>
        <w:pStyle w:val="Heading2"/>
        <w:keepNext/>
        <w:spacing w:before="160" w:after="80" w:line="440" w:lineRule="exact"/>
      </w:pPr>
      <w:r>
        <w:rPr>
          <w:rFonts w:ascii="Times New Roman" w:hAnsi="Times New Roman" w:eastAsia="標楷體" w:cs="Times New Roman"/>
          <w:b/>
          <w:bCs/>
          <w:bdr w:val="single" w:sz="4" w:space="0" w:color="000000"/>
          <w:shd w:val="clear" w:color="auto" w:fill="E7E6E6"/>
        </w:rPr>
        <w:t xml:space="preserve">二、對於參與之工作人員，預期可獲之訓練</w:t>
      </w:r>
    </w:p>
    <w:p>
      <w:pPr>
        <w:pStyle w:val="Heading3"/>
        <w:keepNext/>
        <w:spacing w:before="120" w:after="40" w:line="440" w:lineRule="exact"/>
        <w:ind w:left="480" w:hanging="480"/>
      </w:pPr>
      <w:r>
        <w:rPr>
          <w:rFonts w:ascii="Times New Roman" w:hAnsi="Times New Roman" w:eastAsia="標楷體" w:cs="Times New Roman"/>
          <w:b/>
          <w:bCs/>
        </w:rPr>
        <w:t xml:space="preserve">(一) 對於計畫主持人而言，可整合質化與量化研究方法，並延伸至 AI 行銷與直播電商的跨領域研究。</w:t>
      </w:r>
    </w:p>
    <w:p>
      <w:pPr>
        <w:spacing w:before="0" w:after="0" w:line="440" w:lineRule="exact"/>
        <w:ind w:firstLineChars="200" w:firstLine="480"/>
        <w:jc w:val="both"/>
      </w:pPr>
      <w:r>
        <w:rPr>
          <w:rFonts w:ascii="Times New Roman" w:hAnsi="Times New Roman" w:eastAsia="標楷體" w:cs="Times New Roman"/>
        </w:rPr>
        <w:t xml:space="preserve">計畫主持人的學術專長在於電子商務與數位行銷中的消費者行為研究，有助於研究架構與假設之建構，以及訪談、實驗與問卷之設計。透過本計畫的執行，計畫主持人將更深入鑽研 AI 銷售代理、說服知識與購後行為的理論，並以二年三階段的系統觀點，詮釋消費者面對 AI 主播時的心理與行為。</w:t>
      </w:r>
    </w:p>
    <w:p>
      <w:pPr>
        <w:pStyle w:val="Heading3"/>
        <w:keepNext/>
        <w:spacing w:before="120" w:after="40" w:line="440" w:lineRule="exact"/>
        <w:ind w:left="480" w:hanging="480"/>
      </w:pPr>
      <w:r>
        <w:rPr>
          <w:rFonts w:ascii="Times New Roman" w:hAnsi="Times New Roman" w:eastAsia="標楷體" w:cs="Times New Roman"/>
          <w:b/>
          <w:bCs/>
        </w:rPr>
        <w:t xml:space="preserve">(二) 對於參與之研究助理而言，除了學習數位行銷之相關知識，亦可熟悉質化與量化研究方法。</w:t>
      </w:r>
    </w:p>
    <w:p>
      <w:pPr>
        <w:spacing w:before="0" w:after="0" w:line="440" w:lineRule="exact"/>
        <w:ind w:firstLineChars="200" w:firstLine="480"/>
        <w:jc w:val="both"/>
      </w:pPr>
      <w:r>
        <w:rPr>
          <w:rFonts w:ascii="Times New Roman" w:hAnsi="Times New Roman" w:eastAsia="標楷體" w:cs="Times New Roman"/>
        </w:rPr>
        <w:t xml:space="preserve">研究助理將參與系統性文獻回顧、階梯訪談、編碼、實驗刺激物製作與資料蒐集，並接受 SPSS、R 或 SmartPLS 的資料分析訓練，包括內容分析信度、線性混合模型、中介分析與多群組 SEM；同時學習預先註冊、開放資料等開放科學實務，以備將來獨立或共同研究之能力。</w:t>
      </w:r>
    </w:p>
    <w:p>
      <w:pPr>
        <w:pStyle w:val="Heading2"/>
        <w:keepNext/>
        <w:spacing w:before="160" w:after="80" w:line="440" w:lineRule="exact"/>
      </w:pPr>
      <w:r>
        <w:rPr>
          <w:rFonts w:ascii="Times New Roman" w:hAnsi="Times New Roman" w:eastAsia="標楷體" w:cs="Times New Roman"/>
          <w:b/>
          <w:bCs/>
          <w:bdr w:val="single" w:sz="4" w:space="0" w:color="000000"/>
          <w:shd w:val="clear" w:color="auto" w:fill="E7E6E6"/>
        </w:rPr>
        <w:t xml:space="preserve">三、對學術研究、國家發展及其他預期貢獻</w:t>
      </w:r>
    </w:p>
    <w:p>
      <w:pPr>
        <w:pStyle w:val="Heading3"/>
        <w:keepNext/>
        <w:spacing w:before="120" w:after="40" w:line="440" w:lineRule="exact"/>
        <w:ind w:left="480" w:hanging="480"/>
      </w:pPr>
      <w:r>
        <w:rPr>
          <w:rFonts w:ascii="Times New Roman" w:hAnsi="Times New Roman" w:eastAsia="標楷體" w:cs="Times New Roman"/>
          <w:b/>
          <w:bCs/>
        </w:rPr>
        <w:t xml:space="preserve">（一）學術研究績效</w:t>
      </w:r>
    </w:p>
    <w:p>
      <w:pPr>
        <w:spacing w:before="0" w:after="0" w:line="440" w:lineRule="exact"/>
        <w:ind w:firstLineChars="200" w:firstLine="480"/>
        <w:jc w:val="both"/>
      </w:pPr>
      <w:r>
        <w:rPr>
          <w:rFonts w:ascii="Times New Roman" w:hAnsi="Times New Roman" w:eastAsia="標楷體" w:cs="Times New Roman"/>
        </w:rPr>
        <w:t xml:space="preserve">本計畫結合方法目的鏈、實驗設計與結構方程模式，歷經價值發現、因果檢驗與模型推廣三個階段，三個階段各自形成可投稿國際期刊的貢獻：第一階段以價值鏈比較 AI 與真人主播的購買者，並發展價值傾向量表（目標期刊 JAMS 或 IJRM）；第二階段提出並檢驗「AI 主播因說服意圖知覺較低而減少退貨」的機制與揭露方式的影響（目標期刊 JM、JMR 或 JCR）；第三階段以實際退貨行為驗證直播購物的購後路徑（目標期刊 ISR 或 JRCS）。研究程序、問卷與去識別化資料將公開，使本計畫得以延展為長期且具累積性的研究脈絡。</w:t>
      </w:r>
    </w:p>
    <w:p>
      <w:pPr>
        <w:pStyle w:val="Heading3"/>
        <w:keepNext/>
        <w:spacing w:before="120" w:after="40" w:line="440" w:lineRule="exact"/>
        <w:ind w:left="480" w:hanging="480"/>
      </w:pPr>
      <w:r>
        <w:rPr>
          <w:rFonts w:ascii="Times New Roman" w:hAnsi="Times New Roman" w:eastAsia="標楷體" w:cs="Times New Roman"/>
          <w:b/>
          <w:bCs/>
        </w:rPr>
        <w:t xml:space="preserve">（二）實務應用與國家發展績效</w:t>
      </w:r>
    </w:p>
    <w:p>
      <w:pPr>
        <w:spacing w:before="0" w:after="0" w:line="440" w:lineRule="exact"/>
        <w:ind w:firstLineChars="200" w:firstLine="480"/>
        <w:jc w:val="both"/>
      </w:pPr>
      <w:r>
        <w:rPr>
          <w:rFonts w:ascii="Times New Roman" w:hAnsi="Times New Roman" w:eastAsia="標楷體" w:cs="Times New Roman"/>
        </w:rPr>
        <w:t xml:space="preserve">本計畫的「主播類型 × 話術 × 品類」決策表，可讓資源受限的中小企業以低成本判斷何時採用 AI 主播、如何撰寫話術，回應主題五的電商市場發展需求 (</w:t>
      </w:r>
      <w:hyperlink r:id="rIdL37" w:history="1">
        <w:r>
          <w:rPr>
            <w:rStyle w:val="Hyperlink"/>
            <w:rFonts w:ascii="Times New Roman" w:hAnsi="Times New Roman" w:eastAsia="標楷體" w:cs="Times New Roman"/>
          </w:rPr>
          <w:t xml:space="preserve">Wang &amp; Zhang, 2025</w:t>
        </w:r>
      </w:hyperlink>
      <w:r>
        <w:rPr>
          <w:rFonts w:ascii="Times New Roman" w:hAnsi="Times New Roman" w:eastAsia="標楷體" w:cs="Times New Roman"/>
        </w:rPr>
        <w:t xml:space="preserve">)。研究成果可協助平台與品牌兼顧直播轉換與退貨成本，以降低退貨減少逆向物流。此外，本計畫的 AI 主播揭露指引，可作為平台規範與消費者保護政策的參考，促進 AI 在行銷中的負責任應用 (</w:t>
      </w:r>
      <w:hyperlink r:id="rIdL4" w:history="1">
        <w:r>
          <w:rPr>
            <w:rStyle w:val="Hyperlink"/>
            <w:rFonts w:ascii="Times New Roman" w:hAnsi="Times New Roman" w:eastAsia="標楷體" w:cs="Times New Roman"/>
          </w:rPr>
          <w:t xml:space="preserve">Meng, 2026</w:t>
        </w:r>
      </w:hyperlink>
      <w:r>
        <w:rPr>
          <w:rFonts w:ascii="Times New Roman" w:hAnsi="Times New Roman" w:eastAsia="標楷體" w:cs="Times New Roman"/>
        </w:rPr>
        <w:t xml:space="preserve">; </w:t>
      </w:r>
      <w:hyperlink r:id="rIdL38" w:history="1">
        <w:r>
          <w:rPr>
            <w:rStyle w:val="Hyperlink"/>
            <w:rFonts w:ascii="Times New Roman" w:hAnsi="Times New Roman" w:eastAsia="標楷體" w:cs="Times New Roman"/>
          </w:rPr>
          <w:t xml:space="preserve">Martin &amp; Murphy, 2017</w:t>
        </w:r>
      </w:hyperlink>
      <w:r>
        <w:rPr>
          <w:rFonts w:ascii="Times New Roman" w:hAnsi="Times New Roman" w:eastAsia="標楷體" w:cs="Times New Roman"/>
        </w:rPr>
        <w:t xml:space="preserve">)。</w:t>
      </w:r>
    </w:p>
    <w:p>
      <w:pPr>
        <w:pStyle w:val="Heading1"/>
        <w:keepNext/>
        <w:spacing w:before="240" w:after="120" w:line="440" w:lineRule="exact"/>
      </w:pPr>
      <w:r>
        <w:rPr>
          <w:rFonts w:ascii="Times New Roman" w:hAnsi="Times New Roman" w:eastAsia="標楷體" w:cs="Times New Roman"/>
          <w:b/>
          <w:bCs/>
          <w:sz w:val="28"/>
          <w:szCs w:val="28"/>
        </w:rPr>
        <w:t xml:space="preserve">肆、參考文獻</w:t>
      </w:r>
    </w:p>
    <w:p>
      <w:pPr>
        <w:spacing w:before="0" w:after="0" w:line="400" w:lineRule="exact"/>
        <w:ind w:left="480" w:hanging="480"/>
        <w:jc w:val="both"/>
      </w:pPr>
      <w:r>
        <w:rPr>
          <w:rFonts w:ascii="Times New Roman" w:hAnsi="Times New Roman" w:eastAsia="標楷體" w:cs="Times New Roman"/>
        </w:rPr>
        <w:t xml:space="preserve">Anderson, J. C., &amp; Gerbing, D. W. (1988). </w:t>
      </w:r>
      <w:hyperlink r:id="rIdL13" w:history="1">
        <w:r>
          <w:rPr>
            <w:rStyle w:val="Hyperlink"/>
            <w:rFonts w:ascii="Times New Roman" w:hAnsi="Times New Roman" w:eastAsia="標楷體" w:cs="Times New Roman"/>
          </w:rPr>
          <w:t xml:space="preserve">Structural equation modeling in practice: A review and recommended two-step approach.</w:t>
        </w:r>
      </w:hyperlink>
      <w:r>
        <w:rPr>
          <w:rFonts w:ascii="Times New Roman" w:hAnsi="Times New Roman" w:eastAsia="標楷體" w:cs="Times New Roman"/>
        </w:rPr>
        <w:t xml:space="preserve"> </w:t>
      </w:r>
      <w:r>
        <w:rPr>
          <w:rFonts w:ascii="Times New Roman" w:hAnsi="Times New Roman" w:eastAsia="標楷體" w:cs="Times New Roman"/>
          <w:i/>
          <w:iCs/>
        </w:rPr>
        <w:t xml:space="preserve">Psychological Bulletin, 103</w:t>
      </w:r>
      <w:r>
        <w:rPr>
          <w:rFonts w:ascii="Times New Roman" w:hAnsi="Times New Roman" w:eastAsia="標楷體" w:cs="Times New Roman"/>
        </w:rPr>
        <w:t xml:space="preserve">(3), 411–423.</w:t>
      </w:r>
    </w:p>
    <w:p>
      <w:pPr>
        <w:spacing w:before="0" w:after="0" w:line="400" w:lineRule="exact"/>
        <w:ind w:left="480" w:hanging="480"/>
        <w:jc w:val="both"/>
      </w:pPr>
      <w:r>
        <w:rPr>
          <w:rFonts w:ascii="Times New Roman" w:hAnsi="Times New Roman" w:eastAsia="標楷體" w:cs="Times New Roman"/>
        </w:rPr>
        <w:t xml:space="preserve">Benjamini, Y., &amp; Hochberg, Y. (1995). </w:t>
      </w:r>
      <w:hyperlink r:id="rIdL72" w:history="1">
        <w:r>
          <w:rPr>
            <w:rStyle w:val="Hyperlink"/>
            <w:rFonts w:ascii="Times New Roman" w:hAnsi="Times New Roman" w:eastAsia="標楷體" w:cs="Times New Roman"/>
          </w:rPr>
          <w:t xml:space="preserve">Controlling the false discovery rate: A practical and powerful approach to multiple testing.</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the Royal Statistical Society: Series B, 57</w:t>
      </w:r>
      <w:r>
        <w:rPr>
          <w:rFonts w:ascii="Times New Roman" w:hAnsi="Times New Roman" w:eastAsia="標楷體" w:cs="Times New Roman"/>
        </w:rPr>
        <w:t xml:space="preserve">(1), 289–300.</w:t>
      </w:r>
    </w:p>
    <w:p>
      <w:pPr>
        <w:spacing w:before="0" w:after="0" w:line="400" w:lineRule="exact"/>
        <w:ind w:left="480" w:hanging="480"/>
        <w:jc w:val="both"/>
      </w:pPr>
      <w:r>
        <w:rPr>
          <w:rFonts w:ascii="Times New Roman" w:hAnsi="Times New Roman" w:eastAsia="標楷體" w:cs="Times New Roman"/>
        </w:rPr>
        <w:t xml:space="preserve">Bhattacharjee, D. R., Kuanr, A., Pradhan, D., &amp; Moharana, T. R. (2025). </w:t>
      </w:r>
      <w:hyperlink r:id="rIdL57" w:history="1">
        <w:r>
          <w:rPr>
            <w:rStyle w:val="Hyperlink"/>
            <w:rFonts w:ascii="Times New Roman" w:hAnsi="Times New Roman" w:eastAsia="標楷體" w:cs="Times New Roman"/>
          </w:rPr>
          <w:t xml:space="preserve">Fun or warm: How conversational style boosts customer engagement.</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Retailing and Consumer Services, 85</w:t>
      </w:r>
      <w:r>
        <w:rPr>
          <w:rFonts w:ascii="Times New Roman" w:hAnsi="Times New Roman" w:eastAsia="標楷體" w:cs="Times New Roman"/>
        </w:rPr>
        <w:t xml:space="preserve">, 104293.</w:t>
      </w:r>
    </w:p>
    <w:p>
      <w:pPr>
        <w:spacing w:before="0" w:after="0" w:line="400" w:lineRule="exact"/>
        <w:ind w:left="480" w:hanging="480"/>
        <w:jc w:val="both"/>
      </w:pPr>
      <w:r>
        <w:rPr>
          <w:rFonts w:ascii="Times New Roman" w:hAnsi="Times New Roman" w:eastAsia="標楷體" w:cs="Times New Roman"/>
        </w:rPr>
        <w:t xml:space="preserve">Blut, M., Wang, C., Wünderlich, N. V., &amp; Brock, C. (2021). </w:t>
      </w:r>
      <w:hyperlink r:id="rIdL47" w:history="1">
        <w:r>
          <w:rPr>
            <w:rStyle w:val="Hyperlink"/>
            <w:rFonts w:ascii="Times New Roman" w:hAnsi="Times New Roman" w:eastAsia="標楷體" w:cs="Times New Roman"/>
          </w:rPr>
          <w:t xml:space="preserve">Understanding anthropomorphism in service provision: A meta-analysis of physical robots, chatbots, and other AI.</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the Academy of Marketing Science, 49</w:t>
      </w:r>
      <w:r>
        <w:rPr>
          <w:rFonts w:ascii="Times New Roman" w:hAnsi="Times New Roman" w:eastAsia="標楷體" w:cs="Times New Roman"/>
        </w:rPr>
        <w:t xml:space="preserve">(4), 632–658.</w:t>
      </w:r>
    </w:p>
    <w:p>
      <w:pPr>
        <w:spacing w:before="0" w:after="0" w:line="400" w:lineRule="exact"/>
        <w:ind w:left="480" w:hanging="480"/>
        <w:jc w:val="both"/>
      </w:pPr>
      <w:r>
        <w:rPr>
          <w:rFonts w:ascii="Times New Roman" w:hAnsi="Times New Roman" w:eastAsia="標楷體" w:cs="Times New Roman"/>
        </w:rPr>
        <w:t xml:space="preserve">Brüns, J. D., &amp; Meißner, M. (2024). </w:t>
      </w:r>
      <w:hyperlink r:id="rIdL33" w:history="1">
        <w:r>
          <w:rPr>
            <w:rStyle w:val="Hyperlink"/>
            <w:rFonts w:ascii="Times New Roman" w:hAnsi="Times New Roman" w:eastAsia="標楷體" w:cs="Times New Roman"/>
          </w:rPr>
          <w:t xml:space="preserve">Do you create your content yourself? Using generative artificial intelligence for social media content creation diminishes perceived brand authenticity.</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Retailing and Consumer Services, 79</w:t>
      </w:r>
      <w:r>
        <w:rPr>
          <w:rFonts w:ascii="Times New Roman" w:hAnsi="Times New Roman" w:eastAsia="標楷體" w:cs="Times New Roman"/>
        </w:rPr>
        <w:t xml:space="preserve">, 103790.</w:t>
      </w:r>
    </w:p>
    <w:p>
      <w:pPr>
        <w:spacing w:before="0" w:after="0" w:line="400" w:lineRule="exact"/>
        <w:ind w:left="480" w:hanging="480"/>
        <w:jc w:val="both"/>
      </w:pPr>
      <w:r>
        <w:rPr>
          <w:rFonts w:ascii="Times New Roman" w:hAnsi="Times New Roman" w:eastAsia="標楷體" w:cs="Times New Roman"/>
        </w:rPr>
        <w:t xml:space="preserve">Cacioppo, J. T., Petty, R. E., &amp; Kao, C. F. (1984). </w:t>
      </w:r>
      <w:hyperlink r:id="rIdL65" w:history="1">
        <w:r>
          <w:rPr>
            <w:rStyle w:val="Hyperlink"/>
            <w:rFonts w:ascii="Times New Roman" w:hAnsi="Times New Roman" w:eastAsia="標楷體" w:cs="Times New Roman"/>
          </w:rPr>
          <w:t xml:space="preserve">The efficient assessment of need for cognition.</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Personality Assessment, 48</w:t>
      </w:r>
      <w:r>
        <w:rPr>
          <w:rFonts w:ascii="Times New Roman" w:hAnsi="Times New Roman" w:eastAsia="標楷體" w:cs="Times New Roman"/>
        </w:rPr>
        <w:t xml:space="preserve">(3), 306–307.</w:t>
      </w:r>
    </w:p>
    <w:p>
      <w:pPr>
        <w:spacing w:before="0" w:after="0" w:line="400" w:lineRule="exact"/>
        <w:ind w:left="480" w:hanging="480"/>
        <w:jc w:val="both"/>
      </w:pPr>
      <w:r>
        <w:rPr>
          <w:rFonts w:ascii="Times New Roman" w:hAnsi="Times New Roman" w:eastAsia="標楷體" w:cs="Times New Roman"/>
        </w:rPr>
        <w:t xml:space="preserve">Castelo, N., Bos, M. W., &amp; Lehmann, D. R. (2019). </w:t>
      </w:r>
      <w:hyperlink r:id="rIdL20" w:history="1">
        <w:r>
          <w:rPr>
            <w:rStyle w:val="Hyperlink"/>
            <w:rFonts w:ascii="Times New Roman" w:hAnsi="Times New Roman" w:eastAsia="標楷體" w:cs="Times New Roman"/>
          </w:rPr>
          <w:t xml:space="preserve">Task-dependent algorithm aversion.</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Marketing Research, 56</w:t>
      </w:r>
      <w:r>
        <w:rPr>
          <w:rFonts w:ascii="Times New Roman" w:hAnsi="Times New Roman" w:eastAsia="標楷體" w:cs="Times New Roman"/>
        </w:rPr>
        <w:t xml:space="preserve">(5), 809–825.</w:t>
      </w:r>
    </w:p>
    <w:p>
      <w:pPr>
        <w:spacing w:before="0" w:after="0" w:line="400" w:lineRule="exact"/>
        <w:ind w:left="480" w:hanging="480"/>
        <w:jc w:val="both"/>
      </w:pPr>
      <w:r>
        <w:rPr>
          <w:rFonts w:ascii="Times New Roman" w:hAnsi="Times New Roman" w:eastAsia="標楷體" w:cs="Times New Roman"/>
        </w:rPr>
        <w:t xml:space="preserve">Chang, Y., Wang, H., &amp; Guo, Z. (2025). </w:t>
      </w:r>
      <w:hyperlink r:id="rIdL7" w:history="1">
        <w:r>
          <w:rPr>
            <w:rStyle w:val="Hyperlink"/>
            <w:rFonts w:ascii="Times New Roman" w:hAnsi="Times New Roman" w:eastAsia="標楷體" w:cs="Times New Roman"/>
          </w:rPr>
          <w:t xml:space="preserve">Artificial intelligence in live streaming: How can virtual streamers bring more sales?.</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Retailing and Consumer Services, 84</w:t>
      </w:r>
      <w:r>
        <w:rPr>
          <w:rFonts w:ascii="Times New Roman" w:hAnsi="Times New Roman" w:eastAsia="標楷體" w:cs="Times New Roman"/>
        </w:rPr>
        <w:t xml:space="preserve">, 104247.</w:t>
      </w:r>
    </w:p>
    <w:p>
      <w:pPr>
        <w:spacing w:before="0" w:after="0" w:line="400" w:lineRule="exact"/>
        <w:ind w:left="480" w:hanging="480"/>
        <w:jc w:val="both"/>
      </w:pPr>
      <w:r>
        <w:rPr>
          <w:rFonts w:ascii="Times New Roman" w:hAnsi="Times New Roman" w:eastAsia="標楷體" w:cs="Times New Roman"/>
        </w:rPr>
        <w:t xml:space="preserve">Cheung, G. W., &amp; Rensvold, R. B. (2002). </w:t>
      </w:r>
      <w:hyperlink r:id="rIdL29" w:history="1">
        <w:r>
          <w:rPr>
            <w:rStyle w:val="Hyperlink"/>
            <w:rFonts w:ascii="Times New Roman" w:hAnsi="Times New Roman" w:eastAsia="標楷體" w:cs="Times New Roman"/>
          </w:rPr>
          <w:t xml:space="preserve">Evaluating goodness-of-fit indexes for testing measurement invariance.</w:t>
        </w:r>
      </w:hyperlink>
      <w:r>
        <w:rPr>
          <w:rFonts w:ascii="Times New Roman" w:hAnsi="Times New Roman" w:eastAsia="標楷體" w:cs="Times New Roman"/>
        </w:rPr>
        <w:t xml:space="preserve"> </w:t>
      </w:r>
      <w:r>
        <w:rPr>
          <w:rFonts w:ascii="Times New Roman" w:hAnsi="Times New Roman" w:eastAsia="標楷體" w:cs="Times New Roman"/>
          <w:i/>
          <w:iCs/>
        </w:rPr>
        <w:t xml:space="preserve">Structural Equation Modeling, 9</w:t>
      </w:r>
      <w:r>
        <w:rPr>
          <w:rFonts w:ascii="Times New Roman" w:hAnsi="Times New Roman" w:eastAsia="標楷體" w:cs="Times New Roman"/>
        </w:rPr>
        <w:t xml:space="preserve">(2), 233–255.</w:t>
      </w:r>
    </w:p>
    <w:p>
      <w:pPr>
        <w:spacing w:before="0" w:after="0" w:line="400" w:lineRule="exact"/>
        <w:ind w:left="480" w:hanging="480"/>
        <w:jc w:val="both"/>
      </w:pPr>
      <w:r>
        <w:rPr>
          <w:rFonts w:ascii="Times New Roman" w:hAnsi="Times New Roman" w:eastAsia="標楷體" w:cs="Times New Roman"/>
        </w:rPr>
        <w:t xml:space="preserve">Cohen, J. (1960). </w:t>
      </w:r>
      <w:hyperlink r:id="rIdL66" w:history="1">
        <w:r>
          <w:rPr>
            <w:rStyle w:val="Hyperlink"/>
            <w:rFonts w:ascii="Times New Roman" w:hAnsi="Times New Roman" w:eastAsia="標楷體" w:cs="Times New Roman"/>
          </w:rPr>
          <w:t xml:space="preserve">A coefficient of agreement for nominal scales.</w:t>
        </w:r>
      </w:hyperlink>
      <w:r>
        <w:rPr>
          <w:rFonts w:ascii="Times New Roman" w:hAnsi="Times New Roman" w:eastAsia="標楷體" w:cs="Times New Roman"/>
        </w:rPr>
        <w:t xml:space="preserve"> </w:t>
      </w:r>
      <w:r>
        <w:rPr>
          <w:rFonts w:ascii="Times New Roman" w:hAnsi="Times New Roman" w:eastAsia="標楷體" w:cs="Times New Roman"/>
          <w:i/>
          <w:iCs/>
        </w:rPr>
        <w:t xml:space="preserve">Educational and Psychological Measurement, 20</w:t>
      </w:r>
      <w:r>
        <w:rPr>
          <w:rFonts w:ascii="Times New Roman" w:hAnsi="Times New Roman" w:eastAsia="標楷體" w:cs="Times New Roman"/>
        </w:rPr>
        <w:t xml:space="preserve">(1), 37–46.</w:t>
      </w:r>
    </w:p>
    <w:p>
      <w:pPr>
        <w:spacing w:before="0" w:after="0" w:line="400" w:lineRule="exact"/>
        <w:ind w:left="480" w:hanging="480"/>
        <w:jc w:val="both"/>
      </w:pPr>
      <w:r>
        <w:rPr>
          <w:rFonts w:ascii="Times New Roman" w:hAnsi="Times New Roman" w:eastAsia="標楷體" w:cs="Times New Roman"/>
        </w:rPr>
        <w:t xml:space="preserve">Crolic, C., Thomaz, F., Hadi, R., &amp; Stephen, A. T. (2022). </w:t>
      </w:r>
      <w:hyperlink r:id="rIdL40" w:history="1">
        <w:r>
          <w:rPr>
            <w:rStyle w:val="Hyperlink"/>
            <w:rFonts w:ascii="Times New Roman" w:hAnsi="Times New Roman" w:eastAsia="標楷體" w:cs="Times New Roman"/>
          </w:rPr>
          <w:t xml:space="preserve">Blame the bot: Anthropomorphism and anger in customer–chatbot interactions.</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Marketing, 86</w:t>
      </w:r>
      <w:r>
        <w:rPr>
          <w:rFonts w:ascii="Times New Roman" w:hAnsi="Times New Roman" w:eastAsia="標楷體" w:cs="Times New Roman"/>
        </w:rPr>
        <w:t xml:space="preserve">(1), 132–148.</w:t>
      </w:r>
    </w:p>
    <w:p>
      <w:pPr>
        <w:spacing w:before="0" w:after="0" w:line="400" w:lineRule="exact"/>
        <w:ind w:left="480" w:hanging="480"/>
        <w:jc w:val="both"/>
      </w:pPr>
      <w:r>
        <w:rPr>
          <w:rFonts w:ascii="Times New Roman" w:hAnsi="Times New Roman" w:eastAsia="標楷體" w:cs="Times New Roman"/>
        </w:rPr>
        <w:t xml:space="preserve">Dhar, R., &amp; Wertenbroch, K. (2000). </w:t>
      </w:r>
      <w:hyperlink r:id="rIdL14" w:history="1">
        <w:r>
          <w:rPr>
            <w:rStyle w:val="Hyperlink"/>
            <w:rFonts w:ascii="Times New Roman" w:hAnsi="Times New Roman" w:eastAsia="標楷體" w:cs="Times New Roman"/>
          </w:rPr>
          <w:t xml:space="preserve">Consumer choice between hedonic and utilitarian goods.</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Marketing Research, 37</w:t>
      </w:r>
      <w:r>
        <w:rPr>
          <w:rFonts w:ascii="Times New Roman" w:hAnsi="Times New Roman" w:eastAsia="標楷體" w:cs="Times New Roman"/>
        </w:rPr>
        <w:t xml:space="preserve">(1), 60–71.</w:t>
      </w:r>
    </w:p>
    <w:p>
      <w:pPr>
        <w:spacing w:before="0" w:after="0" w:line="400" w:lineRule="exact"/>
        <w:ind w:left="480" w:hanging="480"/>
        <w:jc w:val="both"/>
      </w:pPr>
      <w:r>
        <w:rPr>
          <w:rFonts w:ascii="Times New Roman" w:hAnsi="Times New Roman" w:eastAsia="標楷體" w:cs="Times New Roman"/>
        </w:rPr>
        <w:t xml:space="preserve">Dodds, W. B., Monroe, K. B., &amp; Grewal, D. (1991). </w:t>
      </w:r>
      <w:hyperlink r:id="rIdL70" w:history="1">
        <w:r>
          <w:rPr>
            <w:rStyle w:val="Hyperlink"/>
            <w:rFonts w:ascii="Times New Roman" w:hAnsi="Times New Roman" w:eastAsia="標楷體" w:cs="Times New Roman"/>
          </w:rPr>
          <w:t xml:space="preserve">Effects of price, brand, and store information on buyers' product evaluations.</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Marketing Research, 28</w:t>
      </w:r>
      <w:r>
        <w:rPr>
          <w:rFonts w:ascii="Times New Roman" w:hAnsi="Times New Roman" w:eastAsia="標楷體" w:cs="Times New Roman"/>
        </w:rPr>
        <w:t xml:space="preserve">(3), 307–319.</w:t>
      </w:r>
    </w:p>
    <w:p>
      <w:pPr>
        <w:spacing w:before="0" w:after="0" w:line="400" w:lineRule="exact"/>
        <w:ind w:left="480" w:hanging="480"/>
        <w:jc w:val="both"/>
      </w:pPr>
      <w:r>
        <w:rPr>
          <w:rFonts w:ascii="Times New Roman" w:hAnsi="Times New Roman" w:eastAsia="標楷體" w:cs="Times New Roman"/>
        </w:rPr>
        <w:t xml:space="preserve">Duong, Q. H., et al. (2025). </w:t>
      </w:r>
      <w:hyperlink r:id="rIdL56" w:history="1">
        <w:r>
          <w:rPr>
            <w:rStyle w:val="Hyperlink"/>
            <w:rFonts w:ascii="Times New Roman" w:hAnsi="Times New Roman" w:eastAsia="標楷體" w:cs="Times New Roman"/>
          </w:rPr>
          <w:t xml:space="preserve">Striking the right balance: Customising return policy leniency for managing customer online return proclivity and satisfaction.</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Retailing and Consumer Services, 85</w:t>
      </w:r>
      <w:r>
        <w:rPr>
          <w:rFonts w:ascii="Times New Roman" w:hAnsi="Times New Roman" w:eastAsia="標楷體" w:cs="Times New Roman"/>
        </w:rPr>
        <w:t xml:space="preserve">, 104315.</w:t>
      </w:r>
    </w:p>
    <w:p>
      <w:pPr>
        <w:spacing w:before="0" w:after="0" w:line="400" w:lineRule="exact"/>
        <w:ind w:left="480" w:hanging="480"/>
        <w:jc w:val="both"/>
      </w:pPr>
      <w:r>
        <w:rPr>
          <w:rFonts w:ascii="Times New Roman" w:hAnsi="Times New Roman" w:eastAsia="標楷體" w:cs="Times New Roman"/>
        </w:rPr>
        <w:t xml:space="preserve">Fan, X., Tao, W., Yu, H., &amp; Wang, Z. (2025). </w:t>
      </w:r>
      <w:hyperlink r:id="rIdL9" w:history="1">
        <w:r>
          <w:rPr>
            <w:rStyle w:val="Hyperlink"/>
            <w:rFonts w:ascii="Times New Roman" w:hAnsi="Times New Roman" w:eastAsia="標楷體" w:cs="Times New Roman"/>
          </w:rPr>
          <w:t xml:space="preserve">The higher the better? A study on the dark side of high engagement atmosphere in live streaming sales on consumer post-purchase satisfaction.</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Retailing and Consumer Services, 85</w:t>
      </w:r>
      <w:r>
        <w:rPr>
          <w:rFonts w:ascii="Times New Roman" w:hAnsi="Times New Roman" w:eastAsia="標楷體" w:cs="Times New Roman"/>
        </w:rPr>
        <w:t xml:space="preserve">, 104303.</w:t>
      </w:r>
    </w:p>
    <w:p>
      <w:pPr>
        <w:spacing w:before="0" w:after="0" w:line="400" w:lineRule="exact"/>
        <w:ind w:left="480" w:hanging="480"/>
        <w:jc w:val="both"/>
      </w:pPr>
      <w:r>
        <w:rPr>
          <w:rFonts w:ascii="Times New Roman" w:hAnsi="Times New Roman" w:eastAsia="標楷體" w:cs="Times New Roman"/>
        </w:rPr>
        <w:t xml:space="preserve">Faul, F., Erdfelder, E., Lang, A.-G., &amp; Buchner, A. (2007). </w:t>
      </w:r>
      <w:hyperlink r:id="rIdL69" w:history="1">
        <w:r>
          <w:rPr>
            <w:rStyle w:val="Hyperlink"/>
            <w:rFonts w:ascii="Times New Roman" w:hAnsi="Times New Roman" w:eastAsia="標楷體" w:cs="Times New Roman"/>
          </w:rPr>
          <w:t xml:space="preserve">G*Power 3: A flexible statistical power analysis program for the social, behavioral, and biomedical sciences.</w:t>
        </w:r>
      </w:hyperlink>
      <w:r>
        <w:rPr>
          <w:rFonts w:ascii="Times New Roman" w:hAnsi="Times New Roman" w:eastAsia="標楷體" w:cs="Times New Roman"/>
        </w:rPr>
        <w:t xml:space="preserve"> </w:t>
      </w:r>
      <w:r>
        <w:rPr>
          <w:rFonts w:ascii="Times New Roman" w:hAnsi="Times New Roman" w:eastAsia="標楷體" w:cs="Times New Roman"/>
          <w:i/>
          <w:iCs/>
        </w:rPr>
        <w:t xml:space="preserve">Behavior Research Methods, 39</w:t>
      </w:r>
      <w:r>
        <w:rPr>
          <w:rFonts w:ascii="Times New Roman" w:hAnsi="Times New Roman" w:eastAsia="標楷體" w:cs="Times New Roman"/>
        </w:rPr>
        <w:t xml:space="preserve">(2), 175–191.</w:t>
      </w:r>
    </w:p>
    <w:p>
      <w:pPr>
        <w:spacing w:before="0" w:after="0" w:line="400" w:lineRule="exact"/>
        <w:ind w:left="480" w:hanging="480"/>
        <w:jc w:val="both"/>
      </w:pPr>
      <w:r>
        <w:rPr>
          <w:rFonts w:ascii="Times New Roman" w:hAnsi="Times New Roman" w:eastAsia="標楷體" w:cs="Times New Roman"/>
        </w:rPr>
        <w:t xml:space="preserve">Feng, X., Rong, Y., Tian, X., Wang, M., &amp; Yao, Y. (2025). </w:t>
      </w:r>
      <w:hyperlink r:id="rIdL8" w:history="1">
        <w:r>
          <w:rPr>
            <w:rStyle w:val="Hyperlink"/>
            <w:rFonts w:ascii="Times New Roman" w:hAnsi="Times New Roman" w:eastAsia="標楷體" w:cs="Times New Roman"/>
          </w:rPr>
          <w:t xml:space="preserve">When persuasion is too persuasive: An empirical analysis of product returns in livestream e-commerce.</w:t>
        </w:r>
      </w:hyperlink>
      <w:r>
        <w:rPr>
          <w:rFonts w:ascii="Times New Roman" w:hAnsi="Times New Roman" w:eastAsia="標楷體" w:cs="Times New Roman"/>
        </w:rPr>
        <w:t xml:space="preserve"> </w:t>
      </w:r>
      <w:r>
        <w:rPr>
          <w:rFonts w:ascii="Times New Roman" w:hAnsi="Times New Roman" w:eastAsia="標楷體" w:cs="Times New Roman"/>
          <w:i/>
          <w:iCs/>
        </w:rPr>
        <w:t xml:space="preserve">Production and Operations Management, 34</w:t>
      </w:r>
      <w:r>
        <w:rPr>
          <w:rFonts w:ascii="Times New Roman" w:hAnsi="Times New Roman" w:eastAsia="標楷體" w:cs="Times New Roman"/>
        </w:rPr>
        <w:t xml:space="preserve">(12), 3978–3997.</w:t>
      </w:r>
    </w:p>
    <w:p>
      <w:pPr>
        <w:spacing w:before="0" w:after="0" w:line="400" w:lineRule="exact"/>
        <w:ind w:left="480" w:hanging="480"/>
        <w:jc w:val="both"/>
      </w:pPr>
      <w:r>
        <w:rPr>
          <w:rFonts w:ascii="Times New Roman" w:hAnsi="Times New Roman" w:eastAsia="標楷體" w:cs="Times New Roman"/>
        </w:rPr>
        <w:t xml:space="preserve">Fiske, S. T., Cuddy, A. J. C., &amp; Glick, P. (2007). </w:t>
      </w:r>
      <w:hyperlink r:id="rIdL23" w:history="1">
        <w:r>
          <w:rPr>
            <w:rStyle w:val="Hyperlink"/>
            <w:rFonts w:ascii="Times New Roman" w:hAnsi="Times New Roman" w:eastAsia="標楷體" w:cs="Times New Roman"/>
          </w:rPr>
          <w:t xml:space="preserve">Universal dimensions of social cognition: Warmth and competence.</w:t>
        </w:r>
      </w:hyperlink>
      <w:r>
        <w:rPr>
          <w:rFonts w:ascii="Times New Roman" w:hAnsi="Times New Roman" w:eastAsia="標楷體" w:cs="Times New Roman"/>
        </w:rPr>
        <w:t xml:space="preserve"> </w:t>
      </w:r>
      <w:r>
        <w:rPr>
          <w:rFonts w:ascii="Times New Roman" w:hAnsi="Times New Roman" w:eastAsia="標楷體" w:cs="Times New Roman"/>
          <w:i/>
          <w:iCs/>
        </w:rPr>
        <w:t xml:space="preserve">Trends in Cognitive Sciences, 11</w:t>
      </w:r>
      <w:r>
        <w:rPr>
          <w:rFonts w:ascii="Times New Roman" w:hAnsi="Times New Roman" w:eastAsia="標楷體" w:cs="Times New Roman"/>
        </w:rPr>
        <w:t xml:space="preserve">(2), 77–83.</w:t>
      </w:r>
    </w:p>
    <w:p>
      <w:pPr>
        <w:spacing w:before="0" w:after="0" w:line="400" w:lineRule="exact"/>
        <w:ind w:left="480" w:hanging="480"/>
        <w:jc w:val="both"/>
      </w:pPr>
      <w:r>
        <w:rPr>
          <w:rFonts w:ascii="Times New Roman" w:hAnsi="Times New Roman" w:eastAsia="標楷體" w:cs="Times New Roman"/>
        </w:rPr>
        <w:t xml:space="preserve">Fornell, C., &amp; Larcker, D. F. (1981). </w:t>
      </w:r>
      <w:hyperlink r:id="rIdL67" w:history="1">
        <w:r>
          <w:rPr>
            <w:rStyle w:val="Hyperlink"/>
            <w:rFonts w:ascii="Times New Roman" w:hAnsi="Times New Roman" w:eastAsia="標楷體" w:cs="Times New Roman"/>
          </w:rPr>
          <w:t xml:space="preserve">Evaluating structural equation models with unobservable variables and measurement error.</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Marketing Research, 18</w:t>
      </w:r>
      <w:r>
        <w:rPr>
          <w:rFonts w:ascii="Times New Roman" w:hAnsi="Times New Roman" w:eastAsia="標楷體" w:cs="Times New Roman"/>
        </w:rPr>
        <w:t xml:space="preserve">(1), 39–50.</w:t>
      </w:r>
    </w:p>
    <w:p>
      <w:pPr>
        <w:spacing w:before="0" w:after="0" w:line="400" w:lineRule="exact"/>
        <w:ind w:left="480" w:hanging="480"/>
        <w:jc w:val="both"/>
      </w:pPr>
      <w:r>
        <w:rPr>
          <w:rFonts w:ascii="Times New Roman" w:hAnsi="Times New Roman" w:eastAsia="標楷體" w:cs="Times New Roman"/>
        </w:rPr>
        <w:t xml:space="preserve">Franke, C., Groeppel-Klein, A., &amp; Müller, K. (2023). </w:t>
      </w:r>
      <w:hyperlink r:id="rIdL44" w:history="1">
        <w:r>
          <w:rPr>
            <w:rStyle w:val="Hyperlink"/>
            <w:rFonts w:ascii="Times New Roman" w:hAnsi="Times New Roman" w:eastAsia="標楷體" w:cs="Times New Roman"/>
          </w:rPr>
          <w:t xml:space="preserve">Consumers' responses to virtual influencers as advertising endorsers: Novel and effective or uncanny and deceiving?.</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Advertising, 52</w:t>
      </w:r>
      <w:r>
        <w:rPr>
          <w:rFonts w:ascii="Times New Roman" w:hAnsi="Times New Roman" w:eastAsia="標楷體" w:cs="Times New Roman"/>
        </w:rPr>
        <w:t xml:space="preserve">(4), 523–539.</w:t>
      </w:r>
    </w:p>
    <w:p>
      <w:pPr>
        <w:spacing w:before="0" w:after="0" w:line="400" w:lineRule="exact"/>
        <w:ind w:left="480" w:hanging="480"/>
        <w:jc w:val="both"/>
      </w:pPr>
      <w:r>
        <w:rPr>
          <w:rFonts w:ascii="Times New Roman" w:hAnsi="Times New Roman" w:eastAsia="標楷體" w:cs="Times New Roman"/>
        </w:rPr>
        <w:t xml:space="preserve">Friestad, M., &amp; Wright, P. (1994). </w:t>
      </w:r>
      <w:hyperlink r:id="rIdL25" w:history="1">
        <w:r>
          <w:rPr>
            <w:rStyle w:val="Hyperlink"/>
            <w:rFonts w:ascii="Times New Roman" w:hAnsi="Times New Roman" w:eastAsia="標楷體" w:cs="Times New Roman"/>
          </w:rPr>
          <w:t xml:space="preserve">The persuasion knowledge model: How people cope with persuasion attempts.</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Consumer Research, 21</w:t>
      </w:r>
      <w:r>
        <w:rPr>
          <w:rFonts w:ascii="Times New Roman" w:hAnsi="Times New Roman" w:eastAsia="標楷體" w:cs="Times New Roman"/>
        </w:rPr>
        <w:t xml:space="preserve">(1), 1–31.</w:t>
      </w:r>
    </w:p>
    <w:p>
      <w:pPr>
        <w:spacing w:before="0" w:after="0" w:line="400" w:lineRule="exact"/>
        <w:ind w:left="480" w:hanging="480"/>
        <w:jc w:val="both"/>
      </w:pPr>
      <w:r>
        <w:rPr>
          <w:rFonts w:ascii="Times New Roman" w:hAnsi="Times New Roman" w:eastAsia="標楷體" w:cs="Times New Roman"/>
        </w:rPr>
        <w:t xml:space="preserve">Garvey, A. M., Kim, T., &amp; Duhachek, A. (2023). </w:t>
      </w:r>
      <w:hyperlink r:id="rIdL26" w:history="1">
        <w:r>
          <w:rPr>
            <w:rStyle w:val="Hyperlink"/>
            <w:rFonts w:ascii="Times New Roman" w:hAnsi="Times New Roman" w:eastAsia="標楷體" w:cs="Times New Roman"/>
          </w:rPr>
          <w:t xml:space="preserve">Bad news? Send an AI. Good news? Send a human.</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Marketing, 87</w:t>
      </w:r>
      <w:r>
        <w:rPr>
          <w:rFonts w:ascii="Times New Roman" w:hAnsi="Times New Roman" w:eastAsia="標楷體" w:cs="Times New Roman"/>
        </w:rPr>
        <w:t xml:space="preserve">(1), 10–25.</w:t>
      </w:r>
    </w:p>
    <w:p>
      <w:pPr>
        <w:spacing w:before="0" w:after="0" w:line="400" w:lineRule="exact"/>
        <w:ind w:left="480" w:hanging="480"/>
        <w:jc w:val="both"/>
      </w:pPr>
      <w:r>
        <w:rPr>
          <w:rFonts w:ascii="Times New Roman" w:hAnsi="Times New Roman" w:eastAsia="標楷體" w:cs="Times New Roman"/>
        </w:rPr>
        <w:t xml:space="preserve">Gefen, D., Karahanna, E., &amp; Straub, D. W. (2003). </w:t>
      </w:r>
      <w:hyperlink r:id="rIdL61" w:history="1">
        <w:r>
          <w:rPr>
            <w:rStyle w:val="Hyperlink"/>
            <w:rFonts w:ascii="Times New Roman" w:hAnsi="Times New Roman" w:eastAsia="標楷體" w:cs="Times New Roman"/>
          </w:rPr>
          <w:t xml:space="preserve">Trust and TAM in online shopping: An integrated model.</w:t>
        </w:r>
      </w:hyperlink>
      <w:r>
        <w:rPr>
          <w:rFonts w:ascii="Times New Roman" w:hAnsi="Times New Roman" w:eastAsia="標楷體" w:cs="Times New Roman"/>
        </w:rPr>
        <w:t xml:space="preserve"> </w:t>
      </w:r>
      <w:r>
        <w:rPr>
          <w:rFonts w:ascii="Times New Roman" w:hAnsi="Times New Roman" w:eastAsia="標楷體" w:cs="Times New Roman"/>
          <w:i/>
          <w:iCs/>
        </w:rPr>
        <w:t xml:space="preserve">MIS Quarterly, 27</w:t>
      </w:r>
      <w:r>
        <w:rPr>
          <w:rFonts w:ascii="Times New Roman" w:hAnsi="Times New Roman" w:eastAsia="標楷體" w:cs="Times New Roman"/>
        </w:rPr>
        <w:t xml:space="preserve">(1), 51–90.</w:t>
      </w:r>
    </w:p>
    <w:p>
      <w:pPr>
        <w:spacing w:before="0" w:after="0" w:line="400" w:lineRule="exact"/>
        <w:ind w:left="480" w:hanging="480"/>
        <w:jc w:val="both"/>
      </w:pPr>
      <w:r>
        <w:rPr>
          <w:rFonts w:ascii="Times New Roman" w:hAnsi="Times New Roman" w:eastAsia="標楷體" w:cs="Times New Roman"/>
        </w:rPr>
        <w:t xml:space="preserve">Gnewuch, U., Morana, S., Hinz, O., Kellner, R., &amp; Maedche, A. (2024). </w:t>
      </w:r>
      <w:hyperlink r:id="rIdL35" w:history="1">
        <w:r>
          <w:rPr>
            <w:rStyle w:val="Hyperlink"/>
            <w:rFonts w:ascii="Times New Roman" w:hAnsi="Times New Roman" w:eastAsia="標楷體" w:cs="Times New Roman"/>
          </w:rPr>
          <w:t xml:space="preserve">More than a bot? The impact of disclosing human involvement on customer interactions with hybrid service agents.</w:t>
        </w:r>
      </w:hyperlink>
      <w:r>
        <w:rPr>
          <w:rFonts w:ascii="Times New Roman" w:hAnsi="Times New Roman" w:eastAsia="標楷體" w:cs="Times New Roman"/>
        </w:rPr>
        <w:t xml:space="preserve"> </w:t>
      </w:r>
      <w:r>
        <w:rPr>
          <w:rFonts w:ascii="Times New Roman" w:hAnsi="Times New Roman" w:eastAsia="標楷體" w:cs="Times New Roman"/>
          <w:i/>
          <w:iCs/>
        </w:rPr>
        <w:t xml:space="preserve">Information Systems Research, 35</w:t>
      </w:r>
      <w:r>
        <w:rPr>
          <w:rFonts w:ascii="Times New Roman" w:hAnsi="Times New Roman" w:eastAsia="標楷體" w:cs="Times New Roman"/>
        </w:rPr>
        <w:t xml:space="preserve">(3), 936–955.</w:t>
      </w:r>
    </w:p>
    <w:p>
      <w:pPr>
        <w:spacing w:before="0" w:after="0" w:line="400" w:lineRule="exact"/>
        <w:ind w:left="480" w:hanging="480"/>
        <w:jc w:val="both"/>
      </w:pPr>
      <w:r>
        <w:rPr>
          <w:rFonts w:ascii="Times New Roman" w:hAnsi="Times New Roman" w:eastAsia="標楷體" w:cs="Times New Roman"/>
        </w:rPr>
        <w:t xml:space="preserve">Gong, Y., Huang, R., Chen, Z., Liu, Y., &amp; Tan, Y. (2025). </w:t>
      </w:r>
      <w:hyperlink r:id="rIdL22" w:history="1">
        <w:r>
          <w:rPr>
            <w:rStyle w:val="Hyperlink"/>
            <w:rFonts w:ascii="Times New Roman" w:hAnsi="Times New Roman" w:eastAsia="標楷體" w:cs="Times New Roman"/>
          </w:rPr>
          <w:t xml:space="preserve">Are assertive messages more effective in live marketing? Matching effects of anchor type and message assertiveness on purchase intention.</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Retailing and Consumer Services, 85</w:t>
      </w:r>
      <w:r>
        <w:rPr>
          <w:rFonts w:ascii="Times New Roman" w:hAnsi="Times New Roman" w:eastAsia="標楷體" w:cs="Times New Roman"/>
        </w:rPr>
        <w:t xml:space="preserve">, 104286.</w:t>
      </w:r>
    </w:p>
    <w:p>
      <w:pPr>
        <w:spacing w:before="0" w:after="0" w:line="400" w:lineRule="exact"/>
        <w:ind w:left="480" w:hanging="480"/>
        <w:jc w:val="both"/>
      </w:pPr>
      <w:r>
        <w:rPr>
          <w:rFonts w:ascii="Times New Roman" w:hAnsi="Times New Roman" w:eastAsia="標楷體" w:cs="Times New Roman"/>
        </w:rPr>
        <w:t xml:space="preserve">Grunert, K. G., &amp; Grunert, S. C. (1995). </w:t>
      </w:r>
      <w:hyperlink r:id="rIdL17" w:history="1">
        <w:r>
          <w:rPr>
            <w:rStyle w:val="Hyperlink"/>
            <w:rFonts w:ascii="Times New Roman" w:hAnsi="Times New Roman" w:eastAsia="標楷體" w:cs="Times New Roman"/>
          </w:rPr>
          <w:t xml:space="preserve">Measuring subjective meaning structures by the laddering method: Theoretical considerations and methodological problems.</w:t>
        </w:r>
      </w:hyperlink>
      <w:r>
        <w:rPr>
          <w:rFonts w:ascii="Times New Roman" w:hAnsi="Times New Roman" w:eastAsia="標楷體" w:cs="Times New Roman"/>
        </w:rPr>
        <w:t xml:space="preserve"> </w:t>
      </w:r>
      <w:r>
        <w:rPr>
          <w:rFonts w:ascii="Times New Roman" w:hAnsi="Times New Roman" w:eastAsia="標楷體" w:cs="Times New Roman"/>
          <w:i/>
          <w:iCs/>
        </w:rPr>
        <w:t xml:space="preserve">International Journal of Research in Marketing, 12</w:t>
      </w:r>
      <w:r>
        <w:rPr>
          <w:rFonts w:ascii="Times New Roman" w:hAnsi="Times New Roman" w:eastAsia="標楷體" w:cs="Times New Roman"/>
        </w:rPr>
        <w:t xml:space="preserve">(3), 209–225.</w:t>
      </w:r>
    </w:p>
    <w:p>
      <w:pPr>
        <w:spacing w:before="0" w:after="0" w:line="400" w:lineRule="exact"/>
        <w:ind w:left="480" w:hanging="480"/>
        <w:jc w:val="both"/>
      </w:pPr>
      <w:r>
        <w:rPr>
          <w:rFonts w:ascii="Times New Roman" w:hAnsi="Times New Roman" w:eastAsia="標楷體" w:cs="Times New Roman"/>
        </w:rPr>
        <w:t xml:space="preserve">Gu, X., Zhang, X., &amp; Kannan, P. K. (2024). </w:t>
      </w:r>
      <w:hyperlink r:id="rIdL3" w:history="1">
        <w:r>
          <w:rPr>
            <w:rStyle w:val="Hyperlink"/>
            <w:rFonts w:ascii="Times New Roman" w:hAnsi="Times New Roman" w:eastAsia="標楷體" w:cs="Times New Roman"/>
          </w:rPr>
          <w:t xml:space="preserve">Influencer mix strategies in livestream commerce: Impact on product sales.</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Marketing, 88</w:t>
      </w:r>
      <w:r>
        <w:rPr>
          <w:rFonts w:ascii="Times New Roman" w:hAnsi="Times New Roman" w:eastAsia="標楷體" w:cs="Times New Roman"/>
        </w:rPr>
        <w:t xml:space="preserve">(4), 64–83.</w:t>
      </w:r>
    </w:p>
    <w:p>
      <w:pPr>
        <w:spacing w:before="0" w:after="0" w:line="400" w:lineRule="exact"/>
        <w:ind w:left="480" w:hanging="480"/>
        <w:jc w:val="both"/>
      </w:pPr>
      <w:r>
        <w:rPr>
          <w:rFonts w:ascii="Times New Roman" w:hAnsi="Times New Roman" w:eastAsia="標楷體" w:cs="Times New Roman"/>
        </w:rPr>
        <w:t xml:space="preserve">Gutman, J. (1982). </w:t>
      </w:r>
      <w:hyperlink r:id="rIdL11" w:history="1">
        <w:r>
          <w:rPr>
            <w:rStyle w:val="Hyperlink"/>
            <w:rFonts w:ascii="Times New Roman" w:hAnsi="Times New Roman" w:eastAsia="標楷體" w:cs="Times New Roman"/>
          </w:rPr>
          <w:t xml:space="preserve">A means-end chain model based on consumer categorization processes.</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Marketing, 46</w:t>
      </w:r>
      <w:r>
        <w:rPr>
          <w:rFonts w:ascii="Times New Roman" w:hAnsi="Times New Roman" w:eastAsia="標楷體" w:cs="Times New Roman"/>
        </w:rPr>
        <w:t xml:space="preserve">(2), 60–72.</w:t>
      </w:r>
    </w:p>
    <w:p>
      <w:pPr>
        <w:spacing w:before="0" w:after="0" w:line="400" w:lineRule="exact"/>
        <w:ind w:left="480" w:hanging="480"/>
        <w:jc w:val="both"/>
      </w:pPr>
      <w:r>
        <w:rPr>
          <w:rFonts w:ascii="Times New Roman" w:hAnsi="Times New Roman" w:eastAsia="標楷體" w:cs="Times New Roman"/>
        </w:rPr>
        <w:t xml:space="preserve">Hair, J. F., Risher, J. J., Sarstedt, M., &amp; Ringle, C. M. (2019). </w:t>
      </w:r>
      <w:hyperlink r:id="rIdL75" w:history="1">
        <w:r>
          <w:rPr>
            <w:rStyle w:val="Hyperlink"/>
            <w:rFonts w:ascii="Times New Roman" w:hAnsi="Times New Roman" w:eastAsia="標楷體" w:cs="Times New Roman"/>
          </w:rPr>
          <w:t xml:space="preserve">When to use and how to report the results of PLS-SEM.</w:t>
        </w:r>
      </w:hyperlink>
      <w:r>
        <w:rPr>
          <w:rFonts w:ascii="Times New Roman" w:hAnsi="Times New Roman" w:eastAsia="標楷體" w:cs="Times New Roman"/>
        </w:rPr>
        <w:t xml:space="preserve"> </w:t>
      </w:r>
      <w:r>
        <w:rPr>
          <w:rFonts w:ascii="Times New Roman" w:hAnsi="Times New Roman" w:eastAsia="標楷體" w:cs="Times New Roman"/>
          <w:i/>
          <w:iCs/>
        </w:rPr>
        <w:t xml:space="preserve">European Business Review, 31</w:t>
      </w:r>
      <w:r>
        <w:rPr>
          <w:rFonts w:ascii="Times New Roman" w:hAnsi="Times New Roman" w:eastAsia="標楷體" w:cs="Times New Roman"/>
        </w:rPr>
        <w:t xml:space="preserve">(1), 2–24.</w:t>
      </w:r>
    </w:p>
    <w:p>
      <w:pPr>
        <w:spacing w:before="0" w:after="0" w:line="400" w:lineRule="exact"/>
        <w:ind w:left="480" w:hanging="480"/>
        <w:jc w:val="both"/>
      </w:pPr>
      <w:r>
        <w:rPr>
          <w:rFonts w:ascii="Times New Roman" w:hAnsi="Times New Roman" w:eastAsia="標楷體" w:cs="Times New Roman"/>
        </w:rPr>
        <w:t xml:space="preserve">Henseler, J., Ringle, C. M., &amp; Sarstedt, M. (2016). </w:t>
      </w:r>
      <w:hyperlink r:id="rIdL62" w:history="1">
        <w:r>
          <w:rPr>
            <w:rStyle w:val="Hyperlink"/>
            <w:rFonts w:ascii="Times New Roman" w:hAnsi="Times New Roman" w:eastAsia="標楷體" w:cs="Times New Roman"/>
          </w:rPr>
          <w:t xml:space="preserve">Testing measurement invariance of composites using partial least squares.</w:t>
        </w:r>
      </w:hyperlink>
      <w:r>
        <w:rPr>
          <w:rFonts w:ascii="Times New Roman" w:hAnsi="Times New Roman" w:eastAsia="標楷體" w:cs="Times New Roman"/>
        </w:rPr>
        <w:t xml:space="preserve"> </w:t>
      </w:r>
      <w:r>
        <w:rPr>
          <w:rFonts w:ascii="Times New Roman" w:hAnsi="Times New Roman" w:eastAsia="標楷體" w:cs="Times New Roman"/>
          <w:i/>
          <w:iCs/>
        </w:rPr>
        <w:t xml:space="preserve">International Marketing Review, 33</w:t>
      </w:r>
      <w:r>
        <w:rPr>
          <w:rFonts w:ascii="Times New Roman" w:hAnsi="Times New Roman" w:eastAsia="標楷體" w:cs="Times New Roman"/>
        </w:rPr>
        <w:t xml:space="preserve">(3), 405–431.</w:t>
      </w:r>
    </w:p>
    <w:p>
      <w:pPr>
        <w:spacing w:before="0" w:after="0" w:line="400" w:lineRule="exact"/>
        <w:ind w:left="480" w:hanging="480"/>
        <w:jc w:val="both"/>
      </w:pPr>
      <w:r>
        <w:rPr>
          <w:rFonts w:ascii="Times New Roman" w:hAnsi="Times New Roman" w:eastAsia="標楷體" w:cs="Times New Roman"/>
        </w:rPr>
        <w:t xml:space="preserve">Holbrook, M. B., &amp; Hirschman, E. C. (1982). </w:t>
      </w:r>
      <w:hyperlink r:id="rIdL54" w:history="1">
        <w:r>
          <w:rPr>
            <w:rStyle w:val="Hyperlink"/>
            <w:rFonts w:ascii="Times New Roman" w:hAnsi="Times New Roman" w:eastAsia="標楷體" w:cs="Times New Roman"/>
          </w:rPr>
          <w:t xml:space="preserve">The experiential aspects of consumption: Consumer fantasies, feelings, and fun.</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Consumer Research, 9</w:t>
      </w:r>
      <w:r>
        <w:rPr>
          <w:rFonts w:ascii="Times New Roman" w:hAnsi="Times New Roman" w:eastAsia="標楷體" w:cs="Times New Roman"/>
        </w:rPr>
        <w:t xml:space="preserve">(2), 132–140.</w:t>
      </w:r>
    </w:p>
    <w:p>
      <w:pPr>
        <w:spacing w:before="0" w:after="0" w:line="400" w:lineRule="exact"/>
        <w:ind w:left="480" w:hanging="480"/>
        <w:jc w:val="both"/>
      </w:pPr>
      <w:r>
        <w:rPr>
          <w:rFonts w:ascii="Times New Roman" w:hAnsi="Times New Roman" w:eastAsia="標楷體" w:cs="Times New Roman"/>
        </w:rPr>
        <w:t xml:space="preserve">Holthöwer, J., &amp; van Doorn, J. (2023). </w:t>
      </w:r>
      <w:hyperlink r:id="rIdL49" w:history="1">
        <w:r>
          <w:rPr>
            <w:rStyle w:val="Hyperlink"/>
            <w:rFonts w:ascii="Times New Roman" w:hAnsi="Times New Roman" w:eastAsia="標楷體" w:cs="Times New Roman"/>
          </w:rPr>
          <w:t xml:space="preserve">Robots do not judge: Service robots can alleviate embarrassment in service encounters.</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the Academy of Marketing Science, 51</w:t>
      </w:r>
      <w:r>
        <w:rPr>
          <w:rFonts w:ascii="Times New Roman" w:hAnsi="Times New Roman" w:eastAsia="標楷體" w:cs="Times New Roman"/>
        </w:rPr>
        <w:t xml:space="preserve">(4), 767–784.</w:t>
      </w:r>
    </w:p>
    <w:p>
      <w:pPr>
        <w:spacing w:before="0" w:after="0" w:line="400" w:lineRule="exact"/>
        <w:ind w:left="480" w:hanging="480"/>
        <w:jc w:val="both"/>
      </w:pPr>
      <w:r>
        <w:rPr>
          <w:rFonts w:ascii="Times New Roman" w:hAnsi="Times New Roman" w:eastAsia="標楷體" w:cs="Times New Roman"/>
        </w:rPr>
        <w:t xml:space="preserve">Hu, L., &amp; Bentler, P. M. (1999). </w:t>
      </w:r>
      <w:hyperlink r:id="rIdL68" w:history="1">
        <w:r>
          <w:rPr>
            <w:rStyle w:val="Hyperlink"/>
            <w:rFonts w:ascii="Times New Roman" w:hAnsi="Times New Roman" w:eastAsia="標楷體" w:cs="Times New Roman"/>
          </w:rPr>
          <w:t xml:space="preserve">Cutoff criteria for fit indexes in covariance structure analysis: Conventional criteria versus new alternatives.</w:t>
        </w:r>
      </w:hyperlink>
      <w:r>
        <w:rPr>
          <w:rFonts w:ascii="Times New Roman" w:hAnsi="Times New Roman" w:eastAsia="標楷體" w:cs="Times New Roman"/>
        </w:rPr>
        <w:t xml:space="preserve"> </w:t>
      </w:r>
      <w:r>
        <w:rPr>
          <w:rFonts w:ascii="Times New Roman" w:hAnsi="Times New Roman" w:eastAsia="標楷體" w:cs="Times New Roman"/>
          <w:i/>
          <w:iCs/>
        </w:rPr>
        <w:t xml:space="preserve">Structural Equation Modeling, 6</w:t>
      </w:r>
      <w:r>
        <w:rPr>
          <w:rFonts w:ascii="Times New Roman" w:hAnsi="Times New Roman" w:eastAsia="標楷體" w:cs="Times New Roman"/>
        </w:rPr>
        <w:t xml:space="preserve">(1), 1–55.</w:t>
      </w:r>
    </w:p>
    <w:p>
      <w:pPr>
        <w:spacing w:before="0" w:after="0" w:line="400" w:lineRule="exact"/>
        <w:ind w:left="480" w:hanging="480"/>
        <w:jc w:val="both"/>
      </w:pPr>
      <w:r>
        <w:rPr>
          <w:rFonts w:ascii="Times New Roman" w:hAnsi="Times New Roman" w:eastAsia="標楷體" w:cs="Times New Roman"/>
        </w:rPr>
        <w:t xml:space="preserve">Huang, M.-H., &amp; Rust, R. T. (2021). </w:t>
      </w:r>
      <w:hyperlink r:id="rIdL46" w:history="1">
        <w:r>
          <w:rPr>
            <w:rStyle w:val="Hyperlink"/>
            <w:rFonts w:ascii="Times New Roman" w:hAnsi="Times New Roman" w:eastAsia="標楷體" w:cs="Times New Roman"/>
          </w:rPr>
          <w:t xml:space="preserve">A strategic framework for artificial intelligence in marketing.</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the Academy of Marketing Science, 49</w:t>
      </w:r>
      <w:r>
        <w:rPr>
          <w:rFonts w:ascii="Times New Roman" w:hAnsi="Times New Roman" w:eastAsia="標楷體" w:cs="Times New Roman"/>
        </w:rPr>
        <w:t xml:space="preserve">(1), 30–50.</w:t>
      </w:r>
    </w:p>
    <w:p>
      <w:pPr>
        <w:spacing w:before="0" w:after="0" w:line="400" w:lineRule="exact"/>
        <w:ind w:left="480" w:hanging="480"/>
        <w:jc w:val="both"/>
      </w:pPr>
      <w:r>
        <w:rPr>
          <w:rFonts w:ascii="Times New Roman" w:hAnsi="Times New Roman" w:eastAsia="標楷體" w:cs="Times New Roman"/>
        </w:rPr>
        <w:t xml:space="preserve">Janakiraman, N., Syrdal, H. A., &amp; Freling, R. (2016). </w:t>
      </w:r>
      <w:hyperlink r:id="rIdL55" w:history="1">
        <w:r>
          <w:rPr>
            <w:rStyle w:val="Hyperlink"/>
            <w:rFonts w:ascii="Times New Roman" w:hAnsi="Times New Roman" w:eastAsia="標楷體" w:cs="Times New Roman"/>
          </w:rPr>
          <w:t xml:space="preserve">The effect of return policy leniency on consumer purchase and return decisions: A meta-analytic review.</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Retailing, 92</w:t>
      </w:r>
      <w:r>
        <w:rPr>
          <w:rFonts w:ascii="Times New Roman" w:hAnsi="Times New Roman" w:eastAsia="標楷體" w:cs="Times New Roman"/>
        </w:rPr>
        <w:t xml:space="preserve">(2), 226–235.</w:t>
      </w:r>
    </w:p>
    <w:p>
      <w:pPr>
        <w:spacing w:before="0" w:after="0" w:line="400" w:lineRule="exact"/>
        <w:ind w:left="480" w:hanging="480"/>
        <w:jc w:val="both"/>
      </w:pPr>
      <w:r>
        <w:rPr>
          <w:rFonts w:ascii="Times New Roman" w:hAnsi="Times New Roman" w:eastAsia="標楷體" w:cs="Times New Roman"/>
        </w:rPr>
        <w:t xml:space="preserve">Kassarjian, H. H. (1977). </w:t>
      </w:r>
      <w:hyperlink r:id="rIdL52" w:history="1">
        <w:r>
          <w:rPr>
            <w:rStyle w:val="Hyperlink"/>
            <w:rFonts w:ascii="Times New Roman" w:hAnsi="Times New Roman" w:eastAsia="標楷體" w:cs="Times New Roman"/>
          </w:rPr>
          <w:t xml:space="preserve">Content analysis in consumer research.</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Consumer Research, 4</w:t>
      </w:r>
      <w:r>
        <w:rPr>
          <w:rFonts w:ascii="Times New Roman" w:hAnsi="Times New Roman" w:eastAsia="標楷體" w:cs="Times New Roman"/>
        </w:rPr>
        <w:t xml:space="preserve">(1), 8–18.</w:t>
      </w:r>
    </w:p>
    <w:p>
      <w:pPr>
        <w:spacing w:before="0" w:after="0" w:line="400" w:lineRule="exact"/>
        <w:ind w:left="480" w:hanging="480"/>
        <w:jc w:val="both"/>
      </w:pPr>
      <w:r>
        <w:rPr>
          <w:rFonts w:ascii="Times New Roman" w:hAnsi="Times New Roman" w:eastAsia="標楷體" w:cs="Times New Roman"/>
        </w:rPr>
        <w:t xml:space="preserve">Kilwinger, F. B. M., &amp; van Dam, Y. K. (2021). </w:t>
      </w:r>
      <w:hyperlink r:id="rIdL31" w:history="1">
        <w:r>
          <w:rPr>
            <w:rStyle w:val="Hyperlink"/>
            <w:rFonts w:ascii="Times New Roman" w:hAnsi="Times New Roman" w:eastAsia="標楷體" w:cs="Times New Roman"/>
          </w:rPr>
          <w:t xml:space="preserve">Methodological considerations on the means-end chain analysis revisited.</w:t>
        </w:r>
      </w:hyperlink>
      <w:r>
        <w:rPr>
          <w:rFonts w:ascii="Times New Roman" w:hAnsi="Times New Roman" w:eastAsia="標楷體" w:cs="Times New Roman"/>
        </w:rPr>
        <w:t xml:space="preserve"> </w:t>
      </w:r>
      <w:r>
        <w:rPr>
          <w:rFonts w:ascii="Times New Roman" w:hAnsi="Times New Roman" w:eastAsia="標楷體" w:cs="Times New Roman"/>
          <w:i/>
          <w:iCs/>
        </w:rPr>
        <w:t xml:space="preserve">Psychology &amp; Marketing, 38</w:t>
      </w:r>
      <w:r>
        <w:rPr>
          <w:rFonts w:ascii="Times New Roman" w:hAnsi="Times New Roman" w:eastAsia="標楷體" w:cs="Times New Roman"/>
        </w:rPr>
        <w:t xml:space="preserve">(9), 1513–1524.</w:t>
      </w:r>
    </w:p>
    <w:p>
      <w:pPr>
        <w:spacing w:before="0" w:after="0" w:line="400" w:lineRule="exact"/>
        <w:ind w:left="480" w:hanging="480"/>
        <w:jc w:val="both"/>
      </w:pPr>
      <w:r>
        <w:rPr>
          <w:rFonts w:ascii="Times New Roman" w:hAnsi="Times New Roman" w:eastAsia="標楷體" w:cs="Times New Roman"/>
        </w:rPr>
        <w:t xml:space="preserve">Kim, T. W., &amp; Duhachek, A. (2020). </w:t>
      </w:r>
      <w:hyperlink r:id="rIdL21" w:history="1">
        <w:r>
          <w:rPr>
            <w:rStyle w:val="Hyperlink"/>
            <w:rFonts w:ascii="Times New Roman" w:hAnsi="Times New Roman" w:eastAsia="標楷體" w:cs="Times New Roman"/>
          </w:rPr>
          <w:t xml:space="preserve">Artificial intelligence and persuasion: A construal-level account.</w:t>
        </w:r>
      </w:hyperlink>
      <w:r>
        <w:rPr>
          <w:rFonts w:ascii="Times New Roman" w:hAnsi="Times New Roman" w:eastAsia="標楷體" w:cs="Times New Roman"/>
        </w:rPr>
        <w:t xml:space="preserve"> </w:t>
      </w:r>
      <w:r>
        <w:rPr>
          <w:rFonts w:ascii="Times New Roman" w:hAnsi="Times New Roman" w:eastAsia="標楷體" w:cs="Times New Roman"/>
          <w:i/>
          <w:iCs/>
        </w:rPr>
        <w:t xml:space="preserve">Psychological Science, 31</w:t>
      </w:r>
      <w:r>
        <w:rPr>
          <w:rFonts w:ascii="Times New Roman" w:hAnsi="Times New Roman" w:eastAsia="標楷體" w:cs="Times New Roman"/>
        </w:rPr>
        <w:t xml:space="preserve">(4), 363–380.</w:t>
      </w:r>
    </w:p>
    <w:p>
      <w:pPr>
        <w:spacing w:before="0" w:after="0" w:line="400" w:lineRule="exact"/>
        <w:ind w:left="480" w:hanging="480"/>
        <w:jc w:val="both"/>
      </w:pPr>
      <w:r>
        <w:rPr>
          <w:rFonts w:ascii="Times New Roman" w:hAnsi="Times New Roman" w:eastAsia="標楷體" w:cs="Times New Roman"/>
        </w:rPr>
        <w:t xml:space="preserve">Kirk, C. P., &amp; Givi, J. (2025). </w:t>
      </w:r>
      <w:hyperlink r:id="rIdL34" w:history="1">
        <w:r>
          <w:rPr>
            <w:rStyle w:val="Hyperlink"/>
            <w:rFonts w:ascii="Times New Roman" w:hAnsi="Times New Roman" w:eastAsia="標楷體" w:cs="Times New Roman"/>
          </w:rPr>
          <w:t xml:space="preserve">The AI-authorship effect: Understanding authenticity, moral disgust, and consumer responses to AI-generated marketing communications.</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Business Research, 186</w:t>
      </w:r>
      <w:r>
        <w:rPr>
          <w:rFonts w:ascii="Times New Roman" w:hAnsi="Times New Roman" w:eastAsia="標楷體" w:cs="Times New Roman"/>
        </w:rPr>
        <w:t xml:space="preserve">, 114984.</w:t>
      </w:r>
    </w:p>
    <w:p>
      <w:pPr>
        <w:spacing w:before="0" w:after="0" w:line="400" w:lineRule="exact"/>
        <w:ind w:left="480" w:hanging="480"/>
        <w:jc w:val="both"/>
      </w:pPr>
      <w:r>
        <w:rPr>
          <w:rFonts w:ascii="Times New Roman" w:hAnsi="Times New Roman" w:eastAsia="標楷體" w:cs="Times New Roman"/>
        </w:rPr>
        <w:t xml:space="preserve">Li, X., et al. (2025). </w:t>
      </w:r>
      <w:hyperlink r:id="rIdL42" w:history="1">
        <w:r>
          <w:rPr>
            <w:rStyle w:val="Hyperlink"/>
            <w:rFonts w:ascii="Times New Roman" w:hAnsi="Times New Roman" w:eastAsia="標楷體" w:cs="Times New Roman"/>
          </w:rPr>
          <w:t xml:space="preserve">How do influencers’ impression management tactics affect purchase intention in live commerce – Trust transfer and gender differences.</w:t>
        </w:r>
      </w:hyperlink>
      <w:r>
        <w:rPr>
          <w:rFonts w:ascii="Times New Roman" w:hAnsi="Times New Roman" w:eastAsia="標楷體" w:cs="Times New Roman"/>
        </w:rPr>
        <w:t xml:space="preserve"> </w:t>
      </w:r>
      <w:r>
        <w:rPr>
          <w:rFonts w:ascii="Times New Roman" w:hAnsi="Times New Roman" w:eastAsia="標楷體" w:cs="Times New Roman"/>
          <w:i/>
          <w:iCs/>
        </w:rPr>
        <w:t xml:space="preserve">Information &amp; Management, 62</w:t>
      </w:r>
      <w:r>
        <w:rPr>
          <w:rFonts w:ascii="Times New Roman" w:hAnsi="Times New Roman" w:eastAsia="標楷體" w:cs="Times New Roman"/>
        </w:rPr>
        <w:t xml:space="preserve">, 104094.</w:t>
      </w:r>
    </w:p>
    <w:p>
      <w:pPr>
        <w:spacing w:before="0" w:after="0" w:line="400" w:lineRule="exact"/>
        <w:ind w:left="480" w:hanging="480"/>
        <w:jc w:val="both"/>
      </w:pPr>
      <w:r>
        <w:rPr>
          <w:rFonts w:ascii="Times New Roman" w:hAnsi="Times New Roman" w:eastAsia="標楷體" w:cs="Times New Roman"/>
        </w:rPr>
        <w:t xml:space="preserve">Liu, H., Zhang, P., Cheng, H., Hasan, N., &amp; Chiong, R. (2025). </w:t>
      </w:r>
      <w:hyperlink r:id="rIdL15" w:history="1">
        <w:r>
          <w:rPr>
            <w:rStyle w:val="Hyperlink"/>
            <w:rFonts w:ascii="Times New Roman" w:hAnsi="Times New Roman" w:eastAsia="標楷體" w:cs="Times New Roman"/>
          </w:rPr>
          <w:t xml:space="preserve">Impact of AI-generated virtual streamer interaction on consumer purchase intention: A focus on social presence and perceived value.</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Retailing and Consumer Services, 85</w:t>
      </w:r>
      <w:r>
        <w:rPr>
          <w:rFonts w:ascii="Times New Roman" w:hAnsi="Times New Roman" w:eastAsia="標楷體" w:cs="Times New Roman"/>
        </w:rPr>
        <w:t xml:space="preserve">, 104290.</w:t>
      </w:r>
    </w:p>
    <w:p>
      <w:pPr>
        <w:spacing w:before="0" w:after="0" w:line="400" w:lineRule="exact"/>
        <w:ind w:left="480" w:hanging="480"/>
        <w:jc w:val="both"/>
      </w:pPr>
      <w:r>
        <w:rPr>
          <w:rFonts w:ascii="Times New Roman" w:hAnsi="Times New Roman" w:eastAsia="標楷體" w:cs="Times New Roman"/>
        </w:rPr>
        <w:t xml:space="preserve">Liu, R., Hao, J.-X., Yu, Y., &amp; Shan, W. (2025). </w:t>
      </w:r>
      <w:hyperlink r:id="rIdL48" w:history="1">
        <w:r>
          <w:rPr>
            <w:rStyle w:val="Hyperlink"/>
            <w:rFonts w:ascii="Times New Roman" w:hAnsi="Times New Roman" w:eastAsia="標楷體" w:cs="Times New Roman"/>
          </w:rPr>
          <w:t xml:space="preserve">Helpful or harmful? A curvilinear perspective on AI agent anthropomorphism in service failure tolerance.</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Retailing and Consumer Services, 85</w:t>
      </w:r>
      <w:r>
        <w:rPr>
          <w:rFonts w:ascii="Times New Roman" w:hAnsi="Times New Roman" w:eastAsia="標楷體" w:cs="Times New Roman"/>
        </w:rPr>
        <w:t xml:space="preserve">, 104299.</w:t>
      </w:r>
    </w:p>
    <w:p>
      <w:pPr>
        <w:spacing w:before="0" w:after="0" w:line="400" w:lineRule="exact"/>
        <w:ind w:left="480" w:hanging="480"/>
        <w:jc w:val="both"/>
      </w:pPr>
      <w:r>
        <w:rPr>
          <w:rFonts w:ascii="Times New Roman" w:hAnsi="Times New Roman" w:eastAsia="標楷體" w:cs="Times New Roman"/>
        </w:rPr>
        <w:t xml:space="preserve">Liu, Y., Wang, L., Yang, S., &amp; Wang, Y. (2025). </w:t>
      </w:r>
      <w:hyperlink r:id="rIdL5" w:history="1">
        <w:r>
          <w:rPr>
            <w:rStyle w:val="Hyperlink"/>
            <w:rFonts w:ascii="Times New Roman" w:hAnsi="Times New Roman" w:eastAsia="標楷體" w:cs="Times New Roman"/>
          </w:rPr>
          <w:t xml:space="preserve">Artificial intelligence-powered digital streamers in online retail: Empirical insights and design strategies from experiments.</w:t>
        </w:r>
      </w:hyperlink>
      <w:r>
        <w:rPr>
          <w:rFonts w:ascii="Times New Roman" w:hAnsi="Times New Roman" w:eastAsia="標楷體" w:cs="Times New Roman"/>
        </w:rPr>
        <w:t xml:space="preserve"> </w:t>
      </w:r>
      <w:r>
        <w:rPr>
          <w:rFonts w:ascii="Times New Roman" w:hAnsi="Times New Roman" w:eastAsia="標楷體" w:cs="Times New Roman"/>
          <w:i/>
          <w:iCs/>
        </w:rPr>
        <w:t xml:space="preserve">Information Systems Research</w:t>
      </w:r>
      <w:r>
        <w:rPr>
          <w:rFonts w:ascii="Times New Roman" w:hAnsi="Times New Roman" w:eastAsia="標楷體" w:cs="Times New Roman"/>
        </w:rPr>
        <w:t xml:space="preserve">. Advance online publication.</w:t>
      </w:r>
    </w:p>
    <w:p>
      <w:pPr>
        <w:spacing w:before="0" w:after="0" w:line="400" w:lineRule="exact"/>
        <w:ind w:left="480" w:hanging="480"/>
        <w:jc w:val="both"/>
      </w:pPr>
      <w:r>
        <w:rPr>
          <w:rFonts w:ascii="Times New Roman" w:hAnsi="Times New Roman" w:eastAsia="標楷體" w:cs="Times New Roman"/>
        </w:rPr>
        <w:t xml:space="preserve">Longoni, C., &amp; Cian, L. (2022). </w:t>
      </w:r>
      <w:hyperlink r:id="rIdL19" w:history="1">
        <w:r>
          <w:rPr>
            <w:rStyle w:val="Hyperlink"/>
            <w:rFonts w:ascii="Times New Roman" w:hAnsi="Times New Roman" w:eastAsia="標楷體" w:cs="Times New Roman"/>
          </w:rPr>
          <w:t xml:space="preserve">Artificial intelligence in utilitarian vs. hedonic contexts: The "word-of-machine" effect.</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Marketing, 86</w:t>
      </w:r>
      <w:r>
        <w:rPr>
          <w:rFonts w:ascii="Times New Roman" w:hAnsi="Times New Roman" w:eastAsia="標楷體" w:cs="Times New Roman"/>
        </w:rPr>
        <w:t xml:space="preserve">(1), 91–108.</w:t>
      </w:r>
    </w:p>
    <w:p>
      <w:pPr>
        <w:spacing w:before="0" w:after="0" w:line="400" w:lineRule="exact"/>
        <w:ind w:left="480" w:hanging="480"/>
        <w:jc w:val="both"/>
      </w:pPr>
      <w:r>
        <w:rPr>
          <w:rFonts w:ascii="Times New Roman" w:hAnsi="Times New Roman" w:eastAsia="標楷體" w:cs="Times New Roman"/>
        </w:rPr>
        <w:t xml:space="preserve">Lou, C., Kiew, S. T. J., Chen, T., Lee, T. Y. M., Ong, J. E. C., &amp; Phua, Z. (2023). </w:t>
      </w:r>
      <w:hyperlink r:id="rIdL43" w:history="1">
        <w:r>
          <w:rPr>
            <w:rStyle w:val="Hyperlink"/>
            <w:rFonts w:ascii="Times New Roman" w:hAnsi="Times New Roman" w:eastAsia="標楷體" w:cs="Times New Roman"/>
          </w:rPr>
          <w:t xml:space="preserve">Authentically fake? How consumers respond to the influence of virtual influencers.</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Advertising, 52</w:t>
      </w:r>
      <w:r>
        <w:rPr>
          <w:rFonts w:ascii="Times New Roman" w:hAnsi="Times New Roman" w:eastAsia="標楷體" w:cs="Times New Roman"/>
        </w:rPr>
        <w:t xml:space="preserve">(4), 540–557.</w:t>
      </w:r>
    </w:p>
    <w:p>
      <w:pPr>
        <w:spacing w:before="0" w:after="0" w:line="400" w:lineRule="exact"/>
        <w:ind w:left="480" w:hanging="480"/>
        <w:jc w:val="both"/>
      </w:pPr>
      <w:r>
        <w:rPr>
          <w:rFonts w:ascii="Times New Roman" w:hAnsi="Times New Roman" w:eastAsia="標楷體" w:cs="Times New Roman"/>
        </w:rPr>
        <w:t xml:space="preserve">Lu, B., &amp; Chen, Z. (2021). </w:t>
      </w:r>
      <w:hyperlink r:id="rIdL2" w:history="1">
        <w:r>
          <w:rPr>
            <w:rStyle w:val="Hyperlink"/>
            <w:rFonts w:ascii="Times New Roman" w:hAnsi="Times New Roman" w:eastAsia="標楷體" w:cs="Times New Roman"/>
          </w:rPr>
          <w:t xml:space="preserve">Live streaming commerce and consumers' purchase intention: An uncertainty reduction perspective.</w:t>
        </w:r>
      </w:hyperlink>
      <w:r>
        <w:rPr>
          <w:rFonts w:ascii="Times New Roman" w:hAnsi="Times New Roman" w:eastAsia="標楷體" w:cs="Times New Roman"/>
        </w:rPr>
        <w:t xml:space="preserve"> </w:t>
      </w:r>
      <w:r>
        <w:rPr>
          <w:rFonts w:ascii="Times New Roman" w:hAnsi="Times New Roman" w:eastAsia="標楷體" w:cs="Times New Roman"/>
          <w:i/>
          <w:iCs/>
        </w:rPr>
        <w:t xml:space="preserve">Information &amp; Management, 58</w:t>
      </w:r>
      <w:r>
        <w:rPr>
          <w:rFonts w:ascii="Times New Roman" w:hAnsi="Times New Roman" w:eastAsia="標楷體" w:cs="Times New Roman"/>
        </w:rPr>
        <w:t xml:space="preserve">(7), 103509.</w:t>
      </w:r>
    </w:p>
    <w:p>
      <w:pPr>
        <w:spacing w:before="0" w:after="0" w:line="400" w:lineRule="exact"/>
        <w:ind w:left="480" w:hanging="480"/>
        <w:jc w:val="both"/>
      </w:pPr>
      <w:r>
        <w:rPr>
          <w:rFonts w:ascii="Times New Roman" w:hAnsi="Times New Roman" w:eastAsia="標楷體" w:cs="Times New Roman"/>
        </w:rPr>
        <w:t xml:space="preserve">Luo, X., Lim, W. M., Cheah, J.-H., Lim, X.-J., &amp; Dwivedi, Y. K. (2025). </w:t>
      </w:r>
      <w:hyperlink r:id="rIdL39" w:history="1">
        <w:r>
          <w:rPr>
            <w:rStyle w:val="Hyperlink"/>
            <w:rFonts w:ascii="Times New Roman" w:hAnsi="Times New Roman" w:eastAsia="標楷體" w:cs="Times New Roman"/>
          </w:rPr>
          <w:t xml:space="preserve">Live streaming commerce: A review and research agenda.</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Computer Information Systems, 65</w:t>
      </w:r>
      <w:r>
        <w:rPr>
          <w:rFonts w:ascii="Times New Roman" w:hAnsi="Times New Roman" w:eastAsia="標楷體" w:cs="Times New Roman"/>
        </w:rPr>
        <w:t xml:space="preserve">(3), 376–399.</w:t>
      </w:r>
    </w:p>
    <w:p>
      <w:pPr>
        <w:spacing w:before="0" w:after="0" w:line="400" w:lineRule="exact"/>
        <w:ind w:left="480" w:hanging="480"/>
        <w:jc w:val="both"/>
      </w:pPr>
      <w:r>
        <w:rPr>
          <w:rFonts w:ascii="Times New Roman" w:hAnsi="Times New Roman" w:eastAsia="標楷體" w:cs="Times New Roman"/>
        </w:rPr>
        <w:t xml:space="preserve">Luo, X., Tong, S., Fang, Z., &amp; Qu, Z. (2019). </w:t>
      </w:r>
      <w:hyperlink r:id="rIdL32" w:history="1">
        <w:r>
          <w:rPr>
            <w:rStyle w:val="Hyperlink"/>
            <w:rFonts w:ascii="Times New Roman" w:hAnsi="Times New Roman" w:eastAsia="標楷體" w:cs="Times New Roman"/>
          </w:rPr>
          <w:t xml:space="preserve">Frontiers: Machines vs. humans: The impact of artificial intelligence chatbot disclosure on customer purchases.</w:t>
        </w:r>
      </w:hyperlink>
      <w:r>
        <w:rPr>
          <w:rFonts w:ascii="Times New Roman" w:hAnsi="Times New Roman" w:eastAsia="標楷體" w:cs="Times New Roman"/>
        </w:rPr>
        <w:t xml:space="preserve"> </w:t>
      </w:r>
      <w:r>
        <w:rPr>
          <w:rFonts w:ascii="Times New Roman" w:hAnsi="Times New Roman" w:eastAsia="標楷體" w:cs="Times New Roman"/>
          <w:i/>
          <w:iCs/>
        </w:rPr>
        <w:t xml:space="preserve">Marketing Science, 38</w:t>
      </w:r>
      <w:r>
        <w:rPr>
          <w:rFonts w:ascii="Times New Roman" w:hAnsi="Times New Roman" w:eastAsia="標楷體" w:cs="Times New Roman"/>
        </w:rPr>
        <w:t xml:space="preserve">(6), 937–947.</w:t>
      </w:r>
    </w:p>
    <w:p>
      <w:pPr>
        <w:spacing w:before="0" w:after="0" w:line="400" w:lineRule="exact"/>
        <w:ind w:left="480" w:hanging="480"/>
        <w:jc w:val="both"/>
      </w:pPr>
      <w:r>
        <w:rPr>
          <w:rFonts w:ascii="Times New Roman" w:hAnsi="Times New Roman" w:eastAsia="標楷體" w:cs="Times New Roman"/>
        </w:rPr>
        <w:t xml:space="preserve">Lv, X., Yang, Y., Qin, D., &amp; Liu, X. (2025). </w:t>
      </w:r>
      <w:hyperlink r:id="rIdL24" w:history="1">
        <w:r>
          <w:rPr>
            <w:rStyle w:val="Hyperlink"/>
            <w:rFonts w:ascii="Times New Roman" w:hAnsi="Times New Roman" w:eastAsia="標楷體" w:cs="Times New Roman"/>
          </w:rPr>
          <w:t xml:space="preserve">AI service may backfire: Reduced service warmth due to service provider transformation.</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Retailing and Consumer Services, 85</w:t>
      </w:r>
      <w:r>
        <w:rPr>
          <w:rFonts w:ascii="Times New Roman" w:hAnsi="Times New Roman" w:eastAsia="標楷體" w:cs="Times New Roman"/>
        </w:rPr>
        <w:t xml:space="preserve">, 104282.</w:t>
      </w:r>
    </w:p>
    <w:p>
      <w:pPr>
        <w:spacing w:before="0" w:after="0" w:line="400" w:lineRule="exact"/>
        <w:ind w:left="480" w:hanging="480"/>
        <w:jc w:val="both"/>
      </w:pPr>
      <w:r>
        <w:rPr>
          <w:rFonts w:ascii="Times New Roman" w:hAnsi="Times New Roman" w:eastAsia="標楷體" w:cs="Times New Roman"/>
        </w:rPr>
        <w:t xml:space="preserve">Ma, X., Ren, J., Khor, X., Wang, R., Li, T., &amp; Lang, X. (2025). </w:t>
      </w:r>
      <w:hyperlink r:id="rIdL41" w:history="1">
        <w:r>
          <w:rPr>
            <w:rStyle w:val="Hyperlink"/>
            <w:rFonts w:ascii="Times New Roman" w:hAnsi="Times New Roman" w:eastAsia="標楷體" w:cs="Times New Roman"/>
          </w:rPr>
          <w:t xml:space="preserve">Influencing mechanisms of live streamer's language strategies on product sales.</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Retailing and Consumer Services, 85</w:t>
      </w:r>
      <w:r>
        <w:rPr>
          <w:rFonts w:ascii="Times New Roman" w:hAnsi="Times New Roman" w:eastAsia="標楷體" w:cs="Times New Roman"/>
        </w:rPr>
        <w:t xml:space="preserve">, 104291.</w:t>
      </w:r>
    </w:p>
    <w:p>
      <w:pPr>
        <w:spacing w:before="0" w:after="0" w:line="400" w:lineRule="exact"/>
        <w:ind w:left="480" w:hanging="480"/>
        <w:jc w:val="both"/>
      </w:pPr>
      <w:r>
        <w:rPr>
          <w:rFonts w:ascii="Times New Roman" w:hAnsi="Times New Roman" w:eastAsia="標楷體" w:cs="Times New Roman"/>
        </w:rPr>
        <w:t xml:space="preserve">Martin, K. D., &amp; Murphy, P. E. (2017). </w:t>
      </w:r>
      <w:hyperlink r:id="rIdL38" w:history="1">
        <w:r>
          <w:rPr>
            <w:rStyle w:val="Hyperlink"/>
            <w:rFonts w:ascii="Times New Roman" w:hAnsi="Times New Roman" w:eastAsia="標楷體" w:cs="Times New Roman"/>
          </w:rPr>
          <w:t xml:space="preserve">The role of data privacy in marketing.</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the Academy of Marketing Science, 45</w:t>
      </w:r>
      <w:r>
        <w:rPr>
          <w:rFonts w:ascii="Times New Roman" w:hAnsi="Times New Roman" w:eastAsia="標楷體" w:cs="Times New Roman"/>
        </w:rPr>
        <w:t xml:space="preserve">(2), 135–155.</w:t>
      </w:r>
    </w:p>
    <w:p>
      <w:pPr>
        <w:spacing w:before="0" w:after="0" w:line="400" w:lineRule="exact"/>
        <w:ind w:left="480" w:hanging="480"/>
        <w:jc w:val="both"/>
      </w:pPr>
      <w:r>
        <w:rPr>
          <w:rFonts w:ascii="Times New Roman" w:hAnsi="Times New Roman" w:eastAsia="標楷體" w:cs="Times New Roman"/>
        </w:rPr>
        <w:t xml:space="preserve">Meng, Y. (2026). </w:t>
      </w:r>
      <w:hyperlink r:id="rIdL4" w:history="1">
        <w:r>
          <w:rPr>
            <w:rStyle w:val="Hyperlink"/>
            <w:rFonts w:ascii="Times New Roman" w:hAnsi="Times New Roman" w:eastAsia="標楷體" w:cs="Times New Roman"/>
          </w:rPr>
          <w:t xml:space="preserve">Governing AI virtual anchors in China's live streaming e-commerce ecosystem: Policy challenges and global implications.</w:t>
        </w:r>
      </w:hyperlink>
      <w:r>
        <w:rPr>
          <w:rFonts w:ascii="Times New Roman" w:hAnsi="Times New Roman" w:eastAsia="標楷體" w:cs="Times New Roman"/>
        </w:rPr>
        <w:t xml:space="preserve"> </w:t>
      </w:r>
      <w:r>
        <w:rPr>
          <w:rFonts w:ascii="Times New Roman" w:hAnsi="Times New Roman" w:eastAsia="標楷體" w:cs="Times New Roman"/>
          <w:i/>
          <w:iCs/>
        </w:rPr>
        <w:t xml:space="preserve">Telecommunications Policy, 50</w:t>
      </w:r>
      <w:r>
        <w:rPr>
          <w:rFonts w:ascii="Times New Roman" w:hAnsi="Times New Roman" w:eastAsia="標楷體" w:cs="Times New Roman"/>
        </w:rPr>
        <w:t xml:space="preserve">, 103109.</w:t>
      </w:r>
    </w:p>
    <w:p>
      <w:pPr>
        <w:spacing w:before="0" w:after="0" w:line="400" w:lineRule="exact"/>
        <w:ind w:left="480" w:hanging="480"/>
        <w:jc w:val="both"/>
      </w:pPr>
      <w:r>
        <w:rPr>
          <w:rFonts w:ascii="Times New Roman" w:hAnsi="Times New Roman" w:eastAsia="標楷體" w:cs="Times New Roman"/>
        </w:rPr>
        <w:t xml:space="preserve">Morgan, R. M., &amp; Hunt, S. D. (1994). </w:t>
      </w:r>
      <w:hyperlink r:id="rIdL60" w:history="1">
        <w:r>
          <w:rPr>
            <w:rStyle w:val="Hyperlink"/>
            <w:rFonts w:ascii="Times New Roman" w:hAnsi="Times New Roman" w:eastAsia="標楷體" w:cs="Times New Roman"/>
          </w:rPr>
          <w:t xml:space="preserve">The commitment-trust theory of relationship marketing.</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Marketing, 58</w:t>
      </w:r>
      <w:r>
        <w:rPr>
          <w:rFonts w:ascii="Times New Roman" w:hAnsi="Times New Roman" w:eastAsia="標楷體" w:cs="Times New Roman"/>
        </w:rPr>
        <w:t xml:space="preserve">(3), 20–38.</w:t>
      </w:r>
    </w:p>
    <w:p>
      <w:pPr>
        <w:spacing w:before="0" w:after="0" w:line="400" w:lineRule="exact"/>
        <w:ind w:left="480" w:hanging="480"/>
        <w:jc w:val="both"/>
      </w:pPr>
      <w:r>
        <w:rPr>
          <w:rFonts w:ascii="Times New Roman" w:hAnsi="Times New Roman" w:eastAsia="標楷體" w:cs="Times New Roman"/>
        </w:rPr>
        <w:t xml:space="preserve">Mori, M., MacDorman, K. F., &amp; Kageki, N. (2012). </w:t>
      </w:r>
      <w:hyperlink r:id="rIdL50" w:history="1">
        <w:r>
          <w:rPr>
            <w:rStyle w:val="Hyperlink"/>
            <w:rFonts w:ascii="Times New Roman" w:hAnsi="Times New Roman" w:eastAsia="標楷體" w:cs="Times New Roman"/>
          </w:rPr>
          <w:t xml:space="preserve">The uncanny valley [from the field].</w:t>
        </w:r>
      </w:hyperlink>
      <w:r>
        <w:rPr>
          <w:rFonts w:ascii="Times New Roman" w:hAnsi="Times New Roman" w:eastAsia="標楷體" w:cs="Times New Roman"/>
        </w:rPr>
        <w:t xml:space="preserve"> </w:t>
      </w:r>
      <w:r>
        <w:rPr>
          <w:rFonts w:ascii="Times New Roman" w:hAnsi="Times New Roman" w:eastAsia="標楷體" w:cs="Times New Roman"/>
          <w:i/>
          <w:iCs/>
        </w:rPr>
        <w:t xml:space="preserve">IEEE Robotics &amp; Automation Magazine, 19</w:t>
      </w:r>
      <w:r>
        <w:rPr>
          <w:rFonts w:ascii="Times New Roman" w:hAnsi="Times New Roman" w:eastAsia="標楷體" w:cs="Times New Roman"/>
        </w:rPr>
        <w:t xml:space="preserve">(2), 98–100.</w:t>
      </w:r>
    </w:p>
    <w:p>
      <w:pPr>
        <w:spacing w:before="0" w:after="0" w:line="400" w:lineRule="exact"/>
        <w:ind w:left="480" w:hanging="480"/>
        <w:jc w:val="both"/>
      </w:pPr>
      <w:r>
        <w:rPr>
          <w:rFonts w:ascii="Times New Roman" w:hAnsi="Times New Roman" w:eastAsia="標楷體" w:cs="Times New Roman"/>
        </w:rPr>
        <w:t xml:space="preserve">Nosek, B. A., Ebersole, C. R., DeHaven, A. C., &amp; Mellor, D. T. (2018). </w:t>
      </w:r>
      <w:hyperlink r:id="rIdL36" w:history="1">
        <w:r>
          <w:rPr>
            <w:rStyle w:val="Hyperlink"/>
            <w:rFonts w:ascii="Times New Roman" w:hAnsi="Times New Roman" w:eastAsia="標楷體" w:cs="Times New Roman"/>
          </w:rPr>
          <w:t xml:space="preserve">The preregistration revolution.</w:t>
        </w:r>
      </w:hyperlink>
      <w:r>
        <w:rPr>
          <w:rFonts w:ascii="Times New Roman" w:hAnsi="Times New Roman" w:eastAsia="標楷體" w:cs="Times New Roman"/>
        </w:rPr>
        <w:t xml:space="preserve"> </w:t>
      </w:r>
      <w:r>
        <w:rPr>
          <w:rFonts w:ascii="Times New Roman" w:hAnsi="Times New Roman" w:eastAsia="標楷體" w:cs="Times New Roman"/>
          <w:i/>
          <w:iCs/>
        </w:rPr>
        <w:t xml:space="preserve">Proceedings of the National Academy of Sciences, 115</w:t>
      </w:r>
      <w:r>
        <w:rPr>
          <w:rFonts w:ascii="Times New Roman" w:hAnsi="Times New Roman" w:eastAsia="標楷體" w:cs="Times New Roman"/>
        </w:rPr>
        <w:t xml:space="preserve">(11), 2600–2606.</w:t>
      </w:r>
    </w:p>
    <w:p>
      <w:pPr>
        <w:spacing w:before="0" w:after="0" w:line="400" w:lineRule="exact"/>
        <w:ind w:left="480" w:hanging="480"/>
        <w:jc w:val="both"/>
      </w:pPr>
      <w:r>
        <w:rPr>
          <w:rFonts w:ascii="Times New Roman" w:hAnsi="Times New Roman" w:eastAsia="標楷體" w:cs="Times New Roman"/>
        </w:rPr>
        <w:t xml:space="preserve">Ohanian, R. (1990). </w:t>
      </w:r>
      <w:hyperlink r:id="rIdL73" w:history="1">
        <w:r>
          <w:rPr>
            <w:rStyle w:val="Hyperlink"/>
            <w:rFonts w:ascii="Times New Roman" w:hAnsi="Times New Roman" w:eastAsia="標楷體" w:cs="Times New Roman"/>
          </w:rPr>
          <w:t xml:space="preserve">Construction and validation of a scale to measure celebrity endorsers' perceived expertise, trustworthiness, and attractiveness.</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Advertising, 19</w:t>
      </w:r>
      <w:r>
        <w:rPr>
          <w:rFonts w:ascii="Times New Roman" w:hAnsi="Times New Roman" w:eastAsia="標楷體" w:cs="Times New Roman"/>
        </w:rPr>
        <w:t xml:space="preserve">(3), 39–52.</w:t>
      </w:r>
    </w:p>
    <w:p>
      <w:pPr>
        <w:spacing w:before="0" w:after="0" w:line="400" w:lineRule="exact"/>
        <w:ind w:left="480" w:hanging="480"/>
        <w:jc w:val="both"/>
      </w:pPr>
      <w:r>
        <w:rPr>
          <w:rFonts w:ascii="Times New Roman" w:hAnsi="Times New Roman" w:eastAsia="標楷體" w:cs="Times New Roman"/>
        </w:rPr>
        <w:t xml:space="preserve">Oliver, R. L. (1980). </w:t>
      </w:r>
      <w:hyperlink r:id="rIdL28" w:history="1">
        <w:r>
          <w:rPr>
            <w:rStyle w:val="Hyperlink"/>
            <w:rFonts w:ascii="Times New Roman" w:hAnsi="Times New Roman" w:eastAsia="標楷體" w:cs="Times New Roman"/>
          </w:rPr>
          <w:t xml:space="preserve">A cognitive model of the antecedents and consequences of satisfaction decisions.</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Marketing Research, 17</w:t>
      </w:r>
      <w:r>
        <w:rPr>
          <w:rFonts w:ascii="Times New Roman" w:hAnsi="Times New Roman" w:eastAsia="標楷體" w:cs="Times New Roman"/>
        </w:rPr>
        <w:t xml:space="preserve">(4), 460–469.</w:t>
      </w:r>
    </w:p>
    <w:p>
      <w:pPr>
        <w:spacing w:before="0" w:after="0" w:line="400" w:lineRule="exact"/>
        <w:ind w:left="480" w:hanging="480"/>
        <w:jc w:val="both"/>
      </w:pPr>
      <w:r>
        <w:rPr>
          <w:rFonts w:ascii="Times New Roman" w:hAnsi="Times New Roman" w:eastAsia="標楷體" w:cs="Times New Roman"/>
        </w:rPr>
        <w:t xml:space="preserve">Perreault, W. D., &amp; Leigh, L. E. (1989). </w:t>
      </w:r>
      <w:hyperlink r:id="rIdL53" w:history="1">
        <w:r>
          <w:rPr>
            <w:rStyle w:val="Hyperlink"/>
            <w:rFonts w:ascii="Times New Roman" w:hAnsi="Times New Roman" w:eastAsia="標楷體" w:cs="Times New Roman"/>
          </w:rPr>
          <w:t xml:space="preserve">Reliability of nominal data based on qualitative judgments.</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Marketing Research, 26</w:t>
      </w:r>
      <w:r>
        <w:rPr>
          <w:rFonts w:ascii="Times New Roman" w:hAnsi="Times New Roman" w:eastAsia="標楷體" w:cs="Times New Roman"/>
        </w:rPr>
        <w:t xml:space="preserve">(2), 135–148.</w:t>
      </w:r>
    </w:p>
    <w:p>
      <w:pPr>
        <w:spacing w:before="0" w:after="0" w:line="400" w:lineRule="exact"/>
        <w:ind w:left="480" w:hanging="480"/>
        <w:jc w:val="both"/>
      </w:pPr>
      <w:r>
        <w:rPr>
          <w:rFonts w:ascii="Times New Roman" w:hAnsi="Times New Roman" w:eastAsia="標楷體" w:cs="Times New Roman"/>
        </w:rPr>
        <w:t xml:space="preserve">Pieters, R., Baumgartner, H., &amp; Allen, D. (1995). </w:t>
      </w:r>
      <w:hyperlink r:id="rIdL51" w:history="1">
        <w:r>
          <w:rPr>
            <w:rStyle w:val="Hyperlink"/>
            <w:rFonts w:ascii="Times New Roman" w:hAnsi="Times New Roman" w:eastAsia="標楷體" w:cs="Times New Roman"/>
          </w:rPr>
          <w:t xml:space="preserve">A means-end chain approach to consumer goal structures.</w:t>
        </w:r>
      </w:hyperlink>
      <w:r>
        <w:rPr>
          <w:rFonts w:ascii="Times New Roman" w:hAnsi="Times New Roman" w:eastAsia="標楷體" w:cs="Times New Roman"/>
        </w:rPr>
        <w:t xml:space="preserve"> </w:t>
      </w:r>
      <w:r>
        <w:rPr>
          <w:rFonts w:ascii="Times New Roman" w:hAnsi="Times New Roman" w:eastAsia="標楷體" w:cs="Times New Roman"/>
          <w:i/>
          <w:iCs/>
        </w:rPr>
        <w:t xml:space="preserve">International Journal of Research in Marketing, 12</w:t>
      </w:r>
      <w:r>
        <w:rPr>
          <w:rFonts w:ascii="Times New Roman" w:hAnsi="Times New Roman" w:eastAsia="標楷體" w:cs="Times New Roman"/>
        </w:rPr>
        <w:t xml:space="preserve">(3), 227–244.</w:t>
      </w:r>
    </w:p>
    <w:p>
      <w:pPr>
        <w:spacing w:before="0" w:after="0" w:line="400" w:lineRule="exact"/>
        <w:ind w:left="480" w:hanging="480"/>
        <w:jc w:val="both"/>
      </w:pPr>
      <w:r>
        <w:rPr>
          <w:rFonts w:ascii="Times New Roman" w:hAnsi="Times New Roman" w:eastAsia="標楷體" w:cs="Times New Roman"/>
        </w:rPr>
        <w:t xml:space="preserve">Podsakoff, P. M., MacKenzie, S. B., Lee, J.-Y., &amp; Podsakoff, N. P. (2003). </w:t>
      </w:r>
      <w:hyperlink r:id="rIdL74" w:history="1">
        <w:r>
          <w:rPr>
            <w:rStyle w:val="Hyperlink"/>
            <w:rFonts w:ascii="Times New Roman" w:hAnsi="Times New Roman" w:eastAsia="標楷體" w:cs="Times New Roman"/>
          </w:rPr>
          <w:t xml:space="preserve">Common method biases in behavioral research: A critical review of the literature and recommended remedies.</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Applied Psychology, 88</w:t>
      </w:r>
      <w:r>
        <w:rPr>
          <w:rFonts w:ascii="Times New Roman" w:hAnsi="Times New Roman" w:eastAsia="標楷體" w:cs="Times New Roman"/>
        </w:rPr>
        <w:t xml:space="preserve">(5), 879–903.</w:t>
      </w:r>
    </w:p>
    <w:p>
      <w:pPr>
        <w:spacing w:before="0" w:after="0" w:line="400" w:lineRule="exact"/>
        <w:ind w:left="480" w:hanging="480"/>
        <w:jc w:val="both"/>
      </w:pPr>
      <w:r>
        <w:rPr>
          <w:rFonts w:ascii="Times New Roman" w:hAnsi="Times New Roman" w:eastAsia="標楷體" w:cs="Times New Roman"/>
        </w:rPr>
        <w:t xml:space="preserve">Puntoni, S., Reczek, R. W., Giesler, M., &amp; Botti, S. (2021). </w:t>
      </w:r>
      <w:hyperlink r:id="rIdL45" w:history="1">
        <w:r>
          <w:rPr>
            <w:rStyle w:val="Hyperlink"/>
            <w:rFonts w:ascii="Times New Roman" w:hAnsi="Times New Roman" w:eastAsia="標楷體" w:cs="Times New Roman"/>
          </w:rPr>
          <w:t xml:space="preserve">Consumers and artificial intelligence: An experiential perspective.</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Marketing, 85</w:t>
      </w:r>
      <w:r>
        <w:rPr>
          <w:rFonts w:ascii="Times New Roman" w:hAnsi="Times New Roman" w:eastAsia="標楷體" w:cs="Times New Roman"/>
        </w:rPr>
        <w:t xml:space="preserve">(1), 131–151.</w:t>
      </w:r>
    </w:p>
    <w:p>
      <w:pPr>
        <w:spacing w:before="0" w:after="0" w:line="400" w:lineRule="exact"/>
        <w:ind w:left="480" w:hanging="480"/>
        <w:jc w:val="both"/>
      </w:pPr>
      <w:r>
        <w:rPr>
          <w:rFonts w:ascii="Times New Roman" w:hAnsi="Times New Roman" w:eastAsia="標楷體" w:cs="Times New Roman"/>
        </w:rPr>
        <w:t xml:space="preserve">Reynolds, T. J., &amp; Gutman, J. (1988). </w:t>
      </w:r>
      <w:hyperlink r:id="rIdL16" w:history="1">
        <w:r>
          <w:rPr>
            <w:rStyle w:val="Hyperlink"/>
            <w:rFonts w:ascii="Times New Roman" w:hAnsi="Times New Roman" w:eastAsia="標楷體" w:cs="Times New Roman"/>
          </w:rPr>
          <w:t xml:space="preserve">Laddering theory, method, analysis, and interpretation.</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Advertising Research, 28</w:t>
      </w:r>
      <w:r>
        <w:rPr>
          <w:rFonts w:ascii="Times New Roman" w:hAnsi="Times New Roman" w:eastAsia="標楷體" w:cs="Times New Roman"/>
        </w:rPr>
        <w:t xml:space="preserve">(1), 11–31.</w:t>
      </w:r>
    </w:p>
    <w:p>
      <w:pPr>
        <w:spacing w:before="0" w:after="0" w:line="400" w:lineRule="exact"/>
        <w:ind w:left="480" w:hanging="480"/>
        <w:jc w:val="both"/>
      </w:pPr>
      <w:r>
        <w:rPr>
          <w:rFonts w:ascii="Times New Roman" w:hAnsi="Times New Roman" w:eastAsia="標楷體" w:cs="Times New Roman"/>
        </w:rPr>
        <w:t xml:space="preserve">Schanke, S., Burtch, G., &amp; Ray, G. (2021). </w:t>
      </w:r>
      <w:hyperlink r:id="rIdL59" w:history="1">
        <w:r>
          <w:rPr>
            <w:rStyle w:val="Hyperlink"/>
            <w:rFonts w:ascii="Times New Roman" w:hAnsi="Times New Roman" w:eastAsia="標楷體" w:cs="Times New Roman"/>
          </w:rPr>
          <w:t xml:space="preserve">Estimating the impact of "humanizing" customer service chatbots.</w:t>
        </w:r>
      </w:hyperlink>
      <w:r>
        <w:rPr>
          <w:rFonts w:ascii="Times New Roman" w:hAnsi="Times New Roman" w:eastAsia="標楷體" w:cs="Times New Roman"/>
        </w:rPr>
        <w:t xml:space="preserve"> </w:t>
      </w:r>
      <w:r>
        <w:rPr>
          <w:rFonts w:ascii="Times New Roman" w:hAnsi="Times New Roman" w:eastAsia="標楷體" w:cs="Times New Roman"/>
          <w:i/>
          <w:iCs/>
        </w:rPr>
        <w:t xml:space="preserve">Information Systems Research, 32</w:t>
      </w:r>
      <w:r>
        <w:rPr>
          <w:rFonts w:ascii="Times New Roman" w:hAnsi="Times New Roman" w:eastAsia="標楷體" w:cs="Times New Roman"/>
        </w:rPr>
        <w:t xml:space="preserve">(3), 736–751.</w:t>
      </w:r>
    </w:p>
    <w:p>
      <w:pPr>
        <w:spacing w:before="0" w:after="0" w:line="400" w:lineRule="exact"/>
        <w:ind w:left="480" w:hanging="480"/>
        <w:jc w:val="both"/>
      </w:pPr>
      <w:r>
        <w:rPr>
          <w:rFonts w:ascii="Times New Roman" w:hAnsi="Times New Roman" w:eastAsia="標楷體" w:cs="Times New Roman"/>
        </w:rPr>
        <w:t xml:space="preserve">Sheth, J. N., Newman, B. I., &amp; Gross, B. L. (1991). </w:t>
      </w:r>
      <w:hyperlink r:id="rIdL18" w:history="1">
        <w:r>
          <w:rPr>
            <w:rStyle w:val="Hyperlink"/>
            <w:rFonts w:ascii="Times New Roman" w:hAnsi="Times New Roman" w:eastAsia="標楷體" w:cs="Times New Roman"/>
          </w:rPr>
          <w:t xml:space="preserve">Why we buy what we buy: A theory of consumption values.</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Business Research, 22</w:t>
      </w:r>
      <w:r>
        <w:rPr>
          <w:rFonts w:ascii="Times New Roman" w:hAnsi="Times New Roman" w:eastAsia="標楷體" w:cs="Times New Roman"/>
        </w:rPr>
        <w:t xml:space="preserve">(2), 159–170.</w:t>
      </w:r>
    </w:p>
    <w:p>
      <w:pPr>
        <w:spacing w:before="0" w:after="0" w:line="400" w:lineRule="exact"/>
        <w:ind w:left="480" w:hanging="480"/>
        <w:jc w:val="both"/>
      </w:pPr>
      <w:r>
        <w:rPr>
          <w:rFonts w:ascii="Times New Roman" w:hAnsi="Times New Roman" w:eastAsia="標楷體" w:cs="Times New Roman"/>
        </w:rPr>
        <w:t xml:space="preserve">Simmons, J. P., Nelson, L. D., &amp; Simonsohn, U. (2011). </w:t>
      </w:r>
      <w:hyperlink r:id="rIdL76" w:history="1">
        <w:r>
          <w:rPr>
            <w:rStyle w:val="Hyperlink"/>
            <w:rFonts w:ascii="Times New Roman" w:hAnsi="Times New Roman" w:eastAsia="標楷體" w:cs="Times New Roman"/>
          </w:rPr>
          <w:t xml:space="preserve">False-positive psychology: Undisclosed flexibility in data collection and analysis allows presenting anything as significant.</w:t>
        </w:r>
      </w:hyperlink>
      <w:r>
        <w:rPr>
          <w:rFonts w:ascii="Times New Roman" w:hAnsi="Times New Roman" w:eastAsia="標楷體" w:cs="Times New Roman"/>
        </w:rPr>
        <w:t xml:space="preserve"> </w:t>
      </w:r>
      <w:r>
        <w:rPr>
          <w:rFonts w:ascii="Times New Roman" w:hAnsi="Times New Roman" w:eastAsia="標楷體" w:cs="Times New Roman"/>
          <w:i/>
          <w:iCs/>
        </w:rPr>
        <w:t xml:space="preserve">Psychological Science, 22</w:t>
      </w:r>
      <w:r>
        <w:rPr>
          <w:rFonts w:ascii="Times New Roman" w:hAnsi="Times New Roman" w:eastAsia="標楷體" w:cs="Times New Roman"/>
        </w:rPr>
        <w:t xml:space="preserve">(11), 1359–1366.</w:t>
      </w:r>
    </w:p>
    <w:p>
      <w:pPr>
        <w:spacing w:before="0" w:after="0" w:line="400" w:lineRule="exact"/>
        <w:ind w:left="480" w:hanging="480"/>
        <w:jc w:val="both"/>
      </w:pPr>
      <w:r>
        <w:rPr>
          <w:rFonts w:ascii="Times New Roman" w:hAnsi="Times New Roman" w:eastAsia="標楷體" w:cs="Times New Roman"/>
        </w:rPr>
        <w:t xml:space="preserve">Tsiros, M., &amp; Mittal, V. (2000). </w:t>
      </w:r>
      <w:hyperlink r:id="rIdL27" w:history="1">
        <w:r>
          <w:rPr>
            <w:rStyle w:val="Hyperlink"/>
            <w:rFonts w:ascii="Times New Roman" w:hAnsi="Times New Roman" w:eastAsia="標楷體" w:cs="Times New Roman"/>
          </w:rPr>
          <w:t xml:space="preserve">Regret: A model of its antecedents and consequences in consumer decision making.</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Consumer Research, 26</w:t>
      </w:r>
      <w:r>
        <w:rPr>
          <w:rFonts w:ascii="Times New Roman" w:hAnsi="Times New Roman" w:eastAsia="標楷體" w:cs="Times New Roman"/>
        </w:rPr>
        <w:t xml:space="preserve">(4), 401–417.</w:t>
      </w:r>
    </w:p>
    <w:p>
      <w:pPr>
        <w:spacing w:before="0" w:after="0" w:line="400" w:lineRule="exact"/>
        <w:ind w:left="480" w:hanging="480"/>
        <w:jc w:val="both"/>
      </w:pPr>
      <w:r>
        <w:rPr>
          <w:rFonts w:ascii="Times New Roman" w:hAnsi="Times New Roman" w:eastAsia="標楷體" w:cs="Times New Roman"/>
        </w:rPr>
        <w:t xml:space="preserve">Voss, K. E., Spangenberg, E. R., &amp; Grohmann, B. (2003). </w:t>
      </w:r>
      <w:hyperlink r:id="rIdL63" w:history="1">
        <w:r>
          <w:rPr>
            <w:rStyle w:val="Hyperlink"/>
            <w:rFonts w:ascii="Times New Roman" w:hAnsi="Times New Roman" w:eastAsia="標楷體" w:cs="Times New Roman"/>
          </w:rPr>
          <w:t xml:space="preserve">Measuring the hedonic and utilitarian dimensions of consumer attitude.</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Marketing Research, 40</w:t>
      </w:r>
      <w:r>
        <w:rPr>
          <w:rFonts w:ascii="Times New Roman" w:hAnsi="Times New Roman" w:eastAsia="標楷體" w:cs="Times New Roman"/>
        </w:rPr>
        <w:t xml:space="preserve">(3), 310–320.</w:t>
      </w:r>
    </w:p>
    <w:p>
      <w:pPr>
        <w:spacing w:before="0" w:after="0" w:line="400" w:lineRule="exact"/>
        <w:ind w:left="480" w:hanging="480"/>
        <w:jc w:val="both"/>
      </w:pPr>
      <w:r>
        <w:rPr>
          <w:rFonts w:ascii="Times New Roman" w:hAnsi="Times New Roman" w:eastAsia="標楷體" w:cs="Times New Roman"/>
        </w:rPr>
        <w:t xml:space="preserve">Wang, L., Huang, N., He, Y., Liu, D., Guo, X., Sun, Y., &amp; Chen, G. (2025). </w:t>
      </w:r>
      <w:hyperlink r:id="rIdL10" w:history="1">
        <w:r>
          <w:rPr>
            <w:rStyle w:val="Hyperlink"/>
            <w:rFonts w:ascii="Times New Roman" w:hAnsi="Times New Roman" w:eastAsia="標楷體" w:cs="Times New Roman"/>
          </w:rPr>
          <w:t xml:space="preserve">Artificial intelligence (AI) assistant in online shopping: A randomized field experiment on a livestream selling platform.</w:t>
        </w:r>
      </w:hyperlink>
      <w:r>
        <w:rPr>
          <w:rFonts w:ascii="Times New Roman" w:hAnsi="Times New Roman" w:eastAsia="標楷體" w:cs="Times New Roman"/>
        </w:rPr>
        <w:t xml:space="preserve"> </w:t>
      </w:r>
      <w:r>
        <w:rPr>
          <w:rFonts w:ascii="Times New Roman" w:hAnsi="Times New Roman" w:eastAsia="標楷體" w:cs="Times New Roman"/>
          <w:i/>
          <w:iCs/>
        </w:rPr>
        <w:t xml:space="preserve">Information Systems Research</w:t>
      </w:r>
      <w:r>
        <w:rPr>
          <w:rFonts w:ascii="Times New Roman" w:hAnsi="Times New Roman" w:eastAsia="標楷體" w:cs="Times New Roman"/>
        </w:rPr>
        <w:t xml:space="preserve">. Advance online publication.</w:t>
      </w:r>
    </w:p>
    <w:p>
      <w:pPr>
        <w:spacing w:before="0" w:after="0" w:line="400" w:lineRule="exact"/>
        <w:ind w:left="480" w:hanging="480"/>
        <w:jc w:val="both"/>
      </w:pPr>
      <w:r>
        <w:rPr>
          <w:rFonts w:ascii="Times New Roman" w:hAnsi="Times New Roman" w:eastAsia="標楷體" w:cs="Times New Roman"/>
        </w:rPr>
        <w:t xml:space="preserve">Wang, S., &amp; Zhang, H. (2025). </w:t>
      </w:r>
      <w:hyperlink r:id="rIdL37" w:history="1">
        <w:r>
          <w:rPr>
            <w:rStyle w:val="Hyperlink"/>
            <w:rFonts w:ascii="Times New Roman" w:hAnsi="Times New Roman" w:eastAsia="標楷體" w:cs="Times New Roman"/>
          </w:rPr>
          <w:t xml:space="preserve">Generative artificial intelligence and internationalization green innovation: Roles of supply chain innovations and AI regulation for SMEs.</w:t>
        </w:r>
      </w:hyperlink>
      <w:r>
        <w:rPr>
          <w:rFonts w:ascii="Times New Roman" w:hAnsi="Times New Roman" w:eastAsia="標楷體" w:cs="Times New Roman"/>
        </w:rPr>
        <w:t xml:space="preserve"> </w:t>
      </w:r>
      <w:r>
        <w:rPr>
          <w:rFonts w:ascii="Times New Roman" w:hAnsi="Times New Roman" w:eastAsia="標楷體" w:cs="Times New Roman"/>
          <w:i/>
          <w:iCs/>
        </w:rPr>
        <w:t xml:space="preserve">Technology in Society, 82</w:t>
      </w:r>
      <w:r>
        <w:rPr>
          <w:rFonts w:ascii="Times New Roman" w:hAnsi="Times New Roman" w:eastAsia="標楷體" w:cs="Times New Roman"/>
        </w:rPr>
        <w:t xml:space="preserve">, 102898.</w:t>
      </w:r>
    </w:p>
    <w:p>
      <w:pPr>
        <w:spacing w:before="0" w:after="0" w:line="400" w:lineRule="exact"/>
        <w:ind w:left="480" w:hanging="480"/>
        <w:jc w:val="both"/>
      </w:pPr>
      <w:r>
        <w:rPr>
          <w:rFonts w:ascii="Times New Roman" w:hAnsi="Times New Roman" w:eastAsia="標楷體" w:cs="Times New Roman"/>
        </w:rPr>
        <w:t xml:space="preserve">Wells, G. L., &amp; Windschitl, P. D. (1999). </w:t>
      </w:r>
      <w:hyperlink r:id="rIdL12" w:history="1">
        <w:r>
          <w:rPr>
            <w:rStyle w:val="Hyperlink"/>
            <w:rFonts w:ascii="Times New Roman" w:hAnsi="Times New Roman" w:eastAsia="標楷體" w:cs="Times New Roman"/>
          </w:rPr>
          <w:t xml:space="preserve">Stimulus sampling and social psychological experimentation.</w:t>
        </w:r>
      </w:hyperlink>
      <w:r>
        <w:rPr>
          <w:rFonts w:ascii="Times New Roman" w:hAnsi="Times New Roman" w:eastAsia="標楷體" w:cs="Times New Roman"/>
        </w:rPr>
        <w:t xml:space="preserve"> </w:t>
      </w:r>
      <w:r>
        <w:rPr>
          <w:rFonts w:ascii="Times New Roman" w:hAnsi="Times New Roman" w:eastAsia="標楷體" w:cs="Times New Roman"/>
          <w:i/>
          <w:iCs/>
        </w:rPr>
        <w:t xml:space="preserve">Personality and Social Psychology Bulletin, 25</w:t>
      </w:r>
      <w:r>
        <w:rPr>
          <w:rFonts w:ascii="Times New Roman" w:hAnsi="Times New Roman" w:eastAsia="標楷體" w:cs="Times New Roman"/>
        </w:rPr>
        <w:t xml:space="preserve">(9), 1115–1125.</w:t>
      </w:r>
    </w:p>
    <w:p>
      <w:pPr>
        <w:spacing w:before="0" w:after="0" w:line="400" w:lineRule="exact"/>
        <w:ind w:left="480" w:hanging="480"/>
        <w:jc w:val="both"/>
      </w:pPr>
      <w:r>
        <w:rPr>
          <w:rFonts w:ascii="Times New Roman" w:hAnsi="Times New Roman" w:eastAsia="標楷體" w:cs="Times New Roman"/>
        </w:rPr>
        <w:t xml:space="preserve">Wongkitrungrueng, A., &amp; Assarut, N. (2020). </w:t>
      </w:r>
      <w:hyperlink r:id="rIdL1" w:history="1">
        <w:r>
          <w:rPr>
            <w:rStyle w:val="Hyperlink"/>
            <w:rFonts w:ascii="Times New Roman" w:hAnsi="Times New Roman" w:eastAsia="標楷體" w:cs="Times New Roman"/>
          </w:rPr>
          <w:t xml:space="preserve">The role of live streaming in building consumer trust and engagement with social commerce sellers.</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Business Research, 117</w:t>
      </w:r>
      <w:r>
        <w:rPr>
          <w:rFonts w:ascii="Times New Roman" w:hAnsi="Times New Roman" w:eastAsia="標楷體" w:cs="Times New Roman"/>
        </w:rPr>
        <w:t xml:space="preserve">, 543–556.</w:t>
      </w:r>
    </w:p>
    <w:p>
      <w:pPr>
        <w:spacing w:before="0" w:after="0" w:line="400" w:lineRule="exact"/>
        <w:ind w:left="480" w:hanging="480"/>
        <w:jc w:val="both"/>
      </w:pPr>
      <w:r>
        <w:rPr>
          <w:rFonts w:ascii="Times New Roman" w:hAnsi="Times New Roman" w:eastAsia="標楷體" w:cs="Times New Roman"/>
        </w:rPr>
        <w:t xml:space="preserve">Xiao, Q., Li, X., Huang, W., &amp; Zhang, X. (2025). </w:t>
      </w:r>
      <w:hyperlink r:id="rIdL6" w:history="1">
        <w:r>
          <w:rPr>
            <w:rStyle w:val="Hyperlink"/>
            <w:rFonts w:ascii="Times New Roman" w:hAnsi="Times New Roman" w:eastAsia="標楷體" w:cs="Times New Roman"/>
          </w:rPr>
          <w:t xml:space="preserve">Gimmick or genuineness? Exploring the antecedents of AI virtual streamers aversion in live-streaming commerce.</w:t>
        </w:r>
      </w:hyperlink>
      <w:r>
        <w:rPr>
          <w:rFonts w:ascii="Times New Roman" w:hAnsi="Times New Roman" w:eastAsia="標楷體" w:cs="Times New Roman"/>
        </w:rPr>
        <w:t xml:space="preserve"> </w:t>
      </w:r>
      <w:r>
        <w:rPr>
          <w:rFonts w:ascii="Times New Roman" w:hAnsi="Times New Roman" w:eastAsia="標楷體" w:cs="Times New Roman"/>
          <w:i/>
          <w:iCs/>
        </w:rPr>
        <w:t xml:space="preserve">Technological Forecasting and Social Change, 212</w:t>
      </w:r>
      <w:r>
        <w:rPr>
          <w:rFonts w:ascii="Times New Roman" w:hAnsi="Times New Roman" w:eastAsia="標楷體" w:cs="Times New Roman"/>
        </w:rPr>
        <w:t xml:space="preserve">, 123981.</w:t>
      </w:r>
    </w:p>
    <w:p>
      <w:pPr>
        <w:spacing w:before="0" w:after="0" w:line="400" w:lineRule="exact"/>
        <w:ind w:left="480" w:hanging="480"/>
        <w:jc w:val="both"/>
      </w:pPr>
      <w:r>
        <w:rPr>
          <w:rFonts w:ascii="Times New Roman" w:hAnsi="Times New Roman" w:eastAsia="標楷體" w:cs="Times New Roman"/>
        </w:rPr>
        <w:t xml:space="preserve">Yalcin, G., Lim, S., Puntoni, S., &amp; van Osselaer, S. M. J. (2022). </w:t>
      </w:r>
      <w:hyperlink r:id="rIdL58" w:history="1">
        <w:r>
          <w:rPr>
            <w:rStyle w:val="Hyperlink"/>
            <w:rFonts w:ascii="Times New Roman" w:hAnsi="Times New Roman" w:eastAsia="標楷體" w:cs="Times New Roman"/>
          </w:rPr>
          <w:t xml:space="preserve">Thumbs up or down: Consumer reactions to decisions by algorithms versus humans.</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Marketing Research, 59</w:t>
      </w:r>
      <w:r>
        <w:rPr>
          <w:rFonts w:ascii="Times New Roman" w:hAnsi="Times New Roman" w:eastAsia="標楷體" w:cs="Times New Roman"/>
        </w:rPr>
        <w:t xml:space="preserve">(4), 696–717.</w:t>
      </w:r>
    </w:p>
    <w:p>
      <w:pPr>
        <w:spacing w:before="0" w:after="0" w:line="400" w:lineRule="exact"/>
        <w:ind w:left="480" w:hanging="480"/>
        <w:jc w:val="both"/>
      </w:pPr>
      <w:r>
        <w:rPr>
          <w:rFonts w:ascii="Times New Roman" w:hAnsi="Times New Roman" w:eastAsia="標楷體" w:cs="Times New Roman"/>
        </w:rPr>
        <w:t xml:space="preserve">Yuan, H., Lü, K., &amp; Fang, W. (2025). </w:t>
      </w:r>
      <w:hyperlink r:id="rIdL30" w:history="1">
        <w:r>
          <w:rPr>
            <w:rStyle w:val="Hyperlink"/>
            <w:rFonts w:ascii="Times New Roman" w:hAnsi="Times New Roman" w:eastAsia="標楷體" w:cs="Times New Roman"/>
          </w:rPr>
          <w:t xml:space="preserve">Machines vs. humans: The evolving role of artificial intelligence in livestreaming e-commerce.</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Business Research, 188</w:t>
      </w:r>
      <w:r>
        <w:rPr>
          <w:rFonts w:ascii="Times New Roman" w:hAnsi="Times New Roman" w:eastAsia="標楷體" w:cs="Times New Roman"/>
        </w:rPr>
        <w:t xml:space="preserve">, 115077.</w:t>
      </w:r>
    </w:p>
    <w:p>
      <w:pPr>
        <w:spacing w:before="0" w:after="0" w:line="400" w:lineRule="exact"/>
        <w:ind w:left="480" w:hanging="480"/>
        <w:jc w:val="both"/>
      </w:pPr>
      <w:r>
        <w:rPr>
          <w:rFonts w:ascii="Times New Roman" w:hAnsi="Times New Roman" w:eastAsia="標楷體" w:cs="Times New Roman"/>
        </w:rPr>
        <w:t xml:space="preserve">Zaichkowsky, J. L. (1985). </w:t>
      </w:r>
      <w:hyperlink r:id="rIdL64" w:history="1">
        <w:r>
          <w:rPr>
            <w:rStyle w:val="Hyperlink"/>
            <w:rFonts w:ascii="Times New Roman" w:hAnsi="Times New Roman" w:eastAsia="標楷體" w:cs="Times New Roman"/>
          </w:rPr>
          <w:t xml:space="preserve">Measuring the involvement construct.</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Consumer Research, 12</w:t>
      </w:r>
      <w:r>
        <w:rPr>
          <w:rFonts w:ascii="Times New Roman" w:hAnsi="Times New Roman" w:eastAsia="標楷體" w:cs="Times New Roman"/>
        </w:rPr>
        <w:t xml:space="preserve">(3), 341–352.</w:t>
      </w:r>
    </w:p>
    <w:p>
      <w:pPr>
        <w:spacing w:before="0" w:after="0" w:line="400" w:lineRule="exact"/>
        <w:ind w:left="480" w:hanging="480"/>
        <w:jc w:val="both"/>
      </w:pPr>
      <w:r>
        <w:rPr>
          <w:rFonts w:ascii="Times New Roman" w:hAnsi="Times New Roman" w:eastAsia="標楷體" w:cs="Times New Roman"/>
        </w:rPr>
        <w:t xml:space="preserve">Zhao, X., Lynch, J. G., &amp; Chen, Q. (2010). </w:t>
      </w:r>
      <w:hyperlink r:id="rIdL71" w:history="1">
        <w:r>
          <w:rPr>
            <w:rStyle w:val="Hyperlink"/>
            <w:rFonts w:ascii="Times New Roman" w:hAnsi="Times New Roman" w:eastAsia="標楷體" w:cs="Times New Roman"/>
          </w:rPr>
          <w:t xml:space="preserve">Reconsidering Baron and Kenny: Myths and truths about mediation analysis.</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Consumer Research, 37</w:t>
      </w:r>
      <w:r>
        <w:rPr>
          <w:rFonts w:ascii="Times New Roman" w:hAnsi="Times New Roman" w:eastAsia="標楷體" w:cs="Times New Roman"/>
        </w:rPr>
        <w:t xml:space="preserve">(2), 197–206.</w:t>
      </w:r>
    </w:p>
    <w:sectPr>
      <w:footerReference w:type="default" r:id="rIdF1"/>
      <w:pgSz w:w="11906" w:h="16838"/>
      <w:pgMar w:top="1247" w:right="1134" w:bottom="1247" w:left="1134" w:header="567" w:footer="567" w:gutter="0"/>
      <w:docGrid w:type="lines" w:linePitch="360"/>
    </w:sectPr>
  </w:body>
</w:document>
</file>

<file path=word/footer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wps="http://schemas.microsoft.com/office/word/2010/wordprocessingShape" xmlns:wpg="http://schemas.microsoft.com/office/word/2010/wordprocessingGroup" xmlns:mc="http://schemas.openxmlformats.org/markup-compatibility/2006" xmlns:w14="http://schemas.microsoft.com/office/word/2010/wordml" mc:Ignorable="w14">
  <w:p>
    <w:pPr>
      <w:pStyle w:val="Footer"/>
      <w:jc w:val="center"/>
    </w:pPr>
    <w:r>
      <w:fldChar w:fldCharType="begin"/>
    </w:r>
    <w:r>
      <w:instrText xml:space="preserve"> PAGE </w:instrText>
    </w:r>
    <w:r>
      <w:fldChar w:fldCharType="separate"/>
    </w:r>
    <w:r>
      <w:t>1</w:t>
    </w:r>
    <w:r>
      <w:fldChar w:fldCharType="end"/>
    </w:r>
  </w:p>
</w:ftr>
</file>

<file path=word/settings.xml><?xml version="1.0" encoding="utf-8"?>
<w:settings xmlns:w="http://schemas.openxmlformats.org/wordprocessingml/2006/main">
  <w:defaultTabStop w:val="480"/>
  <w:characterSpacingControl w:val="compressPunctuation"/>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eastAsia="標楷體" w:cs="Times New Roman"/>
        <w:kern w:val="2"/>
        <w:sz w:val="24"/>
        <w:szCs w:val="24"/>
        <w:lang w:val="en-US" w:eastAsia="zh-TW"/>
      </w:rPr>
    </w:rPrDefault>
    <w:pPrDefault>
      <w:pPr>
        <w:widowControl/>
        <w:spacing w:after="0" w:line="240" w:lineRule="auto"/>
      </w:pPr>
    </w:pPrDefault>
  </w:docDefaults>
  <w:style w:type="paragraph" w:default="1" w:styleId="Normal">
    <w:name w:val="Normal"/>
    <w:qFormat/>
  </w:style>
  <w:style w:type="paragraph" w:styleId="Title">
    <w:name w:val="Title"/>
    <w:basedOn w:val="Normal"/>
    <w:next w:val="Normal"/>
    <w:qFormat/>
    <w:pPr>
      <w:keepNext/>
    </w:pPr>
    <w:rPr>
      <w:b/>
    </w:rPr>
  </w:style>
  <w:style w:type="paragraph" w:styleId="Heading1">
    <w:name w:val="heading 1"/>
    <w:basedOn w:val="Normal"/>
    <w:next w:val="Normal"/>
    <w:qFormat/>
    <w:pPr>
      <w:keepNext/>
      <w:outlineLvl w:val="0"/>
    </w:pPr>
    <w:rPr>
      <w:b/>
    </w:rPr>
  </w:style>
  <w:style w:type="paragraph" w:styleId="Heading2">
    <w:name w:val="heading 2"/>
    <w:basedOn w:val="Normal"/>
    <w:next w:val="Normal"/>
    <w:qFormat/>
    <w:pPr>
      <w:keepNext/>
      <w:outlineLvl w:val="1"/>
    </w:pPr>
    <w:rPr>
      <w:b/>
    </w:rPr>
  </w:style>
  <w:style w:type="paragraph" w:styleId="Heading3">
    <w:name w:val="heading 3"/>
    <w:basedOn w:val="Normal"/>
    <w:next w:val="Normal"/>
    <w:qFormat/>
    <w:pPr>
      <w:keepNext/>
      <w:outlineLvl w:val="2"/>
    </w:pPr>
    <w:rPr>
      <w:b/>
    </w:rPr>
  </w:style>
  <w:style w:type="character" w:default="1" w:styleId="DefaultParagraphFont">
    <w:name w:val="Default Paragraph Font"/>
    <w:uiPriority w:val="1"/>
    <w:semiHidden/>
  </w:style>
  <w:style w:type="character" w:styleId="Hyperlink">
    <w:name w:val="Hyperlink"/>
    <w:basedOn w:val="DefaultParagraphFont"/>
    <w:rPr>
      <w:color w:val="0563C1"/>
      <w:u w:val="single"/>
    </w:rPr>
  </w:style>
  <w:style w:type="paragraph" w:styleId="Footer">
    <w:name w:val="footer"/>
    <w:basedOn w:val="Normal"/>
  </w:style>
</w:styles>
</file>

<file path=word/_rels/document.xml.rels><?xml version="1.0" encoding="UTF-8" standalone="yes"?><Relationships xmlns="http://schemas.openxmlformats.org/package/2006/relationships"><Relationship Id="rIdS1" Type="http://schemas.openxmlformats.org/officeDocument/2006/relationships/styles" Target="styles.xml"/><Relationship Id="rIdS2" Type="http://schemas.openxmlformats.org/officeDocument/2006/relationships/settings" Target="settings.xml"/><Relationship Id="rIdF1" Type="http://schemas.openxmlformats.org/officeDocument/2006/relationships/footer" Target="footer1.xml"/><Relationship Id="rIdL1" Type="http://schemas.openxmlformats.org/officeDocument/2006/relationships/hyperlink" Target="../3.%20&#20027;&#38988;&#19977;%20&#38651;&#23376;&#21830;&#21209;&#27169;&#24335;%20(E-commerce%20Models)/2020%20-%20The%20role%20of%20live%20streaming%20in%20building%20consumer%20trust%20and%20engagement%20with%20social%20commerce%20sellers.pdf" TargetMode="External"/><Relationship Id="rIdL2" Type="http://schemas.openxmlformats.org/officeDocument/2006/relationships/hyperlink" Target="../3.%20&#20027;&#38988;&#19977;%20&#38651;&#23376;&#21830;&#21209;&#27169;&#24335;%20(E-commerce%20Models)/2021%20-%20Live%20streaming%20commerce%20and%20consumers&#8217;%20purchase%20intention%20-%20An%20uncertainty%20reduction%20perspective.pdf" TargetMode="External"/><Relationship Id="rIdL3" Type="http://schemas.openxmlformats.org/officeDocument/2006/relationships/hyperlink" Target="../3.%20&#20027;&#38988;&#19977;%20&#38651;&#23376;&#21830;&#21209;&#27169;&#24335;%20(E-commerce%20Models)/2024%20-%20Influencer%20mix%20strategies%20in%20livestream%20commerce%20-%20Impact%20on%20product%20sales.pdf" TargetMode="External"/><Relationship Id="rIdL4" Type="http://schemas.openxmlformats.org/officeDocument/2006/relationships/hyperlink" Target="../5.%20&#20027;&#38988;&#20116;%20&#38651;&#21830;&#24066;&#22580;&#30332;&#23637;&#38656;&#27714;%20(E-commerce%20Market%20Development%20Needs)/2026%20-%20Governing%20AI%20virtual%20anchors%20in%20China&#8217;s%20live%20streaming%20E-commerce%20ecosystem%20-%20Policy%20challenges%20and%20global%20implications.pdf" TargetMode="External"/><Relationship Id="rIdL5" Type="http://schemas.openxmlformats.org/officeDocument/2006/relationships/hyperlink" Target="../1.%20&#20027;&#38988;&#19968;%20&#21109;&#26032;&#30332;&#23637;%20(Innovative%20Development)/2025%20-%20Artificial%20intelligence-powered%20digital%20streamers%20in%20online%20retail%20-%20Empirical%20insights%20and%20design%20strategies%20from%20experiments%20(SSRN%20preprint).pdf" TargetMode="External"/><Relationship Id="rIdL6" Type="http://schemas.openxmlformats.org/officeDocument/2006/relationships/hyperlink" Target="../1.%20&#20027;&#38988;&#19968;%20&#21109;&#26032;&#30332;&#23637;%20(Innovative%20Development)/2025%20-%20Gimmick%20or%20genuineness%20Exploring%20the%20antecedents%20of%20AI%20virtual%20streamers%20aversion%20in%20live-streaming%20commerce.pdf" TargetMode="External"/><Relationship Id="rIdL7" Type="http://schemas.openxmlformats.org/officeDocument/2006/relationships/hyperlink" Target="../1.%20&#20027;&#38988;&#19968;%20&#21109;&#26032;&#30332;&#23637;%20(Innovative%20Development)/2025%20-%20Artificial%20intelligence%20in%20live%20streaming%20-%20How%20can%20virtual%20streamers%20bring%20more%20sales.pdf" TargetMode="External"/><Relationship Id="rIdL8" Type="http://schemas.openxmlformats.org/officeDocument/2006/relationships/hyperlink" Target="../3.%20&#20027;&#38988;&#19977;%20&#38651;&#23376;&#21830;&#21209;&#27169;&#24335;%20(E-commerce%20Models)/2025%20-%20When%20persuasion%20is%20too%20persuasive%20-%20An%20empirical%20analysis%20of%20product%20returns%20in%20livestream%20e-commerce.pdf" TargetMode="External"/><Relationship Id="rIdL9" Type="http://schemas.openxmlformats.org/officeDocument/2006/relationships/hyperlink" Target="../1.%20&#20027;&#38988;&#19968;%20&#21109;&#26032;&#30332;&#23637;%20(Innovative%20Development)/2025%20-%20The%20higher%20the%20better%20A%20study%20on%20the%20dark%20side%20of%20high%20engagement%20atmosphere%20in%20live%20streaming%20sales%20on%20consumer%20post-purchase%20satisfaction.pdf" TargetMode="External"/><Relationship Id="rIdL10" Type="http://schemas.openxmlformats.org/officeDocument/2006/relationships/hyperlink" Target="https://doi.org/10.1287/isre.2023.0103" TargetMode="External"/><Relationship Id="rIdL11" Type="http://schemas.openxmlformats.org/officeDocument/2006/relationships/hyperlink" Target="../2.%20&#20027;&#38988;&#20108;%20&#28040;&#36027;&#32773;&#24515;&#29702;&#34892;&#28858;%20(Consumer%20Psychological%20Behavior)/1982%20-%20A%20means-end%20chain%20model%20based%20on%20consumer%20categorization%20processes.pdf" TargetMode="External"/><Relationship Id="rIdL12" Type="http://schemas.openxmlformats.org/officeDocument/2006/relationships/hyperlink" Target="../4.%20&#20027;&#38988;&#22235;%20&#30740;&#31350;&#28507;&#21147;%20(Research%20Potential)/1999%20-%20Stimulus%20sampling%20and%20social%20psychological%20experimentation.pdf" TargetMode="External"/><Relationship Id="rIdL13" Type="http://schemas.openxmlformats.org/officeDocument/2006/relationships/hyperlink" Target="../4.%20&#20027;&#38988;&#22235;%20&#30740;&#31350;&#28507;&#21147;%20(Research%20Potential)/1988%20-%20Structural%20equation%20modeling%20in%20practice%20-%20A%20review%20and%20recommended%20two-step%20approach.pdf" TargetMode="External"/><Relationship Id="rIdL14" Type="http://schemas.openxmlformats.org/officeDocument/2006/relationships/hyperlink" Target="../2.%20&#20027;&#38988;&#20108;%20&#28040;&#36027;&#32773;&#24515;&#29702;&#34892;&#28858;%20(Consumer%20Psychological%20Behavior)/2000%20-%20Consumer%20choice%20between%20hedonic%20and%20utilitarian%20goods.pdf" TargetMode="External"/><Relationship Id="rIdL15" Type="http://schemas.openxmlformats.org/officeDocument/2006/relationships/hyperlink" Target="../1.%20&#20027;&#38988;&#19968;%20&#21109;&#26032;&#30332;&#23637;%20(Innovative%20Development)/2025%20-%20Impact%20of%20AI-generated%20virtual%20streamer%20interaction%20on%20consumer%20purchase%20intention%20-%20A%20focus%20on%20social%20presence%20and%20perceived%20value.pdf" TargetMode="External"/><Relationship Id="rIdL16" Type="http://schemas.openxmlformats.org/officeDocument/2006/relationships/hyperlink" Target="../2.%20&#20027;&#38988;&#20108;%20&#28040;&#36027;&#32773;&#24515;&#29702;&#34892;&#28858;%20(Consumer%20Psychological%20Behavior)/1988%20-%20Laddering%20theory,%20method,%20analysis,%20and%20interpretation.pdf" TargetMode="External"/><Relationship Id="rIdL17" Type="http://schemas.openxmlformats.org/officeDocument/2006/relationships/hyperlink" Target="../2.%20&#20027;&#38988;&#20108;%20&#28040;&#36027;&#32773;&#24515;&#29702;&#34892;&#28858;%20(Consumer%20Psychological%20Behavior)/1995%20-%20Measuring%20subjective%20meaning%20structures%20by%20the%20laddering%20method%20-%20Theoretical%20considerations%20and%20methodological%20problems.pdf" TargetMode="External"/><Relationship Id="rIdL18" Type="http://schemas.openxmlformats.org/officeDocument/2006/relationships/hyperlink" Target="../2.%20&#20027;&#38988;&#20108;%20&#28040;&#36027;&#32773;&#24515;&#29702;&#34892;&#28858;%20(Consumer%20Psychological%20Behavior)/1991%20-%20Why%20we%20buy%20what%20we%20buy%20-%20A%20theory%20of%20consumption%20values.pdf" TargetMode="External"/><Relationship Id="rIdL19" Type="http://schemas.openxmlformats.org/officeDocument/2006/relationships/hyperlink" Target="../2.%20&#20027;&#38988;&#20108;%20&#28040;&#36027;&#32773;&#24515;&#29702;&#34892;&#28858;%20(Consumer%20Psychological%20Behavior)/2022%20-%20Artificial%20intelligence%20in%20utilitarian%20vs.%20hedonic%20contexts%20-%20The%20word-of-machine%20effect.pdf" TargetMode="External"/><Relationship Id="rIdL20" Type="http://schemas.openxmlformats.org/officeDocument/2006/relationships/hyperlink" Target="../2.%20&#20027;&#38988;&#20108;%20&#28040;&#36027;&#32773;&#24515;&#29702;&#34892;&#28858;%20(Consumer%20Psychological%20Behavior)/2019%20-%20Task-dependent%20algorithm%20aversion.pdf" TargetMode="External"/><Relationship Id="rIdL21" Type="http://schemas.openxmlformats.org/officeDocument/2006/relationships/hyperlink" Target="../2.%20&#20027;&#38988;&#20108;%20&#28040;&#36027;&#32773;&#24515;&#29702;&#34892;&#28858;%20(Consumer%20Psychological%20Behavior)/2020%20-%20Artificial%20intelligence%20and%20persuasion%20-%20A%20construal-level%20account.pdf" TargetMode="External"/><Relationship Id="rIdL22" Type="http://schemas.openxmlformats.org/officeDocument/2006/relationships/hyperlink" Target="../1.%20&#20027;&#38988;&#19968;%20&#21109;&#26032;&#30332;&#23637;%20(Innovative%20Development)/2025%20-%20Are%20assertive%20messages%20more%20effective%20in%20live%20marketing%20Matching%20effects%20of%20anchor%20type%20and%20message%20assertiveness%20on%20purchase%20intention.pdf" TargetMode="External"/><Relationship Id="rIdL23" Type="http://schemas.openxmlformats.org/officeDocument/2006/relationships/hyperlink" Target="../2.%20&#20027;&#38988;&#20108;%20&#28040;&#36027;&#32773;&#24515;&#29702;&#34892;&#28858;%20(Consumer%20Psychological%20Behavior)/2007%20-%20Universal%20dimensions%20of%20social%20cognition%20-%20Warmth%20and%20competence.pdf" TargetMode="External"/><Relationship Id="rIdL24" Type="http://schemas.openxmlformats.org/officeDocument/2006/relationships/hyperlink" Target="../2.%20&#20027;&#38988;&#20108;%20&#28040;&#36027;&#32773;&#24515;&#29702;&#34892;&#28858;%20(Consumer%20Psychological%20Behavior)/2025%20-%20AI%20service%20may%20backfire%20-%20Reduced%20service%20warmth%20due%20to%20service%20provider%20transformation.pdf" TargetMode="External"/><Relationship Id="rIdL25" Type="http://schemas.openxmlformats.org/officeDocument/2006/relationships/hyperlink" Target="../2.%20&#20027;&#38988;&#20108;%20&#28040;&#36027;&#32773;&#24515;&#29702;&#34892;&#28858;%20(Consumer%20Psychological%20Behavior)/1994%20-%20The%20persuasion%20knowledge%20model%20-%20How%20people%20cope%20with%20persuasion%20attempts.pdf" TargetMode="External"/><Relationship Id="rIdL26" Type="http://schemas.openxmlformats.org/officeDocument/2006/relationships/hyperlink" Target="../2.%20&#20027;&#38988;&#20108;%20&#28040;&#36027;&#32773;&#24515;&#29702;&#34892;&#28858;%20(Consumer%20Psychological%20Behavior)/2023%20-%20Bad%20news%20Send%20an%20AI.%20Good%20news%20Send%20a%20human.pdf" TargetMode="External"/><Relationship Id="rIdL27" Type="http://schemas.openxmlformats.org/officeDocument/2006/relationships/hyperlink" Target="https://doi.org/10.1086/209571" TargetMode="External"/><Relationship Id="rIdL28" Type="http://schemas.openxmlformats.org/officeDocument/2006/relationships/hyperlink" Target="https://doi.org/10.1177/002224378001700405" TargetMode="External"/><Relationship Id="rIdL29" Type="http://schemas.openxmlformats.org/officeDocument/2006/relationships/hyperlink" Target="../4.%20&#20027;&#38988;&#22235;%20&#30740;&#31350;&#28507;&#21147;%20(Research%20Potential)/2002%20-%20Evaluating%20goodness-of-fit%20indexes%20for%20testing%20measurement%20invariance.pdf" TargetMode="External"/><Relationship Id="rIdL30" Type="http://schemas.openxmlformats.org/officeDocument/2006/relationships/hyperlink" Target="../1.%20&#20027;&#38988;&#19968;%20&#21109;&#26032;&#30332;&#23637;%20(Innovative%20Development)/2025%20-%20Machines%20vs.%20humans%20-%20The%20evolving%20role%20of%20artificial%20intelligence%20in%20livestreaming%20e-commerce.pdf" TargetMode="External"/><Relationship Id="rIdL31" Type="http://schemas.openxmlformats.org/officeDocument/2006/relationships/hyperlink" Target="https://doi.org/10.1002/mar.21521" TargetMode="External"/><Relationship Id="rIdL32" Type="http://schemas.openxmlformats.org/officeDocument/2006/relationships/hyperlink" Target="https://doi.org/10.1287/mksc.2019.1192" TargetMode="External"/><Relationship Id="rIdL33" Type="http://schemas.openxmlformats.org/officeDocument/2006/relationships/hyperlink" Target="../1.%20&#20027;&#38988;&#19968;%20&#21109;&#26032;&#30332;&#23637;%20(Innovative%20Development)/2024%20-%20Do%20you%20create%20your%20content%20yourself%20Using%20generative%20artificial%20intelligence%20for%20social%20media%20content%20creation%20diminishes%20perceived%20brand%20authenticity.pdf" TargetMode="External"/><Relationship Id="rIdL34" Type="http://schemas.openxmlformats.org/officeDocument/2006/relationships/hyperlink" Target="../2.%20&#20027;&#38988;&#20108;%20&#28040;&#36027;&#32773;&#24515;&#29702;&#34892;&#28858;%20(Consumer%20Psychological%20Behavior)/2025%20-%20The%20AI-authorship%20effect%20-%20Understanding%20authenticity,%20moral%20disgust,%20and%20consumer%20responses%20to%20AI-generated%20marketing%20communications.pdf" TargetMode="External"/><Relationship Id="rIdL35" Type="http://schemas.openxmlformats.org/officeDocument/2006/relationships/hyperlink" Target="https://doi.org/10.1287/isre.2022.0152" TargetMode="External"/><Relationship Id="rIdL36" Type="http://schemas.openxmlformats.org/officeDocument/2006/relationships/hyperlink" Target="../4.%20&#20027;&#38988;&#22235;%20&#30740;&#31350;&#28507;&#21147;%20(Research%20Potential)/2018%20-%20The%20preregistration%20revolution.pdf" TargetMode="External"/><Relationship Id="rIdL37" Type="http://schemas.openxmlformats.org/officeDocument/2006/relationships/hyperlink" Target="../5.%20&#20027;&#38988;&#20116;%20&#38651;&#21830;&#24066;&#22580;&#30332;&#23637;&#38656;&#27714;%20(E-commerce%20Market%20Development%20Needs)/2025%20-%20Generative%20artificial%20intelligence%20and%20internationalization%20green%20innovation%20-%20Roles%20of%20supply%20chain%20innovations%20and%20AI%20regulation%20for%20SMEs.pdf" TargetMode="External"/><Relationship Id="rIdL38" Type="http://schemas.openxmlformats.org/officeDocument/2006/relationships/hyperlink" Target="../5.%20&#20027;&#38988;&#20116;%20&#38651;&#21830;&#24066;&#22580;&#30332;&#23637;&#38656;&#27714;%20(E-commerce%20Market%20Development%20Needs)/2017%20-%20The%20role%20of%20data%20privacy%20in%20marketing.pdf" TargetMode="External"/><Relationship Id="rIdL39" Type="http://schemas.openxmlformats.org/officeDocument/2006/relationships/hyperlink" Target="../4.%20&#20027;&#38988;&#22235;%20&#30740;&#31350;&#28507;&#21147;%20(Research%20Potential)/2025%20-%20Live%20streaming%20commerce%20-%20A%20review%20and%20research%20agenda.pdf" TargetMode="External"/><Relationship Id="rIdL40" Type="http://schemas.openxmlformats.org/officeDocument/2006/relationships/hyperlink" Target="../2.%20&#20027;&#38988;&#20108;%20&#28040;&#36027;&#32773;&#24515;&#29702;&#34892;&#28858;%20(Consumer%20Psychological%20Behavior)/2022%20-%20Blame%20the%20bot%20-%20Anthropomorphism%20and%20anger%20in%20customer&#8211;chatbot%20interactions.pdf" TargetMode="External"/><Relationship Id="rIdL41" Type="http://schemas.openxmlformats.org/officeDocument/2006/relationships/hyperlink" Target="../1.%20&#20027;&#38988;&#19968;%20&#21109;&#26032;&#30332;&#23637;%20(Innovative%20Development)/2025%20-%20Influencing%20mechanisms%20of%20live%20streamer's%20language%20strategies%20on%20product%20sales.pdf" TargetMode="External"/><Relationship Id="rIdL42" Type="http://schemas.openxmlformats.org/officeDocument/2006/relationships/hyperlink" Target="../1.%20&#20027;&#38988;&#19968;%20&#21109;&#26032;&#30332;&#23637;%20(Innovative%20Development)/2025%20-%20How%20do%20influencers&#8217;%20impression%20management%20tactics%20affect%20purchase%20intention%20in%20live%20commerce%20&#8211;%20Trust%20transfer%20and%20gender%20differences.pdf" TargetMode="External"/><Relationship Id="rIdL43" Type="http://schemas.openxmlformats.org/officeDocument/2006/relationships/hyperlink" Target="../1.%20&#20027;&#38988;&#19968;%20&#21109;&#26032;&#30332;&#23637;%20(Innovative%20Development)/2023%20-%20Authentically%20fake%20How%20consumers%20respond%20to%20the%20influence%20of%20virtual%20influencers.pdf" TargetMode="External"/><Relationship Id="rIdL44" Type="http://schemas.openxmlformats.org/officeDocument/2006/relationships/hyperlink" Target="https://doi.org/10.1080/00913367.2022.2154721" TargetMode="External"/><Relationship Id="rIdL45" Type="http://schemas.openxmlformats.org/officeDocument/2006/relationships/hyperlink" Target="../2.%20&#20027;&#38988;&#20108;%20&#28040;&#36027;&#32773;&#24515;&#29702;&#34892;&#28858;%20(Consumer%20Psychological%20Behavior)/2021%20-%20Consumers%20and%20artificial%20intelligence%20-%20An%20experiential%20perspective.pdf" TargetMode="External"/><Relationship Id="rIdL46" Type="http://schemas.openxmlformats.org/officeDocument/2006/relationships/hyperlink" Target="https://doi.org/10.1007/s11747-020-00749-9" TargetMode="External"/><Relationship Id="rIdL47" Type="http://schemas.openxmlformats.org/officeDocument/2006/relationships/hyperlink" Target="https://doi.org/10.1007/s11747-020-00762-y" TargetMode="External"/><Relationship Id="rIdL48" Type="http://schemas.openxmlformats.org/officeDocument/2006/relationships/hyperlink" Target="../2.%20&#20027;&#38988;&#20108;%20&#28040;&#36027;&#32773;&#24515;&#29702;&#34892;&#28858;%20(Consumer%20Psychological%20Behavior)/2025%20-%20Helpful%20or%20harmful%20A%20curvilinear%20perspective%20on%20AI%20agent%20anthropomorphism%20in%20service%20failure%20tolerance.pdf" TargetMode="External"/><Relationship Id="rIdL49" Type="http://schemas.openxmlformats.org/officeDocument/2006/relationships/hyperlink" Target="https://doi.org/10.1007/s11747-022-00862-x" TargetMode="External"/><Relationship Id="rIdL50" Type="http://schemas.openxmlformats.org/officeDocument/2006/relationships/hyperlink" Target="../1.%20&#20027;&#38988;&#19968;%20&#21109;&#26032;&#30332;&#23637;%20(Innovative%20Development)/2012%20-%20The%20uncanny%20valley%20[from%20the%20field].pdf" TargetMode="External"/><Relationship Id="rIdL51" Type="http://schemas.openxmlformats.org/officeDocument/2006/relationships/hyperlink" Target="../2.%20&#20027;&#38988;&#20108;%20&#28040;&#36027;&#32773;&#24515;&#29702;&#34892;&#28858;%20(Consumer%20Psychological%20Behavior)/1995%20-%20A%20means-end%20chain%20approach%20to%20consumer%20goal%20structures.pdf" TargetMode="External"/><Relationship Id="rIdL52" Type="http://schemas.openxmlformats.org/officeDocument/2006/relationships/hyperlink" Target="../4.%20&#20027;&#38988;&#22235;%20&#30740;&#31350;&#28507;&#21147;%20(Research%20Potential)/1977%20-%20Content%20analysis%20in%20consumer%20research.pdf" TargetMode="External"/><Relationship Id="rIdL53" Type="http://schemas.openxmlformats.org/officeDocument/2006/relationships/hyperlink" Target="../4.%20&#20027;&#38988;&#22235;%20&#30740;&#31350;&#28507;&#21147;%20(Research%20Potential)/1989%20-%20Reliability%20of%20nominal%20data%20based%20on%20qualitative%20judgments.pdf" TargetMode="External"/><Relationship Id="rIdL54" Type="http://schemas.openxmlformats.org/officeDocument/2006/relationships/hyperlink" Target="../2.%20&#20027;&#38988;&#20108;%20&#28040;&#36027;&#32773;&#24515;&#29702;&#34892;&#28858;%20(Consumer%20Psychological%20Behavior)/1982%20-%20The%20experiential%20aspects%20of%20consumption%20-%20Consumer%20fantasies,%20feelings,%20and%20fun.pdf" TargetMode="External"/><Relationship Id="rIdL55" Type="http://schemas.openxmlformats.org/officeDocument/2006/relationships/hyperlink" Target="../3.%20&#20027;&#38988;&#19977;%20&#38651;&#23376;&#21830;&#21209;&#27169;&#24335;%20(E-commerce%20Models)/2016%20-%20The%20effect%20of%20return%20policy%20leniency%20on%20consumer%20purchase%20and%20return%20decisions%20-%20A%20meta-analytic%20review.pdf" TargetMode="External"/><Relationship Id="rIdL56" Type="http://schemas.openxmlformats.org/officeDocument/2006/relationships/hyperlink" Target="../2.%20&#20027;&#38988;&#20108;%20&#28040;&#36027;&#32773;&#24515;&#29702;&#34892;&#28858;%20(Consumer%20Psychological%20Behavior)/2025%20-%20Striking%20the%20right%20balance%20-%20Customising%20return%20policy%20leniency%20for%20managing%20customer%20online%20return%20proclivity%20and%20satisfaction.pdf" TargetMode="External"/><Relationship Id="rIdL57" Type="http://schemas.openxmlformats.org/officeDocument/2006/relationships/hyperlink" Target="../2.%20&#20027;&#38988;&#20108;%20&#28040;&#36027;&#32773;&#24515;&#29702;&#34892;&#28858;%20(Consumer%20Psychological%20Behavior)/2025%20-%20Fun%20or%20warm%20-%20How%20conversational%20style%20boosts%20customer%20engagement.pdf" TargetMode="External"/><Relationship Id="rIdL58" Type="http://schemas.openxmlformats.org/officeDocument/2006/relationships/hyperlink" Target="../2.%20&#20027;&#38988;&#20108;%20&#28040;&#36027;&#32773;&#24515;&#29702;&#34892;&#28858;%20(Consumer%20Psychological%20Behavior)/2022%20-%20Thumbs%20up%20or%20down%20-%20Consumer%20reactions%20to%20decisions%20by%20algorithms%20versus%20humans.pdf" TargetMode="External"/><Relationship Id="rIdL59" Type="http://schemas.openxmlformats.org/officeDocument/2006/relationships/hyperlink" Target="https://doi.org/10.1287/isre.2021.1015" TargetMode="External"/><Relationship Id="rIdL60" Type="http://schemas.openxmlformats.org/officeDocument/2006/relationships/hyperlink" Target="../2.%20&#20027;&#38988;&#20108;%20&#28040;&#36027;&#32773;&#24515;&#29702;&#34892;&#28858;%20(Consumer%20Psychological%20Behavior)/1994%20-%20The%20commitment-trust%20theory%20of%20relationship%20marketing.pdf" TargetMode="External"/><Relationship Id="rIdL61" Type="http://schemas.openxmlformats.org/officeDocument/2006/relationships/hyperlink" Target="../3.%20&#20027;&#38988;&#19977;%20&#38651;&#23376;&#21830;&#21209;&#27169;&#24335;%20(E-commerce%20Models)/2003%20-%20Trust%20and%20TAM%20in%20online%20shopping%20-%20An%20integrated%20model.pdf" TargetMode="External"/><Relationship Id="rIdL62" Type="http://schemas.openxmlformats.org/officeDocument/2006/relationships/hyperlink" Target="../4.%20&#20027;&#38988;&#22235;%20&#30740;&#31350;&#28507;&#21147;%20(Research%20Potential)/2016%20-%20Testing%20measurement%20invariance%20of%20composites%20using%20partial%20least%20squares.pdf" TargetMode="External"/><Relationship Id="rIdL63" Type="http://schemas.openxmlformats.org/officeDocument/2006/relationships/hyperlink" Target="../2.%20&#20027;&#38988;&#20108;%20&#28040;&#36027;&#32773;&#24515;&#29702;&#34892;&#28858;%20(Consumer%20Psychological%20Behavior)/2003%20-%20Measuring%20the%20hedonic%20and%20utilitarian%20dimensions%20of%20consumer%20attitude.pdf" TargetMode="External"/><Relationship Id="rIdL64" Type="http://schemas.openxmlformats.org/officeDocument/2006/relationships/hyperlink" Target="../2.%20&#20027;&#38988;&#20108;%20&#28040;&#36027;&#32773;&#24515;&#29702;&#34892;&#28858;%20(Consumer%20Psychological%20Behavior)/1985%20-%20Measuring%20the%20involvement%20construct.pdf" TargetMode="External"/><Relationship Id="rIdL65" Type="http://schemas.openxmlformats.org/officeDocument/2006/relationships/hyperlink" Target="https://doi.org/10.1207/s15327752jpa4803_13" TargetMode="External"/><Relationship Id="rIdL66" Type="http://schemas.openxmlformats.org/officeDocument/2006/relationships/hyperlink" Target="https://doi.org/10.1177/001316446002000104" TargetMode="External"/><Relationship Id="rIdL67" Type="http://schemas.openxmlformats.org/officeDocument/2006/relationships/hyperlink" Target="../4.%20&#20027;&#38988;&#22235;%20&#30740;&#31350;&#28507;&#21147;%20(Research%20Potential)/1981%20-%20Evaluating%20structural%20equation%20models%20with%20unobservable%20variables%20and%20measurement%20error.pdf" TargetMode="External"/><Relationship Id="rIdL68" Type="http://schemas.openxmlformats.org/officeDocument/2006/relationships/hyperlink" Target="../4.%20&#20027;&#38988;&#22235;%20&#30740;&#31350;&#28507;&#21147;%20(Research%20Potential)/1999%20-%20Cutoff%20criteria%20for%20fit%20indexes%20in%20covariance%20structure%20analysis%20-%20Conventional%20criteria%20versus%20new%20alternatives.pdf" TargetMode="External"/><Relationship Id="rIdL69" Type="http://schemas.openxmlformats.org/officeDocument/2006/relationships/hyperlink" Target="../4.%20&#20027;&#38988;&#22235;%20&#30740;&#31350;&#28507;&#21147;%20(Research%20Potential)/2007%20-%20G-Power%203%20-%20A%20flexible%20statistical%20power%20analysis%20program%20for%20the%20social,%20behavioral,%20and%20biomedical%20sciences.pdf" TargetMode="External"/><Relationship Id="rIdL70" Type="http://schemas.openxmlformats.org/officeDocument/2006/relationships/hyperlink" Target="../2.%20&#20027;&#38988;&#20108;%20&#28040;&#36027;&#32773;&#24515;&#29702;&#34892;&#28858;%20(Consumer%20Psychological%20Behavior)/1991%20-%20Effects%20of%20price,%20brand,%20and%20store%20information%20on%20buyers'%20product%20evaluations.pdf" TargetMode="External"/><Relationship Id="rIdL71" Type="http://schemas.openxmlformats.org/officeDocument/2006/relationships/hyperlink" Target="../4.%20&#20027;&#38988;&#22235;%20&#30740;&#31350;&#28507;&#21147;%20(Research%20Potential)/2010%20-%20Reconsidering%20Baron%20and%20Kenny%20-%20Myths%20and%20truths%20about%20mediation%20analysis.pdf" TargetMode="External"/><Relationship Id="rIdL72" Type="http://schemas.openxmlformats.org/officeDocument/2006/relationships/hyperlink" Target="../4.%20&#20027;&#38988;&#22235;%20&#30740;&#31350;&#28507;&#21147;%20(Research%20Potential)/1995%20-%20Controlling%20the%20false%20discovery%20rate%20-%20A%20practical%20and%20powerful%20approach%20to%20multiple%20testing.pdf" TargetMode="External"/><Relationship Id="rIdL73" Type="http://schemas.openxmlformats.org/officeDocument/2006/relationships/hyperlink" Target="../2.%20&#20027;&#38988;&#20108;%20&#28040;&#36027;&#32773;&#24515;&#29702;&#34892;&#28858;%20(Consumer%20Psychological%20Behavior)/1990%20-%20Construction%20and%20validation%20of%20a%20scale%20to%20measure%20celebrity%20endorsers'%20perceived%20expertise,%20trustworthiness,%20and%20attractiveness.pdf" TargetMode="External"/><Relationship Id="rIdL74" Type="http://schemas.openxmlformats.org/officeDocument/2006/relationships/hyperlink" Target="../4.%20&#20027;&#38988;&#22235;%20&#30740;&#31350;&#28507;&#21147;%20(Research%20Potential)/2003%20-%20Common%20method%20biases%20in%20behavioral%20research%20-%20A%20critical%20review%20of%20the%20literature%20and%20recommended%20remedies.pdf" TargetMode="External"/><Relationship Id="rIdL75" Type="http://schemas.openxmlformats.org/officeDocument/2006/relationships/hyperlink" Target="../4.%20&#20027;&#38988;&#22235;%20&#30740;&#31350;&#28507;&#21147;%20(Research%20Potential)/2019%20-%20When%20to%20use%20and%20how%20to%20report%20the%20results%20of%20PLS-SEM.pdf" TargetMode="External"/><Relationship Id="rIdL76" Type="http://schemas.openxmlformats.org/officeDocument/2006/relationships/hyperlink" Target="../4.%20&#20027;&#38988;&#22235;%20&#30740;&#31350;&#28507;&#21147;%20(Research%20Potential)/2011%20-%20False-positive%20psychology%20-%20Undisclosed%20flexibility%20in%20data%20collection%20and%20analysis%20allows%20presenting%20anything%20as%20significant.pdf" TargetMode="External"/></Relationships>
</file>

<file path=docProps/app.xml><?xml version="1.0" encoding="utf-8"?>
<Properties xmlns="http://schemas.openxmlformats.org/officeDocument/2006/extended-properties">
  <Application>Microsoft Office Word</Application>
</Properties>
</file>

<file path=docProps/core.xml><?xml version="1.0" encoding="utf-8"?>
<cp:coreProperties xmlns:cp="http://schemas.openxmlformats.org/package/2006/metadata/core-properties" xmlns:dc="http://purl.org/dc/elements/1.1/" xmlns:dcterms="http://purl.org/dc/terms/" xmlns:xsi="http://www.w3.org/2001/XMLSchema-instance">
  <dc:title>誰來賣、怎麼說、買了會不會退——AI 虛擬主播與真人主播的價值說服與購後後果：方法目的鏈、實驗設計與結構方程模式之二年期研究</dc:title>
  <dc:creator>Dr. Barret Lin</dc:creator>
  <dcterms:created xsi:type="dcterms:W3CDTF">2026-10-23T15:59:12Z</dcterms:created>
  <dcterms:modified xsi:type="dcterms:W3CDTF">2026-10-23T15:59:12Z</dcterms:modified>
</cp:coreProperties>
</file>