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經費編列重點說明</w:t>
      </w:r>
    </w:p>
    <w:p>
      <w:r>
        <w:t>依「1031-0646_兩年期研究計畫書.docx」的工作內容重新估算，項目與金額未沿用範例。對應經費表：1031-0745_CM05、CM07、CM08、CM10、CM12（同一資料夾）。</w:t>
      </w:r>
    </w:p>
    <w:p>
      <w:pPr>
        <w:pStyle w:val="Heading1"/>
      </w:pPr>
      <w:r>
        <w:t>一、申請補助經費總表（CM05）</w:t>
      </w:r>
    </w:p>
    <w:p>
      <w:pPr>
        <w:jc w:val="right"/>
      </w:pPr>
      <w:r>
        <w:t>金額單位：新臺幣元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補助項目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第一年（116.08–117.07）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第二年（117.08–118.07）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研究人力費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288,000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288,000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耗材、物品、圖書及雜項費用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243,400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392,800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b/>
              </w:rPr>
              <w:t>業務費小計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b/>
              </w:rPr>
              <w:t>531,400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b/>
              </w:rPr>
              <w:t>680,800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研究設備費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50,000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出席國際學術會議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120,400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140,360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t>管理費（估計）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87,210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102,120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b/>
              </w:rPr>
              <w:t>合計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b/>
              </w:rPr>
              <w:t>789,010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b/>
              </w:rPr>
              <w:t>923,280</w:t>
            </w:r>
          </w:p>
        </w:tc>
      </w:tr>
    </w:tbl>
    <w:p>
      <w:pPr>
        <w:pStyle w:val="Heading1"/>
      </w:pPr>
      <w:r>
        <w:t>二、各表重點</w:t>
      </w:r>
    </w:p>
    <w:p>
      <w:pPr>
        <w:pStyle w:val="Heading2"/>
      </w:pPr>
      <w:r>
        <w:t>（一）研究人力費（CM07）</w:t>
      </w:r>
    </w:p>
    <w:p>
      <w:pPr>
        <w:pStyle w:val="ListBullet"/>
      </w:pPr>
      <w:r>
        <w:t>每年 2 名兼任碩士生，月支 12,000 元 × 12 個月。</w:t>
      </w:r>
    </w:p>
    <w:p>
      <w:pPr>
        <w:pStyle w:val="ListBullet"/>
      </w:pPr>
      <w:r>
        <w:t>工作內容依各年任務分別撰寫：第一年為訪談、編碼、量表與刺激物製作；第二年為實驗、調查、追蹤與 SEM 分析。</w:t>
      </w:r>
    </w:p>
    <w:p>
      <w:pPr>
        <w:pStyle w:val="Heading2"/>
      </w:pPr>
      <w:r>
        <w:t>（二）耗材、物品、圖書及雜項費用（CM08）</w:t>
      </w:r>
    </w:p>
    <w:p>
      <w:pPr>
        <w:pStyle w:val="ListBullet"/>
      </w:pPr>
      <w:r>
        <w:t>主要為受訪者費與線上樣本費，均依計畫書的樣本數計算。</w:t>
      </w:r>
    </w:p>
    <w:p>
      <w:pPr>
        <w:pStyle w:val="ListBullet"/>
      </w:pPr>
      <w:r>
        <w:t>第一年：</w:t>
      </w:r>
    </w:p>
    <w:p>
      <w:pPr>
        <w:pStyle w:val="ListBullet2"/>
      </w:pPr>
      <w:r>
        <w:t>訪談 60 人 × 500 元。</w:t>
      </w:r>
    </w:p>
    <w:p>
      <w:pPr>
        <w:pStyle w:val="ListBullet2"/>
      </w:pPr>
      <w:r>
        <w:t>量表施測 300 份、前測 120 份。</w:t>
      </w:r>
    </w:p>
    <w:p>
      <w:pPr>
        <w:pStyle w:val="ListBullet2"/>
      </w:pPr>
      <w:r>
        <w:t>研究 2a 實驗 480 份，加上一週後追蹤 480 份。</w:t>
      </w:r>
    </w:p>
    <w:p>
      <w:pPr>
        <w:pStyle w:val="ListBullet2"/>
      </w:pPr>
      <w:r>
        <w:t>刺激物製作：真人主播錄製 2 場、數位人訂閱 4 個月、展示商品 12 件、補光燈與麥克風一組。</w:t>
      </w:r>
    </w:p>
    <w:p>
      <w:pPr>
        <w:pStyle w:val="ListBullet2"/>
      </w:pPr>
      <w:r>
        <w:t>倫理審查費 15,000 元。</w:t>
      </w:r>
    </w:p>
    <w:p>
      <w:pPr>
        <w:pStyle w:val="ListBullet2"/>
      </w:pPr>
      <w:r>
        <w:t>英文潤稿 1 篇。</w:t>
      </w:r>
    </w:p>
    <w:p>
      <w:pPr>
        <w:pStyle w:val="ListBullet"/>
      </w:pPr>
      <w:r>
        <w:t>第二年：</w:t>
      </w:r>
    </w:p>
    <w:p>
      <w:pPr>
        <w:pStyle w:val="ListBullet2"/>
      </w:pPr>
      <w:r>
        <w:t>研究 2b 實驗 960 份，加上一週後追蹤 960 份。</w:t>
      </w:r>
    </w:p>
    <w:p>
      <w:pPr>
        <w:pStyle w:val="ListBullet2"/>
      </w:pPr>
      <w:r>
        <w:t>研究 2c 揭露實驗 360 份。</w:t>
      </w:r>
    </w:p>
    <w:p>
      <w:pPr>
        <w:pStyle w:val="ListBullet2"/>
      </w:pPr>
      <w:r>
        <w:t>第三階段前測 80 份。</w:t>
      </w:r>
    </w:p>
    <w:p>
      <w:pPr>
        <w:pStyle w:val="ListBullet2"/>
      </w:pPr>
      <w:r>
        <w:t>研究 3a 調查 800 份，每份 150 元（需篩選並確認直播購買紀錄）。</w:t>
      </w:r>
    </w:p>
    <w:p>
      <w:pPr>
        <w:pStyle w:val="ListBullet2"/>
      </w:pPr>
      <w:r>
        <w:t>研究 3b 退貨追蹤 800 份。</w:t>
      </w:r>
    </w:p>
    <w:p>
      <w:pPr>
        <w:pStyle w:val="ListBullet2"/>
      </w:pPr>
      <w:r>
        <w:t>英文潤稿 2 篇。</w:t>
      </w:r>
    </w:p>
    <w:p>
      <w:pPr>
        <w:pStyle w:val="Heading2"/>
      </w:pPr>
      <w:r>
        <w:t>（三）研究設備費（CM10）</w:t>
      </w:r>
    </w:p>
    <w:p>
      <w:pPr>
        <w:pStyle w:val="ListBullet"/>
      </w:pPr>
      <w:r>
        <w:t>僅第一年 1 台筆電（50,000 元），用於影片剪輯與統計分析；第二年列「無」。</w:t>
      </w:r>
    </w:p>
    <w:p>
      <w:pPr>
        <w:pStyle w:val="Heading2"/>
      </w:pPr>
      <w:r>
        <w:t>（四）國外差旅費－出席國際學術會議（CM12）</w:t>
      </w:r>
    </w:p>
    <w:p>
      <w:pPr>
        <w:pStyle w:val="ListBullet"/>
      </w:pPr>
      <w:r>
        <w:t>第一年：2028 AMS Annual Conference，發表 MEC 研究結果。</w:t>
      </w:r>
    </w:p>
    <w:p>
      <w:pPr>
        <w:pStyle w:val="ListBullet"/>
      </w:pPr>
      <w:r>
        <w:t>第二年：2029 EMAC，發表實驗結果。</w:t>
      </w:r>
    </w:p>
    <w:p>
      <w:pPr>
        <w:pStyle w:val="ListBullet"/>
      </w:pPr>
      <w:r>
        <w:t>近三年發表清單照錄範例內容。</w:t>
      </w:r>
    </w:p>
    <w:p>
      <w:pPr>
        <w:pStyle w:val="Heading1"/>
      </w:pPr>
      <w:r>
        <w:t>三、送出前請確認事項</w:t>
      </w:r>
    </w:p>
    <w:p>
      <w:pPr>
        <w:pStyle w:val="ListNumber"/>
      </w:pPr>
      <w:r>
        <w:t>會議生活費為估計值：AMS 2028 與 EMAC 2029 舉辦城市尚未公布，日支數額暫以美國 US$350、歐洲 US$380 估計，匯率以 1 美元兌 32 元計算；城市公布後請依行政院國外出差旅費日支數額表修正。</w:t>
      </w:r>
    </w:p>
    <w:p>
      <w:pPr>
        <w:pStyle w:val="ListNumber"/>
      </w:pPr>
      <w:r>
        <w:t>管理費為推算值：由範例數字反推貴校比例為「（業務費＋設備費）× 15%」，實際金額由國科會系統自動產生。</w:t>
      </w:r>
    </w:p>
    <w:p>
      <w:pPr>
        <w:pStyle w:val="ListNumber"/>
      </w:pPr>
      <w:r>
        <w:t>單價依一般行情估計：線上樣本費、受訪者費、倫理審查費若有廠商報價或學校支給標準，直接修改 Word 檔數字；各表合計需手動同步，CM05 總表也要一併更新。</w:t>
      </w:r>
    </w:p>
    <w:p>
      <w:pPr>
        <w:pStyle w:val="ListNumber"/>
      </w:pPr>
      <w:r>
        <w:t>頁尾申請條碼編號留空，請自行補上。</w:t>
      </w:r>
    </w:p>
    <w:p>
      <w:pPr>
        <w:pStyle w:val="ListNumber"/>
      </w:pPr>
      <w:r>
        <w:t>各經費表尚未在 Word 中實際開啟檢查，請確認合併儲存格的版面是否正常。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