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plan-2 R5 修訂重點摘要（1029-1308）</w:t>
      </w:r>
    </w:p>
    <w:p>
      <w:r>
        <w:t>修訂底稿：作者編修版「11-1025-2335_兩年期研究計畫書-R4(OK).docx」。產出：1029-1308_兩年期研究計畫書.docx（含同名網頁版）、1029-1308_待下載文獻清單.docx、Plan_fen/1029-1308_各主題資料夾文獻數量.docx。所有新增或變更的文字均以黃色螢光標示；刪除的文字無法標示，列於本摘要。</w:t>
      </w:r>
    </w:p>
    <w:p>
      <w:pPr>
        <w:pStyle w:val="Heading1"/>
      </w:pPr>
      <w:r>
        <w:t>一、依作者版修正語意與遺漏（規則 1）</w:t>
      </w:r>
    </w:p>
    <w:p>
      <w:pPr>
        <w:pStyle w:val="ListBullet"/>
      </w:pPr>
      <w:r>
        <w:t>研究缺口數量前後一致：背景列四個缺口，文獻探討開頭原寫「三個缺口」，已改寫為四個缺口（第四缺口：單一方法、單一品類），並說明三階段與跨品類多方法設計分別對應。</w:t>
      </w:r>
    </w:p>
    <w:p>
      <w:pPr>
        <w:pStyle w:val="ListBullet"/>
      </w:pPr>
      <w:r>
        <w:t>假說編號衝突：第三階段假說 H1–H5 改為 H7–H11（文獻探討、假說清單、圖 3 研究架構圖、研究 3b 與 3c 的分析步驟同步修正）。</w:t>
      </w:r>
    </w:p>
    <w:p>
      <w:pPr>
        <w:pStyle w:val="ListBullet"/>
      </w:pPr>
      <w:r>
        <w:t>第一階段研究編號：量表發展原誤標為「研究 1c」，改為「研究 1e」，與資料分析與進行步驟圖一致。</w:t>
      </w:r>
    </w:p>
    <w:p>
      <w:pPr>
        <w:pStyle w:val="ListBullet"/>
      </w:pPr>
      <w:r>
        <w:t>圖 4 進行步驟圖的日期筆誤「2028.11–2029.1」「2028.11–2029.3」改為 2029.01、2029.03；研究 3a、3b 日期的半形連字號改為與全文一致的「–」。</w:t>
      </w:r>
    </w:p>
    <w:p>
      <w:pPr>
        <w:pStyle w:val="ListBullet"/>
      </w:pPr>
      <w:r>
        <w:t>文句修正：AI 主播反感的成因句、「常以方法目的鏈…」缺動詞句、第四缺口句、原創性段「以第一階段的價值鏈是…」、「尚未綜合研究探討」、結論段缺句號、H4 冒號後多餘空格、圖 1 前多餘空白。</w:t>
      </w:r>
    </w:p>
    <w:p>
      <w:pPr>
        <w:pStyle w:val="ListBullet"/>
      </w:pPr>
      <w:r>
        <w:t>Liu, Y. 等人（ISR）已正式出刊為 2026 年 37(2)，全文引用由「Y. Liu et al., 2025」改為 2026。</w:t>
      </w:r>
    </w:p>
    <w:p>
      <w:pPr>
        <w:pStyle w:val="Heading1"/>
      </w:pPr>
      <w:r>
        <w:t>二、參考文獻重新整理（規則 2、6）</w:t>
      </w:r>
    </w:p>
    <w:p>
      <w:pPr>
        <w:pStyle w:val="ListBullet"/>
      </w:pPr>
      <w:r>
        <w:t>參考文獻由 89 篇調整為 139 篇：新增 55 篇（全部以 Crossref 核對），刪除 5 篇作者版內文已不再引用的文獻：</w:t>
      </w:r>
    </w:p>
    <w:p>
      <w:r>
        <w:t xml:space="preserve">　－ Faul, F., Erdfelder, E., Lang, A.-G., &amp; Buchner, A. (2007). G*Power 3: A flexible statistical power analysis program for the social, behavioral, and biomedical sciences. Behavior Research Methods, 39(2), 175–191.</w:t>
      </w:r>
    </w:p>
    <w:p>
      <w:r>
        <w:t xml:space="preserve">　－ Hair, J. F., Risher, J. J., Sarstedt, M., &amp; Ringle, C. M. (2019). When to use and how to report the results of PLS-SEM. European Business Review, 31(1), 2–24.</w:t>
      </w:r>
    </w:p>
    <w:p>
      <w:r>
        <w:t xml:space="preserve">　－ Henseler, J., Ringle, C. M., &amp; Sarstedt, M. (2016). Testing measurement invariance of composites using partial least squares. International Marketing Review, 33(3), 405–431.</w:t>
      </w:r>
    </w:p>
    <w:p>
      <w:r>
        <w:t xml:space="preserve">　－ Nosek, B. A., Ebersole, C. R., DeHaven, A. C., &amp; Mellor, D. T. (2018). The preregistration revolution. Proceedings of the National Academy of Sciences, 115(11), 2600–2606.</w:t>
      </w:r>
    </w:p>
    <w:p>
      <w:r>
        <w:t xml:space="preserve">　－ Simmons, J. P., Nelson, L. D., &amp; Simonsohn, U. (2011). False-positive psychology: Undisclosed flexibility in data collection and analysis allows presenting anything as significant. Psychological Science, 22(11), 1359–1366.</w:t>
      </w:r>
    </w:p>
    <w:p>
      <w:pPr>
        <w:pStyle w:val="ListBullet"/>
      </w:pPr>
      <w:r>
        <w:t>依 Crossref 補正 7 筆既有書目：Duong et al. 與 X. Li et al. 補齊全部作者（原為 et al.）；Y. Liu et al. 改為 2026, 37(2), 824-841；Lu &amp; Li (2026) 21(6)；Zhou &amp; Li (2025) 20(3)；Meng (2026) 50(2)；Zheng et al. (2026) 63(2)。</w:t>
      </w:r>
    </w:p>
    <w:p>
      <w:pPr>
        <w:pStyle w:val="ListBullet"/>
      </w:pPr>
      <w:r>
        <w:t>「肆、參考文獻」中所有「–」改為半形「-」（含頁碼與標題）。清單依作者姓氏重新排序，每筆標題均連到主題資料夾 PDF（GitHub）或 DOI。</w:t>
      </w:r>
    </w:p>
    <w:p>
      <w:pPr>
        <w:pStyle w:val="Heading1"/>
      </w:pPr>
      <w:r>
        <w:t>三、擴充「一、研究計畫之背景」（規則 3）</w:t>
      </w:r>
    </w:p>
    <w:p>
      <w:r>
        <w:t>仿照 1.JPG 的寫法，以產業現況、具體數據與代表性案例鋪陳，關鍵論點加粗、段落結論加粗並加底線。所有數據均來自期刊論文（多為論文中引用的產業數據），未引用產業報告。新增 24 段，篇幅由約 4.5 頁擴充至約 10 頁（依作者版字數換算的估計值）。各子項新增重點：</w:t>
      </w:r>
    </w:p>
    <w:p>
      <w:pPr>
        <w:pStyle w:val="ListBullet"/>
      </w:pPr>
      <w:r>
        <w:t>開頭論述：直播電商規模（中國、美國、抖音）、社群商務與 IT 可供性機制、虛擬網紅（Lil Miquela、Imma、Lu do Magalu）的商業價值與爭議、網紅主播的成本結構、AI 走向銷售前線、AI 主播產值與京東劉強東數位人等案例、消費者接受度的分歧、退貨的成本與直播退貨問題、三種方法與三個品類的選擇理由。</w:t>
      </w:r>
    </w:p>
    <w:p>
      <w:pPr>
        <w:pStyle w:val="ListBullet"/>
      </w:pPr>
      <w:r>
        <w:t>第一至第三階段：補充各階段為何必要（AI 接受研究多用既有構念、演算法趨避與偏好並存、產品類型的關鍵性、直播顧客關係的脆弱性與真實購後資料的必要）。</w:t>
      </w:r>
    </w:p>
    <w:p>
      <w:pPr>
        <w:pStyle w:val="ListBullet"/>
      </w:pPr>
      <w:r>
        <w:t>研究缺口：四個缺口各加一段價值論述（直播研究僅 4.48% 以主播為對象、退貨對顧客關係的影響、AI 標示治理、多方法設計），並新增一段三層面研究價值總結。</w:t>
      </w:r>
    </w:p>
    <w:p>
      <w:pPr>
        <w:pStyle w:val="ListBullet"/>
      </w:pPr>
      <w:r>
        <w:t>研究計劃各階段問題與目的、主題與層次脈絡：補充台灣樣本的價值（消保法第 19 條七日解約權）、各階段產出的銜接與層次推進邏輯。</w:t>
      </w:r>
    </w:p>
    <w:p>
      <w:pPr>
        <w:pStyle w:val="Heading1"/>
      </w:pPr>
      <w:r>
        <w:t>四、擴充「四、國內外相關之文獻探討」（規則 4 與後續補充指示）</w:t>
      </w:r>
    </w:p>
    <w:p>
      <w:r>
        <w:t>以重組與補充並行，新增 13 段，篇幅由約 6 頁擴充至約 10 頁（估計值）。每段均有可查證的出處，未為增加頁數虛擬論述：</w:t>
      </w:r>
    </w:p>
    <w:p>
      <w:pPr>
        <w:pStyle w:val="ListBullet"/>
      </w:pPr>
      <w:r>
        <w:t>開頭段：缺口矩陣改為四個缺口並對應研究設計。</w:t>
      </w:r>
    </w:p>
    <w:p>
      <w:pPr>
        <w:pStyle w:val="ListBullet"/>
      </w:pPr>
      <w:r>
        <w:t>第一部分：直播電商研究全貌與擬社會互動、網紅行銷；虛擬主播實證（可信度、期望違背、化身擬真）；虛擬網紅比較證據；擬人化與心智知覺理論、服務機器人；AI 的道德與資訊揭露反應；MEC 分析程序與量化分群；遠距購物兩階段決策、退貨前因、後悔調節與直播退貨數據。</w:t>
      </w:r>
    </w:p>
    <w:p>
      <w:pPr>
        <w:pStyle w:val="ListBullet"/>
      </w:pPr>
      <w:r>
        <w:t>第二部分：演算法趨避／偏好與訴求框架匹配（H1、H2 理論基礎）；企業與品牌的溫暖／能力、說服知識可及性與心智知覺（H3、H4）；業配揭露整合分析與 AI 標示治理（H5、H6）。</w:t>
      </w:r>
    </w:p>
    <w:p>
      <w:pPr>
        <w:pStyle w:val="ListBullet"/>
      </w:pPr>
      <w:r>
        <w:t>第三部分：電子商務信任類型與社會臨場感；期望確認與持續使用、直播再購；測量恆等性與價值區隔（H11）。</w:t>
      </w:r>
    </w:p>
    <w:p>
      <w:pPr>
        <w:pStyle w:val="Heading1"/>
      </w:pPr>
      <w:r>
        <w:t>五、圖、表的可編輯性（規則 5）</w:t>
      </w:r>
    </w:p>
    <w:p>
      <w:pPr>
        <w:pStyle w:val="ListBullet"/>
      </w:pPr>
      <w:r>
        <w:t>4 張圖原為「內嵌群組」，已全部解散為獨立的浮動圖形（方塊、文字方塊、箭頭各自獨立），可個別點選、移動、改字、套用複製格式；圖形固定在一個保留圖高的段落，版面不會跑掉。圖 1 原本與圖說在同一段，已拆開為獨立圖說段落。</w:t>
      </w:r>
    </w:p>
    <w:p>
      <w:pPr>
        <w:pStyle w:val="ListBullet"/>
      </w:pPr>
      <w:r>
        <w:t>8 張表原本即為 Word 原生表格，維持可完整編輯；表 2 第一欄加寬以容納完整作者名。</w:t>
      </w:r>
    </w:p>
    <w:p>
      <w:pPr>
        <w:pStyle w:val="ListBullet"/>
      </w:pPr>
      <w:r>
        <w:t>圖形格式轉換本身無法用螢光標示；圖 3、圖 4 內修改的文字已以螢光標示。</w:t>
      </w:r>
    </w:p>
    <w:p>
      <w:pPr>
        <w:pStyle w:val="Heading1"/>
      </w:pPr>
      <w:r>
        <w:t>六、表 2 第一欄（規則 7）</w:t>
      </w:r>
    </w:p>
    <w:p>
      <w:pPr>
        <w:pStyle w:val="ListBullet"/>
      </w:pPr>
      <w:r>
        <w:t>「研究文獻」欄改為與參考文獻相同的作者表示方式，例如「Liu, Y., Wang, L., Yang, S., &amp; Wang, Y. (2026)」，並連到該文獻。</w:t>
      </w:r>
    </w:p>
    <w:p>
      <w:pPr>
        <w:pStyle w:val="Heading1"/>
      </w:pPr>
      <w:r>
        <w:t>七、圖表依全文順序重新編號（規則 8）</w:t>
      </w:r>
    </w:p>
    <w:p>
      <w:pPr>
        <w:pStyle w:val="ListBullet"/>
      </w:pPr>
      <w:r>
        <w:t>表：表 1 不變；表 4→表 2、表 5→表 3、表 6→表 4、表 7→表 5、表 8→表 6、表 9→表 7、表 10→表 8。</w:t>
      </w:r>
    </w:p>
    <w:p>
      <w:pPr>
        <w:pStyle w:val="ListBullet"/>
      </w:pPr>
      <w:r>
        <w:t>圖：圖 2→圖 1、圖 3→圖 2、圖 4→圖 3、圖 5→圖 4。內文所有「如表…」「見圖…」等引用已同步修正。</w:t>
      </w:r>
    </w:p>
    <w:p>
      <w:pPr>
        <w:pStyle w:val="Heading1"/>
      </w:pPr>
      <w:r>
        <w:t>八、新增參考文獻（55 篇）</w:t>
      </w:r>
    </w:p>
    <w:p>
      <w:r>
        <w:t xml:space="preserve">　Aaker, J., Vohs, K. D., &amp; Mogilner, C. (2010). Nonprofits are seen as warm and for-profits as competent: Firm stereotypes matter. Journal of Consumer Research, 37.</w:t>
      </w:r>
    </w:p>
    <w:p>
      <w:r>
        <w:t xml:space="preserve">　Abdulla, H., Ketzenberg, M., &amp; Abbey, J. D. (2019). Taking stock of consumer returns: A review and classification of the literature. Journal of Operations Management, 65.</w:t>
      </w:r>
    </w:p>
    <w:p>
      <w:r>
        <w:t xml:space="preserve">　Arsenyan, J., &amp; Mirowska, A. (2021). Almost human? A comparative case study on the social media presence of virtual influencers. International Journal of Human-Computer Studies, 155.</w:t>
      </w:r>
    </w:p>
    <w:p>
      <w:r>
        <w:t xml:space="preserve">　Babin, B. J., Darden, W. R., &amp; Griffin, M. (1994). Work and/or fun: Measuring hedonic and utilitarian shopping value. Journal of Consumer Research, 20.</w:t>
      </w:r>
    </w:p>
    <w:p>
      <w:r>
        <w:t xml:space="preserve">　Bechwati, N. N., &amp; Siegal, W. S. (2005). The impact of the prechoice process on product returns. Journal of Marketing Research, 42.</w:t>
      </w:r>
    </w:p>
    <w:p>
      <w:r>
        <w:t xml:space="preserve">　Bhattacherjee, A. (2001). Understanding information systems continuance: An expectation-confirmation model. MIS Quarterly, 25.</w:t>
      </w:r>
    </w:p>
    <w:p>
      <w:r>
        <w:t xml:space="preserve">　Boerman, S. C., Willemsen, L. M., &amp; Van Der Aa, E. P. (2017). "This post is sponsored": Effects of sponsorship disclosure on persuasion knowledge and electronic word of mouth in the context of Facebook. Journal of Interactive Marketing, 38.</w:t>
      </w:r>
    </w:p>
    <w:p>
      <w:r>
        <w:t xml:space="preserve">　Campbell, M. C., &amp; Kirmani, A. (2000). Consumers' use of persuasion knowledge: The effects of accessibility and cognitive capacity on perceptions of an influence agent. Journal of Consumer Research, 27.</w:t>
      </w:r>
    </w:p>
    <w:p>
      <w:r>
        <w:t xml:space="preserve">　Chen, Y., &amp; Li, X. (2024). Expectancy violations and discontinuance behavior in live-streaming commerce: Exploring human interactions with virtual streamers. Behavioral Sciences, 14.（主題資料夾已有 PDF）</w:t>
      </w:r>
    </w:p>
    <w:p>
      <w:r>
        <w:t xml:space="preserve">　Davenport, T., Guha, A., Grewal, D., &amp; Bressgott, T. (2020). How artificial intelligence will change the future of marketing. Journal of the Academy of Marketing Science, 48.</w:t>
      </w:r>
    </w:p>
    <w:p>
      <w:r>
        <w:t xml:space="preserve">　Davis, D. F., Golicic, S. L., &amp; Boerstler, C. N. (2011). Benefits and challenges of conducting multiple methods research in marketing. Journal of the Academy of Marketing Science, 39.</w:t>
      </w:r>
    </w:p>
    <w:p>
      <w:r>
        <w:t xml:space="preserve">　de Leeuw, S., Minguela-Rata, B., Sabet, E., Boter, J., &amp; Sigurðardóttir, R. (2016). Trade-offs in managing commercial consumer returns for online apparel retail. International Journal of Operations &amp; Production Management, 36.（主題資料夾已有 PDF）</w:t>
      </w:r>
    </w:p>
    <w:p>
      <w:r>
        <w:t xml:space="preserve">　Dietvorst, B. J., Simmons, J. P., &amp; Massey, C. (2015). Algorithm aversion: People erroneously avoid algorithms after seeing them err. Journal of Experimental Psychology: General, 144.</w:t>
      </w:r>
    </w:p>
    <w:p>
      <w:r>
        <w:t xml:space="preserve">　Dowling, G. R., &amp; Staelin, R. (1994). A model of perceived risk and intended risk-handling activity. Journal of Consumer Research, 21.（主題資料夾已有 PDF）</w:t>
      </w:r>
    </w:p>
    <w:p>
      <w:r>
        <w:t xml:space="preserve">　Eisend, M., van Reijmersdal, E. A., Boerman, S. C., &amp; Tarrahi, F. (2020). A meta-analysis of the effects of disclosing sponsored content. Journal of Advertising, 49.</w:t>
      </w:r>
    </w:p>
    <w:p>
      <w:r>
        <w:t xml:space="preserve">　Epley, N., Waytz, A., &amp; Cacioppo, J. T. (2007). On seeing human: A three-factor theory of anthropomorphism. Psychological Review, 114.</w:t>
      </w:r>
    </w:p>
    <w:p>
      <w:r>
        <w:t xml:space="preserve">　Fu, H., Shang, L., Lin, W., &amp; Du, H. S. (2026). Are consumers willing to disclose information to AI-based chatbot? The roles of anthropomorphism and regulatory focus. Journal of Consumer Behaviour, 25.（主題資料夾已有 PDF）</w:t>
      </w:r>
    </w:p>
    <w:p>
      <w:r>
        <w:t xml:space="preserve">　Gefen, D., &amp; Straub, D. W. (2004). Consumer trust in B2C e-commerce and the importance of social presence: Experiments in e-products and e-services. Omega, 32.</w:t>
      </w:r>
    </w:p>
    <w:p>
      <w:r>
        <w:t xml:space="preserve">　Gray, H. M., Gray, K., &amp; Wegner, D. M. (2007). Dimensions of mind perception. Science, 315.</w:t>
      </w:r>
    </w:p>
    <w:p>
      <w:r>
        <w:t xml:space="preserve">　Hajli, N. (2015). Social commerce constructs and consumer's intention to buy. International Journal of Information Management, 35.（主題資料夾已有 PDF）</w:t>
      </w:r>
    </w:p>
    <w:p>
      <w:r>
        <w:t xml:space="preserve">　Horton, D., &amp; Wohl, R. R. (1956). Mass communication and para-social interaction: Observations on intimacy at a distance. Psychiatry, 19.</w:t>
      </w:r>
    </w:p>
    <w:p>
      <w:r>
        <w:t xml:space="preserve">　Hughes, C., Swaminathan, V., &amp; Brooks, G. (2019). Driving brand engagement through online social influencers: An empirical investigation of sponsored blogging campaigns. Journal of Marketing, 83.</w:t>
      </w:r>
    </w:p>
    <w:p>
      <w:r>
        <w:t xml:space="preserve">　Inman, J. J., &amp; Zeelenberg, M. (2002). Regret in repeat purchase versus switching decisions: The attenuating role of decision justifiability. Journal of Consumer Research, 29.</w:t>
      </w:r>
    </w:p>
    <w:p>
      <w:r>
        <w:t xml:space="preserve">　Ji, X. (2024). Influence of virtual live streamers' credibility on online sales performance. SAGE Open, 14.（主題資料夾已有 PDF）</w:t>
      </w:r>
    </w:p>
    <w:p>
      <w:r>
        <w:t xml:space="preserve">　Kang, K., Lu, J., Guo, L., &amp; Li, W. (2021). The dynamic effect of interactivity on customer engagement behavior through tie strength: Evidence from live streaming commerce platforms. International Journal of Information Management, 56.</w:t>
      </w:r>
    </w:p>
    <w:p>
      <w:r>
        <w:t xml:space="preserve">　Kervyn, N., Fiske, S. T., &amp; Malone, C. (2012). Brands as intentional agents framework: How perceived intentions and ability can map brand perception. Journal of Consumer Psychology, 22.</w:t>
      </w:r>
    </w:p>
    <w:p>
      <w:r>
        <w:t xml:space="preserve">　Labrecque, L. I. (2014). Fostering consumer-brand relationships in social media environments: The role of parasocial interaction. Journal of Interactive Marketing, 28.</w:t>
      </w:r>
    </w:p>
    <w:p>
      <w:r>
        <w:t xml:space="preserve">　Leung, F. F., Gu, F. F., Li, Y., Zhang, J. Z., &amp; Palmatier, R. W. (2022). Influencer marketing effectiveness. Journal of Marketing, 86.</w:t>
      </w:r>
    </w:p>
    <w:p>
      <w:r>
        <w:t xml:space="preserve">　Li, J., Han, M., &amp; Yuan, Q. (2025). Love deepens hatred! AI immorality and users' love-becomes-hate phenomenon. Journal of Retailing and Consumer Services, 85.（主題資料夾已有 PDF）</w:t>
      </w:r>
    </w:p>
    <w:p>
      <w:r>
        <w:t xml:space="preserve">　Liang, T.-P., &amp; Turban, E. (2011). Introduction to the special issue social commerce: A research framework for social commerce. International Journal of Electronic Commerce, 16.（主題資料夾已有 PDF）</w:t>
      </w:r>
    </w:p>
    <w:p>
      <w:r>
        <w:t xml:space="preserve">　Logg, J. M., Minson, J. A., &amp; Moore, D. A. (2019). Algorithm appreciation: People prefer algorithmic to human judgment. Organizational Behavior and Human Decision Processes, 151.</w:t>
      </w:r>
    </w:p>
    <w:p>
      <w:r>
        <w:t xml:space="preserve">　Longoni, C., Bonezzi, A., &amp; Morewedge, C. K. (2019). Resistance to medical artificial intelligence. Journal of Consumer Research, 46.</w:t>
      </w:r>
    </w:p>
    <w:p>
      <w:r>
        <w:t xml:space="preserve">　Marjerison, R. K., Dong, H., Kim, J.-M., Zheng, H., Zhang, Y., &amp; Kuan, G. (2025). Understanding user acceptance of AI-driven chatbots in China's e-commerce: The roles of perceived authenticity, usefulness, and risk. Systems, 13.（主題資料夾已有 PDF）</w:t>
      </w:r>
    </w:p>
    <w:p>
      <w:r>
        <w:t xml:space="preserve">　Matthews, D., Cryer-Coupet, Q., &amp; Degirmencioglu, N. (2021). I wear, therefore I am: Investigating sneakerhead culture, social identity, and brand preference among men. Fashion and Textiles, 8.（主題資料夾已有 PDF）</w:t>
      </w:r>
    </w:p>
    <w:p>
      <w:r>
        <w:t xml:space="preserve">　McKnight, D. H., Choudhury, V., &amp; Kacmar, C. (2002). Developing and validating trust measures for e-commerce: An integrative typology. Information Systems Research, 13.</w:t>
      </w:r>
    </w:p>
    <w:p>
      <w:r>
        <w:t xml:space="preserve">　Mende, M., Scott, M. L., van Doorn, J., Grewal, D., &amp; Shanks, I. (2019). Service robots rising: How humanoid robots influence service experiences and elicit compensatory consumer responses. Journal of Marketing Research, 56.</w:t>
      </w:r>
    </w:p>
    <w:p>
      <w:r>
        <w:t xml:space="preserve">　Miao, F., Kozlenkova, I. V., Wang, H., Xie, T., &amp; Palmatier, R. W. (2022). An emerging theory of avatar marketing. Journal of Marketing, 86.</w:t>
      </w:r>
    </w:p>
    <w:p>
      <w:r>
        <w:t xml:space="preserve">　Minnema, A., Bijmolt, T. H. A., Gensler, S., &amp; Wiesel, T. (2016). To keep or not to keep: Effects of online customer reviews on product returns. Journal of Retailing, 92.</w:t>
      </w:r>
    </w:p>
    <w:p>
      <w:r>
        <w:t xml:space="preserve">　Pavlou, P. A. (2003). Consumer acceptance of electronic commerce: Integrating trust and risk with the technology acceptance model. International Journal of Electronic Commerce, 7.</w:t>
      </w:r>
    </w:p>
    <w:p>
      <w:r>
        <w:t xml:space="preserve">　Petersen, J. A., &amp; Kumar, V. (2009). Are product returns a necessary evil? Antecedents and consequences. Journal of Marketing, 73.</w:t>
      </w:r>
    </w:p>
    <w:p>
      <w:r>
        <w:t xml:space="preserve">　Rook, D. W. (1987). The buying impulse. Journal of Consumer Research, 14.</w:t>
      </w:r>
    </w:p>
    <w:p>
      <w:r>
        <w:t xml:space="preserve">　Sands, S., Ferraro, C., Demsar, V., &amp; Chandler, G. (2022). False idols: Unpacking the opportunities and challenges of falsity in the context of virtual influencers. Business Horizons, 65.</w:t>
      </w:r>
    </w:p>
    <w:p>
      <w:r>
        <w:t xml:space="preserve">　Steenkamp, J.-B. E. M., &amp; Baumgartner, H. (1998). Assessing measurement invariance in cross-national consumer research. Journal of Consumer Research, 25.</w:t>
      </w:r>
    </w:p>
    <w:p>
      <w:r>
        <w:t xml:space="preserve">　Stein, J.-P., Breves, P. L., &amp; Anders, N. (2024). Parasocial interactions with real and virtual influencers: The role of perceived similarity and human-likeness. New Media &amp; Society, 26.</w:t>
      </w:r>
    </w:p>
    <w:p>
      <w:r>
        <w:t xml:space="preserve">　Sun, Y., Shao, X., Li, X., Guo, Y., &amp; Nie, K. (2019). How live streaming influences purchase intentions in social commerce: An IT affordance perspective. Electronic Commerce Research and Applications, 37.</w:t>
      </w:r>
    </w:p>
    <w:p>
      <w:r>
        <w:t xml:space="preserve">　Sweeney, J. C., &amp; Soutar, G. N. (2001). Consumer perceived value: The development of a multiple item scale. Journal of Retailing, 77.</w:t>
      </w:r>
    </w:p>
    <w:p>
      <w:r>
        <w:t xml:space="preserve">　ter Hofstede, F., Audenaert, A., Steenkamp, J.-B. E. M., &amp; Wedel, M. (1998). An investigation into the association pattern technique as a quantitative approach to measuring means-end chains. International Journal of Research in Marketing, 15.（主題資料夾已有 PDF）</w:t>
      </w:r>
    </w:p>
    <w:p>
      <w:r>
        <w:t xml:space="preserve">　ter Hofstede, F., Steenkamp, J.-B. E. M., &amp; Wedel, M. (1999). International market segmentation based on consumer-product relations. Journal of Marketing Research, 36.（主題資料夾已有 PDF）</w:t>
      </w:r>
    </w:p>
    <w:p>
      <w:r>
        <w:t xml:space="preserve">　Thomas, V. L., &amp; Fowler, K. (2021). Close encounters of the AI kind: Use of AI influencers as brand endorsers. Journal of Advertising, 50.</w:t>
      </w:r>
    </w:p>
    <w:p>
      <w:r>
        <w:t xml:space="preserve">　van Doorn, J., Mende, M., Noble, S. M., Hulland, J., Ostrom, A. L., Grewal, D., &amp; Petersen, J. A. (2017). Domo arigato Mr. Roboto: Emergence of automated social presence in organizational frontlines and customers' service experiences. Journal of Service Research, 20.</w:t>
      </w:r>
    </w:p>
    <w:p>
      <w:r>
        <w:t xml:space="preserve">　Walsh, G., &amp; Möhring, M. (2017). Effectiveness of product return-prevention instruments: Empirical evidence. Electronic Markets, 27.（主題資料夾已有 PDF）</w:t>
      </w:r>
    </w:p>
    <w:p>
      <w:r>
        <w:t xml:space="preserve">　Wirtz, J., Patterson, P. G., Kunz, W. H., Gruber, T., Lu, V. N., Paluch, S., &amp; Martins, A. (2018). Brave new world: Service robots in the frontline. Journal of Service Management, 29.</w:t>
      </w:r>
    </w:p>
    <w:p>
      <w:r>
        <w:t xml:space="preserve">　Wood, S. L. (2001). Remote purchase environments: The influence of return policy leniency on two-stage decision processes. Journal of Marketing Research, 38.</w:t>
      </w:r>
    </w:p>
    <w:p>
      <w:r>
        <w:t xml:space="preserve">　Zeelenberg, M., &amp; Pieters, R. (2007). A theory of regret regulation 1.0. Journal of Consumer Psychology, 17.</w:t>
      </w:r>
    </w:p>
    <w:p>
      <w:r>
        <w:t xml:space="preserve">　Zeithaml, V. A. (1988). Consumer perceptions of price, quality, and value: A means-end model and synthesis of evidence. Journal of Marketing, 52.</w:t>
      </w:r>
    </w:p>
    <w:p>
      <w:pPr>
        <w:pStyle w:val="Heading1"/>
      </w:pPr>
      <w:r>
        <w:t>九、注意事項</w:t>
      </w:r>
    </w:p>
    <w:p>
      <w:pPr>
        <w:pStyle w:val="ListBullet"/>
      </w:pPr>
      <w:r>
        <w:t>頁數為依作者版字數換算的估計值（作者版背景 4.5 頁、文獻探討約 6 頁），未能以 Word 實際排版確認；請開啟 Word 檔確認，若需微調可再告知。</w:t>
      </w:r>
    </w:p>
    <w:p>
      <w:pPr>
        <w:pStyle w:val="ListBullet"/>
      </w:pPr>
      <w:r>
        <w:t>作者版中原有的黃色螢光（作者標記待處理處）已移除，現有螢光全部代表本次修訂。</w:t>
      </w:r>
    </w:p>
    <w:p>
      <w:pPr>
        <w:pStyle w:val="ListBullet"/>
      </w:pPr>
      <w:r>
        <w:t>網頁版沿用原工具產生，圖以 SVG 呈現；網頁版不顯示螢光。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