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plan-2 修改重點摘要（1031-0646）</w:t>
      </w:r>
    </w:p>
    <w:p>
      <w:r>
        <w:t>修訂底稿：作者版「1029-2318_兩年期研究計畫書-R2(OK).docx」（僅以此檔為依據，未使用先前產出的版本）。產出：1031-0646_兩年期研究計畫書.docx（含同名網頁版）、1031-0646_待下載文獻清單.docx、1031-0646_各主題資料夾文獻數量.docx。所有新增或變更的文字均以黃色螢光標示；純刪除無法標示，以螢光標在刪除處的相鄰字，並列於本摘要。編修幅度為中度：不新增論點與文獻。</w:t>
      </w:r>
    </w:p>
    <w:p>
      <w:pPr>
        <w:pStyle w:val="Heading1"/>
      </w:pPr>
      <w:r>
        <w:t>一、語意、語病與標點修正</w:t>
      </w:r>
    </w:p>
    <w:p>
      <w:pPr>
        <w:pStyle w:val="ListBullet"/>
      </w:pPr>
      <w:r>
        <w:t>背景：「它是否真的可以銷售提高」→「它是否真的能提高銷售」；Xiao et al. 一句改為「並經由『不夠溫暖』與『不夠專業』的知覺形成」；「依研究的估計」→「依其估計」；「以中國為例， 2020 年」刪除多餘空格。</w:t>
      </w:r>
    </w:p>
    <w:p>
      <w:pPr>
        <w:pStyle w:val="ListBullet"/>
      </w:pPr>
      <w:r>
        <w:t>背景：虛擬人物段落結論改寫為「現有研究仍多停留在喜好與購買意圖；消費者向非人類購買時的價值判斷與購後結果，仍缺乏系統性的解答。這正是本計畫比較 AI 與真人主播的價值所在，也是本研究欲填補的缺口。」</w:t>
      </w:r>
    </w:p>
    <w:p>
      <w:pPr>
        <w:pStyle w:val="ListBullet"/>
      </w:pPr>
      <w:r>
        <w:t>背景：「第二為美妝與個人護理(Gu…」→「其次為美妝與個人護理 (Gu…」；「才能知道AI 主播…究竟代表意義」→「才能了解 AI 主播對不同消費者究竟代表什麼意義」。</w:t>
      </w:r>
    </w:p>
    <w:p>
      <w:pPr>
        <w:pStyle w:val="ListBullet"/>
      </w:pPr>
      <w:r>
        <w:t>第二階段說明：「而AI 主播是否具說服力，除了主播本身外…不只是主播是不是 AI 本身」去除贅字，改為「因此，AI 主播是否具說服力…而不只取決於主播是不是 AI」。</w:t>
      </w:r>
    </w:p>
    <w:p>
      <w:pPr>
        <w:pStyle w:val="ListBullet"/>
      </w:pPr>
      <w:r>
        <w:t>揭露段落：Eisend et al. (2020) 在相鄰兩段重複敘述同一發現，第二次改為「此外，揭露的效果也取決於訊息來源是名人或品牌」；「如何揭露」句改用冒號銜接並補「問題」。</w:t>
      </w:r>
    </w:p>
    <w:p>
      <w:pPr>
        <w:pStyle w:val="ListBullet"/>
      </w:pPr>
      <w:r>
        <w:t>「本階段的另一項重點，把這個機制延伸到購後」補「是」並改為問句（「…退貨？此一問題目前尚未被檢驗」）。</w:t>
      </w:r>
    </w:p>
    <w:p>
      <w:pPr>
        <w:pStyle w:val="ListBullet"/>
      </w:pPr>
      <w:r>
        <w:t>研究缺口：原第三段同時包含第三、第四缺口，拆成兩段（第四缺口自「最後，」起獨立成段）；「如何揭露AI」補空格。</w:t>
      </w:r>
    </w:p>
    <w:p>
      <w:pPr>
        <w:pStyle w:val="ListBullet"/>
      </w:pPr>
      <w:r>
        <w:t>原創性與影響性：「以第一階段的價值鏈成為…」→「使第一階段的價值鏈成為第二階段的訴求框架、第一階段的量表成為第三階段的分組依據，藉此串連三個研究」；「提供資源受限的中小企業低成本的主播，與價值訴求框架決策工具」→「為資源受限的中小企業提供低成本的主播選擇與價值訴求框架決策工具」；「以降低退貨減少逆向物流」→「並藉由降低退貨減少逆向物流」（兩處）。</w:t>
      </w:r>
    </w:p>
    <w:p>
      <w:pPr>
        <w:pStyle w:val="ListBullet"/>
      </w:pPr>
      <w:r>
        <w:t>文獻探討：「(Leung et al., 2022). 然而」英文句點改為「。」；「誰來賣」「真實的假人」「新奇有效／詭異欺騙」「怎麼做」「機器口碑」加引號；多處多餘逗號（人類知識、智慧層級、動機能減弱、較少被解讀、共同決定消費者…）修正；Blut et al. 為整合分析，「研究分析顯示」改為「整合分析顯示」。</w:t>
      </w:r>
    </w:p>
    <w:p>
      <w:pPr>
        <w:pStyle w:val="ListBullet"/>
      </w:pPr>
      <w:r>
        <w:t>後悔與退貨段：「撤銷已做決定，調節後悔」→「撤銷已做的決定、以調節後悔」；「退貨率低／高」→「降低／提高」；刪除下一段重複的 Hu (2027) 研究發現（同一數據已在前段詳述）。</w:t>
      </w:r>
    </w:p>
    <w:p>
      <w:pPr>
        <w:pStyle w:val="ListBullet"/>
      </w:pPr>
      <w:r>
        <w:t>說服意圖段：「可推論出真人主播的即時說服，會提高購前期望」改為「另一方面，直播中的即時說服會使購前期望超過產品實際表現，進而提高退貨」，避免把 Feng et al. 的發現誤寫為真人與 AI 的比較。</w:t>
      </w:r>
    </w:p>
    <w:p>
      <w:pPr>
        <w:pStyle w:val="ListBullet"/>
      </w:pPr>
      <w:r>
        <w:t>軟式／硬式階梯法的比較原引 ter Hofstede et al. (1998)（該文為關聯模式技術），改引 Grunert and Grunert (1995)，與研究方法一節一致；ter Hofstede et al. (1998) 仍在下一句引用。</w:t>
      </w:r>
    </w:p>
    <w:p>
      <w:pPr>
        <w:pStyle w:val="ListBullet"/>
      </w:pPr>
      <w:r>
        <w:t>研究方法：共同基礎「如下，」→「如下：」，共同量表補「包括」並將逗號改為頓號；「1. 以在直播中…」補上缺少的前引號；研究 2a 日期句改為「…前測，2028.05–2028.06 正式施測」；「見表6」→「見表 6」；「研究 3c的」補空格。</w:t>
      </w:r>
    </w:p>
    <w:p>
      <w:pPr>
        <w:pStyle w:val="ListBullet"/>
      </w:pPr>
      <w:r>
        <w:t>參、成果：「假設之建構」→「假說之建構」（全文一致用「假說」）；「SPSS、R 或 SmartPLS」→「SPSS、R（lavaan）或 Mplus」（第三階段以 WLSMV 估計共變數式 SEM，SmartPLS 不支援）；「三個階段形成結果，可投稿」→「三個階段的研究結果，可分別投稿」；「研究三階段，使本計畫…」→「三階段研究環環相扣，使本計畫…」。</w:t>
      </w:r>
    </w:p>
    <w:p>
      <w:pPr>
        <w:pStyle w:val="ListBullet"/>
      </w:pPr>
      <w:r>
        <w:t>圖 1 圖說「圖 1　 AI」刪除多餘空格；圖 2 標題「購後後果」改為與計畫名稱一致的「購後結果」。</w:t>
      </w:r>
    </w:p>
    <w:p>
      <w:pPr>
        <w:pStyle w:val="Heading1"/>
      </w:pPr>
      <w:r>
        <w:t>二、前後一致性</w:t>
      </w:r>
    </w:p>
    <w:p>
      <w:pPr>
        <w:pStyle w:val="ListBullet"/>
      </w:pPr>
      <w:r>
        <w:t>第二階段理論：背景寫「社會知覺與說服知識理論」，表 1 與文獻探討為「社會知覺、說服知識與後悔理論」，背景已補齊。</w:t>
      </w:r>
    </w:p>
    <w:p>
      <w:pPr>
        <w:pStyle w:val="ListBullet"/>
      </w:pPr>
      <w:r>
        <w:t>H4：文獻探討「預期後悔及退貨意圖」統一為假說清單的「預期後悔與退貨意圖」。</w:t>
      </w:r>
    </w:p>
    <w:p>
      <w:pPr>
        <w:pStyle w:val="ListBullet"/>
      </w:pPr>
      <w:r>
        <w:t>H10、H11：文獻探討與假說清單兩處用字不同，統一為「…能力感對信任的影響較強，…溫暖感對信任的影響較強」（與 H7 的依變數一致）。</w:t>
      </w:r>
    </w:p>
    <w:p>
      <w:pPr>
        <w:pStyle w:val="ListBullet"/>
      </w:pPr>
      <w:r>
        <w:t>第一階段：原寫「分為三個研究」只列 1a、1b、1e，補充「研究 1c、1d 為資料分析，見本節第 4 點」。</w:t>
      </w:r>
    </w:p>
    <w:p>
      <w:pPr>
        <w:pStyle w:val="ListBullet"/>
      </w:pPr>
      <w:r>
        <w:t>第三階段：資料分析提到「研究 3c」但研究設計未定義，新增「(3) 研究 3c：SEM 與多群組 SEM 分析（2029.05–2029.07）」一段。</w:t>
      </w:r>
    </w:p>
    <w:p>
      <w:pPr>
        <w:pStyle w:val="ListBullet"/>
      </w:pPr>
      <w:r>
        <w:t>多群組 SEM：文獻探討指出須先檢驗測量恆等性，分析步驟原未提及，補為「先依序檢驗形貌、量尺與截距恆等性 (Cheung &amp; Rensvold, 2002)，再以路徑係數差異檢定 H10 與 H11」。</w:t>
      </w:r>
    </w:p>
    <w:p>
      <w:pPr>
        <w:pStyle w:val="ListBullet"/>
      </w:pPr>
      <w:r>
        <w:t>線性混合模型句補上推論對象：「使結論可推廣至其他品類與產品」。</w:t>
      </w:r>
    </w:p>
    <w:p>
      <w:pPr>
        <w:pStyle w:val="Heading1"/>
      </w:pPr>
      <w:r>
        <w:t>三、時程統一修正（依您選擇的「統一修正」）</w:t>
      </w:r>
    </w:p>
    <w:p>
      <w:pPr>
        <w:pStyle w:val="ListBullet"/>
      </w:pPr>
      <w:r>
        <w:t>第三階段：量表與問卷設計 2028.11–2028.12、前測 2029.01、研究 3a 調查 2029.01–2029.03、研究 3b 退貨追蹤 2029.04–2029.06、研究 3c 分析 2029.05–2029.07。原 3a（2028.11–2029.03）與問卷設計、前測重疊。</w:t>
      </w:r>
    </w:p>
    <w:p>
      <w:pPr>
        <w:pStyle w:val="ListBullet"/>
      </w:pPr>
      <w:r>
        <w:t>研究 2b、2c 結束月份統一為 2028.09（原內文 2028.10、圖 5 為 2028.09）；第二階段整體仍為 2028.02–2028.10（含一週後追蹤與分析）。</w:t>
      </w:r>
    </w:p>
    <w:p>
      <w:pPr>
        <w:pStyle w:val="ListBullet"/>
      </w:pPr>
      <w:r>
        <w:t>圖 5 進行步驟圖的三個日期同步修正；日期中的半形「-」改為全文一致的「–」。</w:t>
      </w:r>
    </w:p>
    <w:p>
      <w:pPr>
        <w:pStyle w:val="ListBullet"/>
      </w:pPr>
      <w:r>
        <w:t>表 8 甘特圖：原第三階段色塊整體錯位一季（問卷設計標在第一年 Q4–第二年 Q1、3a 標在第二年 Q1–Q2）。已依新時程重設：2b/2c 為第一年 Q4–第二年 Q1；問卷設計與前測為第二年 Q2；3a 為第二年 Q2–Q3；3c 為第二年 Q4。色塊無法加螢光，改以螢光標示這四列的工作項目名稱。</w:t>
      </w:r>
    </w:p>
    <w:p>
      <w:pPr>
        <w:pStyle w:val="Heading1"/>
      </w:pPr>
      <w:r>
        <w:t>四、引用格式（APA 7）</w:t>
      </w:r>
    </w:p>
    <w:p>
      <w:pPr>
        <w:pStyle w:val="ListBullet"/>
      </w:pPr>
      <w:r>
        <w:t>敘述式引用的兩位作者改用 and、括號內引用維持 &amp;：例如 Brüns and Meißner (2024)、Kirk and Givi (2025)、Kilwinger and van Dam (2021)、Perreault and Leigh (1989)，表 6、表 7 參考出處欄與圖 4 理論基礎同步修正。</w:t>
      </w:r>
    </w:p>
    <w:p>
      <w:pPr>
        <w:pStyle w:val="ListBullet"/>
      </w:pPr>
      <w:r>
        <w:t>依您的選擇，同形引用 Li et al. (2025)（3 篇）與 Liu et al. (2025)（2 篇）維持原樣。</w:t>
      </w:r>
    </w:p>
    <w:p>
      <w:pPr>
        <w:pStyle w:val="ListBullet"/>
      </w:pPr>
      <w:r>
        <w:t>括號內多筆引用的排列順序維持作者原順序（未改為字母順序）。</w:t>
      </w:r>
    </w:p>
    <w:p>
      <w:pPr>
        <w:pStyle w:val="Heading1"/>
      </w:pPr>
      <w:r>
        <w:t>五、參考文獻重新整理</w:t>
      </w:r>
    </w:p>
    <w:p>
      <w:pPr>
        <w:pStyle w:val="ListBullet"/>
      </w:pPr>
      <w:r>
        <w:t>依 R2 內文重新比對：參考文獻由 140 篇調整為 137 篇，內文引用與清單一一對應，無缺漏、無多餘。</w:t>
      </w:r>
    </w:p>
    <w:p>
      <w:pPr>
        <w:pStyle w:val="ListBullet"/>
      </w:pPr>
      <w:r>
        <w:t>刪除內文已不再引用的 3 篇（依您的選擇）：Bohacek, M., &amp; Farid, H. (2024)；Inman, J. J., &amp; Zeelenberg, M. (2002)；Longoni, C., Bonezzi, A., &amp; Morewedge, C. K. (2019)。</w:t>
      </w:r>
    </w:p>
    <w:p>
      <w:pPr>
        <w:pStyle w:val="ListBullet"/>
      </w:pPr>
      <w:r>
        <w:t>標題以問號結尾者刪除多餘句點（Chang et al., 2025；Franke et al., 2023；Kobuszewki Volles et al., 2024）；Cheng et al.、De Cicco et al.、Li, X. et al. 標題中的彎引號改為直引號，與其他條目一致。</w:t>
      </w:r>
    </w:p>
    <w:p>
      <w:pPr>
        <w:pStyle w:val="ListBullet"/>
      </w:pPr>
      <w:r>
        <w:t>排序修正：Gefen, Karahanna, &amp; Straub (2003) 移到 Gefen &amp; Straub (2004) 之前（同第一作者依第二作者姓氏排序）。</w:t>
      </w:r>
    </w:p>
    <w:p>
      <w:pPr>
        <w:pStyle w:val="ListBullet"/>
      </w:pPr>
      <w:r>
        <w:t>以 Crossref 再次核對：Kobuszewki Volles (2024)（拼法與 Crossref 相同）、Li, T. et al. (2025)（Internet Research 仍為線上優先刊出，無卷期）、Hu (2027) 95, 105145、Chen et al. (2026) 90, 104683，書目均正確。</w:t>
      </w:r>
    </w:p>
    <w:p>
      <w:pPr>
        <w:pStyle w:val="ListBullet"/>
      </w:pPr>
      <w:r>
        <w:t>連結：內文 6 筆引用（Arsenyan &amp; Mirowska 2021、Dietvorst et al. 2015、Thomas &amp; Fowler 2021、Zeelenberg &amp; Pieters 2007、Bechwati &amp; Siegal 2005、Gefen et al. 2003）原連到 DOI，已改連到主題資料夾 PDF；137 篇全部連到 GitHub 上的 PDF，待下載文獻為 0 篇。</w:t>
      </w:r>
    </w:p>
    <w:p>
      <w:pPr>
        <w:pStyle w:val="Heading1"/>
      </w:pPr>
      <w:r>
        <w:t>六、資料夾文獻數量（本次無增刪）</w:t>
      </w:r>
    </w:p>
    <w:p>
      <w:pPr>
        <w:pStyle w:val="ListBullet"/>
      </w:pPr>
      <w:r>
        <w:t>五個主題資料夾共 386 篇 PDF；plan-2 引用 137 篇（主題一 33、主題二 57、主題三 21、主題四 16、主題五 10），plan-1 引用 103 篇，任一計畫引用 203 篇，兩份均未引用 183 篇；預印本 2 篇（皆未被 plan-2 引用）。</w:t>
      </w:r>
    </w:p>
    <w:p>
      <w:pPr>
        <w:pStyle w:val="Heading1"/>
      </w:pPr>
      <w:r>
        <w:t>七、注意事項</w:t>
      </w:r>
    </w:p>
    <w:p>
      <w:pPr>
        <w:pStyle w:val="ListBullet"/>
      </w:pPr>
      <w:r>
        <w:t>未以 Word 實際開啟檢查排版；表 8 色塊與圖 5 文字請在 Word 中目視確認。</w:t>
      </w:r>
    </w:p>
    <w:p>
      <w:pPr>
        <w:pStyle w:val="ListBullet"/>
      </w:pPr>
      <w:r>
        <w:t>網頁版不顯示螢光，請以 Word 檔查看修改處。</w:t>
      </w:r>
    </w:p>
    <w:p>
      <w:pPr>
        <w:pStyle w:val="ListBullet"/>
      </w:pPr>
      <w:r>
        <w:t>「實驗變數操作型定義與衡量方式，見表 6。」段首的空白為作者原排版，未更動。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