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H02 - UI UX Designer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UI/UX Designer với các nội dung sau đây.</w:t>
      </w:r>
    </w:p>
    <w:p>
      <w:r>
        <w:rPr>
          <w:b/>
        </w:rPr>
        <w:t>Điều 1. Phạm vi công việc</w:t>
      </w:r>
    </w:p>
    <w:p>
      <w:r>
        <w:t>Người lao động thiết kế giao diện, prototype và duy trì design system cho các sản phẩm số của công ty.</w:t>
      </w:r>
    </w:p>
    <w:p>
      <w:r>
        <w:rPr>
          <w:b/>
        </w:rPr>
        <w:t>Điều 2. Giai đoạn ban đầu</w:t>
      </w:r>
    </w:p>
    <w:p>
      <w:r>
        <w:t>Trong 60 ngày đầu kể từ ngày nhận việc, người lao động thực hiện đầy đủ nhiệm vụ của vị trí UI/UX Designer.</w:t>
      </w:r>
    </w:p>
    <w:p>
      <w:r>
        <w:t>Cuối giai đoạn này, công ty đánh giá khả năng đáp ứng yêu cầu về chất lượng thiết kế, phối hợp và tiến độ.</w:t>
      </w:r>
    </w:p>
    <w:p>
      <w:r>
        <w:t>Nếu đạt yêu cầu, người lao động tiếp tục thực hiện hợp đồng theo các điều khoản đã thống nhất.</w:t>
      </w:r>
    </w:p>
    <w:p>
      <w:r>
        <w:rPr>
          <w:b/>
        </w:rPr>
        <w:t>Điều 3. Thời hạn</w:t>
      </w:r>
    </w:p>
    <w:p>
      <w:r>
        <w:t>Thỏa thuận lao động có thời hạn 18 tháng kể từ ngày bắt đầu công việc.</w:t>
      </w:r>
    </w:p>
    <w:p>
      <w:r>
        <w:rPr>
          <w:b/>
        </w:rPr>
        <w:t>Điều 4. Quyền lợi</w:t>
      </w:r>
    </w:p>
    <w:p>
      <w:r>
        <w:t>Khoản thanh toán cố định cho công việc là 19.500.000 đồng mỗi tháng.</w:t>
      </w:r>
    </w:p>
    <w:p>
      <w:r>
        <w:t>Người lao động được hỗ trợ thiết bị 500.000 đồng mỗi tháng.</w:t>
      </w:r>
    </w:p>
    <w:p>
      <w:r>
        <w:t>Các khoản trên được chuyển vào tài khoản cá nhân vào ngày 05 hằng tháng.</w:t>
      </w:r>
    </w:p>
    <w:p>
      <w:r>
        <w:rPr>
          <w:b/>
        </w:rPr>
        <w:t>Điều 5. Tổ chức công việc</w:t>
      </w:r>
    </w:p>
    <w:p>
      <w:r>
        <w:t>Người lao động thực hiện nhiệm vụ từ 09:00 đến 18:00 từ thứ Hai đến thứ Sáu.</w:t>
      </w:r>
    </w:p>
    <w:p>
      <w:r>
        <w:t>Khoảng thời gian 12:00 đến 13:00 được dành cho nghỉ trưa.</w:t>
      </w:r>
    </w:p>
    <w:p>
      <w:r>
        <w:rPr>
          <w:b/>
        </w:rPr>
        <w:t>Điều 6. Sở hữu trí tuệ</w:t>
      </w:r>
    </w:p>
    <w:p>
      <w:r>
        <w:t>Các bản thiết kế và tài sản sáng tạo hình thành trong quá trình thực hiện nhiệm vụ thuộc phạm vi quản lý của công ty.</w:t>
      </w:r>
    </w:p>
    <w:p>
      <w:r>
        <w:rPr>
          <w:b/>
        </w:rPr>
        <w:t>Điều 7. Khi quan hệ lao động kết thúc</w:t>
      </w:r>
    </w:p>
    <w:p>
      <w:r>
        <w:t>Một bên có thể kết thúc quan hệ lao động trước thời hạn khi có căn cứ phù hợp với thỏa thuận và quy định áp dụng.</w:t>
      </w:r>
    </w:p>
    <w:p>
      <w:r>
        <w:t>Bên thực hiện việc kết thúc phải gửi thông báo trong thời gian phù hợp trước ngày dự kiến kết thúc.</w:t>
      </w:r>
    </w:p>
    <w:p>
      <w:r>
        <w:t>Người lao động hoàn tất bàn giao file thiết kế, tài liệu và quyền truy cập trước ngày cuối cùng.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