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HỢP ĐỒNG LAO ĐỘNG</w:t>
      </w:r>
    </w:p>
    <w:p>
      <w:pPr>
        <w:jc w:val="center"/>
      </w:pPr>
      <w:r>
        <w:rPr>
          <w:b/>
        </w:rPr>
        <w:t>H04 - Customer Support</w:t>
      </w:r>
    </w:p>
    <w:p>
      <w:r>
        <w:t>BÊN A: CÔNG TY TNHH DEMO HELDOUT VIỆT NAM</w:t>
      </w:r>
    </w:p>
    <w:p>
      <w:r>
        <w:t>BÊN B: NGƯỜI LAO ĐỘNG</w:t>
      </w:r>
    </w:p>
    <w:p>
      <w:r>
        <w:t>Hai bên thống nhất ký hợp đồng lao động cho vị trí Customer Support với các nội dung sau đây.</w:t>
      </w:r>
    </w:p>
    <w:p>
      <w:r>
        <w:rPr>
          <w:b/>
        </w:rPr>
        <w:t>Điều 1. Công việc</w:t>
      </w:r>
    </w:p>
    <w:p>
      <w:r>
        <w:t>Người lao động hỗ trợ khách hàng qua điện thoại, email và kênh chat.</w:t>
      </w:r>
    </w:p>
    <w:p>
      <w:r>
        <w:rPr>
          <w:b/>
        </w:rPr>
        <w:t>Điều 2. Giai đoạn làm quen công việc</w:t>
      </w:r>
    </w:p>
    <w:p>
      <w:r>
        <w:t>Trong 30 ngày đầu kể từ ngày nhận việc, người lao động được hướng dẫn quy trình và thực hiện các yêu cầu hỗ trợ thực tế.</w:t>
      </w:r>
    </w:p>
    <w:p>
      <w:r>
        <w:t>Khả năng xử lý yêu cầu và chất lượng giao tiếp được đánh giá cuối giai đoạn.</w:t>
      </w:r>
    </w:p>
    <w:p>
      <w:r>
        <w:t>Kết quả đánh giá được sử dụng để quyết định việc tiếp tục bố trí người lao động vào vị trí.</w:t>
      </w:r>
    </w:p>
    <w:p>
      <w:r>
        <w:rPr>
          <w:b/>
        </w:rPr>
        <w:t>Điều 3. Thu nhập</w:t>
      </w:r>
    </w:p>
    <w:p>
      <w:r>
        <w:t>Khoản thu nhập cố định là 13.500.000 đồng/tháng.</w:t>
      </w:r>
    </w:p>
    <w:p>
      <w:r>
        <w:t>Hỗ trợ điện thoại là 400.000 đồng/tháng.</w:t>
      </w:r>
    </w:p>
    <w:p>
      <w:r>
        <w:t>Khoản thu nhập được chuyển vào tài khoản vào ngày 07 hằng tháng.</w:t>
      </w:r>
    </w:p>
    <w:p>
      <w:r>
        <w:rPr>
          <w:b/>
        </w:rPr>
        <w:t>Điều 4. Lịch phục vụ khách hàng</w:t>
      </w:r>
    </w:p>
    <w:p>
      <w:r>
        <w:t>Ca sáng từ 07:00 đến 15:00 và ca chiều từ 15:00 đến 23:00.</w:t>
      </w:r>
    </w:p>
    <w:p>
      <w:r>
        <w:t>Nhân sự được bố trí luân phiên giữa các ca theo lịch hằng tuần.</w:t>
      </w:r>
    </w:p>
    <w:p>
      <w:r>
        <w:t>Mỗi ca có thời gian nghỉ giữa ca theo lịch vận hành.</w:t>
      </w:r>
    </w:p>
    <w:p>
      <w:r>
        <w:rPr>
          <w:b/>
        </w:rPr>
        <w:t>Điều 5. Thiết bị</w:t>
      </w:r>
    </w:p>
    <w:p>
      <w:r>
        <w:t>Tai nghe và máy tính xách tay do công ty cấp phải được hoàn trả khi hợp đồng chấm dứt.</w:t>
      </w:r>
    </w:p>
    <w:p>
      <w:r>
        <w:rPr>
          <w:b/>
        </w:rPr>
        <w:t>Điều 6. Bảo mật</w:t>
      </w:r>
    </w:p>
    <w:p>
      <w:r>
        <w:t>Thông tin khách hàng và dữ liệu nội bộ phải được bảo mật.</w:t>
      </w:r>
    </w:p>
    <w:p>
      <w:r>
        <w:rPr>
          <w:b/>
        </w:rPr>
        <w:t>Điều 7. Kết thúc hợp đồng</w:t>
      </w:r>
    </w:p>
    <w:p>
      <w:r>
        <w:t>Hợp đồng có thể kết thúc theo các căn cứ được pháp luật và thỏa thuận giữa hai bên cho phép.</w:t>
      </w:r>
    </w:p>
    <w:p>
      <w:r>
        <w:t>Bên thực hiện quyền kết thúc phải tuân thủ thời gian thông báo tương ứng.</w:t>
      </w:r>
    </w:p>
    <w:p>
      <w:r>
        <w:t>Người lao động phải hoàn tất việc bàn giao hồ sơ khách hàng.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