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H06 - Security Analyst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Security Analyst với các nội dung sau đây.</w:t>
      </w:r>
    </w:p>
    <w:p>
      <w:r>
        <w:rPr>
          <w:b/>
        </w:rPr>
        <w:t>Điều 1. Nhiệm vụ</w:t>
      </w:r>
    </w:p>
    <w:p>
      <w:r>
        <w:t>Người lao động giám sát SOC, xử lý cảnh báo và phối hợp ứng phó sự cố an toàn thông tin.</w:t>
      </w:r>
    </w:p>
    <w:p>
      <w:r>
        <w:rPr>
          <w:b/>
        </w:rPr>
        <w:t>Điều 2. Thời gian đánh giá ban đầu</w:t>
      </w:r>
    </w:p>
    <w:p>
      <w:r>
        <w:t>Trong 60 ngày đầu, người lao động thực hiện đầy đủ nhiệm vụ của vị trí Security Analyst.</w:t>
      </w:r>
    </w:p>
    <w:p>
      <w:r>
        <w:t>Kỹ năng phân tích sự cố và xử lý cảnh báo được đánh giá cuối giai đoạn.</w:t>
      </w:r>
    </w:p>
    <w:p>
      <w:r>
        <w:t>Nếu đáp ứng yêu cầu, người lao động tiếp tục đảm nhiệm vị trí.</w:t>
      </w:r>
    </w:p>
    <w:p>
      <w:r>
        <w:rPr>
          <w:b/>
        </w:rPr>
        <w:t>Điều 3. Thu nhập</w:t>
      </w:r>
    </w:p>
    <w:p>
      <w:r>
        <w:t>Khoản thu nhập cố định là 24.000.000 đồng/tháng.</w:t>
      </w:r>
    </w:p>
    <w:p>
      <w:r>
        <w:t>Khoản này được thanh toán qua tài khoản vào ngày 05 hằng tháng.</w:t>
      </w:r>
    </w:p>
    <w:p>
      <w:r>
        <w:rPr>
          <w:b/>
        </w:rPr>
        <w:t>Điều 4. Lịch công tác</w:t>
      </w:r>
    </w:p>
    <w:p>
      <w:r>
        <w:t>Người lao động làm việc 08 giờ/ngày, từ thứ Hai đến thứ Sáu.</w:t>
      </w:r>
    </w:p>
    <w:p>
      <w:r>
        <w:t>Thời gian làm việc thông thường từ 09:00 đến 18:00.</w:t>
      </w:r>
    </w:p>
    <w:p>
      <w:r>
        <w:rPr>
          <w:b/>
        </w:rPr>
        <w:t>Điều 5. Quản lý tài khoản và thiết bị</w:t>
      </w:r>
    </w:p>
    <w:p>
      <w:r>
        <w:t>Tài khoản đặc quyền và thiết bị được thu hồi khi quan hệ lao động kết thúc.</w:t>
      </w:r>
    </w:p>
    <w:p>
      <w:r>
        <w:rPr>
          <w:b/>
        </w:rPr>
        <w:t>Điều 6. Điều khoản áp dụng</w:t>
      </w:r>
    </w:p>
    <w:p>
      <w:r>
        <w:t>Việc kết thúc hợp đồng được thực hiện theo Điều 8 của hợp đồng này.</w:t>
      </w:r>
    </w:p>
    <w:p>
      <w:r>
        <w:rPr>
          <w:b/>
        </w:rPr>
        <w:t>Điều 7. Bảo mật</w:t>
      </w:r>
    </w:p>
    <w:p>
      <w:r>
        <w:t>Người lao động không được tiết lộ dữ liệu bảo mật hoặc thông tin cấu hình hệ thống.</w:t>
      </w:r>
    </w:p>
    <w:p>
      <w:r>
        <w:rPr>
          <w:b/>
        </w:rPr>
        <w:t>Điều 8. Quyền kết thúc quan hệ lao động</w:t>
      </w:r>
    </w:p>
    <w:p>
      <w:r>
        <w:t>Mỗi bên có thể thực hiện quyền kết thúc quan hệ lao động khi có căn cứ phù hợp.</w:t>
      </w:r>
    </w:p>
    <w:p>
      <w:r>
        <w:t>Thời gian thông báo phải tuân thủ quy định áp dụng cho từng trường hợp.</w:t>
      </w:r>
    </w:p>
    <w:p>
      <w:r>
        <w:t>Người lao động phải hoàn tất bàn giao quyền truy cập và hồ sơ sự cố.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