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HỢP ĐỒNG LAO ĐỘNG</w:t>
      </w:r>
    </w:p>
    <w:p>
      <w:pPr>
        <w:jc w:val="center"/>
      </w:pPr>
      <w:r>
        <w:rPr>
          <w:b/>
        </w:rPr>
        <w:t>H08 - Sales Executive</w:t>
      </w:r>
    </w:p>
    <w:p>
      <w:r>
        <w:t>BÊN A: CÔNG TY TNHH DEMO HELDOUT VIỆT NAM</w:t>
      </w:r>
    </w:p>
    <w:p>
      <w:r>
        <w:t>BÊN B: NGƯỜI LAO ĐỘNG</w:t>
      </w:r>
    </w:p>
    <w:p>
      <w:r>
        <w:t>Hai bên thống nhất ký hợp đồng lao động cho vị trí Sales Executive với các nội dung sau đây.</w:t>
      </w:r>
    </w:p>
    <w:p>
      <w:r>
        <w:rPr>
          <w:b/>
        </w:rPr>
        <w:t>Điều 1. Công việc</w:t>
      </w:r>
    </w:p>
    <w:p>
      <w:r>
        <w:t>Người lao động tìm kiếm khách hàng, tư vấn và thực hiện các hoạt động bán hàng.</w:t>
      </w:r>
    </w:p>
    <w:p>
      <w:r>
        <w:rPr>
          <w:b/>
        </w:rPr>
        <w:t>Điều 2. Giai đoạn thử việc</w:t>
      </w:r>
    </w:p>
    <w:p>
      <w:r>
        <w:t>Thời gian thử việc là 45 ngày.</w:t>
      </w:r>
    </w:p>
    <w:p>
      <w:r>
        <w:t>Kết quả được đánh giá dựa trên khả năng tiếp cận và tư vấn khách hàng.</w:t>
      </w:r>
    </w:p>
    <w:p>
      <w:r>
        <w:rPr>
          <w:b/>
        </w:rPr>
        <w:t>Điều 3. Quyền lợi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Nội dung</w:t>
            </w:r>
          </w:p>
        </w:tc>
        <w:tc>
          <w:tcPr>
            <w:tcW w:type="dxa" w:w="4320"/>
          </w:tcPr>
          <w:p>
            <w:r>
              <w:t>Mức</w:t>
            </w:r>
          </w:p>
        </w:tc>
      </w:tr>
      <w:tr>
        <w:tc>
          <w:tcPr>
            <w:tcW w:type="dxa" w:w="4320"/>
          </w:tcPr>
          <w:p>
            <w:r>
              <w:t>Khoản cố định</w:t>
            </w:r>
          </w:p>
        </w:tc>
        <w:tc>
          <w:tcPr>
            <w:tcW w:type="dxa" w:w="4320"/>
          </w:tcPr>
          <w:p>
            <w:r>
              <w:t>16.000.000 đồng/tháng</w:t>
            </w:r>
          </w:p>
        </w:tc>
      </w:tr>
      <w:tr>
        <w:tc>
          <w:tcPr>
            <w:tcW w:type="dxa" w:w="4320"/>
          </w:tcPr>
          <w:p>
            <w:r>
              <w:t>Phụ cấp điện thoại</w:t>
            </w:r>
          </w:p>
        </w:tc>
        <w:tc>
          <w:tcPr>
            <w:tcW w:type="dxa" w:w="4320"/>
          </w:tcPr>
          <w:p>
            <w:r>
              <w:t>500.000 đồng/tháng</w:t>
            </w:r>
          </w:p>
        </w:tc>
      </w:tr>
      <w:tr>
        <w:tc>
          <w:tcPr>
            <w:tcW w:type="dxa" w:w="4320"/>
          </w:tcPr>
          <w:p>
            <w:r>
              <w:t>Hoa hồng</w:t>
            </w:r>
          </w:p>
        </w:tc>
        <w:tc>
          <w:tcPr>
            <w:tcW w:type="dxa" w:w="4320"/>
          </w:tcPr>
          <w:p>
            <w:r>
              <w:t>Theo chính sách kinh doanh</w:t>
            </w:r>
          </w:p>
        </w:tc>
      </w:tr>
    </w:tbl>
    <w:p>
      <w:r>
        <w:t>Các khoản cố định được thanh toán vào ngày 05 hằng tháng.</w:t>
      </w:r>
    </w:p>
    <w:p>
      <w:r>
        <w:rPr>
          <w:b/>
        </w:rPr>
        <w:t>Điều 4. Tổ chức công việc</w:t>
      </w:r>
    </w:p>
    <w:p>
      <w:r>
        <w:t>Người lao động làm việc 08 giờ/ngày và 05 ngày/tuần.</w:t>
      </w:r>
    </w:p>
    <w:p>
      <w:r>
        <w:t>Lịch gặp khách hàng có thể được chủ động bố trí trong phạm vi công việc.</w:t>
      </w:r>
    </w:p>
    <w:p>
      <w:r>
        <w:rPr>
          <w:b/>
        </w:rPr>
        <w:t>Điều 5. Chỉ tiêu kinh doanh</w:t>
      </w:r>
    </w:p>
    <w:p>
      <w:r>
        <w:t>Kết quả chỉ tiêu không làm thay đổi mức lương cố định nếu không có thỏa thuận khác bằng văn bản.</w:t>
      </w:r>
    </w:p>
    <w:p>
      <w:r>
        <w:rPr>
          <w:b/>
        </w:rPr>
        <w:t>Điều 6. Tài sản</w:t>
      </w:r>
    </w:p>
    <w:p>
      <w:r>
        <w:t>Các thiết bị được giao phải được sử dụng đúng mục đích.</w:t>
      </w:r>
    </w:p>
    <w:p>
      <w:r>
        <w:rPr>
          <w:b/>
        </w:rPr>
        <w:t>Điều 7. Kết thúc hợp đồng</w:t>
      </w:r>
    </w:p>
    <w:p>
      <w:r>
        <w:t>Hợp đồng có thể kết thúc theo các căn cứ và trình tự phù hợp.</w:t>
      </w:r>
    </w:p>
    <w:p>
      <w:r>
        <w:t>Bên thực hiện quyền kết thúc phải tuân thủ thời hạn thông báo.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