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H09 - DevOps Engineer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DevOps Engineer với các nội dung sau đây.</w:t>
      </w:r>
    </w:p>
    <w:p>
      <w:r>
        <w:rPr>
          <w:b/>
        </w:rPr>
        <w:t>Điều 1. Công việc</w:t>
      </w:r>
    </w:p>
    <w:p>
      <w:r>
        <w:t>Người lao động vận hành CI/CD, hạ tầng cloud và hệ thống giám sát.</w:t>
      </w:r>
    </w:p>
    <w:p>
      <w:r>
        <w:rPr>
          <w:b/>
        </w:rPr>
        <w:t>Điều 2. Giai đoạn đầu</w:t>
      </w:r>
    </w:p>
    <w:p>
      <w:r>
        <w:t>Trong hai tháng đầu kể từ ngày nhận việc, người lao động thực hiện nhiệm vụ triển khai và vận hành dưới sự đánh giá của quản lý kỹ thuật.</w:t>
      </w:r>
    </w:p>
    <w:p>
      <w:r>
        <w:t>Kết quả giai đoạn này được dùng để xác định việc tiếp tục bố trí người lao động vào vị trí.</w:t>
      </w:r>
    </w:p>
    <w:p>
      <w:r>
        <w:rPr>
          <w:b/>
        </w:rPr>
        <w:t>Điều 3. Chế độ</w:t>
      </w:r>
    </w:p>
    <w:p>
      <w:r>
        <w:t>Khoản trả cố định cho công việc là 27.000.000 đồng mỗi tháng.</w:t>
      </w:r>
    </w:p>
    <w:p>
      <w:r>
        <w:t>Công ty chuyển khoản khoản này vào ngày 05 hằng tháng.</w:t>
      </w:r>
    </w:p>
    <w:p>
      <w:r>
        <w:rPr>
          <w:b/>
        </w:rPr>
        <w:t>Điều 4. Lịch làm việc</w:t>
      </w:r>
    </w:p>
    <w:p>
      <w:r>
        <w:t>Lịch làm việc thông thường từ 09:00 đến 18:00, 05 ngày/tuần.</w:t>
      </w:r>
    </w:p>
    <w:p>
      <w:r>
        <w:rPr>
          <w:b/>
        </w:rPr>
        <w:t>Điều 5. Trực ngoài giờ</w:t>
      </w:r>
    </w:p>
    <w:p>
      <w:r>
        <w:t>Người lao động tham gia lịch on-call luân phiên theo tuần.</w:t>
      </w:r>
    </w:p>
    <w:p>
      <w:r>
        <w:t>Sau ca trực đêm, người lao động được bố trí khoảng nghỉ phù hợp trước khi trở lại lịch làm việc tiếp theo.</w:t>
      </w:r>
    </w:p>
    <w:p>
      <w:r>
        <w:rPr>
          <w:b/>
        </w:rPr>
        <w:t>Điều 6. Bảo mật và quyền truy cập</w:t>
      </w:r>
    </w:p>
    <w:p>
      <w:r>
        <w:t>Thông tin tài khoản, khóa truy cập và bí mật hạ tầng phải được bảo mật.</w:t>
      </w:r>
    </w:p>
    <w:p>
      <w:r>
        <w:rPr>
          <w:b/>
        </w:rPr>
        <w:t>Điều 7. Điều khoản khác</w:t>
      </w:r>
    </w:p>
    <w:p>
      <w:r>
        <w:t>Một bên có thể kết thúc quan hệ lao động trước thời hạn khi có căn cứ phù hợp.</w:t>
      </w:r>
    </w:p>
    <w:p>
      <w:r>
        <w:t>Thời gian thông báo và nghĩa vụ bàn giao được thực hiện theo quy định áp dụng.</w:t>
      </w:r>
    </w:p>
    <w:p>
      <w:r>
        <w:rPr>
          <w:b/>
        </w:rPr>
        <w:t>Điều 8. Bảo hiểm</w:t>
      </w:r>
    </w:p>
    <w:p>
      <w:r>
        <w:t>Các chế độ bảo hiểm được thực hiện theo quy định.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