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H13 - Call Center Agent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Call Center Agent với các nội dung sau đây.</w:t>
      </w:r>
    </w:p>
    <w:p>
      <w:r>
        <w:rPr>
          <w:b/>
        </w:rPr>
        <w:t>Điều 1. Công việc</w:t>
      </w:r>
    </w:p>
    <w:p>
      <w:r>
        <w:t>Người lao động tiếp nhận và xử lý cuộc gọi của khách hàng.</w:t>
      </w:r>
    </w:p>
    <w:p>
      <w:r>
        <w:rPr>
          <w:b/>
        </w:rPr>
        <w:t>Điều 2. Giai đoạn đầu</w:t>
      </w:r>
    </w:p>
    <w:p>
      <w:r>
        <w:t>Trong 30 ngày đầu, người lao động được đào tạo hệ thống và thực hiện cuộc gọi dưới sự giám sát.</w:t>
      </w:r>
    </w:p>
    <w:p>
      <w:r>
        <w:t>Kết quả về chất lượng cuộc gọi được dùng để xác định việc tiếp tục bố trí vào vị trí.</w:t>
      </w:r>
    </w:p>
    <w:p>
      <w:r>
        <w:rPr>
          <w:b/>
        </w:rPr>
        <w:t>Điều 3. Thu nhập</w:t>
      </w:r>
    </w:p>
    <w:p>
      <w:r>
        <w:t>Khoản thu nhập cố định là 12.500.000 đồng/tháng.</w:t>
      </w:r>
    </w:p>
    <w:p>
      <w:r>
        <w:t>Khoản này được chuyển vào ngày 05 hằng tháng.</w:t>
      </w:r>
    </w:p>
    <w:p>
      <w:r>
        <w:rPr>
          <w:b/>
        </w:rPr>
        <w:t>Điều 4. Phân 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4320"/>
          </w:tcPr>
          <w:p>
            <w:r>
              <w:t>Giờ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06:00-14:00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14:00-22:00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22:00-06:00</w:t>
            </w:r>
          </w:p>
        </w:tc>
      </w:tr>
    </w:tbl>
    <w:p>
      <w:r>
        <w:t>Lịch phân ca được công bố theo tuần.</w:t>
      </w:r>
    </w:p>
    <w:p>
      <w:r>
        <w:rPr>
          <w:b/>
        </w:rPr>
        <w:t>Điều 5. Nghỉ giữa ca và nghỉ hằng tuần</w:t>
      </w:r>
    </w:p>
    <w:p>
      <w:r>
        <w:t>Người lao động được nghỉ giữa ca theo lịch vận hành.</w:t>
      </w:r>
    </w:p>
    <w:p>
      <w:r>
        <w:t>Ngày nghỉ hằng tuần được bố trí trong lịch phân ca.</w:t>
      </w:r>
    </w:p>
    <w:p>
      <w:r>
        <w:rPr>
          <w:b/>
        </w:rPr>
        <w:t>Điều 6. Tài sản</w:t>
      </w:r>
    </w:p>
    <w:p>
      <w:r>
        <w:t>Tai nghe và thiết bị làm việc được quản lý theo quy định nội bộ.</w:t>
      </w:r>
    </w:p>
    <w:p>
      <w:r>
        <w:rPr>
          <w:b/>
        </w:rPr>
        <w:t>Điều 7. Điều khoản liên quan</w:t>
      </w:r>
    </w:p>
    <w:p>
      <w:r>
        <w:t>Quyền kết thúc hợp đồng được thực hiện theo Điều 8.</w:t>
      </w:r>
    </w:p>
    <w:p>
      <w:r>
        <w:rPr>
          <w:b/>
        </w:rPr>
        <w:t>Điều 8. Kết thúc quan hệ lao động</w:t>
      </w:r>
    </w:p>
    <w:p>
      <w:r>
        <w:t>Một bên có thể kết thúc quan hệ lao động khi có căn cứ phù hợp.</w:t>
      </w:r>
    </w:p>
    <w:p>
      <w:r>
        <w:t>Thời gian thông báo phải được tuân thủ theo từng trường hợp.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