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HỢP ĐỒNG LAO ĐỘNG</w:t>
      </w:r>
    </w:p>
    <w:p>
      <w:pPr>
        <w:jc w:val="center"/>
      </w:pPr>
      <w:r>
        <w:rPr>
          <w:b/>
        </w:rPr>
        <w:t>H16 - Operations Coordinator</w:t>
      </w:r>
    </w:p>
    <w:p>
      <w:r>
        <w:t>BÊN A: CÔNG TY TNHH DEMO HELDOUT VIỆT NAM</w:t>
      </w:r>
    </w:p>
    <w:p>
      <w:r>
        <w:t>BÊN B: NGƯỜI LAO ĐỘNG</w:t>
      </w:r>
    </w:p>
    <w:p>
      <w:r>
        <w:t>Hai bên thống nhất ký hợp đồng lao động cho vị trí Operations Coordinator với các nội dung sau đây.</w:t>
      </w:r>
    </w:p>
    <w:p>
      <w:r>
        <w:rPr>
          <w:b/>
        </w:rPr>
        <w:t>Điều 1. Công việc</w:t>
      </w:r>
    </w:p>
    <w:p>
      <w:r>
        <w:t>Người lao động điều phối hoạt động vận hành, xử lý yêu cầu nội bộ và theo dõi tiến độ công việc.</w:t>
      </w:r>
    </w:p>
    <w:p>
      <w:r>
        <w:rPr>
          <w:b/>
        </w:rPr>
        <w:t>Điều 2. Thử việc</w:t>
      </w:r>
    </w:p>
    <w:p>
      <w:r>
        <w:t>Người lao động thử việc trong 45 ngày.</w:t>
      </w:r>
    </w:p>
    <w:p>
      <w:r>
        <w:t>Kết quả thử việc được đánh giá theo khả năng điều phối và độ chính xác báo cáo.</w:t>
      </w:r>
    </w:p>
    <w:p>
      <w:r>
        <w:rPr>
          <w:b/>
        </w:rPr>
        <w:t>Điều 3. Quyền lợi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Khoản</w:t>
            </w:r>
          </w:p>
        </w:tc>
        <w:tc>
          <w:tcPr>
            <w:tcW w:type="dxa" w:w="4320"/>
          </w:tcPr>
          <w:p>
            <w:r>
              <w:t>Mức</w:t>
            </w:r>
          </w:p>
        </w:tc>
      </w:tr>
      <w:tr>
        <w:tc>
          <w:tcPr>
            <w:tcW w:type="dxa" w:w="4320"/>
          </w:tcPr>
          <w:p>
            <w:r>
              <w:t>Lương theo công việc</w:t>
            </w:r>
          </w:p>
        </w:tc>
        <w:tc>
          <w:tcPr>
            <w:tcW w:type="dxa" w:w="4320"/>
          </w:tcPr>
          <w:p>
            <w:r>
              <w:t>16.500.000 đồng/tháng</w:t>
            </w:r>
          </w:p>
        </w:tc>
      </w:tr>
      <w:tr>
        <w:tc>
          <w:tcPr>
            <w:tcW w:type="dxa" w:w="4320"/>
          </w:tcPr>
          <w:p>
            <w:r>
              <w:t>Phụ cấp trách nhiệm</w:t>
            </w:r>
          </w:p>
        </w:tc>
        <w:tc>
          <w:tcPr>
            <w:tcW w:type="dxa" w:w="4320"/>
          </w:tcPr>
          <w:p>
            <w:r>
              <w:t>1.000.000 đồng/tháng</w:t>
            </w:r>
          </w:p>
        </w:tc>
      </w:tr>
      <w:tr>
        <w:tc>
          <w:tcPr>
            <w:tcW w:type="dxa" w:w="4320"/>
          </w:tcPr>
          <w:p>
            <w:r>
              <w:t>Hỗ trợ điện thoại</w:t>
            </w:r>
          </w:p>
        </w:tc>
        <w:tc>
          <w:tcPr>
            <w:tcW w:type="dxa" w:w="4320"/>
          </w:tcPr>
          <w:p>
            <w:r>
              <w:t>400.000 đồng/tháng</w:t>
            </w:r>
          </w:p>
        </w:tc>
      </w:tr>
    </w:tbl>
    <w:p>
      <w:r>
        <w:t>Các khoản được thanh toán vào ngày 05 hằng tháng.</w:t>
      </w:r>
    </w:p>
    <w:p>
      <w:r>
        <w:rPr>
          <w:b/>
        </w:rPr>
        <w:t>Điều 4. Thời hạn hợp đồng</w:t>
      </w:r>
    </w:p>
    <w:p>
      <w:r>
        <w:t>Hợp đồng xác định thời hạn 24 tháng kể từ ngày bắt đầu.</w:t>
      </w:r>
    </w:p>
    <w:p>
      <w:r>
        <w:rPr>
          <w:b/>
        </w:rPr>
        <w:t>Điều 5. Bảo hiểm và nghỉ phép năm</w:t>
      </w:r>
    </w:p>
    <w:p>
      <w:r>
        <w:t>Người lao động tham gia các chế độ bảo hiểm theo quy định.</w:t>
      </w:r>
    </w:p>
    <w:p>
      <w:r>
        <w:t>Nghỉ phép năm được giải quyết theo chính sách của công ty.</w:t>
      </w:r>
    </w:p>
    <w:p>
      <w:r>
        <w:rPr>
          <w:b/>
        </w:rPr>
        <w:t>Điều 6. Tài sản</w:t>
      </w:r>
    </w:p>
    <w:p>
      <w:r>
        <w:t>Tài sản được giao phải được bảo quản theo quy định nội bộ.</w:t>
      </w:r>
    </w:p>
    <w:p>
      <w:r>
        <w:rPr>
          <w:b/>
        </w:rPr>
        <w:t>Điều 7. Chấm dứt hợp đồng</w:t>
      </w:r>
    </w:p>
    <w:p>
      <w:r>
        <w:t>Việc chấm dứt hợp đồng thực hiện theo căn cứ pháp luật và thỏa thuận của hai bên.</w:t>
      </w:r>
    </w:p>
    <w:p>
      <w:r>
        <w:t>Thời hạn báo trước được áp dụng theo từng trường hợp.</w:t>
      </w:r>
    </w:p>
    <w:p>
      <w:r>
        <w:rPr>
          <w:b/>
        </w:rPr>
        <w:t>Điều 8. Điều khoản chung</w:t>
      </w:r>
    </w:p>
    <w:p>
      <w:r>
        <w:t>Các sửa đổi hoặc bổ sung hợp đồng phải được lập thành văn bản.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